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50086">
      <w:pPr>
        <w:rPr>
          <w:rFonts w:eastAsia="Times New Roman"/>
        </w:rPr>
      </w:pPr>
    </w:p>
    <w:tbl>
      <w:tblPr>
        <w:tblW w:w="5000" w:type="pct"/>
        <w:jc w:val="center"/>
        <w:tblCellSpacing w:w="0" w:type="dxa"/>
        <w:tblCellMar>
          <w:left w:w="0" w:type="dxa"/>
          <w:right w:w="0" w:type="dxa"/>
        </w:tblCellMar>
        <w:tblLook w:val="04A0"/>
      </w:tblPr>
      <w:tblGrid>
        <w:gridCol w:w="9360"/>
      </w:tblGrid>
      <w:tr w:rsidR="00000000">
        <w:trPr>
          <w:divId w:val="7608861"/>
          <w:tblCellSpacing w:w="0" w:type="dxa"/>
          <w:jc w:val="center"/>
        </w:trPr>
        <w:tc>
          <w:tcPr>
            <w:tcW w:w="0" w:type="auto"/>
            <w:vAlign w:val="center"/>
            <w:hideMark/>
          </w:tcPr>
          <w:p w:rsidR="00000000" w:rsidRDefault="00150086">
            <w:pPr>
              <w:spacing w:before="0" w:beforeAutospacing="0" w:after="0" w:afterAutospacing="0"/>
              <w:rPr>
                <w:rFonts w:eastAsia="Times New Roman"/>
                <w:sz w:val="2"/>
                <w:szCs w:val="2"/>
              </w:rPr>
            </w:pPr>
          </w:p>
        </w:tc>
      </w:tr>
    </w:tbl>
    <w:p w:rsidR="00000000" w:rsidRDefault="00150086">
      <w:pPr>
        <w:pStyle w:val="NormalWeb"/>
        <w:spacing w:before="0" w:beforeAutospacing="0" w:after="0" w:afterAutospacing="0"/>
        <w:jc w:val="center"/>
        <w:divId w:val="7608861"/>
        <w:rPr>
          <w:sz w:val="20"/>
          <w:szCs w:val="20"/>
        </w:rPr>
      </w:pPr>
      <w:r>
        <w:rPr>
          <w:sz w:val="20"/>
          <w:szCs w:val="20"/>
        </w:rPr>
        <w:t> </w:t>
      </w:r>
    </w:p>
    <w:p w:rsidR="00000000" w:rsidRDefault="00150086">
      <w:pPr>
        <w:pStyle w:val="NormalWeb"/>
        <w:spacing w:before="0" w:beforeAutospacing="0" w:after="0" w:afterAutospacing="0"/>
        <w:jc w:val="center"/>
        <w:divId w:val="7608861"/>
        <w:rPr>
          <w:sz w:val="20"/>
          <w:szCs w:val="20"/>
        </w:rPr>
      </w:pPr>
      <w:r>
        <w:rPr>
          <w:b/>
          <w:bCs/>
        </w:rPr>
        <w:t>UNITED STATES</w:t>
      </w:r>
    </w:p>
    <w:p w:rsidR="00000000" w:rsidRDefault="00150086">
      <w:pPr>
        <w:pStyle w:val="NormalWeb"/>
        <w:spacing w:before="0" w:beforeAutospacing="0" w:after="0" w:afterAutospacing="0"/>
        <w:jc w:val="center"/>
        <w:divId w:val="7608861"/>
        <w:rPr>
          <w:sz w:val="20"/>
          <w:szCs w:val="20"/>
        </w:rPr>
      </w:pPr>
      <w:r>
        <w:rPr>
          <w:b/>
          <w:bCs/>
        </w:rPr>
        <w:t>SECURITIES AND EXCHANGE COMMISSION</w:t>
      </w:r>
    </w:p>
    <w:p w:rsidR="00000000" w:rsidRDefault="00150086">
      <w:pPr>
        <w:pStyle w:val="NormalWeb"/>
        <w:spacing w:before="0" w:beforeAutospacing="0" w:after="0" w:afterAutospacing="0"/>
        <w:jc w:val="center"/>
        <w:divId w:val="7608861"/>
        <w:rPr>
          <w:sz w:val="20"/>
          <w:szCs w:val="20"/>
        </w:rPr>
      </w:pPr>
      <w:r>
        <w:rPr>
          <w:b/>
          <w:bCs/>
        </w:rPr>
        <w:t>Washington, D.C. 20549</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center"/>
        <w:divId w:val="7608861"/>
        <w:rPr>
          <w:sz w:val="20"/>
          <w:szCs w:val="20"/>
        </w:rPr>
      </w:pPr>
      <w:r>
        <w:rPr>
          <w:b/>
          <w:bCs/>
          <w:sz w:val="36"/>
          <w:szCs w:val="36"/>
        </w:rPr>
        <w:t>Form 10-Q</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(Mark One)</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5000" w:type="pct"/>
        <w:tblCellSpacing w:w="0" w:type="dxa"/>
        <w:tblCellMar>
          <w:left w:w="0" w:type="dxa"/>
          <w:right w:w="0" w:type="dxa"/>
        </w:tblCellMar>
        <w:tblLook w:val="04A0"/>
      </w:tblPr>
      <w:tblGrid>
        <w:gridCol w:w="374"/>
        <w:gridCol w:w="8986"/>
      </w:tblGrid>
      <w:tr w:rsidR="00000000">
        <w:trPr>
          <w:divId w:val="7608861"/>
          <w:tblCellSpacing w:w="0" w:type="dxa"/>
        </w:trPr>
        <w:tc>
          <w:tcPr>
            <w:tcW w:w="200" w:type="pct"/>
            <w:hideMark/>
          </w:tcPr>
          <w:p w:rsidR="00000000" w:rsidRDefault="00150086">
            <w:pPr>
              <w:spacing w:before="0" w:beforeAutospacing="0" w:after="0" w:afterAutospacing="0"/>
              <w:jc w:val="both"/>
              <w:rPr>
                <w:rFonts w:eastAsia="Times New Roman"/>
                <w:sz w:val="20"/>
                <w:szCs w:val="20"/>
              </w:rPr>
            </w:pPr>
            <w:r>
              <w:rPr>
                <w:rFonts w:ascii="Wingdings" w:eastAsia="Times New Roman" w:hAnsi="Wingdings"/>
                <w:sz w:val="20"/>
                <w:szCs w:val="20"/>
              </w:rPr>
              <w:t></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QUARTERLY REPORT PURSUANT TO SECTION 13 OR 15(d) OF THE SECURITIES EXCHANGE ACT OF 1934</w:t>
            </w:r>
          </w:p>
        </w:tc>
      </w:tr>
    </w:tbl>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center"/>
        <w:divId w:val="7608861"/>
        <w:rPr>
          <w:sz w:val="20"/>
          <w:szCs w:val="20"/>
        </w:rPr>
      </w:pPr>
      <w:r>
        <w:rPr>
          <w:sz w:val="20"/>
          <w:szCs w:val="20"/>
        </w:rPr>
        <w:t xml:space="preserve">For the quarterly period ended </w:t>
      </w:r>
      <w:r>
        <w:rPr>
          <w:b/>
          <w:bCs/>
          <w:sz w:val="20"/>
          <w:szCs w:val="20"/>
        </w:rPr>
        <w:t>October 31, 2018</w:t>
      </w:r>
    </w:p>
    <w:p w:rsidR="00000000" w:rsidRDefault="00150086">
      <w:pPr>
        <w:pStyle w:val="NormalWeb"/>
        <w:spacing w:before="0" w:beforeAutospacing="0" w:after="0" w:afterAutospacing="0"/>
        <w:jc w:val="center"/>
        <w:divId w:val="7608861"/>
        <w:rPr>
          <w:sz w:val="20"/>
          <w:szCs w:val="20"/>
        </w:rPr>
      </w:pPr>
      <w:r>
        <w:rPr>
          <w:sz w:val="20"/>
          <w:szCs w:val="20"/>
        </w:rPr>
        <w:t> </w:t>
      </w:r>
    </w:p>
    <w:p w:rsidR="00000000" w:rsidRDefault="00150086">
      <w:pPr>
        <w:pStyle w:val="NormalWeb"/>
        <w:spacing w:before="0" w:beforeAutospacing="0" w:after="0" w:afterAutospacing="0"/>
        <w:jc w:val="center"/>
        <w:divId w:val="7608861"/>
        <w:rPr>
          <w:sz w:val="20"/>
          <w:szCs w:val="20"/>
        </w:rPr>
      </w:pPr>
      <w:r>
        <w:rPr>
          <w:sz w:val="20"/>
          <w:szCs w:val="20"/>
        </w:rPr>
        <w:t>or</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5000" w:type="pct"/>
        <w:tblCellSpacing w:w="0" w:type="dxa"/>
        <w:tblCellMar>
          <w:left w:w="0" w:type="dxa"/>
          <w:right w:w="0" w:type="dxa"/>
        </w:tblCellMar>
        <w:tblLook w:val="04A0"/>
      </w:tblPr>
      <w:tblGrid>
        <w:gridCol w:w="374"/>
        <w:gridCol w:w="8986"/>
      </w:tblGrid>
      <w:tr w:rsidR="00000000">
        <w:trPr>
          <w:divId w:val="7608861"/>
          <w:tblCellSpacing w:w="0" w:type="dxa"/>
        </w:trPr>
        <w:tc>
          <w:tcPr>
            <w:tcW w:w="200" w:type="pct"/>
            <w:hideMark/>
          </w:tcPr>
          <w:p w:rsidR="00000000" w:rsidRDefault="00150086">
            <w:pPr>
              <w:spacing w:before="0" w:beforeAutospacing="0" w:after="0" w:afterAutospacing="0"/>
              <w:jc w:val="both"/>
              <w:rPr>
                <w:rFonts w:eastAsia="Times New Roman"/>
                <w:sz w:val="20"/>
                <w:szCs w:val="20"/>
              </w:rPr>
            </w:pPr>
            <w:r>
              <w:rPr>
                <w:rFonts w:ascii="Wingdings" w:eastAsia="Times New Roman" w:hAnsi="Wingdings"/>
                <w:sz w:val="20"/>
                <w:szCs w:val="20"/>
              </w:rPr>
              <w:t></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TRANSITION REPORT UNDER SECTION 13 OR 15(d) OF THE SECURITIES EXCHANGE ACT OF 1934</w:t>
            </w:r>
          </w:p>
        </w:tc>
      </w:tr>
    </w:tbl>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center"/>
        <w:divId w:val="7608861"/>
        <w:rPr>
          <w:sz w:val="20"/>
          <w:szCs w:val="20"/>
        </w:rPr>
      </w:pPr>
      <w:r>
        <w:rPr>
          <w:sz w:val="20"/>
          <w:szCs w:val="20"/>
        </w:rPr>
        <w:t xml:space="preserve">For the transition period from _____________ to _____________ </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center"/>
        <w:divId w:val="7608861"/>
        <w:rPr>
          <w:sz w:val="20"/>
          <w:szCs w:val="20"/>
        </w:rPr>
      </w:pPr>
      <w:r>
        <w:rPr>
          <w:sz w:val="20"/>
          <w:szCs w:val="20"/>
        </w:rPr>
        <w:t xml:space="preserve">Commission File Number </w:t>
      </w:r>
      <w:r>
        <w:rPr>
          <w:b/>
          <w:bCs/>
          <w:sz w:val="20"/>
          <w:szCs w:val="20"/>
        </w:rPr>
        <w:t>333-161157</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2750" w:type="pct"/>
        <w:jc w:val="center"/>
        <w:tblCellSpacing w:w="0" w:type="dxa"/>
        <w:tblCellMar>
          <w:left w:w="0" w:type="dxa"/>
          <w:right w:w="0" w:type="dxa"/>
        </w:tblCellMar>
        <w:tblLook w:val="04A0"/>
      </w:tblPr>
      <w:tblGrid>
        <w:gridCol w:w="5148"/>
      </w:tblGrid>
      <w:tr w:rsidR="00000000">
        <w:trPr>
          <w:divId w:val="7608861"/>
          <w:trHeight w:val="225"/>
          <w:tblCellSpacing w:w="0" w:type="dxa"/>
          <w:jc w:val="center"/>
        </w:trPr>
        <w:tc>
          <w:tcPr>
            <w:tcW w:w="4500" w:type="pct"/>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36"/>
                <w:szCs w:val="36"/>
              </w:rPr>
              <w:t>PIVOT PHARMACEUTICALS INC.</w:t>
            </w:r>
          </w:p>
        </w:tc>
      </w:tr>
      <w:tr w:rsidR="00000000">
        <w:trPr>
          <w:divId w:val="7608861"/>
          <w:trHeight w:val="225"/>
          <w:tblCellSpacing w:w="0" w:type="dxa"/>
          <w:jc w:val="center"/>
        </w:trPr>
        <w:tc>
          <w:tcPr>
            <w:tcW w:w="4500" w:type="pct"/>
            <w:vAlign w:val="bottom"/>
            <w:hideMark/>
          </w:tcPr>
          <w:p w:rsidR="00000000" w:rsidRDefault="00150086">
            <w:pPr>
              <w:pStyle w:val="NormalWeb"/>
              <w:spacing w:before="0" w:beforeAutospacing="0" w:after="0" w:afterAutospacing="0"/>
              <w:jc w:val="center"/>
              <w:rPr>
                <w:sz w:val="20"/>
                <w:szCs w:val="20"/>
              </w:rPr>
            </w:pPr>
            <w:r>
              <w:rPr>
                <w:sz w:val="20"/>
                <w:szCs w:val="20"/>
              </w:rPr>
              <w:t>(Exact name of registrant as specified in its charter)</w:t>
            </w:r>
          </w:p>
        </w:tc>
      </w:tr>
    </w:tbl>
    <w:p w:rsidR="00000000" w:rsidRDefault="00150086">
      <w:pPr>
        <w:pStyle w:val="NormalWeb"/>
        <w:spacing w:before="0" w:beforeAutospacing="0" w:after="0" w:afterAutospacing="0"/>
        <w:jc w:val="both"/>
        <w:divId w:val="7608861"/>
        <w:rPr>
          <w:sz w:val="20"/>
          <w:szCs w:val="20"/>
        </w:rPr>
      </w:pPr>
      <w:r>
        <w:rPr>
          <w:sz w:val="20"/>
          <w:szCs w:val="20"/>
        </w:rPr>
        <w:t> </w:t>
      </w:r>
    </w:p>
    <w:tbl>
      <w:tblPr>
        <w:tblW w:w="4250" w:type="pct"/>
        <w:jc w:val="center"/>
        <w:tblCellSpacing w:w="0" w:type="dxa"/>
        <w:tblCellMar>
          <w:left w:w="0" w:type="dxa"/>
          <w:right w:w="0" w:type="dxa"/>
        </w:tblCellMar>
        <w:tblLook w:val="04A0"/>
      </w:tblPr>
      <w:tblGrid>
        <w:gridCol w:w="3580"/>
        <w:gridCol w:w="796"/>
        <w:gridCol w:w="3580"/>
      </w:tblGrid>
      <w:tr w:rsidR="00000000">
        <w:trPr>
          <w:divId w:val="7608861"/>
          <w:trHeight w:val="225"/>
          <w:tblCellSpacing w:w="0" w:type="dxa"/>
          <w:jc w:val="center"/>
        </w:trPr>
        <w:tc>
          <w:tcPr>
            <w:tcW w:w="2250" w:type="pct"/>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British Columbia</w:t>
            </w:r>
          </w:p>
        </w:tc>
        <w:tc>
          <w:tcPr>
            <w:tcW w:w="500" w:type="pct"/>
            <w:vAlign w:val="bottom"/>
            <w:hideMark/>
          </w:tcPr>
          <w:p w:rsidR="00000000" w:rsidRDefault="00150086">
            <w:pPr>
              <w:pStyle w:val="NormalWeb"/>
              <w:spacing w:before="0" w:beforeAutospacing="0" w:after="0" w:afterAutospacing="0"/>
              <w:jc w:val="center"/>
              <w:rPr>
                <w:sz w:val="20"/>
                <w:szCs w:val="20"/>
              </w:rPr>
            </w:pPr>
            <w:r>
              <w:rPr>
                <w:sz w:val="20"/>
                <w:szCs w:val="20"/>
              </w:rPr>
              <w:t> </w:t>
            </w:r>
          </w:p>
        </w:tc>
        <w:tc>
          <w:tcPr>
            <w:tcW w:w="2250" w:type="pct"/>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N/A</w:t>
            </w:r>
          </w:p>
        </w:tc>
      </w:tr>
      <w:tr w:rsidR="00000000">
        <w:trPr>
          <w:divId w:val="7608861"/>
          <w:trHeight w:val="225"/>
          <w:tblCellSpacing w:w="0" w:type="dxa"/>
          <w:jc w:val="center"/>
        </w:trPr>
        <w:tc>
          <w:tcPr>
            <w:tcW w:w="0" w:type="auto"/>
            <w:vAlign w:val="bottom"/>
            <w:hideMark/>
          </w:tcPr>
          <w:p w:rsidR="00000000" w:rsidRDefault="00150086">
            <w:pPr>
              <w:pStyle w:val="NormalWeb"/>
              <w:spacing w:before="0" w:beforeAutospacing="0" w:after="0" w:afterAutospacing="0"/>
              <w:jc w:val="center"/>
              <w:rPr>
                <w:sz w:val="20"/>
                <w:szCs w:val="20"/>
              </w:rPr>
            </w:pPr>
            <w:r>
              <w:rPr>
                <w:sz w:val="20"/>
                <w:szCs w:val="20"/>
              </w:rPr>
              <w:t>(State or other jurisdiction of incorporation or organization)</w:t>
            </w:r>
          </w:p>
        </w:tc>
        <w:tc>
          <w:tcPr>
            <w:tcW w:w="0" w:type="auto"/>
            <w:vAlign w:val="bottom"/>
            <w:hideMark/>
          </w:tcPr>
          <w:p w:rsidR="00000000" w:rsidRDefault="00150086">
            <w:pPr>
              <w:pStyle w:val="NormalWeb"/>
              <w:spacing w:before="0" w:beforeAutospacing="0" w:after="0" w:afterAutospacing="0"/>
              <w:jc w:val="center"/>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center"/>
              <w:rPr>
                <w:sz w:val="20"/>
                <w:szCs w:val="20"/>
              </w:rPr>
            </w:pPr>
            <w:r>
              <w:rPr>
                <w:sz w:val="20"/>
                <w:szCs w:val="20"/>
              </w:rPr>
              <w:t>(IRS Employer Identification No.)</w:t>
            </w:r>
          </w:p>
        </w:tc>
      </w:tr>
    </w:tbl>
    <w:p w:rsidR="00000000" w:rsidRDefault="00150086">
      <w:pPr>
        <w:pStyle w:val="NormalWeb"/>
        <w:spacing w:before="0" w:beforeAutospacing="0" w:after="0" w:afterAutospacing="0"/>
        <w:jc w:val="both"/>
        <w:divId w:val="7608861"/>
        <w:rPr>
          <w:sz w:val="20"/>
          <w:szCs w:val="20"/>
        </w:rPr>
      </w:pPr>
      <w:r>
        <w:rPr>
          <w:sz w:val="20"/>
          <w:szCs w:val="20"/>
        </w:rPr>
        <w:t> </w:t>
      </w:r>
    </w:p>
    <w:tbl>
      <w:tblPr>
        <w:tblW w:w="4250" w:type="pct"/>
        <w:jc w:val="center"/>
        <w:tblCellSpacing w:w="0" w:type="dxa"/>
        <w:tblCellMar>
          <w:left w:w="0" w:type="dxa"/>
          <w:right w:w="0" w:type="dxa"/>
        </w:tblCellMar>
        <w:tblLook w:val="04A0"/>
      </w:tblPr>
      <w:tblGrid>
        <w:gridCol w:w="3580"/>
        <w:gridCol w:w="796"/>
        <w:gridCol w:w="3580"/>
      </w:tblGrid>
      <w:tr w:rsidR="00000000">
        <w:trPr>
          <w:divId w:val="7608861"/>
          <w:trHeight w:val="225"/>
          <w:tblCellSpacing w:w="0" w:type="dxa"/>
          <w:jc w:val="center"/>
        </w:trPr>
        <w:tc>
          <w:tcPr>
            <w:tcW w:w="2250" w:type="pct"/>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1275 West 6th Avenue, Vancouver, British Columbia, Canada</w:t>
            </w:r>
          </w:p>
        </w:tc>
        <w:tc>
          <w:tcPr>
            <w:tcW w:w="500" w:type="pct"/>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2250" w:type="pct"/>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V6H 1A6</w:t>
            </w:r>
          </w:p>
        </w:tc>
      </w:tr>
      <w:tr w:rsidR="00000000">
        <w:trPr>
          <w:divId w:val="7608861"/>
          <w:trHeight w:val="225"/>
          <w:tblCellSpacing w:w="0" w:type="dxa"/>
          <w:jc w:val="center"/>
        </w:trPr>
        <w:tc>
          <w:tcPr>
            <w:tcW w:w="0" w:type="auto"/>
            <w:vAlign w:val="bottom"/>
            <w:hideMark/>
          </w:tcPr>
          <w:p w:rsidR="00000000" w:rsidRDefault="00150086">
            <w:pPr>
              <w:pStyle w:val="NormalWeb"/>
              <w:spacing w:before="0" w:beforeAutospacing="0" w:after="0" w:afterAutospacing="0"/>
              <w:jc w:val="center"/>
              <w:rPr>
                <w:sz w:val="20"/>
                <w:szCs w:val="20"/>
              </w:rPr>
            </w:pPr>
            <w:r>
              <w:rPr>
                <w:sz w:val="20"/>
                <w:szCs w:val="20"/>
              </w:rPr>
              <w:t>(Address of principal executive offices)</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center"/>
              <w:rPr>
                <w:sz w:val="20"/>
                <w:szCs w:val="20"/>
              </w:rPr>
            </w:pPr>
            <w:r>
              <w:rPr>
                <w:sz w:val="20"/>
                <w:szCs w:val="20"/>
              </w:rPr>
              <w:t>(Zip Code)</w:t>
            </w:r>
          </w:p>
        </w:tc>
      </w:tr>
    </w:tbl>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center"/>
        <w:divId w:val="7608861"/>
        <w:rPr>
          <w:sz w:val="20"/>
          <w:szCs w:val="20"/>
        </w:rPr>
      </w:pPr>
      <w:r>
        <w:rPr>
          <w:b/>
          <w:bCs/>
          <w:sz w:val="20"/>
          <w:szCs w:val="20"/>
          <w:u w:val="single"/>
        </w:rPr>
        <w:t>(604) 805-7783</w:t>
      </w:r>
    </w:p>
    <w:p w:rsidR="00000000" w:rsidRDefault="00150086">
      <w:pPr>
        <w:pStyle w:val="NormalWeb"/>
        <w:spacing w:before="0" w:beforeAutospacing="0" w:after="0" w:afterAutospacing="0"/>
        <w:jc w:val="center"/>
        <w:divId w:val="7608861"/>
        <w:rPr>
          <w:sz w:val="20"/>
          <w:szCs w:val="20"/>
        </w:rPr>
      </w:pPr>
      <w:r>
        <w:rPr>
          <w:sz w:val="20"/>
          <w:szCs w:val="20"/>
        </w:rPr>
        <w:t>(Registrant’s telephone number, including area code)</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center"/>
        <w:divId w:val="7608861"/>
        <w:rPr>
          <w:sz w:val="20"/>
          <w:szCs w:val="20"/>
        </w:rPr>
      </w:pPr>
      <w:r>
        <w:rPr>
          <w:b/>
          <w:bCs/>
          <w:sz w:val="20"/>
          <w:szCs w:val="20"/>
          <w:u w:val="single"/>
        </w:rPr>
        <w:t>N/A</w:t>
      </w:r>
    </w:p>
    <w:p w:rsidR="00000000" w:rsidRDefault="00150086">
      <w:pPr>
        <w:pStyle w:val="NormalWeb"/>
        <w:spacing w:before="0" w:beforeAutospacing="0" w:after="0" w:afterAutospacing="0"/>
        <w:jc w:val="center"/>
        <w:divId w:val="7608861"/>
        <w:rPr>
          <w:sz w:val="20"/>
          <w:szCs w:val="20"/>
        </w:rPr>
      </w:pPr>
      <w:r>
        <w:rPr>
          <w:sz w:val="20"/>
          <w:szCs w:val="20"/>
        </w:rPr>
        <w:t>(Former name, former address and former fiscal year, if changed since last report)</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Indicate by check mark whether the registrant (1) has filed all reports required to be filed by Section 13 or 15</w:t>
      </w:r>
      <w:r>
        <w:rPr>
          <w:sz w:val="20"/>
          <w:szCs w:val="20"/>
        </w:rPr>
        <w:t xml:space="preserve">(d) of the Securities Exchange Act of 1934 during the preceding 12 months (or for such shorter period that the registrant was required to file such reports), and (2) has been subject to such filing requirements for the past 90 days. </w:t>
      </w:r>
      <w:r>
        <w:rPr>
          <w:rFonts w:ascii="Wingdings" w:hAnsi="Wingdings"/>
          <w:sz w:val="20"/>
          <w:szCs w:val="20"/>
        </w:rPr>
        <w:t></w:t>
      </w:r>
      <w:r>
        <w:rPr>
          <w:sz w:val="20"/>
          <w:szCs w:val="20"/>
        </w:rPr>
        <w:t xml:space="preserve"> YES     </w:t>
      </w:r>
      <w:r>
        <w:rPr>
          <w:rFonts w:ascii="Wingdings" w:hAnsi="Wingdings"/>
          <w:sz w:val="20"/>
          <w:szCs w:val="20"/>
        </w:rPr>
        <w:t></w:t>
      </w:r>
      <w:r>
        <w:rPr>
          <w:sz w:val="20"/>
          <w:szCs w:val="20"/>
        </w:rPr>
        <w:t xml:space="preserve"> NO</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Indica</w:t>
      </w:r>
      <w:r>
        <w:rPr>
          <w:sz w:val="20"/>
          <w:szCs w:val="20"/>
        </w:rPr>
        <w:t xml:space="preserve">te by check mark whether the registrant has submitted electronically and posted on its corporate Web site, if any, every Interactive Data File required to be submitted and posted pursuant to Rule 405 of Regulation S-T (§232.405 of this chapter) during the </w:t>
      </w:r>
      <w:r>
        <w:rPr>
          <w:sz w:val="20"/>
          <w:szCs w:val="20"/>
        </w:rPr>
        <w:t xml:space="preserve">preceding 12 months (or for such shorter period that the registrant was required to submit and post such files). </w:t>
      </w:r>
      <w:r>
        <w:rPr>
          <w:rFonts w:ascii="Wingdings" w:hAnsi="Wingdings"/>
          <w:sz w:val="20"/>
          <w:szCs w:val="20"/>
        </w:rPr>
        <w:t></w:t>
      </w:r>
      <w:r>
        <w:rPr>
          <w:sz w:val="20"/>
          <w:szCs w:val="20"/>
        </w:rPr>
        <w:t xml:space="preserve"> YES     </w:t>
      </w:r>
      <w:r>
        <w:rPr>
          <w:rFonts w:ascii="Wingdings" w:hAnsi="Wingdings"/>
          <w:sz w:val="20"/>
          <w:szCs w:val="20"/>
        </w:rPr>
        <w:t></w:t>
      </w:r>
      <w:r>
        <w:rPr>
          <w:sz w:val="20"/>
          <w:szCs w:val="20"/>
        </w:rPr>
        <w:t xml:space="preserve"> NO</w:t>
      </w:r>
    </w:p>
    <w:p w:rsidR="00000000" w:rsidRDefault="00150086">
      <w:pPr>
        <w:pStyle w:val="NormalWeb"/>
        <w:spacing w:before="0" w:beforeAutospacing="0" w:after="0" w:afterAutospacing="0"/>
        <w:jc w:val="both"/>
        <w:divId w:val="7608861"/>
        <w:rPr>
          <w:sz w:val="20"/>
          <w:szCs w:val="20"/>
        </w:rPr>
      </w:pPr>
      <w:r>
        <w:rPr>
          <w:sz w:val="20"/>
          <w:szCs w:val="20"/>
        </w:rPr>
        <w:lastRenderedPageBreak/>
        <w:t> </w:t>
      </w:r>
    </w:p>
    <w:p w:rsidR="00000000" w:rsidRDefault="00150086">
      <w:pPr>
        <w:pStyle w:val="NormalWeb"/>
        <w:spacing w:before="0" w:beforeAutospacing="0" w:after="0" w:afterAutospacing="0"/>
        <w:jc w:val="both"/>
        <w:divId w:val="7608861"/>
        <w:rPr>
          <w:sz w:val="20"/>
          <w:szCs w:val="20"/>
        </w:rPr>
      </w:pPr>
      <w:r>
        <w:rPr>
          <w:sz w:val="20"/>
          <w:szCs w:val="20"/>
        </w:rPr>
        <w:t xml:space="preserve">Indicate by check mark whether the registrant is a large accelerated filer, an accelerated filer, a non-accelerated filer, or </w:t>
      </w:r>
      <w:r>
        <w:rPr>
          <w:sz w:val="20"/>
          <w:szCs w:val="20"/>
        </w:rPr>
        <w:t>a small reporting company. See the definitions of “large accelerated filer”, “accelerated filer” and “smaller reporting company” in Rule 12b-2 of the Exchange Act.</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4250" w:type="pct"/>
        <w:jc w:val="center"/>
        <w:tblCellSpacing w:w="0" w:type="dxa"/>
        <w:tblCellMar>
          <w:left w:w="0" w:type="dxa"/>
          <w:right w:w="0" w:type="dxa"/>
        </w:tblCellMar>
        <w:tblLook w:val="04A0"/>
      </w:tblPr>
      <w:tblGrid>
        <w:gridCol w:w="1989"/>
        <w:gridCol w:w="318"/>
        <w:gridCol w:w="3342"/>
        <w:gridCol w:w="1989"/>
        <w:gridCol w:w="318"/>
      </w:tblGrid>
      <w:tr w:rsidR="00000000">
        <w:trPr>
          <w:divId w:val="7608861"/>
          <w:trHeight w:val="225"/>
          <w:tblCellSpacing w:w="0" w:type="dxa"/>
          <w:jc w:val="center"/>
        </w:trPr>
        <w:tc>
          <w:tcPr>
            <w:tcW w:w="1250" w:type="pct"/>
            <w:vAlign w:val="bottom"/>
            <w:hideMark/>
          </w:tcPr>
          <w:p w:rsidR="00000000" w:rsidRDefault="00150086">
            <w:pPr>
              <w:pStyle w:val="NormalWeb"/>
              <w:spacing w:before="0" w:beforeAutospacing="0" w:after="0" w:afterAutospacing="0"/>
              <w:jc w:val="both"/>
              <w:rPr>
                <w:sz w:val="20"/>
                <w:szCs w:val="20"/>
              </w:rPr>
            </w:pPr>
            <w:r>
              <w:rPr>
                <w:sz w:val="20"/>
                <w:szCs w:val="20"/>
              </w:rPr>
              <w:t>Large accelerated filer</w:t>
            </w:r>
          </w:p>
        </w:tc>
        <w:tc>
          <w:tcPr>
            <w:tcW w:w="200" w:type="pct"/>
            <w:vAlign w:val="center"/>
            <w:hideMark/>
          </w:tcPr>
          <w:p w:rsidR="00000000" w:rsidRDefault="00150086">
            <w:pPr>
              <w:spacing w:before="0" w:beforeAutospacing="0" w:after="0" w:afterAutospacing="0"/>
              <w:jc w:val="both"/>
              <w:rPr>
                <w:rFonts w:eastAsia="Times New Roman"/>
                <w:sz w:val="20"/>
                <w:szCs w:val="20"/>
              </w:rPr>
            </w:pPr>
            <w:r>
              <w:rPr>
                <w:rFonts w:ascii="Wingdings" w:eastAsia="Times New Roman" w:hAnsi="Wingdings"/>
                <w:sz w:val="20"/>
                <w:szCs w:val="20"/>
              </w:rPr>
              <w:t></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1250" w:type="pct"/>
            <w:vAlign w:val="bottom"/>
            <w:hideMark/>
          </w:tcPr>
          <w:p w:rsidR="00000000" w:rsidRDefault="00150086">
            <w:pPr>
              <w:pStyle w:val="NormalWeb"/>
              <w:spacing w:before="0" w:beforeAutospacing="0" w:after="0" w:afterAutospacing="0"/>
              <w:jc w:val="both"/>
              <w:rPr>
                <w:sz w:val="20"/>
                <w:szCs w:val="20"/>
              </w:rPr>
            </w:pPr>
            <w:r>
              <w:rPr>
                <w:sz w:val="20"/>
                <w:szCs w:val="20"/>
              </w:rPr>
              <w:t>Accelerated filer</w:t>
            </w:r>
          </w:p>
        </w:tc>
        <w:tc>
          <w:tcPr>
            <w:tcW w:w="200" w:type="pct"/>
            <w:vAlign w:val="bottom"/>
            <w:hideMark/>
          </w:tcPr>
          <w:p w:rsidR="00000000" w:rsidRDefault="00150086">
            <w:pPr>
              <w:pStyle w:val="NormalWeb"/>
              <w:spacing w:before="0" w:beforeAutospacing="0" w:after="0" w:afterAutospacing="0"/>
              <w:jc w:val="both"/>
              <w:rPr>
                <w:sz w:val="20"/>
                <w:szCs w:val="20"/>
              </w:rPr>
            </w:pPr>
            <w:r>
              <w:rPr>
                <w:rFonts w:ascii="Wingdings" w:hAnsi="Wingdings"/>
                <w:sz w:val="20"/>
                <w:szCs w:val="20"/>
              </w:rPr>
              <w:t></w:t>
            </w:r>
          </w:p>
        </w:tc>
      </w:tr>
      <w:tr w:rsidR="00000000">
        <w:trPr>
          <w:divId w:val="7608861"/>
          <w:trHeight w:val="225"/>
          <w:tblCellSpacing w:w="0" w:type="dxa"/>
          <w:jc w:val="center"/>
        </w:trPr>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Non-accelerated filer</w:t>
            </w:r>
          </w:p>
        </w:tc>
        <w:tc>
          <w:tcPr>
            <w:tcW w:w="0" w:type="auto"/>
            <w:vAlign w:val="bottom"/>
            <w:hideMark/>
          </w:tcPr>
          <w:p w:rsidR="00000000" w:rsidRDefault="00150086">
            <w:pPr>
              <w:pStyle w:val="NormalWeb"/>
              <w:spacing w:before="0" w:beforeAutospacing="0" w:after="0" w:afterAutospacing="0"/>
              <w:jc w:val="both"/>
              <w:rPr>
                <w:sz w:val="20"/>
                <w:szCs w:val="20"/>
              </w:rPr>
            </w:pPr>
            <w:r>
              <w:rPr>
                <w:rFonts w:ascii="Wingdings" w:hAnsi="Wingdings"/>
                <w:sz w:val="20"/>
                <w:szCs w:val="20"/>
              </w:rPr>
              <w:t></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(Do not check if a smaller reporting company)</w:t>
            </w:r>
          </w:p>
        </w:tc>
        <w:tc>
          <w:tcPr>
            <w:tcW w:w="0" w:type="auto"/>
            <w:vAlign w:val="center"/>
            <w:hideMark/>
          </w:tcPr>
          <w:p w:rsidR="00000000" w:rsidRDefault="00150086">
            <w:pPr>
              <w:pStyle w:val="NormalWeb"/>
              <w:spacing w:before="0" w:beforeAutospacing="0" w:after="0" w:afterAutospacing="0"/>
              <w:rPr>
                <w:sz w:val="20"/>
                <w:szCs w:val="20"/>
              </w:rPr>
            </w:pPr>
            <w:r>
              <w:rPr>
                <w:sz w:val="20"/>
                <w:szCs w:val="20"/>
              </w:rPr>
              <w:t>Smaller reporting company</w:t>
            </w:r>
          </w:p>
        </w:tc>
        <w:tc>
          <w:tcPr>
            <w:tcW w:w="0" w:type="auto"/>
            <w:vAlign w:val="bottom"/>
            <w:hideMark/>
          </w:tcPr>
          <w:p w:rsidR="00000000" w:rsidRDefault="00150086">
            <w:pPr>
              <w:pStyle w:val="NormalWeb"/>
              <w:spacing w:before="0" w:beforeAutospacing="0" w:after="0" w:afterAutospacing="0"/>
              <w:jc w:val="both"/>
              <w:rPr>
                <w:sz w:val="20"/>
                <w:szCs w:val="20"/>
              </w:rPr>
            </w:pPr>
            <w:r>
              <w:rPr>
                <w:rFonts w:ascii="Wingdings" w:hAnsi="Wingdings"/>
                <w:sz w:val="20"/>
                <w:szCs w:val="20"/>
              </w:rPr>
              <w:t></w:t>
            </w:r>
          </w:p>
        </w:tc>
      </w:tr>
      <w:tr w:rsidR="00000000">
        <w:trPr>
          <w:divId w:val="7608861"/>
          <w:trHeight w:val="225"/>
          <w:tblCellSpacing w:w="0" w:type="dxa"/>
          <w:jc w:val="center"/>
        </w:trPr>
        <w:tc>
          <w:tcPr>
            <w:tcW w:w="0" w:type="auto"/>
            <w:vAlign w:val="bottom"/>
            <w:hideMark/>
          </w:tcPr>
          <w:p w:rsidR="00000000" w:rsidRDefault="00150086">
            <w:pPr>
              <w:spacing w:before="0" w:beforeAutospacing="0" w:after="0" w:afterAutospacing="0"/>
              <w:jc w:val="both"/>
              <w:rPr>
                <w:rFonts w:eastAsia="Times New Roman"/>
                <w:sz w:val="20"/>
                <w:szCs w:val="20"/>
              </w:rPr>
            </w:pPr>
          </w:p>
        </w:tc>
        <w:tc>
          <w:tcPr>
            <w:tcW w:w="0" w:type="auto"/>
            <w:vAlign w:val="bottom"/>
            <w:hideMark/>
          </w:tcPr>
          <w:p w:rsidR="00000000" w:rsidRDefault="00150086">
            <w:pPr>
              <w:spacing w:before="0" w:beforeAutospacing="0" w:after="0" w:afterAutospacing="0"/>
              <w:jc w:val="both"/>
              <w:rPr>
                <w:rFonts w:eastAsia="Times New Roman"/>
                <w:sz w:val="20"/>
                <w:szCs w:val="20"/>
              </w:rPr>
            </w:pPr>
          </w:p>
        </w:tc>
        <w:tc>
          <w:tcPr>
            <w:tcW w:w="0" w:type="auto"/>
            <w:vAlign w:val="bottom"/>
            <w:hideMark/>
          </w:tcPr>
          <w:p w:rsidR="00000000" w:rsidRDefault="00150086">
            <w:pPr>
              <w:spacing w:before="0" w:beforeAutospacing="0" w:after="0" w:afterAutospacing="0"/>
              <w:jc w:val="both"/>
              <w:rPr>
                <w:rFonts w:eastAsia="Times New Roman"/>
                <w:sz w:val="20"/>
                <w:szCs w:val="20"/>
              </w:rPr>
            </w:pPr>
          </w:p>
        </w:tc>
        <w:tc>
          <w:tcPr>
            <w:tcW w:w="0" w:type="auto"/>
            <w:vAlign w:val="center"/>
            <w:hideMark/>
          </w:tcPr>
          <w:p w:rsidR="00000000" w:rsidRDefault="00150086">
            <w:pPr>
              <w:pStyle w:val="NormalWeb"/>
              <w:spacing w:before="0" w:beforeAutospacing="0" w:after="0" w:afterAutospacing="0"/>
              <w:rPr>
                <w:sz w:val="20"/>
                <w:szCs w:val="20"/>
              </w:rPr>
            </w:pPr>
            <w:r>
              <w:rPr>
                <w:sz w:val="20"/>
                <w:szCs w:val="20"/>
              </w:rPr>
              <w:t>Emerging growth company</w:t>
            </w:r>
          </w:p>
        </w:tc>
        <w:tc>
          <w:tcPr>
            <w:tcW w:w="0" w:type="auto"/>
            <w:vAlign w:val="bottom"/>
            <w:hideMark/>
          </w:tcPr>
          <w:p w:rsidR="00000000" w:rsidRDefault="00150086">
            <w:pPr>
              <w:spacing w:before="0" w:beforeAutospacing="0" w:after="0" w:afterAutospacing="0"/>
              <w:jc w:val="both"/>
              <w:rPr>
                <w:rFonts w:eastAsia="Times New Roman"/>
                <w:sz w:val="20"/>
                <w:szCs w:val="20"/>
              </w:rPr>
            </w:pPr>
            <w:r>
              <w:rPr>
                <w:rFonts w:ascii="Wingdings" w:eastAsia="Times New Roman" w:hAnsi="Wingdings"/>
                <w:sz w:val="20"/>
                <w:szCs w:val="20"/>
              </w:rPr>
              <w:t></w:t>
            </w:r>
          </w:p>
        </w:tc>
      </w:tr>
    </w:tbl>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Wingdings" w:hAnsi="Wingdings"/>
          <w:sz w:val="20"/>
          <w:szCs w:val="20"/>
        </w:rPr>
        <w:t></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I</w:t>
      </w:r>
      <w:r>
        <w:rPr>
          <w:sz w:val="20"/>
          <w:szCs w:val="20"/>
        </w:rPr>
        <w:t>ndicate by check mark whether the registrant is a shell company (as defined in Rule 12b-2 of the Exchange Act) </w:t>
      </w:r>
      <w:r>
        <w:rPr>
          <w:rFonts w:ascii="Wingdings" w:hAnsi="Wingdings"/>
          <w:sz w:val="20"/>
          <w:szCs w:val="20"/>
        </w:rPr>
        <w:t></w:t>
      </w:r>
      <w:r>
        <w:rPr>
          <w:sz w:val="20"/>
          <w:szCs w:val="20"/>
        </w:rPr>
        <w:t xml:space="preserve"> YES     </w:t>
      </w:r>
      <w:r>
        <w:rPr>
          <w:rFonts w:ascii="Wingdings" w:hAnsi="Wingdings"/>
          <w:sz w:val="20"/>
          <w:szCs w:val="20"/>
        </w:rPr>
        <w:t></w:t>
      </w:r>
      <w:r>
        <w:rPr>
          <w:sz w:val="20"/>
          <w:szCs w:val="20"/>
        </w:rPr>
        <w:t xml:space="preserve"> NO</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center"/>
        <w:divId w:val="7608861"/>
        <w:rPr>
          <w:sz w:val="20"/>
          <w:szCs w:val="20"/>
        </w:rPr>
      </w:pPr>
      <w:r>
        <w:rPr>
          <w:sz w:val="20"/>
          <w:szCs w:val="20"/>
        </w:rPr>
        <w:t>APPLICABLE ONLY TO ISSUERS INVOLVED IN BANKRUPTCY PROCEEDINGS DURING THE PRECEDING FIVE YEARS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Check whether the registrant has</w:t>
      </w:r>
      <w:r>
        <w:rPr>
          <w:sz w:val="20"/>
          <w:szCs w:val="20"/>
        </w:rPr>
        <w:t xml:space="preserve"> filed all documents and reports required to be filed by Sections 12, 13 or 15(d) of the Exchange Act after the distribution of securities under a plan confirmed by a court. </w:t>
      </w:r>
      <w:r>
        <w:rPr>
          <w:rFonts w:ascii="Wingdings" w:hAnsi="Wingdings"/>
          <w:sz w:val="20"/>
          <w:szCs w:val="20"/>
        </w:rPr>
        <w:t></w:t>
      </w:r>
      <w:r>
        <w:rPr>
          <w:sz w:val="20"/>
          <w:szCs w:val="20"/>
        </w:rPr>
        <w:t xml:space="preserve"> YES     </w:t>
      </w:r>
      <w:r>
        <w:rPr>
          <w:rFonts w:ascii="Wingdings" w:hAnsi="Wingdings"/>
          <w:sz w:val="20"/>
          <w:szCs w:val="20"/>
        </w:rPr>
        <w:t></w:t>
      </w:r>
      <w:r>
        <w:rPr>
          <w:sz w:val="20"/>
          <w:szCs w:val="20"/>
        </w:rPr>
        <w:t xml:space="preserve"> NO</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APPLICABLE ONLY TO CORPORATE ISSUERS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Indicate the number of sha</w:t>
      </w:r>
      <w:r>
        <w:rPr>
          <w:sz w:val="20"/>
          <w:szCs w:val="20"/>
        </w:rPr>
        <w:t>res outstanding of each of the issuer’s classes of common stock, as of the latest practicable date.</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96,578,249 common shares issued and outstanding as of December 18, 2018.</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
                <w:szCs w:val="2"/>
              </w:rPr>
            </w:pPr>
          </w:p>
        </w:tc>
      </w:tr>
    </w:tbl>
    <w:p w:rsidR="00000000" w:rsidRDefault="00150086">
      <w:pPr>
        <w:pStyle w:val="NormalWeb"/>
        <w:spacing w:before="0" w:beforeAutospacing="0" w:after="0" w:afterAutospacing="0"/>
        <w:jc w:val="both"/>
        <w:divId w:val="7608861"/>
        <w:rPr>
          <w:vanish/>
          <w:sz w:val="20"/>
          <w:szCs w:val="20"/>
        </w:rPr>
      </w:pP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bl>
    <w:p w:rsidR="00000000" w:rsidRDefault="00150086">
      <w:pPr>
        <w:pStyle w:val="NormalWeb"/>
        <w:spacing w:before="0" w:beforeAutospacing="0" w:after="0" w:afterAutospacing="0"/>
        <w:jc w:val="both"/>
        <w:divId w:val="7608861"/>
        <w:rPr>
          <w:sz w:val="20"/>
          <w:szCs w:val="20"/>
        </w:rPr>
      </w:pPr>
      <w:r>
        <w:rPr>
          <w:sz w:val="20"/>
          <w:szCs w:val="20"/>
        </w:rPr>
        <w:t xml:space="preserve">   </w:t>
      </w:r>
    </w:p>
    <w:p w:rsidR="00000000" w:rsidRDefault="00150086">
      <w:pPr>
        <w:pStyle w:val="NormalWeb"/>
        <w:spacing w:before="0" w:beforeAutospacing="0" w:after="0" w:afterAutospacing="0"/>
        <w:jc w:val="center"/>
        <w:divId w:val="7608861"/>
        <w:rPr>
          <w:sz w:val="20"/>
          <w:szCs w:val="20"/>
        </w:rPr>
      </w:pPr>
      <w:bookmarkStart w:id="0" w:name="TABLE_OF_CONTENTS"/>
      <w:r>
        <w:rPr>
          <w:b/>
          <w:bCs/>
          <w:sz w:val="20"/>
          <w:szCs w:val="20"/>
        </w:rPr>
        <w:t>TABLE OF CONTENTS</w:t>
      </w:r>
      <w:bookmarkEnd w:id="0"/>
    </w:p>
    <w:p w:rsidR="00000000" w:rsidRDefault="00150086">
      <w:pPr>
        <w:pStyle w:val="NormalWeb"/>
        <w:spacing w:before="0" w:beforeAutospacing="0" w:after="0" w:afterAutospacing="0"/>
        <w:jc w:val="both"/>
        <w:divId w:val="7608861"/>
        <w:rPr>
          <w:sz w:val="20"/>
          <w:szCs w:val="20"/>
        </w:rPr>
      </w:pPr>
      <w:r>
        <w:rPr>
          <w:sz w:val="20"/>
          <w:szCs w:val="20"/>
        </w:rPr>
        <w:t> </w:t>
      </w:r>
    </w:p>
    <w:tbl>
      <w:tblPr>
        <w:tblW w:w="5000" w:type="pct"/>
        <w:tblCellSpacing w:w="0" w:type="dxa"/>
        <w:tblCellMar>
          <w:left w:w="0" w:type="dxa"/>
          <w:right w:w="0" w:type="dxa"/>
        </w:tblCellMar>
        <w:tblLook w:val="04A0"/>
      </w:tblPr>
      <w:tblGrid>
        <w:gridCol w:w="748"/>
        <w:gridCol w:w="7582"/>
        <w:gridCol w:w="94"/>
        <w:gridCol w:w="842"/>
        <w:gridCol w:w="94"/>
      </w:tblGrid>
      <w:tr w:rsidR="00000000">
        <w:trPr>
          <w:divId w:val="7608861"/>
          <w:trHeight w:val="225"/>
          <w:tblCellSpacing w:w="0" w:type="dxa"/>
        </w:trPr>
        <w:tc>
          <w:tcPr>
            <w:tcW w:w="0" w:type="auto"/>
            <w:gridSpan w:val="5"/>
            <w:hideMark/>
          </w:tcPr>
          <w:p w:rsidR="00000000" w:rsidRDefault="00150086">
            <w:pPr>
              <w:pStyle w:val="NormalWeb"/>
              <w:spacing w:before="0" w:beforeAutospacing="0" w:after="0" w:afterAutospacing="0"/>
              <w:jc w:val="both"/>
              <w:rPr>
                <w:sz w:val="20"/>
                <w:szCs w:val="20"/>
              </w:rPr>
            </w:pPr>
            <w:hyperlink w:anchor="PART_I_–_FINANCIAL_INFORMATION" w:history="1">
              <w:r>
                <w:rPr>
                  <w:rStyle w:val="Hyperlink"/>
                  <w:b/>
                  <w:bCs/>
                  <w:sz w:val="20"/>
                  <w:szCs w:val="20"/>
                </w:rPr>
                <w:t>PART I – FINANCIAL INFORMATION..</w:t>
              </w:r>
            </w:hyperlink>
          </w:p>
        </w:tc>
      </w:tr>
      <w:tr w:rsidR="00000000">
        <w:trPr>
          <w:divId w:val="7608861"/>
          <w:trHeight w:val="225"/>
          <w:tblCellSpacing w:w="0" w:type="dxa"/>
        </w:trPr>
        <w:tc>
          <w:tcPr>
            <w:tcW w:w="400" w:type="pct"/>
            <w:hideMark/>
          </w:tcPr>
          <w:p w:rsidR="00000000" w:rsidRDefault="00150086">
            <w:pPr>
              <w:spacing w:before="0" w:beforeAutospacing="0" w:after="0" w:afterAutospacing="0"/>
              <w:jc w:val="both"/>
              <w:rPr>
                <w:rFonts w:eastAsia="Times New Roman"/>
                <w:sz w:val="20"/>
                <w:szCs w:val="20"/>
              </w:rPr>
            </w:pPr>
          </w:p>
        </w:tc>
        <w:tc>
          <w:tcPr>
            <w:tcW w:w="0" w:type="auto"/>
            <w:hideMark/>
          </w:tcPr>
          <w:p w:rsidR="00000000" w:rsidRDefault="00150086">
            <w:pPr>
              <w:spacing w:before="0" w:beforeAutospacing="0" w:after="0" w:afterAutospacing="0"/>
              <w:jc w:val="both"/>
              <w:rPr>
                <w:rFonts w:eastAsia="Times New Roman"/>
                <w:sz w:val="20"/>
                <w:szCs w:val="20"/>
              </w:rPr>
            </w:pPr>
          </w:p>
        </w:tc>
        <w:tc>
          <w:tcPr>
            <w:tcW w:w="50" w:type="pct"/>
            <w:hideMark/>
          </w:tcPr>
          <w:p w:rsidR="00000000" w:rsidRDefault="00150086">
            <w:pPr>
              <w:spacing w:before="0" w:beforeAutospacing="0" w:after="0" w:afterAutospacing="0"/>
              <w:jc w:val="both"/>
              <w:rPr>
                <w:rFonts w:eastAsia="Times New Roman"/>
                <w:sz w:val="20"/>
                <w:szCs w:val="20"/>
              </w:rPr>
            </w:pPr>
          </w:p>
        </w:tc>
        <w:tc>
          <w:tcPr>
            <w:tcW w:w="450" w:type="pct"/>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hyperlink w:anchor="Item_1._Financial_Statements" w:history="1">
              <w:r>
                <w:rPr>
                  <w:rStyle w:val="Hyperlink"/>
                  <w:sz w:val="20"/>
                  <w:szCs w:val="20"/>
                </w:rPr>
                <w:t xml:space="preserve">Item 1. </w:t>
              </w:r>
            </w:hyperlink>
          </w:p>
        </w:tc>
        <w:tc>
          <w:tcPr>
            <w:tcW w:w="0" w:type="auto"/>
            <w:shd w:val="clear" w:color="auto" w:fill="CCEEFF"/>
            <w:hideMark/>
          </w:tcPr>
          <w:p w:rsidR="00000000" w:rsidRDefault="00150086">
            <w:pPr>
              <w:pStyle w:val="NormalWeb"/>
              <w:spacing w:before="0" w:beforeAutospacing="0" w:after="0" w:afterAutospacing="0"/>
              <w:jc w:val="both"/>
              <w:rPr>
                <w:sz w:val="20"/>
                <w:szCs w:val="20"/>
              </w:rPr>
            </w:pPr>
            <w:hyperlink w:anchor="Item_1._Financial_Statements" w:history="1">
              <w:r>
                <w:rPr>
                  <w:rStyle w:val="Hyperlink"/>
                  <w:sz w:val="20"/>
                  <w:szCs w:val="20"/>
                </w:rPr>
                <w:t>Financial Statements.</w:t>
              </w:r>
            </w:hyperlink>
          </w:p>
        </w:tc>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150086">
            <w:pPr>
              <w:pStyle w:val="NormalWeb"/>
              <w:spacing w:before="0" w:beforeAutospacing="0" w:after="0" w:afterAutospacing="0"/>
              <w:jc w:val="right"/>
              <w:rPr>
                <w:sz w:val="20"/>
                <w:szCs w:val="20"/>
              </w:rPr>
            </w:pPr>
            <w:r>
              <w:rPr>
                <w:sz w:val="20"/>
                <w:szCs w:val="20"/>
              </w:rPr>
              <w:t>3</w:t>
            </w:r>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hyperlink w:anchor="Item_2._Management’s_Discussion_and_Ana" w:history="1">
              <w:r>
                <w:rPr>
                  <w:rStyle w:val="Hyperlink"/>
                  <w:sz w:val="20"/>
                  <w:szCs w:val="20"/>
                </w:rPr>
                <w:t>Item 2.</w:t>
              </w:r>
            </w:hyperlink>
          </w:p>
        </w:tc>
        <w:tc>
          <w:tcPr>
            <w:tcW w:w="0" w:type="auto"/>
            <w:shd w:val="clear" w:color="auto" w:fill="CCEEFF"/>
            <w:hideMark/>
          </w:tcPr>
          <w:p w:rsidR="00000000" w:rsidRDefault="00150086">
            <w:pPr>
              <w:pStyle w:val="NormalWeb"/>
              <w:spacing w:before="0" w:beforeAutospacing="0" w:after="0" w:afterAutospacing="0"/>
              <w:jc w:val="both"/>
              <w:rPr>
                <w:sz w:val="20"/>
                <w:szCs w:val="20"/>
              </w:rPr>
            </w:pPr>
            <w:hyperlink w:anchor="Item_2._Management’s_Discussion_and_Ana" w:history="1">
              <w:r>
                <w:rPr>
                  <w:rStyle w:val="Hyperlink"/>
                  <w:sz w:val="20"/>
                  <w:szCs w:val="20"/>
                </w:rPr>
                <w:t>Management’s Discussion and Analysis of Financial Condition and Results of Operations.</w:t>
              </w:r>
            </w:hyperlink>
          </w:p>
        </w:tc>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150086">
            <w:pPr>
              <w:pStyle w:val="NormalWeb"/>
              <w:spacing w:before="0" w:beforeAutospacing="0" w:after="0" w:afterAutospacing="0"/>
              <w:jc w:val="right"/>
              <w:rPr>
                <w:sz w:val="20"/>
                <w:szCs w:val="20"/>
              </w:rPr>
            </w:pPr>
            <w:r>
              <w:rPr>
                <w:sz w:val="20"/>
                <w:szCs w:val="20"/>
              </w:rPr>
              <w:t>18</w:t>
            </w:r>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hyperlink w:anchor="Item_3._Quantitative_and_Qualitative_Di" w:history="1">
              <w:r>
                <w:rPr>
                  <w:rStyle w:val="Hyperlink"/>
                  <w:sz w:val="20"/>
                  <w:szCs w:val="20"/>
                </w:rPr>
                <w:t xml:space="preserve">Item 3. </w:t>
              </w:r>
            </w:hyperlink>
          </w:p>
        </w:tc>
        <w:tc>
          <w:tcPr>
            <w:tcW w:w="0" w:type="auto"/>
            <w:shd w:val="clear" w:color="auto" w:fill="CCEEFF"/>
            <w:hideMark/>
          </w:tcPr>
          <w:p w:rsidR="00000000" w:rsidRDefault="00150086">
            <w:pPr>
              <w:pStyle w:val="NormalWeb"/>
              <w:spacing w:before="0" w:beforeAutospacing="0" w:after="0" w:afterAutospacing="0"/>
              <w:jc w:val="both"/>
              <w:rPr>
                <w:sz w:val="20"/>
                <w:szCs w:val="20"/>
              </w:rPr>
            </w:pPr>
            <w:hyperlink w:anchor="Item_3._Quantitative_and_Qualitative_Di" w:history="1">
              <w:r>
                <w:rPr>
                  <w:rStyle w:val="Hyperlink"/>
                  <w:sz w:val="20"/>
                  <w:szCs w:val="20"/>
                </w:rPr>
                <w:t>Quantitative and Qualitative Disclosure About Market Risk.</w:t>
              </w:r>
            </w:hyperlink>
            <w:r>
              <w:rPr>
                <w:sz w:val="20"/>
                <w:szCs w:val="20"/>
              </w:rPr>
              <w:t xml:space="preserve"> </w:t>
            </w:r>
          </w:p>
        </w:tc>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150086">
            <w:pPr>
              <w:pStyle w:val="NormalWeb"/>
              <w:spacing w:before="0" w:beforeAutospacing="0" w:after="0" w:afterAutospacing="0"/>
              <w:jc w:val="right"/>
              <w:rPr>
                <w:sz w:val="20"/>
                <w:szCs w:val="20"/>
              </w:rPr>
            </w:pPr>
            <w:r>
              <w:rPr>
                <w:sz w:val="20"/>
                <w:szCs w:val="20"/>
              </w:rPr>
              <w:t>29</w:t>
            </w:r>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hyperlink w:anchor="Item_4._Controls_and_Procedures" w:history="1">
              <w:r>
                <w:rPr>
                  <w:rStyle w:val="Hyperlink"/>
                  <w:sz w:val="20"/>
                  <w:szCs w:val="20"/>
                </w:rPr>
                <w:t xml:space="preserve">Item 4. </w:t>
              </w:r>
            </w:hyperlink>
          </w:p>
        </w:tc>
        <w:tc>
          <w:tcPr>
            <w:tcW w:w="0" w:type="auto"/>
            <w:shd w:val="clear" w:color="auto" w:fill="CCEEFF"/>
            <w:hideMark/>
          </w:tcPr>
          <w:p w:rsidR="00000000" w:rsidRDefault="00150086">
            <w:pPr>
              <w:pStyle w:val="NormalWeb"/>
              <w:spacing w:before="0" w:beforeAutospacing="0" w:after="0" w:afterAutospacing="0"/>
              <w:jc w:val="both"/>
              <w:rPr>
                <w:sz w:val="20"/>
                <w:szCs w:val="20"/>
              </w:rPr>
            </w:pPr>
            <w:hyperlink w:anchor="Item_4._Controls_and_Procedures" w:history="1">
              <w:r>
                <w:rPr>
                  <w:rStyle w:val="Hyperlink"/>
                  <w:sz w:val="20"/>
                  <w:szCs w:val="20"/>
                </w:rPr>
                <w:t xml:space="preserve">Controls and Procedures. </w:t>
              </w:r>
            </w:hyperlink>
          </w:p>
        </w:tc>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150086">
            <w:pPr>
              <w:pStyle w:val="NormalWeb"/>
              <w:spacing w:before="0" w:beforeAutospacing="0" w:after="0" w:afterAutospacing="0"/>
              <w:jc w:val="right"/>
              <w:rPr>
                <w:sz w:val="20"/>
                <w:szCs w:val="20"/>
              </w:rPr>
            </w:pPr>
            <w:r>
              <w:rPr>
                <w:sz w:val="20"/>
                <w:szCs w:val="20"/>
              </w:rPr>
              <w:t>29</w:t>
            </w:r>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gridSpan w:val="5"/>
            <w:shd w:val="clear" w:color="auto" w:fill="FFFFFF"/>
            <w:hideMark/>
          </w:tcPr>
          <w:p w:rsidR="00000000" w:rsidRDefault="00150086">
            <w:pPr>
              <w:pStyle w:val="NormalWeb"/>
              <w:spacing w:before="0" w:beforeAutospacing="0" w:after="0" w:afterAutospacing="0"/>
              <w:rPr>
                <w:sz w:val="20"/>
                <w:szCs w:val="20"/>
              </w:rPr>
            </w:pPr>
            <w:hyperlink w:anchor="PART_II_–_OTHER_INFORMATION" w:history="1">
              <w:r>
                <w:rPr>
                  <w:rStyle w:val="Hyperlink"/>
                  <w:b/>
                  <w:bCs/>
                  <w:sz w:val="20"/>
                  <w:szCs w:val="20"/>
                </w:rPr>
                <w:t>PART II – OTHER INFORMATION..</w:t>
              </w:r>
            </w:hyperlink>
          </w:p>
        </w:tc>
      </w:tr>
      <w:tr w:rsidR="00000000">
        <w:trPr>
          <w:divId w:val="7608861"/>
          <w:trHeight w:val="225"/>
          <w:tblCellSpacing w:w="0" w:type="dxa"/>
        </w:trPr>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hyperlink w:anchor="Item_1._Legal_Proceedings" w:history="1">
              <w:r>
                <w:rPr>
                  <w:rStyle w:val="Hyperlink"/>
                  <w:sz w:val="20"/>
                  <w:szCs w:val="20"/>
                </w:rPr>
                <w:t xml:space="preserve">Item 1. </w:t>
              </w:r>
            </w:hyperlink>
          </w:p>
        </w:tc>
        <w:tc>
          <w:tcPr>
            <w:tcW w:w="0" w:type="auto"/>
            <w:shd w:val="clear" w:color="auto" w:fill="CCEEFF"/>
            <w:hideMark/>
          </w:tcPr>
          <w:p w:rsidR="00000000" w:rsidRDefault="00150086">
            <w:pPr>
              <w:pStyle w:val="NormalWeb"/>
              <w:spacing w:before="0" w:beforeAutospacing="0" w:after="0" w:afterAutospacing="0"/>
              <w:jc w:val="both"/>
              <w:rPr>
                <w:sz w:val="20"/>
                <w:szCs w:val="20"/>
              </w:rPr>
            </w:pPr>
            <w:hyperlink w:anchor="Item_1._Legal_Proceedings" w:history="1">
              <w:r>
                <w:rPr>
                  <w:rStyle w:val="Hyperlink"/>
                  <w:sz w:val="20"/>
                  <w:szCs w:val="20"/>
                </w:rPr>
                <w:t>Legal Proceedings.</w:t>
              </w:r>
            </w:hyperlink>
            <w:r>
              <w:rPr>
                <w:sz w:val="20"/>
                <w:szCs w:val="20"/>
              </w:rPr>
              <w:t xml:space="preserve"> </w:t>
            </w:r>
          </w:p>
        </w:tc>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150086">
            <w:pPr>
              <w:pStyle w:val="NormalWeb"/>
              <w:spacing w:before="0" w:beforeAutospacing="0" w:after="0" w:afterAutospacing="0"/>
              <w:jc w:val="right"/>
              <w:rPr>
                <w:sz w:val="20"/>
                <w:szCs w:val="20"/>
              </w:rPr>
            </w:pPr>
            <w:r>
              <w:rPr>
                <w:sz w:val="20"/>
                <w:szCs w:val="20"/>
              </w:rPr>
              <w:t>30</w:t>
            </w:r>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hyperlink w:anchor="Item_1A._Risk_Factors" w:history="1">
              <w:r>
                <w:rPr>
                  <w:rStyle w:val="Hyperlink"/>
                  <w:sz w:val="20"/>
                  <w:szCs w:val="20"/>
                </w:rPr>
                <w:t xml:space="preserve">Item 1A. </w:t>
              </w:r>
            </w:hyperlink>
          </w:p>
        </w:tc>
        <w:tc>
          <w:tcPr>
            <w:tcW w:w="0" w:type="auto"/>
            <w:shd w:val="clear" w:color="auto" w:fill="CCEEFF"/>
            <w:hideMark/>
          </w:tcPr>
          <w:p w:rsidR="00000000" w:rsidRDefault="00150086">
            <w:pPr>
              <w:pStyle w:val="NormalWeb"/>
              <w:spacing w:before="0" w:beforeAutospacing="0" w:after="0" w:afterAutospacing="0"/>
              <w:jc w:val="both"/>
              <w:rPr>
                <w:sz w:val="20"/>
                <w:szCs w:val="20"/>
              </w:rPr>
            </w:pPr>
            <w:hyperlink w:anchor="Item_1A._Risk_Factors" w:history="1">
              <w:r>
                <w:rPr>
                  <w:rStyle w:val="Hyperlink"/>
                  <w:sz w:val="20"/>
                  <w:szCs w:val="20"/>
                </w:rPr>
                <w:t xml:space="preserve">Risk Factors. </w:t>
              </w:r>
            </w:hyperlink>
          </w:p>
        </w:tc>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150086">
            <w:pPr>
              <w:pStyle w:val="NormalWeb"/>
              <w:spacing w:before="0" w:beforeAutospacing="0" w:after="0" w:afterAutospacing="0"/>
              <w:jc w:val="right"/>
              <w:rPr>
                <w:sz w:val="20"/>
                <w:szCs w:val="20"/>
              </w:rPr>
            </w:pPr>
            <w:r>
              <w:rPr>
                <w:sz w:val="20"/>
                <w:szCs w:val="20"/>
              </w:rPr>
              <w:t>30</w:t>
            </w:r>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hyperlink w:anchor="Item_2._Unregistered_Sales_of_Equity_Se" w:history="1">
              <w:r>
                <w:rPr>
                  <w:rStyle w:val="Hyperlink"/>
                  <w:sz w:val="20"/>
                  <w:szCs w:val="20"/>
                </w:rPr>
                <w:t xml:space="preserve">Item 2. </w:t>
              </w:r>
            </w:hyperlink>
          </w:p>
        </w:tc>
        <w:tc>
          <w:tcPr>
            <w:tcW w:w="0" w:type="auto"/>
            <w:shd w:val="clear" w:color="auto" w:fill="CCEEFF"/>
            <w:hideMark/>
          </w:tcPr>
          <w:p w:rsidR="00000000" w:rsidRDefault="00150086">
            <w:pPr>
              <w:pStyle w:val="NormalWeb"/>
              <w:spacing w:before="0" w:beforeAutospacing="0" w:after="0" w:afterAutospacing="0"/>
              <w:jc w:val="both"/>
              <w:rPr>
                <w:sz w:val="20"/>
                <w:szCs w:val="20"/>
              </w:rPr>
            </w:pPr>
            <w:hyperlink w:anchor="Item_2._Unregistered_Sales_of_Equity_Se" w:history="1">
              <w:r>
                <w:rPr>
                  <w:rStyle w:val="Hyperlink"/>
                  <w:sz w:val="20"/>
                  <w:szCs w:val="20"/>
                </w:rPr>
                <w:t>Unregistered Sales of Equity Securities and Use of Proceeds.</w:t>
              </w:r>
            </w:hyperlink>
            <w:r>
              <w:rPr>
                <w:sz w:val="20"/>
                <w:szCs w:val="20"/>
              </w:rPr>
              <w:t xml:space="preserve"> </w:t>
            </w:r>
          </w:p>
        </w:tc>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150086">
            <w:pPr>
              <w:pStyle w:val="NormalWeb"/>
              <w:spacing w:before="0" w:beforeAutospacing="0" w:after="0" w:afterAutospacing="0"/>
              <w:jc w:val="right"/>
              <w:rPr>
                <w:sz w:val="20"/>
                <w:szCs w:val="20"/>
              </w:rPr>
            </w:pPr>
            <w:r>
              <w:rPr>
                <w:sz w:val="20"/>
                <w:szCs w:val="20"/>
              </w:rPr>
              <w:t>30</w:t>
            </w:r>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hyperlink w:anchor="Item_3._Defaults_Upon_Senior_Securities" w:history="1">
              <w:r>
                <w:rPr>
                  <w:rStyle w:val="Hyperlink"/>
                  <w:sz w:val="20"/>
                  <w:szCs w:val="20"/>
                </w:rPr>
                <w:t xml:space="preserve">Item 3. </w:t>
              </w:r>
            </w:hyperlink>
          </w:p>
        </w:tc>
        <w:tc>
          <w:tcPr>
            <w:tcW w:w="0" w:type="auto"/>
            <w:shd w:val="clear" w:color="auto" w:fill="CCEEFF"/>
            <w:hideMark/>
          </w:tcPr>
          <w:p w:rsidR="00000000" w:rsidRDefault="00150086">
            <w:pPr>
              <w:pStyle w:val="NormalWeb"/>
              <w:spacing w:before="0" w:beforeAutospacing="0" w:after="0" w:afterAutospacing="0"/>
              <w:jc w:val="both"/>
              <w:rPr>
                <w:sz w:val="20"/>
                <w:szCs w:val="20"/>
              </w:rPr>
            </w:pPr>
            <w:hyperlink w:anchor="Item_3._Defaults_Upon_Senior_Securities" w:history="1">
              <w:r>
                <w:rPr>
                  <w:rStyle w:val="Hyperlink"/>
                  <w:sz w:val="20"/>
                  <w:szCs w:val="20"/>
                </w:rPr>
                <w:t xml:space="preserve">Defaults Upon Senior Securities. </w:t>
              </w:r>
            </w:hyperlink>
          </w:p>
        </w:tc>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150086">
            <w:pPr>
              <w:pStyle w:val="NormalWeb"/>
              <w:spacing w:before="0" w:beforeAutospacing="0" w:after="0" w:afterAutospacing="0"/>
              <w:jc w:val="right"/>
              <w:rPr>
                <w:sz w:val="20"/>
                <w:szCs w:val="20"/>
              </w:rPr>
            </w:pPr>
            <w:r>
              <w:rPr>
                <w:sz w:val="20"/>
                <w:szCs w:val="20"/>
              </w:rPr>
              <w:t>30</w:t>
            </w:r>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hyperlink w:anchor="Item_4._Mine_Safety_Disclosures" w:history="1">
              <w:r>
                <w:rPr>
                  <w:rStyle w:val="Hyperlink"/>
                  <w:sz w:val="20"/>
                  <w:szCs w:val="20"/>
                </w:rPr>
                <w:t xml:space="preserve">Item 4. </w:t>
              </w:r>
            </w:hyperlink>
          </w:p>
        </w:tc>
        <w:tc>
          <w:tcPr>
            <w:tcW w:w="0" w:type="auto"/>
            <w:shd w:val="clear" w:color="auto" w:fill="CCEEFF"/>
            <w:hideMark/>
          </w:tcPr>
          <w:p w:rsidR="00000000" w:rsidRDefault="00150086">
            <w:pPr>
              <w:pStyle w:val="NormalWeb"/>
              <w:spacing w:before="0" w:beforeAutospacing="0" w:after="0" w:afterAutospacing="0"/>
              <w:jc w:val="both"/>
              <w:rPr>
                <w:sz w:val="20"/>
                <w:szCs w:val="20"/>
              </w:rPr>
            </w:pPr>
            <w:hyperlink w:anchor="Item_4._Mine_Safety_Disclosures" w:history="1">
              <w:r>
                <w:rPr>
                  <w:rStyle w:val="Hyperlink"/>
                  <w:sz w:val="20"/>
                  <w:szCs w:val="20"/>
                </w:rPr>
                <w:t xml:space="preserve">Mine Safety Disclosures. </w:t>
              </w:r>
            </w:hyperlink>
          </w:p>
        </w:tc>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150086">
            <w:pPr>
              <w:pStyle w:val="NormalWeb"/>
              <w:spacing w:before="0" w:beforeAutospacing="0" w:after="0" w:afterAutospacing="0"/>
              <w:jc w:val="right"/>
              <w:rPr>
                <w:sz w:val="20"/>
                <w:szCs w:val="20"/>
              </w:rPr>
            </w:pPr>
            <w:r>
              <w:rPr>
                <w:sz w:val="20"/>
                <w:szCs w:val="20"/>
              </w:rPr>
              <w:t>30</w:t>
            </w:r>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hyperlink w:anchor="Item_5._Other_Information" w:history="1">
              <w:r>
                <w:rPr>
                  <w:rStyle w:val="Hyperlink"/>
                  <w:sz w:val="20"/>
                  <w:szCs w:val="20"/>
                </w:rPr>
                <w:t xml:space="preserve">Item 5. </w:t>
              </w:r>
            </w:hyperlink>
          </w:p>
        </w:tc>
        <w:tc>
          <w:tcPr>
            <w:tcW w:w="0" w:type="auto"/>
            <w:shd w:val="clear" w:color="auto" w:fill="CCEEFF"/>
            <w:hideMark/>
          </w:tcPr>
          <w:p w:rsidR="00000000" w:rsidRDefault="00150086">
            <w:pPr>
              <w:pStyle w:val="NormalWeb"/>
              <w:spacing w:before="0" w:beforeAutospacing="0" w:after="0" w:afterAutospacing="0"/>
              <w:jc w:val="both"/>
              <w:rPr>
                <w:sz w:val="20"/>
                <w:szCs w:val="20"/>
              </w:rPr>
            </w:pPr>
            <w:hyperlink w:anchor="Item_5._Other_Information" w:history="1">
              <w:r>
                <w:rPr>
                  <w:rStyle w:val="Hyperlink"/>
                  <w:sz w:val="20"/>
                  <w:szCs w:val="20"/>
                </w:rPr>
                <w:t xml:space="preserve">Other Information. </w:t>
              </w:r>
            </w:hyperlink>
          </w:p>
        </w:tc>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150086">
            <w:pPr>
              <w:pStyle w:val="NormalWeb"/>
              <w:spacing w:before="0" w:beforeAutospacing="0" w:after="0" w:afterAutospacing="0"/>
              <w:jc w:val="right"/>
              <w:rPr>
                <w:sz w:val="20"/>
                <w:szCs w:val="20"/>
              </w:rPr>
            </w:pPr>
            <w:r>
              <w:rPr>
                <w:sz w:val="20"/>
                <w:szCs w:val="20"/>
              </w:rPr>
              <w:t>30</w:t>
            </w:r>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hyperlink w:anchor="Item_6._Exhibits" w:history="1">
              <w:r>
                <w:rPr>
                  <w:rStyle w:val="Hyperlink"/>
                  <w:sz w:val="20"/>
                  <w:szCs w:val="20"/>
                </w:rPr>
                <w:t>Item 6.</w:t>
              </w:r>
            </w:hyperlink>
          </w:p>
        </w:tc>
        <w:tc>
          <w:tcPr>
            <w:tcW w:w="0" w:type="auto"/>
            <w:shd w:val="clear" w:color="auto" w:fill="CCEEFF"/>
            <w:hideMark/>
          </w:tcPr>
          <w:p w:rsidR="00000000" w:rsidRDefault="00150086">
            <w:pPr>
              <w:pStyle w:val="NormalWeb"/>
              <w:spacing w:before="0" w:beforeAutospacing="0" w:after="0" w:afterAutospacing="0"/>
              <w:jc w:val="both"/>
              <w:rPr>
                <w:sz w:val="20"/>
                <w:szCs w:val="20"/>
              </w:rPr>
            </w:pPr>
            <w:hyperlink w:anchor="Item_6._Exhibits" w:history="1">
              <w:r>
                <w:rPr>
                  <w:rStyle w:val="Hyperlink"/>
                  <w:sz w:val="20"/>
                  <w:szCs w:val="20"/>
                </w:rPr>
                <w:t>Exhibits.</w:t>
              </w:r>
            </w:hyperlink>
          </w:p>
        </w:tc>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150086">
            <w:pPr>
              <w:pStyle w:val="NormalWeb"/>
              <w:spacing w:before="0" w:beforeAutospacing="0" w:after="0" w:afterAutospacing="0"/>
              <w:jc w:val="right"/>
              <w:rPr>
                <w:sz w:val="20"/>
                <w:szCs w:val="20"/>
              </w:rPr>
            </w:pPr>
            <w:r>
              <w:rPr>
                <w:sz w:val="20"/>
                <w:szCs w:val="20"/>
              </w:rPr>
              <w:t>31</w:t>
            </w:r>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gridSpan w:val="2"/>
            <w:shd w:val="clear" w:color="auto" w:fill="CCEEFF"/>
            <w:vAlign w:val="center"/>
            <w:hideMark/>
          </w:tcPr>
          <w:p w:rsidR="00000000" w:rsidRDefault="00150086">
            <w:pPr>
              <w:pStyle w:val="NormalWeb"/>
              <w:spacing w:before="0" w:beforeAutospacing="0" w:after="0" w:afterAutospacing="0"/>
              <w:jc w:val="both"/>
              <w:rPr>
                <w:sz w:val="20"/>
                <w:szCs w:val="20"/>
              </w:rPr>
            </w:pPr>
            <w:hyperlink w:anchor="SIGNATURES" w:history="1">
              <w:r>
                <w:rPr>
                  <w:rStyle w:val="Hyperlink"/>
                  <w:sz w:val="20"/>
                  <w:szCs w:val="20"/>
                </w:rPr>
                <w:t xml:space="preserve">SIGNATURES. </w:t>
              </w:r>
            </w:hyperlink>
          </w:p>
        </w:tc>
        <w:tc>
          <w:tcPr>
            <w:tcW w:w="0" w:type="auto"/>
            <w:shd w:val="clear" w:color="auto" w:fill="CCEE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CCEEFF"/>
            <w:hideMark/>
          </w:tcPr>
          <w:p w:rsidR="00000000" w:rsidRDefault="00150086">
            <w:pPr>
              <w:pStyle w:val="NormalWeb"/>
              <w:spacing w:before="0" w:beforeAutospacing="0" w:after="0" w:afterAutospacing="0"/>
              <w:jc w:val="right"/>
              <w:rPr>
                <w:sz w:val="20"/>
                <w:szCs w:val="20"/>
              </w:rPr>
            </w:pPr>
            <w:r>
              <w:rPr>
                <w:sz w:val="20"/>
                <w:szCs w:val="20"/>
              </w:rPr>
              <w:t>34</w:t>
            </w:r>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r>
    </w:tbl>
    <w:p w:rsidR="00000000" w:rsidRDefault="00150086">
      <w:pPr>
        <w:pStyle w:val="NormalWeb"/>
        <w:spacing w:before="0" w:beforeAutospacing="0" w:after="0" w:afterAutospacing="0"/>
        <w:jc w:val="both"/>
        <w:divId w:val="7608861"/>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tcBorders>
              <w:bottom w:val="single" w:sz="6" w:space="0" w:color="000000"/>
            </w:tcBorders>
            <w:vAlign w:val="center"/>
            <w:hideMark/>
          </w:tcPr>
          <w:p w:rsidR="00000000" w:rsidRDefault="00150086">
            <w:pPr>
              <w:spacing w:before="0" w:beforeAutospacing="0" w:after="0" w:afterAutospacing="0"/>
              <w:jc w:val="center"/>
              <w:rPr>
                <w:rFonts w:eastAsia="Times New Roman"/>
                <w:sz w:val="20"/>
                <w:szCs w:val="20"/>
              </w:rPr>
            </w:pPr>
            <w:r>
              <w:rPr>
                <w:rFonts w:eastAsia="Times New Roman"/>
                <w:sz w:val="20"/>
                <w:szCs w:val="20"/>
              </w:rPr>
              <w:t>2</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center"/>
        <w:divId w:val="7608861"/>
        <w:rPr>
          <w:sz w:val="20"/>
          <w:szCs w:val="20"/>
        </w:rPr>
      </w:pPr>
      <w:bookmarkStart w:id="1" w:name="PART_I_–_FINANCIAL_INFORMATION"/>
      <w:r>
        <w:rPr>
          <w:b/>
          <w:bCs/>
          <w:sz w:val="20"/>
          <w:szCs w:val="20"/>
        </w:rPr>
        <w:t>PART I – FINANCIAL INFORMATION</w:t>
      </w:r>
      <w:bookmarkEnd w:id="1"/>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bookmarkStart w:id="2" w:name="Item_1._Financial_Statements"/>
      <w:r>
        <w:rPr>
          <w:b/>
          <w:bCs/>
          <w:sz w:val="20"/>
          <w:szCs w:val="20"/>
        </w:rPr>
        <w:t>Item 1. Financial Statements</w:t>
      </w:r>
      <w:bookmarkEnd w:id="2"/>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Our unaudited interim condensed consolidated financial statements for the period ended October 31, 2018 form part of this quarterly report. All currency references in this report are to U.S. dollars unless otherwise noted. This financial information, in th</w:t>
      </w:r>
      <w:r>
        <w:rPr>
          <w:sz w:val="20"/>
          <w:szCs w:val="20"/>
        </w:rPr>
        <w:t>e opinion of management, includes all adjustments consisting of normal recurring entries necessary for the fair presentation of such data. The results of operations for the three and nine month period ended October 31, 2018 are not necessarily indicative o</w:t>
      </w:r>
      <w:r>
        <w:rPr>
          <w:sz w:val="20"/>
          <w:szCs w:val="20"/>
        </w:rPr>
        <w:t>f results to be expected for any subsequent period.</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tcBorders>
              <w:bottom w:val="single" w:sz="6" w:space="0" w:color="000000"/>
            </w:tcBorders>
            <w:vAlign w:val="center"/>
            <w:hideMark/>
          </w:tcPr>
          <w:p w:rsidR="00000000" w:rsidRDefault="00150086">
            <w:pPr>
              <w:spacing w:before="0" w:beforeAutospacing="0" w:after="0" w:afterAutospacing="0"/>
              <w:jc w:val="center"/>
              <w:rPr>
                <w:rFonts w:eastAsia="Times New Roman"/>
                <w:sz w:val="20"/>
                <w:szCs w:val="20"/>
              </w:rPr>
            </w:pPr>
            <w:r>
              <w:rPr>
                <w:rFonts w:eastAsia="Times New Roman"/>
                <w:sz w:val="20"/>
                <w:szCs w:val="20"/>
              </w:rPr>
              <w:t>3</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center"/>
        <w:divId w:val="7608861"/>
        <w:rPr>
          <w:sz w:val="20"/>
          <w:szCs w:val="20"/>
        </w:rPr>
      </w:pPr>
      <w:r>
        <w:rPr>
          <w:b/>
          <w:bCs/>
          <w:sz w:val="20"/>
          <w:szCs w:val="20"/>
        </w:rPr>
        <w:t>PIVOT PHARMACEUTICALS INC.</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center"/>
        <w:divId w:val="7608861"/>
        <w:rPr>
          <w:sz w:val="20"/>
          <w:szCs w:val="20"/>
        </w:rPr>
      </w:pPr>
      <w:r>
        <w:rPr>
          <w:sz w:val="20"/>
          <w:szCs w:val="20"/>
        </w:rPr>
        <w:t>Condensed Consolidated Financial Statements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center"/>
        <w:divId w:val="7608861"/>
        <w:rPr>
          <w:sz w:val="20"/>
          <w:szCs w:val="20"/>
        </w:rPr>
      </w:pPr>
      <w:r>
        <w:rPr>
          <w:sz w:val="20"/>
          <w:szCs w:val="20"/>
        </w:rPr>
        <w:t>(Expressed in U.S. dollars)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center"/>
        <w:divId w:val="7608861"/>
        <w:rPr>
          <w:sz w:val="20"/>
          <w:szCs w:val="20"/>
        </w:rPr>
      </w:pPr>
      <w:r>
        <w:rPr>
          <w:sz w:val="20"/>
          <w:szCs w:val="20"/>
        </w:rPr>
        <w:t>Period ended October 31, 2018 (unaudited) and January 31, 2018</w:t>
      </w:r>
    </w:p>
    <w:p w:rsidR="00000000" w:rsidRDefault="00150086">
      <w:pPr>
        <w:pStyle w:val="NormalWeb"/>
        <w:spacing w:before="0" w:beforeAutospacing="0" w:after="0" w:afterAutospacing="0"/>
        <w:jc w:val="center"/>
        <w:divId w:val="7608861"/>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tcBorders>
              <w:bottom w:val="single" w:sz="6" w:space="0" w:color="000000"/>
            </w:tcBorders>
            <w:vAlign w:val="center"/>
            <w:hideMark/>
          </w:tcPr>
          <w:p w:rsidR="00000000" w:rsidRDefault="00150086">
            <w:pPr>
              <w:spacing w:before="0" w:beforeAutospacing="0" w:after="0" w:afterAutospacing="0"/>
              <w:jc w:val="center"/>
              <w:rPr>
                <w:rFonts w:eastAsia="Times New Roman"/>
                <w:sz w:val="20"/>
                <w:szCs w:val="20"/>
              </w:rPr>
            </w:pPr>
            <w:r>
              <w:rPr>
                <w:rFonts w:eastAsia="Times New Roman"/>
                <w:sz w:val="20"/>
                <w:szCs w:val="20"/>
              </w:rPr>
              <w:t>4</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b/>
          <w:bCs/>
          <w:sz w:val="20"/>
          <w:szCs w:val="20"/>
        </w:rPr>
        <w:t>PIVOT PHARMACEUTICALS INC.</w:t>
      </w:r>
    </w:p>
    <w:p w:rsidR="00000000" w:rsidRDefault="00150086">
      <w:pPr>
        <w:pStyle w:val="NormalWeb"/>
        <w:spacing w:before="0" w:beforeAutospacing="0" w:after="0" w:afterAutospacing="0"/>
        <w:jc w:val="both"/>
        <w:divId w:val="7608861"/>
        <w:rPr>
          <w:sz w:val="20"/>
          <w:szCs w:val="20"/>
        </w:rPr>
      </w:pPr>
      <w:r>
        <w:rPr>
          <w:sz w:val="20"/>
          <w:szCs w:val="20"/>
        </w:rPr>
        <w:t>Condensed Consolidated Balance Sheets</w:t>
      </w:r>
    </w:p>
    <w:p w:rsidR="00000000" w:rsidRDefault="00150086">
      <w:pPr>
        <w:pStyle w:val="NormalWeb"/>
        <w:spacing w:before="0" w:beforeAutospacing="0" w:after="0" w:afterAutospacing="0"/>
        <w:jc w:val="both"/>
        <w:divId w:val="7608861"/>
        <w:rPr>
          <w:sz w:val="20"/>
          <w:szCs w:val="20"/>
        </w:rPr>
      </w:pPr>
      <w:r>
        <w:rPr>
          <w:sz w:val="20"/>
          <w:szCs w:val="20"/>
        </w:rPr>
        <w:t>(Expressed in U.S. dollars)</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5000" w:type="pct"/>
        <w:tblCellSpacing w:w="0" w:type="dxa"/>
        <w:tblCellMar>
          <w:left w:w="0" w:type="dxa"/>
          <w:right w:w="0" w:type="dxa"/>
        </w:tblCellMar>
        <w:tblLook w:val="04A0"/>
      </w:tblPr>
      <w:tblGrid>
        <w:gridCol w:w="7057"/>
        <w:gridCol w:w="60"/>
        <w:gridCol w:w="60"/>
        <w:gridCol w:w="967"/>
        <w:gridCol w:w="67"/>
        <w:gridCol w:w="54"/>
        <w:gridCol w:w="61"/>
        <w:gridCol w:w="967"/>
        <w:gridCol w:w="67"/>
      </w:tblGrid>
      <w:tr w:rsidR="00000000">
        <w:trPr>
          <w:divId w:val="7608861"/>
          <w:tblCellSpacing w:w="0" w:type="dxa"/>
        </w:trPr>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October 31,</w:t>
            </w:r>
          </w:p>
          <w:p w:rsidR="00000000" w:rsidRDefault="00150086">
            <w:pPr>
              <w:pStyle w:val="NormalWeb"/>
              <w:spacing w:before="0" w:beforeAutospacing="0" w:after="0" w:afterAutospacing="0"/>
              <w:jc w:val="center"/>
              <w:rPr>
                <w:sz w:val="20"/>
                <w:szCs w:val="20"/>
              </w:rPr>
            </w:pPr>
            <w:r>
              <w:rPr>
                <w:b/>
                <w:bCs/>
                <w:sz w:val="20"/>
                <w:szCs w:val="20"/>
              </w:rPr>
              <w:t>2018</w:t>
            </w:r>
          </w:p>
          <w:p w:rsidR="00000000" w:rsidRDefault="00150086">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b/>
                <w:bCs/>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b/>
                <w:bCs/>
                <w:sz w:val="20"/>
                <w:szCs w:val="20"/>
              </w:rPr>
              <w:t> </w:t>
            </w:r>
          </w:p>
        </w:tc>
        <w:tc>
          <w:tcPr>
            <w:tcW w:w="450" w:type="pct"/>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January 31,</w:t>
            </w:r>
          </w:p>
          <w:p w:rsidR="00000000" w:rsidRDefault="00150086">
            <w:pPr>
              <w:pStyle w:val="NormalWeb"/>
              <w:spacing w:before="0" w:beforeAutospacing="0" w:after="0" w:afterAutospacing="0"/>
              <w:jc w:val="center"/>
              <w:rPr>
                <w:sz w:val="20"/>
                <w:szCs w:val="20"/>
              </w:rPr>
            </w:pPr>
            <w:r>
              <w:rPr>
                <w:b/>
                <w:bCs/>
                <w:sz w:val="20"/>
                <w:szCs w:val="20"/>
              </w:rPr>
              <w:t>2018</w:t>
            </w:r>
          </w:p>
          <w:p w:rsidR="00000000" w:rsidRDefault="00150086">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center"/>
              <w:rPr>
                <w:sz w:val="20"/>
                <w:szCs w:val="20"/>
              </w:rPr>
            </w:pPr>
            <w:r>
              <w:rPr>
                <w:b/>
                <w:bCs/>
                <w:sz w:val="20"/>
                <w:szCs w:val="20"/>
              </w:rPr>
              <w:t>(unaudited)</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hideMark/>
          </w:tcPr>
          <w:p w:rsidR="00000000" w:rsidRDefault="00150086">
            <w:pPr>
              <w:pStyle w:val="NormalWeb"/>
              <w:spacing w:before="0" w:beforeAutospacing="0" w:after="0" w:afterAutospacing="0"/>
              <w:jc w:val="both"/>
              <w:rPr>
                <w:sz w:val="20"/>
                <w:szCs w:val="20"/>
              </w:rPr>
            </w:pPr>
            <w:r>
              <w:rPr>
                <w:sz w:val="20"/>
                <w:szCs w:val="20"/>
              </w:rPr>
              <w:t>Assets</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hideMark/>
          </w:tcPr>
          <w:p w:rsidR="00000000" w:rsidRDefault="00150086">
            <w:pPr>
              <w:pStyle w:val="NormalWeb"/>
              <w:spacing w:before="0" w:beforeAutospacing="0" w:after="0" w:afterAutospacing="0"/>
              <w:jc w:val="both"/>
              <w:rPr>
                <w:sz w:val="20"/>
                <w:szCs w:val="20"/>
              </w:rPr>
            </w:pPr>
            <w:r>
              <w:rPr>
                <w:sz w:val="20"/>
                <w:szCs w:val="20"/>
              </w:rPr>
              <w:t>Current assets</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144"/>
              <w:jc w:val="both"/>
              <w:rPr>
                <w:sz w:val="20"/>
                <w:szCs w:val="20"/>
              </w:rPr>
            </w:pPr>
            <w:r>
              <w:rPr>
                <w:sz w:val="20"/>
                <w:szCs w:val="20"/>
              </w:rPr>
              <w:t>Cash</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406,901</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64,511</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ind w:left="144"/>
              <w:jc w:val="both"/>
              <w:rPr>
                <w:sz w:val="20"/>
                <w:szCs w:val="20"/>
              </w:rPr>
            </w:pPr>
            <w:r>
              <w:rPr>
                <w:sz w:val="20"/>
                <w:szCs w:val="20"/>
              </w:rPr>
              <w:t>Prepaid and other current assets</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142,328</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84,742</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144"/>
              <w:jc w:val="both"/>
              <w:rPr>
                <w:sz w:val="20"/>
                <w:szCs w:val="20"/>
              </w:rPr>
            </w:pPr>
            <w:r>
              <w:rPr>
                <w:sz w:val="20"/>
                <w:szCs w:val="20"/>
              </w:rPr>
              <w:t>Inventory (Note 6)</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6,795</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lastRenderedPageBreak/>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144"/>
              <w:jc w:val="both"/>
              <w:rPr>
                <w:sz w:val="20"/>
                <w:szCs w:val="20"/>
              </w:rPr>
            </w:pPr>
            <w:r>
              <w:rPr>
                <w:sz w:val="20"/>
                <w:szCs w:val="20"/>
              </w:rPr>
              <w:t>Total current assets</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556,024</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149,253</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Equipment, net (Note 7)</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3,404</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Intangible assets, net (Notes 3(a), 4 and 8)</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6,520,449</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234,564</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Total assets</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7,079,877</w:t>
            </w:r>
          </w:p>
        </w:tc>
        <w:tc>
          <w:tcPr>
            <w:tcW w:w="50" w:type="pct"/>
            <w:shd w:val="clear" w:color="auto" w:fill="FFFF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383,817</w:t>
            </w:r>
          </w:p>
        </w:tc>
        <w:tc>
          <w:tcPr>
            <w:tcW w:w="50" w:type="pct"/>
            <w:shd w:val="clear" w:color="auto" w:fill="FFFF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Liabilities and Stockholders’ Equity (Deficit)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 xml:space="preserve">Current liabilities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firstLine="172"/>
              <w:jc w:val="both"/>
              <w:rPr>
                <w:sz w:val="20"/>
                <w:szCs w:val="20"/>
              </w:rPr>
            </w:pPr>
            <w:r>
              <w:rPr>
                <w:sz w:val="20"/>
                <w:szCs w:val="20"/>
              </w:rPr>
              <w:t>Accounts payable and accrued liabilities</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465,410</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217,921</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ind w:firstLine="172"/>
              <w:jc w:val="both"/>
              <w:rPr>
                <w:sz w:val="20"/>
                <w:szCs w:val="20"/>
              </w:rPr>
            </w:pPr>
            <w:r>
              <w:rPr>
                <w:sz w:val="20"/>
                <w:szCs w:val="20"/>
              </w:rPr>
              <w:t>Due to related parties (Note 15)</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3,255</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10,104</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firstLine="172"/>
              <w:jc w:val="both"/>
              <w:rPr>
                <w:sz w:val="20"/>
                <w:szCs w:val="20"/>
              </w:rPr>
            </w:pPr>
            <w:r>
              <w:rPr>
                <w:sz w:val="20"/>
                <w:szCs w:val="20"/>
              </w:rPr>
              <w:t>Convertible debenture, net (Note 9)</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2,722,270</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ind w:firstLine="172"/>
              <w:jc w:val="both"/>
              <w:rPr>
                <w:sz w:val="20"/>
                <w:szCs w:val="20"/>
              </w:rPr>
            </w:pPr>
            <w:r>
              <w:rPr>
                <w:sz w:val="20"/>
                <w:szCs w:val="20"/>
              </w:rPr>
              <w:t>Promissory note (Note 10)</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201,175</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firstLine="172"/>
              <w:jc w:val="both"/>
              <w:rPr>
                <w:sz w:val="20"/>
                <w:szCs w:val="20"/>
              </w:rPr>
            </w:pPr>
            <w:r>
              <w:rPr>
                <w:sz w:val="20"/>
                <w:szCs w:val="20"/>
              </w:rPr>
              <w:t>Acquisition obligation (Note 4)</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340,000</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ind w:firstLine="172"/>
              <w:jc w:val="both"/>
              <w:rPr>
                <w:sz w:val="20"/>
                <w:szCs w:val="20"/>
              </w:rPr>
            </w:pPr>
            <w:r>
              <w:rPr>
                <w:sz w:val="20"/>
                <w:szCs w:val="20"/>
              </w:rPr>
              <w:t>Deferred revenues</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120,000</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Total current liabilities</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3,650,935</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429,200</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Stockholders’ Equity (Deficit)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144"/>
              <w:jc w:val="both"/>
              <w:rPr>
                <w:sz w:val="20"/>
                <w:szCs w:val="20"/>
              </w:rPr>
            </w:pPr>
            <w:r>
              <w:rPr>
                <w:sz w:val="20"/>
                <w:szCs w:val="20"/>
              </w:rPr>
              <w:t>Common stock: Unlimited shares authorized, without par value, 95,828,235 and 82,373,559 shares issued and outstanding, respectively (Note 11)</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16,718,718</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8,263,767</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ind w:left="144"/>
              <w:jc w:val="both"/>
              <w:rPr>
                <w:sz w:val="20"/>
                <w:szCs w:val="20"/>
              </w:rPr>
            </w:pPr>
            <w:r>
              <w:rPr>
                <w:sz w:val="20"/>
                <w:szCs w:val="20"/>
              </w:rPr>
              <w:t xml:space="preserve">Additional paid-in capital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13,240,333</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11,816,057</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144"/>
              <w:jc w:val="both"/>
              <w:rPr>
                <w:sz w:val="20"/>
                <w:szCs w:val="20"/>
              </w:rPr>
            </w:pPr>
            <w:r>
              <w:rPr>
                <w:sz w:val="20"/>
                <w:szCs w:val="20"/>
              </w:rPr>
              <w:t xml:space="preserve">Accumulated other comprehensive income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605,199</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593,728</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ind w:left="144"/>
              <w:jc w:val="both"/>
              <w:rPr>
                <w:sz w:val="20"/>
                <w:szCs w:val="20"/>
              </w:rPr>
            </w:pPr>
            <w:r>
              <w:rPr>
                <w:sz w:val="20"/>
                <w:szCs w:val="20"/>
              </w:rPr>
              <w:t xml:space="preserve">Accumulated deficit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(27,135,308</w:t>
            </w:r>
          </w:p>
        </w:tc>
        <w:tc>
          <w:tcPr>
            <w:tcW w:w="50" w:type="pct"/>
            <w:shd w:val="clear" w:color="auto" w:fill="FFFFFF"/>
            <w:tcMar>
              <w:top w:w="0" w:type="dxa"/>
              <w:left w:w="0" w:type="dxa"/>
              <w:bottom w:w="1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(20,718,935</w:t>
            </w:r>
          </w:p>
        </w:tc>
        <w:tc>
          <w:tcPr>
            <w:tcW w:w="50" w:type="pct"/>
            <w:shd w:val="clear" w:color="auto" w:fill="FFFFFF"/>
            <w:tcMar>
              <w:top w:w="0" w:type="dxa"/>
              <w:left w:w="0" w:type="dxa"/>
              <w:bottom w:w="1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Total stockholders’ equity (deficit)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3,428,942</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(45,383</w:t>
            </w:r>
          </w:p>
        </w:tc>
        <w:tc>
          <w:tcPr>
            <w:tcW w:w="50" w:type="pct"/>
            <w:shd w:val="clear" w:color="auto" w:fill="CCEEFF"/>
            <w:tcMar>
              <w:top w:w="0" w:type="dxa"/>
              <w:left w:w="0" w:type="dxa"/>
              <w:bottom w:w="1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Total liabilities and stockholders’ equity (deficit)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7,079,877</w:t>
            </w:r>
          </w:p>
        </w:tc>
        <w:tc>
          <w:tcPr>
            <w:tcW w:w="50" w:type="pct"/>
            <w:shd w:val="clear" w:color="auto" w:fill="FFFF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383,817</w:t>
            </w:r>
          </w:p>
        </w:tc>
        <w:tc>
          <w:tcPr>
            <w:tcW w:w="50" w:type="pct"/>
            <w:shd w:val="clear" w:color="auto" w:fill="FFFF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bl>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center"/>
        <w:divId w:val="7608861"/>
        <w:rPr>
          <w:sz w:val="20"/>
          <w:szCs w:val="20"/>
        </w:rPr>
      </w:pPr>
      <w:r>
        <w:rPr>
          <w:sz w:val="20"/>
          <w:szCs w:val="20"/>
        </w:rPr>
        <w:t>(The accompanying notes are an integral part of these condensed consolidated financial statements)</w:t>
      </w:r>
    </w:p>
    <w:p w:rsidR="00000000" w:rsidRDefault="00150086">
      <w:pPr>
        <w:pStyle w:val="NormalWeb"/>
        <w:spacing w:before="0" w:beforeAutospacing="0" w:after="0" w:afterAutospacing="0"/>
        <w:divId w:val="7608861"/>
        <w:rPr>
          <w:sz w:val="20"/>
          <w:szCs w:val="20"/>
        </w:rPr>
      </w:pPr>
      <w:r>
        <w:rPr>
          <w:sz w:val="20"/>
          <w:szCs w:val="20"/>
        </w:rPr>
        <w:t xml:space="preserve">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tcBorders>
              <w:bottom w:val="single" w:sz="6" w:space="0" w:color="000000"/>
            </w:tcBorders>
            <w:vAlign w:val="center"/>
            <w:hideMark/>
          </w:tcPr>
          <w:p w:rsidR="00000000" w:rsidRDefault="00150086">
            <w:pPr>
              <w:spacing w:before="0" w:beforeAutospacing="0" w:after="0" w:afterAutospacing="0"/>
              <w:jc w:val="center"/>
              <w:rPr>
                <w:rFonts w:eastAsia="Times New Roman"/>
                <w:sz w:val="20"/>
                <w:szCs w:val="20"/>
              </w:rPr>
            </w:pPr>
            <w:r>
              <w:rPr>
                <w:rFonts w:eastAsia="Times New Roman"/>
                <w:sz w:val="20"/>
                <w:szCs w:val="20"/>
              </w:rPr>
              <w:t>5</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b/>
          <w:bCs/>
          <w:sz w:val="20"/>
          <w:szCs w:val="20"/>
        </w:rPr>
        <w:t>PIVOT PHARMACEUTICALS INC.</w:t>
      </w:r>
    </w:p>
    <w:p w:rsidR="00000000" w:rsidRDefault="00150086">
      <w:pPr>
        <w:pStyle w:val="NormalWeb"/>
        <w:spacing w:before="0" w:beforeAutospacing="0" w:after="0" w:afterAutospacing="0"/>
        <w:jc w:val="both"/>
        <w:divId w:val="7608861"/>
        <w:rPr>
          <w:sz w:val="20"/>
          <w:szCs w:val="20"/>
        </w:rPr>
      </w:pPr>
      <w:r>
        <w:rPr>
          <w:sz w:val="20"/>
          <w:szCs w:val="20"/>
        </w:rPr>
        <w:t>Condensed Consolidated Statements of Operations and Comprehensive Income</w:t>
      </w:r>
    </w:p>
    <w:p w:rsidR="00000000" w:rsidRDefault="00150086">
      <w:pPr>
        <w:pStyle w:val="NormalWeb"/>
        <w:spacing w:before="0" w:beforeAutospacing="0" w:after="0" w:afterAutospacing="0"/>
        <w:jc w:val="both"/>
        <w:divId w:val="7608861"/>
        <w:rPr>
          <w:sz w:val="20"/>
          <w:szCs w:val="20"/>
        </w:rPr>
      </w:pPr>
      <w:r>
        <w:rPr>
          <w:sz w:val="20"/>
          <w:szCs w:val="20"/>
        </w:rPr>
        <w:t>(Expressed in U.S. dollars)</w:t>
      </w:r>
    </w:p>
    <w:p w:rsidR="00000000" w:rsidRDefault="00150086">
      <w:pPr>
        <w:pStyle w:val="NormalWeb"/>
        <w:spacing w:before="0" w:beforeAutospacing="0" w:after="0" w:afterAutospacing="0"/>
        <w:jc w:val="both"/>
        <w:divId w:val="7608861"/>
        <w:rPr>
          <w:sz w:val="20"/>
          <w:szCs w:val="20"/>
        </w:rPr>
      </w:pPr>
      <w:r>
        <w:rPr>
          <w:sz w:val="20"/>
          <w:szCs w:val="20"/>
        </w:rPr>
        <w:t>(Unaudited)</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5000" w:type="pct"/>
        <w:tblCellSpacing w:w="0" w:type="dxa"/>
        <w:tblCellMar>
          <w:left w:w="0" w:type="dxa"/>
          <w:right w:w="0" w:type="dxa"/>
        </w:tblCellMar>
        <w:tblLook w:val="04A0"/>
      </w:tblPr>
      <w:tblGrid>
        <w:gridCol w:w="4848"/>
        <w:gridCol w:w="76"/>
        <w:gridCol w:w="76"/>
        <w:gridCol w:w="900"/>
        <w:gridCol w:w="76"/>
        <w:gridCol w:w="76"/>
        <w:gridCol w:w="76"/>
        <w:gridCol w:w="900"/>
        <w:gridCol w:w="76"/>
        <w:gridCol w:w="76"/>
        <w:gridCol w:w="76"/>
        <w:gridCol w:w="900"/>
        <w:gridCol w:w="76"/>
        <w:gridCol w:w="76"/>
        <w:gridCol w:w="76"/>
        <w:gridCol w:w="900"/>
        <w:gridCol w:w="76"/>
      </w:tblGrid>
      <w:tr w:rsidR="00000000">
        <w:trPr>
          <w:divId w:val="7608861"/>
          <w:tblCellSpacing w:w="0" w:type="dxa"/>
        </w:trPr>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 xml:space="preserve">Three Months Ended </w:t>
            </w:r>
          </w:p>
          <w:p w:rsidR="00000000" w:rsidRDefault="00150086">
            <w:pPr>
              <w:pStyle w:val="NormalWeb"/>
              <w:spacing w:before="0" w:beforeAutospacing="0" w:after="0" w:afterAutospacing="0"/>
              <w:jc w:val="center"/>
              <w:rPr>
                <w:sz w:val="20"/>
                <w:szCs w:val="20"/>
              </w:rPr>
            </w:pPr>
            <w:r>
              <w:rPr>
                <w:b/>
                <w:bCs/>
                <w:sz w:val="20"/>
                <w:szCs w:val="20"/>
              </w:rPr>
              <w:t>October 31,</w:t>
            </w:r>
          </w:p>
          <w:p w:rsidR="00000000" w:rsidRDefault="00150086">
            <w:pPr>
              <w:pStyle w:val="NormalWeb"/>
              <w:spacing w:before="0" w:beforeAutospacing="0" w:after="0" w:afterAutospacing="0"/>
              <w:jc w:val="center"/>
              <w:rPr>
                <w:sz w:val="20"/>
                <w:szCs w:val="20"/>
              </w:rPr>
            </w:pPr>
            <w:r>
              <w:rPr>
                <w:b/>
                <w:bCs/>
                <w:sz w:val="20"/>
                <w:szCs w:val="20"/>
              </w:rPr>
              <w:t>2018</w:t>
            </w:r>
          </w:p>
          <w:p w:rsidR="00000000" w:rsidRDefault="00150086">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b/>
                <w:bCs/>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b/>
                <w:bCs/>
                <w:sz w:val="20"/>
                <w:szCs w:val="20"/>
              </w:rPr>
              <w:t> </w:t>
            </w:r>
          </w:p>
        </w:tc>
        <w:tc>
          <w:tcPr>
            <w:tcW w:w="450" w:type="pct"/>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 xml:space="preserve">Three Months Ended </w:t>
            </w:r>
          </w:p>
          <w:p w:rsidR="00000000" w:rsidRDefault="00150086">
            <w:pPr>
              <w:pStyle w:val="NormalWeb"/>
              <w:spacing w:before="0" w:beforeAutospacing="0" w:after="0" w:afterAutospacing="0"/>
              <w:jc w:val="center"/>
              <w:rPr>
                <w:sz w:val="20"/>
                <w:szCs w:val="20"/>
              </w:rPr>
            </w:pPr>
            <w:r>
              <w:rPr>
                <w:b/>
                <w:bCs/>
                <w:sz w:val="20"/>
                <w:szCs w:val="20"/>
              </w:rPr>
              <w:t>October 31,</w:t>
            </w:r>
          </w:p>
          <w:p w:rsidR="00000000" w:rsidRDefault="00150086">
            <w:pPr>
              <w:pStyle w:val="NormalWeb"/>
              <w:spacing w:before="0" w:beforeAutospacing="0" w:after="0" w:afterAutospacing="0"/>
              <w:jc w:val="center"/>
              <w:rPr>
                <w:sz w:val="20"/>
                <w:szCs w:val="20"/>
              </w:rPr>
            </w:pPr>
            <w:r>
              <w:rPr>
                <w:b/>
                <w:bCs/>
                <w:sz w:val="20"/>
                <w:szCs w:val="20"/>
              </w:rPr>
              <w:t>2017</w:t>
            </w:r>
          </w:p>
          <w:p w:rsidR="00000000" w:rsidRDefault="00150086">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b/>
                <w:bCs/>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b/>
                <w:bCs/>
                <w:sz w:val="20"/>
                <w:szCs w:val="20"/>
              </w:rPr>
              <w:t> </w:t>
            </w:r>
          </w:p>
        </w:tc>
        <w:tc>
          <w:tcPr>
            <w:tcW w:w="450" w:type="pct"/>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 xml:space="preserve">Nine Months Ended </w:t>
            </w:r>
          </w:p>
          <w:p w:rsidR="00000000" w:rsidRDefault="00150086">
            <w:pPr>
              <w:pStyle w:val="NormalWeb"/>
              <w:spacing w:before="0" w:beforeAutospacing="0" w:after="0" w:afterAutospacing="0"/>
              <w:jc w:val="center"/>
              <w:rPr>
                <w:sz w:val="20"/>
                <w:szCs w:val="20"/>
              </w:rPr>
            </w:pPr>
            <w:r>
              <w:rPr>
                <w:b/>
                <w:bCs/>
                <w:sz w:val="20"/>
                <w:szCs w:val="20"/>
              </w:rPr>
              <w:t>October 31,</w:t>
            </w:r>
          </w:p>
          <w:p w:rsidR="00000000" w:rsidRDefault="00150086">
            <w:pPr>
              <w:pStyle w:val="NormalWeb"/>
              <w:spacing w:before="0" w:beforeAutospacing="0" w:after="0" w:afterAutospacing="0"/>
              <w:jc w:val="center"/>
              <w:rPr>
                <w:sz w:val="20"/>
                <w:szCs w:val="20"/>
              </w:rPr>
            </w:pPr>
            <w:r>
              <w:rPr>
                <w:b/>
                <w:bCs/>
                <w:sz w:val="20"/>
                <w:szCs w:val="20"/>
              </w:rPr>
              <w:t>2018</w:t>
            </w:r>
          </w:p>
          <w:p w:rsidR="00000000" w:rsidRDefault="00150086">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b/>
                <w:bCs/>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b/>
                <w:bCs/>
                <w:sz w:val="20"/>
                <w:szCs w:val="20"/>
              </w:rPr>
              <w:t> </w:t>
            </w:r>
          </w:p>
        </w:tc>
        <w:tc>
          <w:tcPr>
            <w:tcW w:w="450" w:type="pct"/>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 xml:space="preserve">Nine Months Ended </w:t>
            </w:r>
          </w:p>
          <w:p w:rsidR="00000000" w:rsidRDefault="00150086">
            <w:pPr>
              <w:pStyle w:val="NormalWeb"/>
              <w:spacing w:before="0" w:beforeAutospacing="0" w:after="0" w:afterAutospacing="0"/>
              <w:jc w:val="center"/>
              <w:rPr>
                <w:sz w:val="20"/>
                <w:szCs w:val="20"/>
              </w:rPr>
            </w:pPr>
            <w:r>
              <w:rPr>
                <w:b/>
                <w:bCs/>
                <w:sz w:val="20"/>
                <w:szCs w:val="20"/>
              </w:rPr>
              <w:t>October 31,</w:t>
            </w:r>
          </w:p>
          <w:p w:rsidR="00000000" w:rsidRDefault="00150086">
            <w:pPr>
              <w:pStyle w:val="NormalWeb"/>
              <w:spacing w:before="0" w:beforeAutospacing="0" w:after="0" w:afterAutospacing="0"/>
              <w:jc w:val="center"/>
              <w:rPr>
                <w:sz w:val="20"/>
                <w:szCs w:val="20"/>
              </w:rPr>
            </w:pPr>
            <w:r>
              <w:rPr>
                <w:b/>
                <w:bCs/>
                <w:sz w:val="20"/>
                <w:szCs w:val="20"/>
              </w:rPr>
              <w:t>2017</w:t>
            </w:r>
          </w:p>
          <w:p w:rsidR="00000000" w:rsidRDefault="00150086">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Revenue</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Expenses</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ind w:left="225"/>
              <w:jc w:val="both"/>
              <w:rPr>
                <w:sz w:val="20"/>
                <w:szCs w:val="20"/>
              </w:rPr>
            </w:pPr>
            <w:r>
              <w:rPr>
                <w:sz w:val="20"/>
                <w:szCs w:val="20"/>
              </w:rPr>
              <w:t>Amortization (Notes 7 and 8)</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187,309</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8,309</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504,346</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8,309</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225"/>
              <w:jc w:val="both"/>
              <w:rPr>
                <w:sz w:val="20"/>
                <w:szCs w:val="20"/>
              </w:rPr>
            </w:pPr>
            <w:r>
              <w:rPr>
                <w:sz w:val="20"/>
                <w:szCs w:val="20"/>
              </w:rPr>
              <w:t>Due diligence costs</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52,188</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181,091</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ind w:left="225"/>
              <w:jc w:val="both"/>
              <w:rPr>
                <w:sz w:val="20"/>
                <w:szCs w:val="20"/>
              </w:rPr>
            </w:pPr>
            <w:r>
              <w:rPr>
                <w:sz w:val="20"/>
                <w:szCs w:val="20"/>
              </w:rPr>
              <w:t>Foreign exchange loss</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30,702</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38,762</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64,789</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101,324</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225"/>
              <w:jc w:val="both"/>
              <w:rPr>
                <w:sz w:val="20"/>
                <w:szCs w:val="20"/>
              </w:rPr>
            </w:pPr>
            <w:r>
              <w:rPr>
                <w:sz w:val="20"/>
                <w:szCs w:val="20"/>
              </w:rPr>
              <w:t>General and administrative</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432,112</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50,480</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1,609,280</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179,410</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ind w:left="225"/>
              <w:jc w:val="both"/>
              <w:rPr>
                <w:sz w:val="20"/>
                <w:szCs w:val="20"/>
              </w:rPr>
            </w:pPr>
            <w:r>
              <w:rPr>
                <w:sz w:val="20"/>
                <w:szCs w:val="20"/>
              </w:rPr>
              <w:t>Licensing fees</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23,181</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23,181</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225"/>
              <w:jc w:val="both"/>
              <w:rPr>
                <w:sz w:val="20"/>
                <w:szCs w:val="20"/>
              </w:rPr>
            </w:pPr>
            <w:r>
              <w:rPr>
                <w:sz w:val="20"/>
                <w:szCs w:val="20"/>
              </w:rPr>
              <w:lastRenderedPageBreak/>
              <w:t>Professional fees</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214,450</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55,166</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468,048</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128,174</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ind w:left="225"/>
              <w:jc w:val="both"/>
              <w:rPr>
                <w:sz w:val="20"/>
                <w:szCs w:val="20"/>
              </w:rPr>
            </w:pPr>
            <w:r>
              <w:rPr>
                <w:sz w:val="20"/>
                <w:szCs w:val="20"/>
              </w:rPr>
              <w:t>Rent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93,067</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126,690</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225"/>
              <w:jc w:val="both"/>
              <w:rPr>
                <w:sz w:val="20"/>
                <w:szCs w:val="20"/>
              </w:rPr>
            </w:pPr>
            <w:r>
              <w:rPr>
                <w:sz w:val="20"/>
                <w:szCs w:val="20"/>
              </w:rPr>
              <w:t>Research and development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65,029</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237,103</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ind w:left="225"/>
              <w:jc w:val="both"/>
              <w:rPr>
                <w:sz w:val="20"/>
                <w:szCs w:val="20"/>
              </w:rPr>
            </w:pPr>
            <w:r>
              <w:rPr>
                <w:sz w:val="20"/>
                <w:szCs w:val="20"/>
              </w:rPr>
              <w:t>Salaries and wages</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313,463</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31,941</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817,494</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301,714</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225"/>
              <w:jc w:val="both"/>
              <w:rPr>
                <w:sz w:val="20"/>
                <w:szCs w:val="20"/>
              </w:rPr>
            </w:pPr>
            <w:r>
              <w:rPr>
                <w:sz w:val="20"/>
                <w:szCs w:val="20"/>
              </w:rPr>
              <w:t>Sales and marketing</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309</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7,309</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Total expenses</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1,411,810</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184,658</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4,039,331</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718,931</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Loss from operations</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(1,411,810</w:t>
            </w:r>
          </w:p>
        </w:tc>
        <w:tc>
          <w:tcPr>
            <w:tcW w:w="50" w:type="pct"/>
            <w:shd w:val="clear" w:color="auto" w:fill="CCEEFF"/>
            <w:tcMar>
              <w:top w:w="0" w:type="dxa"/>
              <w:left w:w="0" w:type="dxa"/>
              <w:bottom w:w="1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(184,658</w:t>
            </w:r>
          </w:p>
        </w:tc>
        <w:tc>
          <w:tcPr>
            <w:tcW w:w="50" w:type="pct"/>
            <w:shd w:val="clear" w:color="auto" w:fill="CCEEFF"/>
            <w:tcMar>
              <w:top w:w="0" w:type="dxa"/>
              <w:left w:w="0" w:type="dxa"/>
              <w:bottom w:w="1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(4,039,331</w:t>
            </w:r>
          </w:p>
        </w:tc>
        <w:tc>
          <w:tcPr>
            <w:tcW w:w="50" w:type="pct"/>
            <w:shd w:val="clear" w:color="auto" w:fill="CCEEFF"/>
            <w:tcMar>
              <w:top w:w="0" w:type="dxa"/>
              <w:left w:w="0" w:type="dxa"/>
              <w:bottom w:w="1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(718,931</w:t>
            </w:r>
          </w:p>
        </w:tc>
        <w:tc>
          <w:tcPr>
            <w:tcW w:w="50" w:type="pct"/>
            <w:shd w:val="clear" w:color="auto" w:fill="CCEEFF"/>
            <w:tcMar>
              <w:top w:w="0" w:type="dxa"/>
              <w:left w:w="0" w:type="dxa"/>
              <w:bottom w:w="1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7608861"/>
          <w:tblCellSpacing w:w="0" w:type="dxa"/>
        </w:trPr>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Other income (expense)</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ind w:left="225"/>
              <w:jc w:val="both"/>
              <w:rPr>
                <w:sz w:val="20"/>
                <w:szCs w:val="20"/>
              </w:rPr>
            </w:pPr>
            <w:r>
              <w:rPr>
                <w:sz w:val="20"/>
                <w:szCs w:val="20"/>
              </w:rPr>
              <w:t>Amortization of discount/premium on convertible debenture</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(131,772</w:t>
            </w:r>
          </w:p>
        </w:tc>
        <w:tc>
          <w:tcPr>
            <w:tcW w:w="50" w:type="pct"/>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(358,467</w:t>
            </w:r>
          </w:p>
        </w:tc>
        <w:tc>
          <w:tcPr>
            <w:tcW w:w="50" w:type="pct"/>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(105,392</w:t>
            </w:r>
          </w:p>
        </w:tc>
        <w:tc>
          <w:tcPr>
            <w:tcW w:w="50" w:type="pct"/>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225"/>
              <w:jc w:val="both"/>
              <w:rPr>
                <w:sz w:val="20"/>
                <w:szCs w:val="20"/>
              </w:rPr>
            </w:pPr>
            <w:r>
              <w:rPr>
                <w:sz w:val="20"/>
                <w:szCs w:val="20"/>
              </w:rPr>
              <w:t>Gain on change in fair value of derivative liabilities</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33,260</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204,711</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ind w:left="225"/>
              <w:jc w:val="both"/>
              <w:rPr>
                <w:sz w:val="20"/>
                <w:szCs w:val="20"/>
              </w:rPr>
            </w:pPr>
            <w:r>
              <w:rPr>
                <w:sz w:val="20"/>
                <w:szCs w:val="20"/>
              </w:rPr>
              <w:t>Gain on disposal of assets</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609,311</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609,311</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225"/>
              <w:jc w:val="both"/>
              <w:rPr>
                <w:sz w:val="20"/>
                <w:szCs w:val="20"/>
              </w:rPr>
            </w:pPr>
            <w:r>
              <w:rPr>
                <w:sz w:val="20"/>
                <w:szCs w:val="20"/>
              </w:rPr>
              <w:t>Gain on repayment of promissory note</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6,969</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ind w:left="225"/>
              <w:jc w:val="both"/>
              <w:rPr>
                <w:sz w:val="20"/>
                <w:szCs w:val="20"/>
              </w:rPr>
            </w:pPr>
            <w:r>
              <w:rPr>
                <w:sz w:val="20"/>
                <w:szCs w:val="20"/>
              </w:rPr>
              <w:t>Gain on settlement of debts</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80,144</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240,144</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225"/>
              <w:jc w:val="both"/>
              <w:rPr>
                <w:sz w:val="20"/>
                <w:szCs w:val="20"/>
              </w:rPr>
            </w:pPr>
            <w:r>
              <w:rPr>
                <w:sz w:val="20"/>
                <w:szCs w:val="20"/>
              </w:rPr>
              <w:t>Interest expense</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(134,851</w:t>
            </w:r>
          </w:p>
        </w:tc>
        <w:tc>
          <w:tcPr>
            <w:tcW w:w="50" w:type="pct"/>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(7,331</w:t>
            </w:r>
          </w:p>
        </w:tc>
        <w:tc>
          <w:tcPr>
            <w:tcW w:w="50" w:type="pct"/>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(299,478</w:t>
            </w:r>
          </w:p>
        </w:tc>
        <w:tc>
          <w:tcPr>
            <w:tcW w:w="50" w:type="pct"/>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(24,481</w:t>
            </w:r>
          </w:p>
        </w:tc>
        <w:tc>
          <w:tcPr>
            <w:tcW w:w="50" w:type="pct"/>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ind w:left="225"/>
              <w:jc w:val="both"/>
              <w:rPr>
                <w:sz w:val="20"/>
                <w:szCs w:val="20"/>
              </w:rPr>
            </w:pPr>
            <w:r>
              <w:rPr>
                <w:sz w:val="20"/>
                <w:szCs w:val="20"/>
              </w:rPr>
              <w:t>Interest income</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2,923</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2,923</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225"/>
              <w:jc w:val="both"/>
              <w:rPr>
                <w:sz w:val="20"/>
                <w:szCs w:val="20"/>
              </w:rPr>
            </w:pPr>
            <w:r>
              <w:rPr>
                <w:sz w:val="20"/>
                <w:szCs w:val="20"/>
              </w:rPr>
              <w:t>Loss on extinguishment of convertible debentures (Note 9)</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(1,508,836</w:t>
            </w:r>
          </w:p>
        </w:tc>
        <w:tc>
          <w:tcPr>
            <w:tcW w:w="50" w:type="pct"/>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(1,508,836</w:t>
            </w:r>
          </w:p>
        </w:tc>
        <w:tc>
          <w:tcPr>
            <w:tcW w:w="50" w:type="pct"/>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ind w:left="225"/>
              <w:jc w:val="both"/>
              <w:rPr>
                <w:sz w:val="20"/>
                <w:szCs w:val="20"/>
              </w:rPr>
            </w:pPr>
            <w:r>
              <w:rPr>
                <w:sz w:val="20"/>
                <w:szCs w:val="20"/>
              </w:rPr>
              <w:t>Other expense</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(26,967</w:t>
            </w:r>
          </w:p>
        </w:tc>
        <w:tc>
          <w:tcPr>
            <w:tcW w:w="50" w:type="pct"/>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225"/>
              <w:jc w:val="both"/>
              <w:rPr>
                <w:sz w:val="20"/>
                <w:szCs w:val="20"/>
              </w:rPr>
            </w:pPr>
            <w:r>
              <w:rPr>
                <w:sz w:val="20"/>
                <w:szCs w:val="20"/>
              </w:rPr>
              <w:t>Write-off of deposit (Note 5)</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(193,175</w:t>
            </w:r>
          </w:p>
        </w:tc>
        <w:tc>
          <w:tcPr>
            <w:tcW w:w="50" w:type="pct"/>
            <w:shd w:val="clear" w:color="auto" w:fill="CCEEFF"/>
            <w:tcMar>
              <w:top w:w="0" w:type="dxa"/>
              <w:left w:w="0" w:type="dxa"/>
              <w:bottom w:w="1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(193,175</w:t>
            </w:r>
          </w:p>
        </w:tc>
        <w:tc>
          <w:tcPr>
            <w:tcW w:w="50" w:type="pct"/>
            <w:shd w:val="clear" w:color="auto" w:fill="CCEEFF"/>
            <w:tcMar>
              <w:top w:w="0" w:type="dxa"/>
              <w:left w:w="0" w:type="dxa"/>
              <w:bottom w:w="1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vAlign w:val="center"/>
            <w:hideMark/>
          </w:tcPr>
          <w:p w:rsidR="00000000" w:rsidRDefault="00150086">
            <w:pPr>
              <w:pStyle w:val="NormalWeb"/>
              <w:spacing w:before="0" w:beforeAutospacing="0" w:after="0" w:afterAutospacing="0"/>
              <w:ind w:left="225"/>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Total other income (expense)</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(1,965,711</w:t>
            </w:r>
          </w:p>
        </w:tc>
        <w:tc>
          <w:tcPr>
            <w:tcW w:w="50" w:type="pct"/>
            <w:shd w:val="clear" w:color="auto" w:fill="CCEEFF"/>
            <w:tcMar>
              <w:top w:w="0" w:type="dxa"/>
              <w:left w:w="0" w:type="dxa"/>
              <w:bottom w:w="1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715,384</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(2,377,031</w:t>
            </w:r>
          </w:p>
        </w:tc>
        <w:tc>
          <w:tcPr>
            <w:tcW w:w="50" w:type="pct"/>
            <w:shd w:val="clear" w:color="auto" w:fill="CCEEFF"/>
            <w:tcMar>
              <w:top w:w="0" w:type="dxa"/>
              <w:left w:w="0" w:type="dxa"/>
              <w:bottom w:w="1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924,293</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 xml:space="preserve">Net (loss) income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(3,377,521</w:t>
            </w:r>
          </w:p>
        </w:tc>
        <w:tc>
          <w:tcPr>
            <w:tcW w:w="50" w:type="pct"/>
            <w:shd w:val="clear" w:color="auto" w:fill="CCEEFF"/>
            <w:tcMar>
              <w:top w:w="0" w:type="dxa"/>
              <w:left w:w="0" w:type="dxa"/>
              <w:bottom w:w="4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530,726</w:t>
            </w:r>
          </w:p>
        </w:tc>
        <w:tc>
          <w:tcPr>
            <w:tcW w:w="50" w:type="pct"/>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(6,416,362</w:t>
            </w:r>
          </w:p>
        </w:tc>
        <w:tc>
          <w:tcPr>
            <w:tcW w:w="50" w:type="pct"/>
            <w:shd w:val="clear" w:color="auto" w:fill="CCEEFF"/>
            <w:tcMar>
              <w:top w:w="0" w:type="dxa"/>
              <w:left w:w="0" w:type="dxa"/>
              <w:bottom w:w="4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205,362</w:t>
            </w:r>
          </w:p>
        </w:tc>
        <w:tc>
          <w:tcPr>
            <w:tcW w:w="50" w:type="pct"/>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Other comprehensive income (loss)</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Foreign currency translation adjustment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30,639</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(102,502</w:t>
            </w:r>
          </w:p>
        </w:tc>
        <w:tc>
          <w:tcPr>
            <w:tcW w:w="50" w:type="pct"/>
            <w:shd w:val="clear" w:color="auto" w:fill="CCEEFF"/>
            <w:tcMar>
              <w:top w:w="0" w:type="dxa"/>
              <w:left w:w="0" w:type="dxa"/>
              <w:bottom w:w="1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11,471</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(728</w:t>
            </w:r>
          </w:p>
        </w:tc>
        <w:tc>
          <w:tcPr>
            <w:tcW w:w="50" w:type="pct"/>
            <w:shd w:val="clear" w:color="auto" w:fill="CCEEFF"/>
            <w:tcMar>
              <w:top w:w="0" w:type="dxa"/>
              <w:left w:w="0" w:type="dxa"/>
              <w:bottom w:w="1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7608861"/>
          <w:tblCellSpacing w:w="0" w:type="dxa"/>
        </w:trPr>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Net comprehensive loss</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(3,346,882</w:t>
            </w:r>
          </w:p>
        </w:tc>
        <w:tc>
          <w:tcPr>
            <w:tcW w:w="50" w:type="pct"/>
            <w:shd w:val="clear" w:color="auto" w:fill="CCEEFF"/>
            <w:tcMar>
              <w:top w:w="0" w:type="dxa"/>
              <w:left w:w="0" w:type="dxa"/>
              <w:bottom w:w="4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428,224</w:t>
            </w:r>
          </w:p>
        </w:tc>
        <w:tc>
          <w:tcPr>
            <w:tcW w:w="50" w:type="pct"/>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(6,404,891</w:t>
            </w:r>
          </w:p>
        </w:tc>
        <w:tc>
          <w:tcPr>
            <w:tcW w:w="50" w:type="pct"/>
            <w:shd w:val="clear" w:color="auto" w:fill="CCEEFF"/>
            <w:tcMar>
              <w:top w:w="0" w:type="dxa"/>
              <w:left w:w="0" w:type="dxa"/>
              <w:bottom w:w="4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204,634</w:t>
            </w:r>
          </w:p>
        </w:tc>
        <w:tc>
          <w:tcPr>
            <w:tcW w:w="50" w:type="pct"/>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 xml:space="preserve">Net loss per share, basic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(0.04</w:t>
            </w:r>
          </w:p>
        </w:tc>
        <w:tc>
          <w:tcPr>
            <w:tcW w:w="50" w:type="pct"/>
            <w:shd w:val="clear" w:color="auto" w:fill="CCEEFF"/>
            <w:tcMar>
              <w:top w:w="0" w:type="dxa"/>
              <w:left w:w="0" w:type="dxa"/>
              <w:bottom w:w="4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0.01</w:t>
            </w:r>
          </w:p>
        </w:tc>
        <w:tc>
          <w:tcPr>
            <w:tcW w:w="50" w:type="pct"/>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(0.07</w:t>
            </w:r>
          </w:p>
        </w:tc>
        <w:tc>
          <w:tcPr>
            <w:tcW w:w="50" w:type="pct"/>
            <w:shd w:val="clear" w:color="auto" w:fill="CCEEFF"/>
            <w:tcMar>
              <w:top w:w="0" w:type="dxa"/>
              <w:left w:w="0" w:type="dxa"/>
              <w:bottom w:w="4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0.00</w:t>
            </w:r>
          </w:p>
        </w:tc>
        <w:tc>
          <w:tcPr>
            <w:tcW w:w="50" w:type="pct"/>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Net loss per share, diluted</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(0.04</w:t>
            </w:r>
          </w:p>
        </w:tc>
        <w:tc>
          <w:tcPr>
            <w:tcW w:w="50" w:type="pct"/>
            <w:shd w:val="clear" w:color="auto" w:fill="FFFFFF"/>
            <w:tcMar>
              <w:top w:w="0" w:type="dxa"/>
              <w:left w:w="0" w:type="dxa"/>
              <w:bottom w:w="4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0.01</w:t>
            </w:r>
          </w:p>
        </w:tc>
        <w:tc>
          <w:tcPr>
            <w:tcW w:w="50" w:type="pct"/>
            <w:shd w:val="clear" w:color="auto" w:fill="FFFF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(0.07</w:t>
            </w:r>
          </w:p>
        </w:tc>
        <w:tc>
          <w:tcPr>
            <w:tcW w:w="50" w:type="pct"/>
            <w:shd w:val="clear" w:color="auto" w:fill="FFFFFF"/>
            <w:tcMar>
              <w:top w:w="0" w:type="dxa"/>
              <w:left w:w="0" w:type="dxa"/>
              <w:bottom w:w="4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0.00</w:t>
            </w:r>
          </w:p>
        </w:tc>
        <w:tc>
          <w:tcPr>
            <w:tcW w:w="50" w:type="pct"/>
            <w:shd w:val="clear" w:color="auto" w:fill="FFFF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 xml:space="preserve">Weighted average shares outstanding – basic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89,623,532</w:t>
            </w:r>
          </w:p>
        </w:tc>
        <w:tc>
          <w:tcPr>
            <w:tcW w:w="50" w:type="pct"/>
            <w:shd w:val="clear" w:color="auto" w:fill="FFFF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76,761,576</w:t>
            </w:r>
          </w:p>
        </w:tc>
        <w:tc>
          <w:tcPr>
            <w:tcW w:w="50" w:type="pct"/>
            <w:shd w:val="clear" w:color="auto" w:fill="FFFF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88,079,787</w:t>
            </w:r>
          </w:p>
        </w:tc>
        <w:tc>
          <w:tcPr>
            <w:tcW w:w="50" w:type="pct"/>
            <w:shd w:val="clear" w:color="auto" w:fill="FFFF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76,055,298</w:t>
            </w:r>
          </w:p>
        </w:tc>
        <w:tc>
          <w:tcPr>
            <w:tcW w:w="50" w:type="pct"/>
            <w:shd w:val="clear" w:color="auto" w:fill="FFFF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Weighted average shares outstanding –diluted</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89,632,532</w:t>
            </w:r>
          </w:p>
        </w:tc>
        <w:tc>
          <w:tcPr>
            <w:tcW w:w="50" w:type="pct"/>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81,596,692</w:t>
            </w:r>
          </w:p>
        </w:tc>
        <w:tc>
          <w:tcPr>
            <w:tcW w:w="50" w:type="pct"/>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88,079,787</w:t>
            </w:r>
          </w:p>
        </w:tc>
        <w:tc>
          <w:tcPr>
            <w:tcW w:w="50" w:type="pct"/>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78,877,344</w:t>
            </w:r>
          </w:p>
        </w:tc>
        <w:tc>
          <w:tcPr>
            <w:tcW w:w="50" w:type="pct"/>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bl>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center"/>
        <w:divId w:val="7608861"/>
        <w:rPr>
          <w:sz w:val="20"/>
          <w:szCs w:val="20"/>
        </w:rPr>
      </w:pPr>
      <w:r>
        <w:rPr>
          <w:sz w:val="20"/>
          <w:szCs w:val="20"/>
        </w:rPr>
        <w:t>(The accompanying notes are an integral part of these condensed consolidated financial statements)</w:t>
      </w:r>
    </w:p>
    <w:p w:rsidR="00000000" w:rsidRDefault="00150086">
      <w:pPr>
        <w:pStyle w:val="NormalWeb"/>
        <w:spacing w:before="0" w:beforeAutospacing="0" w:after="0" w:afterAutospacing="0"/>
        <w:jc w:val="center"/>
        <w:divId w:val="7608861"/>
        <w:rPr>
          <w:sz w:val="20"/>
          <w:szCs w:val="20"/>
        </w:rPr>
      </w:pPr>
      <w:r>
        <w:rPr>
          <w:sz w:val="20"/>
          <w:szCs w:val="20"/>
        </w:rPr>
        <w:t> </w:t>
      </w:r>
    </w:p>
    <w:tbl>
      <w:tblPr>
        <w:tblW w:w="5000" w:type="pct"/>
        <w:jc w:val="center"/>
        <w:tblCellSpacing w:w="0" w:type="dxa"/>
        <w:tblCellMar>
          <w:left w:w="0" w:type="dxa"/>
          <w:right w:w="0" w:type="dxa"/>
        </w:tblCellMar>
        <w:tblLook w:val="04A0"/>
      </w:tblPr>
      <w:tblGrid>
        <w:gridCol w:w="9360"/>
      </w:tblGrid>
      <w:tr w:rsidR="00000000">
        <w:trPr>
          <w:divId w:val="7608861"/>
          <w:tblCellSpacing w:w="0" w:type="dxa"/>
          <w:jc w:val="center"/>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jc w:val="center"/>
        </w:trPr>
        <w:tc>
          <w:tcPr>
            <w:tcW w:w="0" w:type="auto"/>
            <w:tcBorders>
              <w:bottom w:val="single" w:sz="6" w:space="0" w:color="000000"/>
            </w:tcBorders>
            <w:vAlign w:val="center"/>
            <w:hideMark/>
          </w:tcPr>
          <w:p w:rsidR="00000000" w:rsidRDefault="00150086">
            <w:pPr>
              <w:spacing w:before="0" w:beforeAutospacing="0" w:after="0" w:afterAutospacing="0"/>
              <w:jc w:val="center"/>
              <w:rPr>
                <w:rFonts w:eastAsia="Times New Roman"/>
                <w:sz w:val="20"/>
                <w:szCs w:val="20"/>
              </w:rPr>
            </w:pPr>
            <w:r>
              <w:rPr>
                <w:rFonts w:eastAsia="Times New Roman"/>
                <w:sz w:val="20"/>
                <w:szCs w:val="20"/>
              </w:rPr>
              <w:t>6</w:t>
            </w:r>
          </w:p>
        </w:tc>
      </w:tr>
      <w:tr w:rsidR="00000000">
        <w:trPr>
          <w:divId w:val="7608861"/>
          <w:tblCellSpacing w:w="0" w:type="dxa"/>
          <w:jc w:val="center"/>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jc w:val="center"/>
        </w:trPr>
        <w:tc>
          <w:tcPr>
            <w:tcW w:w="0" w:type="auto"/>
            <w:vAlign w:val="center"/>
            <w:hideMark/>
          </w:tcPr>
          <w:p w:rsidR="00000000" w:rsidRDefault="00150086">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b/>
          <w:bCs/>
          <w:sz w:val="20"/>
          <w:szCs w:val="20"/>
        </w:rPr>
        <w:t>PIVOT PHARMACEUTICALS INC.</w:t>
      </w:r>
    </w:p>
    <w:p w:rsidR="00000000" w:rsidRDefault="00150086">
      <w:pPr>
        <w:pStyle w:val="NormalWeb"/>
        <w:spacing w:before="0" w:beforeAutospacing="0" w:after="0" w:afterAutospacing="0"/>
        <w:jc w:val="both"/>
        <w:divId w:val="7608861"/>
        <w:rPr>
          <w:sz w:val="20"/>
          <w:szCs w:val="20"/>
        </w:rPr>
      </w:pPr>
      <w:r>
        <w:rPr>
          <w:sz w:val="20"/>
          <w:szCs w:val="20"/>
        </w:rPr>
        <w:t>Condensed Consolidated Statements of Cash Flows</w:t>
      </w:r>
    </w:p>
    <w:p w:rsidR="00000000" w:rsidRDefault="00150086">
      <w:pPr>
        <w:pStyle w:val="NormalWeb"/>
        <w:spacing w:before="0" w:beforeAutospacing="0" w:after="0" w:afterAutospacing="0"/>
        <w:jc w:val="both"/>
        <w:divId w:val="7608861"/>
        <w:rPr>
          <w:sz w:val="20"/>
          <w:szCs w:val="20"/>
        </w:rPr>
      </w:pPr>
      <w:r>
        <w:rPr>
          <w:sz w:val="20"/>
          <w:szCs w:val="20"/>
        </w:rPr>
        <w:t>(Expressed in U.S. dollars)</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5000" w:type="pct"/>
        <w:tblCellSpacing w:w="0" w:type="dxa"/>
        <w:tblCellMar>
          <w:left w:w="0" w:type="dxa"/>
          <w:right w:w="0" w:type="dxa"/>
        </w:tblCellMar>
        <w:tblLook w:val="04A0"/>
      </w:tblPr>
      <w:tblGrid>
        <w:gridCol w:w="7087"/>
        <w:gridCol w:w="67"/>
        <w:gridCol w:w="100"/>
        <w:gridCol w:w="901"/>
        <w:gridCol w:w="68"/>
        <w:gridCol w:w="68"/>
        <w:gridCol w:w="100"/>
        <w:gridCol w:w="901"/>
        <w:gridCol w:w="68"/>
      </w:tblGrid>
      <w:tr w:rsidR="00000000">
        <w:trPr>
          <w:divId w:val="7608861"/>
          <w:tblCellSpacing w:w="0" w:type="dxa"/>
        </w:trPr>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Nine Months</w:t>
            </w:r>
          </w:p>
          <w:p w:rsidR="00000000" w:rsidRDefault="00150086">
            <w:pPr>
              <w:pStyle w:val="NormalWeb"/>
              <w:spacing w:before="0" w:beforeAutospacing="0" w:after="0" w:afterAutospacing="0"/>
              <w:jc w:val="center"/>
              <w:rPr>
                <w:sz w:val="20"/>
                <w:szCs w:val="20"/>
              </w:rPr>
            </w:pPr>
            <w:r>
              <w:rPr>
                <w:b/>
                <w:bCs/>
                <w:sz w:val="20"/>
                <w:szCs w:val="20"/>
              </w:rPr>
              <w:t>Ended</w:t>
            </w:r>
          </w:p>
          <w:p w:rsidR="00000000" w:rsidRDefault="00150086">
            <w:pPr>
              <w:pStyle w:val="NormalWeb"/>
              <w:spacing w:before="0" w:beforeAutospacing="0" w:after="0" w:afterAutospacing="0"/>
              <w:jc w:val="center"/>
              <w:rPr>
                <w:sz w:val="20"/>
                <w:szCs w:val="20"/>
              </w:rPr>
            </w:pPr>
            <w:r>
              <w:rPr>
                <w:b/>
                <w:bCs/>
                <w:sz w:val="20"/>
                <w:szCs w:val="20"/>
              </w:rPr>
              <w:t>October 31,</w:t>
            </w:r>
          </w:p>
          <w:p w:rsidR="00000000" w:rsidRDefault="00150086">
            <w:pPr>
              <w:pStyle w:val="NormalWeb"/>
              <w:spacing w:before="0" w:beforeAutospacing="0" w:after="0" w:afterAutospacing="0"/>
              <w:jc w:val="center"/>
              <w:rPr>
                <w:sz w:val="20"/>
                <w:szCs w:val="20"/>
              </w:rPr>
            </w:pPr>
            <w:r>
              <w:rPr>
                <w:b/>
                <w:bCs/>
                <w:sz w:val="20"/>
                <w:szCs w:val="20"/>
              </w:rPr>
              <w:lastRenderedPageBreak/>
              <w:t>2018</w:t>
            </w:r>
          </w:p>
          <w:p w:rsidR="00000000" w:rsidRDefault="00150086">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center"/>
              <w:rPr>
                <w:sz w:val="20"/>
                <w:szCs w:val="20"/>
              </w:rPr>
            </w:pPr>
            <w:r>
              <w:rPr>
                <w:b/>
                <w:bCs/>
                <w:sz w:val="20"/>
                <w:szCs w:val="20"/>
              </w:rPr>
              <w:lastRenderedPageBreak/>
              <w:t> </w:t>
            </w:r>
          </w:p>
        </w:tc>
        <w:tc>
          <w:tcPr>
            <w:tcW w:w="0" w:type="auto"/>
            <w:vAlign w:val="bottom"/>
            <w:hideMark/>
          </w:tcPr>
          <w:p w:rsidR="00000000" w:rsidRDefault="00150086">
            <w:pPr>
              <w:pStyle w:val="NormalWeb"/>
              <w:spacing w:before="0" w:beforeAutospacing="0" w:after="0" w:afterAutospacing="0"/>
              <w:jc w:val="center"/>
              <w:rPr>
                <w:sz w:val="20"/>
                <w:szCs w:val="20"/>
              </w:rPr>
            </w:pPr>
            <w:r>
              <w:rPr>
                <w:b/>
                <w:bCs/>
                <w:sz w:val="20"/>
                <w:szCs w:val="20"/>
              </w:rPr>
              <w:t> </w:t>
            </w:r>
          </w:p>
        </w:tc>
        <w:tc>
          <w:tcPr>
            <w:tcW w:w="450" w:type="pct"/>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Nine Months</w:t>
            </w:r>
          </w:p>
          <w:p w:rsidR="00000000" w:rsidRDefault="00150086">
            <w:pPr>
              <w:pStyle w:val="NormalWeb"/>
              <w:spacing w:before="0" w:beforeAutospacing="0" w:after="0" w:afterAutospacing="0"/>
              <w:jc w:val="center"/>
              <w:rPr>
                <w:sz w:val="20"/>
                <w:szCs w:val="20"/>
              </w:rPr>
            </w:pPr>
            <w:r>
              <w:rPr>
                <w:b/>
                <w:bCs/>
                <w:sz w:val="20"/>
                <w:szCs w:val="20"/>
              </w:rPr>
              <w:t>Ended</w:t>
            </w:r>
          </w:p>
          <w:p w:rsidR="00000000" w:rsidRDefault="00150086">
            <w:pPr>
              <w:pStyle w:val="NormalWeb"/>
              <w:spacing w:before="0" w:beforeAutospacing="0" w:after="0" w:afterAutospacing="0"/>
              <w:jc w:val="center"/>
              <w:rPr>
                <w:sz w:val="20"/>
                <w:szCs w:val="20"/>
              </w:rPr>
            </w:pPr>
            <w:r>
              <w:rPr>
                <w:b/>
                <w:bCs/>
                <w:sz w:val="20"/>
                <w:szCs w:val="20"/>
              </w:rPr>
              <w:t>October 31,</w:t>
            </w:r>
          </w:p>
          <w:p w:rsidR="00000000" w:rsidRDefault="00150086">
            <w:pPr>
              <w:pStyle w:val="NormalWeb"/>
              <w:spacing w:before="0" w:beforeAutospacing="0" w:after="0" w:afterAutospacing="0"/>
              <w:jc w:val="center"/>
              <w:rPr>
                <w:sz w:val="20"/>
                <w:szCs w:val="20"/>
              </w:rPr>
            </w:pPr>
            <w:r>
              <w:rPr>
                <w:b/>
                <w:bCs/>
                <w:sz w:val="20"/>
                <w:szCs w:val="20"/>
              </w:rPr>
              <w:lastRenderedPageBreak/>
              <w:t>2017</w:t>
            </w:r>
          </w:p>
          <w:p w:rsidR="00000000" w:rsidRDefault="00150086">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center"/>
              <w:rPr>
                <w:sz w:val="20"/>
                <w:szCs w:val="20"/>
              </w:rPr>
            </w:pPr>
            <w:r>
              <w:rPr>
                <w:sz w:val="20"/>
                <w:szCs w:val="20"/>
              </w:rPr>
              <w:lastRenderedPageBreak/>
              <w:t> </w:t>
            </w:r>
          </w:p>
        </w:tc>
      </w:tr>
      <w:tr w:rsidR="00000000">
        <w:trPr>
          <w:divId w:val="7608861"/>
          <w:trHeight w:val="225"/>
          <w:tblCellSpacing w:w="0" w:type="dxa"/>
        </w:trPr>
        <w:tc>
          <w:tcPr>
            <w:tcW w:w="0" w:type="auto"/>
            <w:vAlign w:val="center"/>
            <w:hideMark/>
          </w:tcPr>
          <w:p w:rsidR="00000000" w:rsidRDefault="00150086">
            <w:pPr>
              <w:pStyle w:val="NormalWeb"/>
              <w:spacing w:before="0" w:beforeAutospacing="0" w:after="0" w:afterAutospacing="0"/>
              <w:jc w:val="center"/>
              <w:rPr>
                <w:sz w:val="20"/>
                <w:szCs w:val="20"/>
              </w:rPr>
            </w:pPr>
            <w:r>
              <w:rPr>
                <w:sz w:val="20"/>
                <w:szCs w:val="20"/>
              </w:rPr>
              <w:lastRenderedPageBreak/>
              <w:t> </w:t>
            </w:r>
          </w:p>
        </w:tc>
        <w:tc>
          <w:tcPr>
            <w:tcW w:w="0" w:type="auto"/>
            <w:vAlign w:val="center"/>
            <w:hideMark/>
          </w:tcPr>
          <w:p w:rsidR="00000000" w:rsidRDefault="00150086">
            <w:pPr>
              <w:pStyle w:val="NormalWeb"/>
              <w:spacing w:before="0" w:beforeAutospacing="0" w:after="0" w:afterAutospacing="0"/>
              <w:jc w:val="center"/>
              <w:rPr>
                <w:sz w:val="20"/>
                <w:szCs w:val="20"/>
              </w:rPr>
            </w:pPr>
            <w:r>
              <w:rPr>
                <w:sz w:val="20"/>
                <w:szCs w:val="20"/>
              </w:rPr>
              <w:t> </w:t>
            </w:r>
          </w:p>
        </w:tc>
        <w:tc>
          <w:tcPr>
            <w:tcW w:w="0" w:type="auto"/>
            <w:gridSpan w:val="2"/>
            <w:vAlign w:val="center"/>
            <w:hideMark/>
          </w:tcPr>
          <w:p w:rsidR="00000000" w:rsidRDefault="00150086">
            <w:pPr>
              <w:pStyle w:val="NormalWeb"/>
              <w:spacing w:before="0" w:beforeAutospacing="0" w:after="0" w:afterAutospacing="0"/>
              <w:jc w:val="center"/>
              <w:rPr>
                <w:sz w:val="20"/>
                <w:szCs w:val="20"/>
              </w:rPr>
            </w:pPr>
            <w:r>
              <w:rPr>
                <w:b/>
                <w:bCs/>
                <w:sz w:val="20"/>
                <w:szCs w:val="20"/>
              </w:rPr>
              <w:t>(unaudited)</w:t>
            </w:r>
          </w:p>
        </w:tc>
        <w:tc>
          <w:tcPr>
            <w:tcW w:w="0" w:type="auto"/>
            <w:vAlign w:val="center"/>
            <w:hideMark/>
          </w:tcPr>
          <w:p w:rsidR="00000000" w:rsidRDefault="00150086">
            <w:pPr>
              <w:pStyle w:val="NormalWeb"/>
              <w:spacing w:before="0" w:beforeAutospacing="0" w:after="0" w:afterAutospacing="0"/>
              <w:jc w:val="center"/>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center"/>
              <w:rPr>
                <w:sz w:val="20"/>
                <w:szCs w:val="20"/>
              </w:rPr>
            </w:pPr>
            <w:r>
              <w:rPr>
                <w:sz w:val="20"/>
                <w:szCs w:val="20"/>
              </w:rPr>
              <w:t> </w:t>
            </w:r>
          </w:p>
        </w:tc>
        <w:tc>
          <w:tcPr>
            <w:tcW w:w="0" w:type="auto"/>
            <w:gridSpan w:val="2"/>
            <w:vAlign w:val="center"/>
            <w:hideMark/>
          </w:tcPr>
          <w:p w:rsidR="00000000" w:rsidRDefault="00150086">
            <w:pPr>
              <w:pStyle w:val="NormalWeb"/>
              <w:spacing w:before="0" w:beforeAutospacing="0" w:after="0" w:afterAutospacing="0"/>
              <w:jc w:val="center"/>
              <w:rPr>
                <w:sz w:val="20"/>
                <w:szCs w:val="20"/>
              </w:rPr>
            </w:pPr>
            <w:r>
              <w:rPr>
                <w:b/>
                <w:bCs/>
                <w:sz w:val="20"/>
                <w:szCs w:val="20"/>
              </w:rPr>
              <w:t>(unaudited)</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hideMark/>
          </w:tcPr>
          <w:p w:rsidR="00000000" w:rsidRDefault="00150086">
            <w:pPr>
              <w:pStyle w:val="NormalWeb"/>
              <w:spacing w:before="0" w:beforeAutospacing="0" w:after="0" w:afterAutospacing="0"/>
              <w:jc w:val="both"/>
              <w:rPr>
                <w:sz w:val="20"/>
                <w:szCs w:val="20"/>
              </w:rPr>
            </w:pPr>
            <w:r>
              <w:rPr>
                <w:sz w:val="20"/>
                <w:szCs w:val="20"/>
              </w:rPr>
              <w:t>Operating activities</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Net (loss) income</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(6,416,362</w:t>
            </w:r>
          </w:p>
        </w:tc>
        <w:tc>
          <w:tcPr>
            <w:tcW w:w="50" w:type="pct"/>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205,362</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Adjustments to reconcile net loss to net cash used in operating activities:</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225"/>
              <w:jc w:val="both"/>
              <w:rPr>
                <w:sz w:val="20"/>
                <w:szCs w:val="20"/>
              </w:rPr>
            </w:pPr>
            <w:r>
              <w:rPr>
                <w:sz w:val="20"/>
                <w:szCs w:val="20"/>
              </w:rPr>
              <w:t xml:space="preserve">Amortization of discount/premium on convertible debenture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358,467</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105,392</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ind w:left="225"/>
              <w:jc w:val="both"/>
              <w:rPr>
                <w:sz w:val="20"/>
                <w:szCs w:val="20"/>
              </w:rPr>
            </w:pPr>
            <w:r>
              <w:rPr>
                <w:sz w:val="20"/>
                <w:szCs w:val="20"/>
              </w:rPr>
              <w:t xml:space="preserve">Depreciation and amortization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504,346</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8,309</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225"/>
              <w:jc w:val="both"/>
              <w:rPr>
                <w:sz w:val="20"/>
                <w:szCs w:val="20"/>
              </w:rPr>
            </w:pPr>
            <w:r>
              <w:rPr>
                <w:sz w:val="20"/>
                <w:szCs w:val="20"/>
              </w:rPr>
              <w:t>Expenses paid related to debt issuance</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(294,221</w:t>
            </w:r>
          </w:p>
        </w:tc>
        <w:tc>
          <w:tcPr>
            <w:tcW w:w="50" w:type="pct"/>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ind w:left="225"/>
              <w:jc w:val="both"/>
              <w:rPr>
                <w:sz w:val="20"/>
                <w:szCs w:val="20"/>
              </w:rPr>
            </w:pPr>
            <w:r>
              <w:rPr>
                <w:sz w:val="20"/>
                <w:szCs w:val="20"/>
              </w:rPr>
              <w:t>Fair value of stock options vested</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58,341</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1,057</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225"/>
              <w:jc w:val="both"/>
              <w:rPr>
                <w:sz w:val="20"/>
                <w:szCs w:val="20"/>
              </w:rPr>
            </w:pPr>
            <w:r>
              <w:rPr>
                <w:sz w:val="20"/>
                <w:szCs w:val="20"/>
              </w:rPr>
              <w:t>Gain on change in fair value of derivative liabilities</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(204,711</w:t>
            </w:r>
          </w:p>
        </w:tc>
        <w:tc>
          <w:tcPr>
            <w:tcW w:w="50" w:type="pct"/>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ind w:left="225"/>
              <w:jc w:val="both"/>
              <w:rPr>
                <w:sz w:val="20"/>
                <w:szCs w:val="20"/>
              </w:rPr>
            </w:pPr>
            <w:r>
              <w:rPr>
                <w:sz w:val="20"/>
                <w:szCs w:val="20"/>
              </w:rPr>
              <w:t>Gain on disposal of assets</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(609,311</w:t>
            </w:r>
          </w:p>
        </w:tc>
        <w:tc>
          <w:tcPr>
            <w:tcW w:w="50" w:type="pct"/>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225"/>
              <w:jc w:val="both"/>
              <w:rPr>
                <w:sz w:val="20"/>
                <w:szCs w:val="20"/>
              </w:rPr>
            </w:pPr>
            <w:r>
              <w:rPr>
                <w:sz w:val="20"/>
                <w:szCs w:val="20"/>
              </w:rPr>
              <w:t>Gain on repayment of promissory note</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(6,969</w:t>
            </w:r>
          </w:p>
        </w:tc>
        <w:tc>
          <w:tcPr>
            <w:tcW w:w="50" w:type="pct"/>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ind w:left="225"/>
              <w:jc w:val="both"/>
              <w:rPr>
                <w:sz w:val="20"/>
                <w:szCs w:val="20"/>
              </w:rPr>
            </w:pPr>
            <w:r>
              <w:rPr>
                <w:sz w:val="20"/>
                <w:szCs w:val="20"/>
              </w:rPr>
              <w:t>Gain on settlements of debts</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(240,144</w:t>
            </w:r>
          </w:p>
        </w:tc>
        <w:tc>
          <w:tcPr>
            <w:tcW w:w="50" w:type="pct"/>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225"/>
              <w:jc w:val="both"/>
              <w:rPr>
                <w:sz w:val="20"/>
                <w:szCs w:val="20"/>
              </w:rPr>
            </w:pPr>
            <w:r>
              <w:rPr>
                <w:sz w:val="20"/>
                <w:szCs w:val="20"/>
              </w:rPr>
              <w:t>Loss on extinguishment of convertible debentures</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1,508,836</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ind w:left="225"/>
              <w:jc w:val="both"/>
              <w:rPr>
                <w:sz w:val="20"/>
                <w:szCs w:val="20"/>
              </w:rPr>
            </w:pPr>
            <w:r>
              <w:rPr>
                <w:sz w:val="20"/>
                <w:szCs w:val="20"/>
              </w:rPr>
              <w:t>Stock issued for services</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443,093</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24,531</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225"/>
              <w:jc w:val="both"/>
              <w:rPr>
                <w:sz w:val="20"/>
                <w:szCs w:val="20"/>
              </w:rPr>
            </w:pPr>
            <w:r>
              <w:rPr>
                <w:sz w:val="20"/>
                <w:szCs w:val="20"/>
              </w:rPr>
              <w:t>Changes in operating assets and liabilities:</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ind w:left="225"/>
              <w:jc w:val="both"/>
              <w:rPr>
                <w:sz w:val="20"/>
                <w:szCs w:val="20"/>
              </w:rPr>
            </w:pPr>
            <w:r>
              <w:rPr>
                <w:sz w:val="20"/>
                <w:szCs w:val="20"/>
              </w:rPr>
              <w:t>Prepaids and other current assets</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(63,691</w:t>
            </w:r>
          </w:p>
        </w:tc>
        <w:tc>
          <w:tcPr>
            <w:tcW w:w="50" w:type="pct"/>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35,589</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225"/>
              <w:jc w:val="both"/>
              <w:rPr>
                <w:sz w:val="20"/>
                <w:szCs w:val="20"/>
              </w:rPr>
            </w:pPr>
            <w:r>
              <w:rPr>
                <w:sz w:val="20"/>
                <w:szCs w:val="20"/>
              </w:rPr>
              <w:t>Inventory</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(6,795</w:t>
            </w:r>
          </w:p>
        </w:tc>
        <w:tc>
          <w:tcPr>
            <w:tcW w:w="50" w:type="pct"/>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ind w:left="225"/>
              <w:jc w:val="both"/>
              <w:rPr>
                <w:sz w:val="20"/>
                <w:szCs w:val="20"/>
              </w:rPr>
            </w:pPr>
            <w:r>
              <w:rPr>
                <w:sz w:val="20"/>
                <w:szCs w:val="20"/>
              </w:rPr>
              <w:t>Due to related parties</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(6,294</w:t>
            </w:r>
          </w:p>
        </w:tc>
        <w:tc>
          <w:tcPr>
            <w:tcW w:w="50" w:type="pct"/>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4,510</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225"/>
              <w:jc w:val="both"/>
              <w:rPr>
                <w:sz w:val="20"/>
                <w:szCs w:val="20"/>
              </w:rPr>
            </w:pPr>
            <w:r>
              <w:rPr>
                <w:sz w:val="20"/>
                <w:szCs w:val="20"/>
              </w:rPr>
              <w:t>Accounts payable and accrued liabilities</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240,875</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457,439</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ind w:left="225"/>
              <w:jc w:val="both"/>
              <w:rPr>
                <w:sz w:val="20"/>
                <w:szCs w:val="20"/>
              </w:rPr>
            </w:pPr>
            <w:r>
              <w:rPr>
                <w:sz w:val="20"/>
                <w:szCs w:val="20"/>
              </w:rPr>
              <w:t>Deferred revenue</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120,000</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225"/>
              <w:jc w:val="both"/>
              <w:rPr>
                <w:sz w:val="20"/>
                <w:szCs w:val="20"/>
              </w:rPr>
            </w:pPr>
            <w:r>
              <w:rPr>
                <w:sz w:val="20"/>
                <w:szCs w:val="20"/>
              </w:rPr>
              <w:t>Other liabilities</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12,266</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 xml:space="preserve">Net cash used in operating activities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(3,560,374</w:t>
            </w:r>
          </w:p>
        </w:tc>
        <w:tc>
          <w:tcPr>
            <w:tcW w:w="50" w:type="pct"/>
            <w:shd w:val="clear" w:color="auto" w:fill="FFFFFF"/>
            <w:tcMar>
              <w:top w:w="0" w:type="dxa"/>
              <w:left w:w="0" w:type="dxa"/>
              <w:bottom w:w="1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(199,711</w:t>
            </w:r>
          </w:p>
        </w:tc>
        <w:tc>
          <w:tcPr>
            <w:tcW w:w="50" w:type="pct"/>
            <w:shd w:val="clear" w:color="auto" w:fill="FFFFFF"/>
            <w:tcMar>
              <w:top w:w="0" w:type="dxa"/>
              <w:left w:w="0" w:type="dxa"/>
              <w:bottom w:w="1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7608861"/>
          <w:tblCellSpacing w:w="0" w:type="dxa"/>
        </w:trPr>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Investing activities</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225"/>
              <w:jc w:val="both"/>
              <w:rPr>
                <w:sz w:val="20"/>
                <w:szCs w:val="20"/>
              </w:rPr>
            </w:pPr>
            <w:r>
              <w:rPr>
                <w:sz w:val="20"/>
                <w:szCs w:val="20"/>
              </w:rPr>
              <w:t xml:space="preserve">Business acquisition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(659,999</w:t>
            </w:r>
          </w:p>
        </w:tc>
        <w:tc>
          <w:tcPr>
            <w:tcW w:w="50" w:type="pct"/>
            <w:shd w:val="clear" w:color="auto" w:fill="CCEEFF"/>
            <w:tcMar>
              <w:top w:w="0" w:type="dxa"/>
              <w:left w:w="0" w:type="dxa"/>
              <w:bottom w:w="1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 xml:space="preserve">Net cash used in investing activities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(659,999</w:t>
            </w:r>
          </w:p>
        </w:tc>
        <w:tc>
          <w:tcPr>
            <w:tcW w:w="50" w:type="pct"/>
            <w:shd w:val="clear" w:color="auto" w:fill="FFFFFF"/>
            <w:tcMar>
              <w:top w:w="0" w:type="dxa"/>
              <w:left w:w="0" w:type="dxa"/>
              <w:bottom w:w="1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Financing activities</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225"/>
              <w:jc w:val="both"/>
              <w:rPr>
                <w:sz w:val="20"/>
                <w:szCs w:val="20"/>
              </w:rPr>
            </w:pPr>
            <w:r>
              <w:rPr>
                <w:sz w:val="20"/>
                <w:szCs w:val="20"/>
              </w:rPr>
              <w:t>Proceeds from convertible debenture, net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3,817,119</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ind w:left="225"/>
              <w:jc w:val="both"/>
              <w:rPr>
                <w:sz w:val="20"/>
                <w:szCs w:val="20"/>
              </w:rPr>
            </w:pPr>
            <w:r>
              <w:rPr>
                <w:sz w:val="20"/>
                <w:szCs w:val="20"/>
              </w:rPr>
              <w:t>Proceeds from debenture</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36,500</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225"/>
              <w:jc w:val="both"/>
              <w:rPr>
                <w:sz w:val="20"/>
                <w:szCs w:val="20"/>
              </w:rPr>
            </w:pPr>
            <w:r>
              <w:rPr>
                <w:sz w:val="20"/>
                <w:szCs w:val="20"/>
              </w:rPr>
              <w:t>Proceeds from issuance of common stock</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31,799</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ind w:left="225"/>
              <w:jc w:val="both"/>
              <w:rPr>
                <w:sz w:val="20"/>
                <w:szCs w:val="20"/>
              </w:rPr>
            </w:pPr>
            <w:r>
              <w:rPr>
                <w:sz w:val="20"/>
                <w:szCs w:val="20"/>
              </w:rPr>
              <w:t>Proceeds from issuance of common stock subscriptions</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264,326</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225"/>
              <w:jc w:val="both"/>
              <w:rPr>
                <w:sz w:val="20"/>
                <w:szCs w:val="20"/>
              </w:rPr>
            </w:pPr>
            <w:r>
              <w:rPr>
                <w:sz w:val="20"/>
                <w:szCs w:val="20"/>
              </w:rPr>
              <w:t>Proceeds from issuance of units</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976,164</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ind w:left="225"/>
              <w:jc w:val="both"/>
              <w:rPr>
                <w:sz w:val="20"/>
                <w:szCs w:val="20"/>
              </w:rPr>
            </w:pPr>
            <w:r>
              <w:rPr>
                <w:sz w:val="20"/>
                <w:szCs w:val="20"/>
              </w:rPr>
              <w:t>Proceeds from promissory notes</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394,616</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225"/>
              <w:jc w:val="both"/>
              <w:rPr>
                <w:sz w:val="20"/>
                <w:szCs w:val="20"/>
              </w:rPr>
            </w:pPr>
            <w:r>
              <w:rPr>
                <w:sz w:val="20"/>
                <w:szCs w:val="20"/>
              </w:rPr>
              <w:t>Repayment of loan payable</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(15,925</w:t>
            </w:r>
          </w:p>
        </w:tc>
        <w:tc>
          <w:tcPr>
            <w:tcW w:w="50" w:type="pct"/>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ind w:left="225"/>
              <w:jc w:val="both"/>
              <w:rPr>
                <w:sz w:val="20"/>
                <w:szCs w:val="20"/>
              </w:rPr>
            </w:pPr>
            <w:r>
              <w:rPr>
                <w:sz w:val="20"/>
                <w:szCs w:val="20"/>
              </w:rPr>
              <w:t>Repayment of promissory note</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(588,839</w:t>
            </w:r>
          </w:p>
        </w:tc>
        <w:tc>
          <w:tcPr>
            <w:tcW w:w="50" w:type="pct"/>
            <w:shd w:val="clear" w:color="auto" w:fill="FFFFFF"/>
            <w:tcMar>
              <w:top w:w="0" w:type="dxa"/>
              <w:left w:w="0" w:type="dxa"/>
              <w:bottom w:w="1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 xml:space="preserve">Net cash provided by financing activities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4,583,134</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332,625</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 xml:space="preserve">Effects of exchange rate changes on cash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(20,371</w:t>
            </w:r>
          </w:p>
        </w:tc>
        <w:tc>
          <w:tcPr>
            <w:tcW w:w="50" w:type="pct"/>
            <w:shd w:val="clear" w:color="auto" w:fill="CCEEFF"/>
            <w:tcMar>
              <w:top w:w="0" w:type="dxa"/>
              <w:left w:w="0" w:type="dxa"/>
              <w:bottom w:w="1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5,051</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 xml:space="preserve">Increase in cash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342,390</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137,965</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Cash – beginning of period</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64,511</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112,421</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 xml:space="preserve">Cash – </w:t>
            </w:r>
            <w:r>
              <w:rPr>
                <w:sz w:val="20"/>
                <w:szCs w:val="20"/>
              </w:rPr>
              <w:t>end of period</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406,901</w:t>
            </w:r>
          </w:p>
        </w:tc>
        <w:tc>
          <w:tcPr>
            <w:tcW w:w="50" w:type="pct"/>
            <w:shd w:val="clear" w:color="auto" w:fill="FFFF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250,386</w:t>
            </w:r>
          </w:p>
        </w:tc>
        <w:tc>
          <w:tcPr>
            <w:tcW w:w="50" w:type="pct"/>
            <w:shd w:val="clear" w:color="auto" w:fill="FFFF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bl>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Supplemental cash flow disclosures (Note 14)</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center"/>
        <w:divId w:val="7608861"/>
        <w:rPr>
          <w:sz w:val="20"/>
          <w:szCs w:val="20"/>
        </w:rPr>
      </w:pPr>
      <w:r>
        <w:rPr>
          <w:sz w:val="20"/>
          <w:szCs w:val="20"/>
        </w:rPr>
        <w:t>(The accompanying notes are an integral part of these condensed consolidated financial statements)</w:t>
      </w:r>
    </w:p>
    <w:p w:rsidR="00000000" w:rsidRDefault="00150086">
      <w:pPr>
        <w:pStyle w:val="NormalWeb"/>
        <w:spacing w:before="0" w:beforeAutospacing="0" w:after="0" w:afterAutospacing="0"/>
        <w:jc w:val="center"/>
        <w:divId w:val="7608861"/>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tcBorders>
              <w:bottom w:val="single" w:sz="6" w:space="0" w:color="000000"/>
            </w:tcBorders>
            <w:vAlign w:val="center"/>
            <w:hideMark/>
          </w:tcPr>
          <w:p w:rsidR="00000000" w:rsidRDefault="00150086">
            <w:pPr>
              <w:spacing w:before="0" w:beforeAutospacing="0" w:after="0" w:afterAutospacing="0"/>
              <w:jc w:val="center"/>
              <w:rPr>
                <w:rFonts w:eastAsia="Times New Roman"/>
                <w:sz w:val="20"/>
                <w:szCs w:val="20"/>
              </w:rPr>
            </w:pPr>
            <w:r>
              <w:rPr>
                <w:rFonts w:eastAsia="Times New Roman"/>
                <w:sz w:val="20"/>
                <w:szCs w:val="20"/>
              </w:rPr>
              <w:t>7</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50086">
      <w:pPr>
        <w:spacing w:before="0" w:beforeAutospacing="0" w:after="0" w:afterAutospacing="0"/>
        <w:jc w:val="both"/>
        <w:divId w:val="7608861"/>
        <w:rPr>
          <w:rFonts w:eastAsia="Times New Roman"/>
          <w:sz w:val="20"/>
          <w:szCs w:val="20"/>
        </w:rPr>
      </w:pPr>
      <w:r>
        <w:rPr>
          <w:rFonts w:eastAsia="Times New Roman"/>
          <w:sz w:val="20"/>
          <w:szCs w:val="20"/>
        </w:rPr>
        <w:t xml:space="preserve">  </w:t>
      </w:r>
    </w:p>
    <w:p w:rsidR="00000000" w:rsidRDefault="00150086">
      <w:pPr>
        <w:pStyle w:val="NormalWeb"/>
        <w:spacing w:before="0" w:beforeAutospacing="0" w:after="0" w:afterAutospacing="0"/>
        <w:jc w:val="both"/>
        <w:divId w:val="7608861"/>
        <w:rPr>
          <w:sz w:val="20"/>
          <w:szCs w:val="20"/>
        </w:rPr>
      </w:pPr>
      <w:r>
        <w:rPr>
          <w:b/>
          <w:bCs/>
          <w:sz w:val="20"/>
          <w:szCs w:val="20"/>
        </w:rPr>
        <w:t>PIVOT PHARMACEUTICALS INC.</w:t>
      </w:r>
    </w:p>
    <w:p w:rsidR="00000000" w:rsidRDefault="00150086">
      <w:pPr>
        <w:pStyle w:val="NormalWeb"/>
        <w:spacing w:before="0" w:beforeAutospacing="0" w:after="0" w:afterAutospacing="0"/>
        <w:jc w:val="both"/>
        <w:divId w:val="7608861"/>
        <w:rPr>
          <w:sz w:val="20"/>
          <w:szCs w:val="20"/>
        </w:rPr>
      </w:pPr>
      <w:r>
        <w:rPr>
          <w:sz w:val="20"/>
          <w:szCs w:val="20"/>
        </w:rPr>
        <w:t>Notes to the Condensed Consolidated Financial Statements (Unaudited)</w:t>
      </w:r>
    </w:p>
    <w:p w:rsidR="00000000" w:rsidRDefault="00150086">
      <w:pPr>
        <w:pStyle w:val="NormalWeb"/>
        <w:spacing w:before="0" w:beforeAutospacing="0" w:after="0" w:afterAutospacing="0"/>
        <w:jc w:val="both"/>
        <w:divId w:val="7608861"/>
        <w:rPr>
          <w:sz w:val="20"/>
          <w:szCs w:val="20"/>
        </w:rPr>
      </w:pPr>
      <w:r>
        <w:rPr>
          <w:sz w:val="20"/>
          <w:szCs w:val="20"/>
        </w:rPr>
        <w:t>Period ended October 31, 2018</w:t>
      </w:r>
    </w:p>
    <w:p w:rsidR="00000000" w:rsidRDefault="00150086">
      <w:pPr>
        <w:pStyle w:val="NormalWeb"/>
        <w:spacing w:before="0" w:beforeAutospacing="0" w:after="0" w:afterAutospacing="0"/>
        <w:jc w:val="both"/>
        <w:divId w:val="7608861"/>
        <w:rPr>
          <w:sz w:val="20"/>
          <w:szCs w:val="20"/>
        </w:rPr>
      </w:pPr>
      <w:r>
        <w:rPr>
          <w:sz w:val="20"/>
          <w:szCs w:val="20"/>
        </w:rPr>
        <w:t>(Expressed in U.S. dollars)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b/>
          <w:bCs/>
          <w:sz w:val="20"/>
          <w:szCs w:val="20"/>
        </w:rPr>
        <w:t>1. Nature of Operations and Continuance</w:t>
      </w:r>
      <w:r>
        <w:rPr>
          <w:b/>
          <w:bCs/>
          <w:sz w:val="20"/>
          <w:szCs w:val="20"/>
        </w:rPr>
        <w:t xml:space="preserve"> of Business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ind w:left="675"/>
        <w:jc w:val="both"/>
        <w:divId w:val="7608861"/>
        <w:rPr>
          <w:sz w:val="20"/>
          <w:szCs w:val="20"/>
        </w:rPr>
      </w:pPr>
      <w:r>
        <w:rPr>
          <w:sz w:val="20"/>
          <w:szCs w:val="20"/>
        </w:rPr>
        <w:t>Pivot Pharmaceuticals Inc. (the “Company”) was incorporated in British Columbia under the Business Corporations Act on June 10, 2002. On April 7, 2015, the Company changed its name from Neurokine Pharmaceuticals Inc. to Pivot Pharmaceuticals</w:t>
      </w:r>
      <w:r>
        <w:rPr>
          <w:sz w:val="20"/>
          <w:szCs w:val="20"/>
        </w:rPr>
        <w:t xml:space="preserve"> Inc. The Company is in the business of developing and commercializing therapeutic pharmaceuticals and nutraceuticals, as well as drug delivery platform technologies. </w:t>
      </w:r>
    </w:p>
    <w:p w:rsidR="00000000" w:rsidRDefault="00150086">
      <w:pPr>
        <w:pStyle w:val="NormalWeb"/>
        <w:spacing w:before="0" w:beforeAutospacing="0" w:after="0" w:afterAutospacing="0"/>
        <w:ind w:left="675"/>
        <w:jc w:val="both"/>
        <w:divId w:val="7608861"/>
        <w:rPr>
          <w:sz w:val="20"/>
          <w:szCs w:val="20"/>
        </w:rPr>
      </w:pPr>
      <w:r>
        <w:rPr>
          <w:sz w:val="20"/>
          <w:szCs w:val="20"/>
        </w:rPr>
        <w:t> </w:t>
      </w:r>
    </w:p>
    <w:p w:rsidR="00000000" w:rsidRDefault="00150086">
      <w:pPr>
        <w:pStyle w:val="NormalWeb"/>
        <w:spacing w:before="0" w:beforeAutospacing="0" w:after="0" w:afterAutospacing="0"/>
        <w:ind w:left="675"/>
        <w:jc w:val="both"/>
        <w:divId w:val="7608861"/>
        <w:rPr>
          <w:sz w:val="20"/>
          <w:szCs w:val="20"/>
        </w:rPr>
      </w:pPr>
      <w:r>
        <w:rPr>
          <w:sz w:val="20"/>
          <w:szCs w:val="20"/>
        </w:rPr>
        <w:t>These consolidated financial statements have been prepared on the going concern basis,</w:t>
      </w:r>
      <w:r>
        <w:rPr>
          <w:sz w:val="20"/>
          <w:szCs w:val="20"/>
        </w:rPr>
        <w:t xml:space="preserve"> which assumes that the Company will be able to realize its assets and discharge its liabilities in the normal course of business. As at October 31, 2018, the Company has not earned any revenue, has a working capital deficit of $3,094,911 and an accumulate</w:t>
      </w:r>
      <w:r>
        <w:rPr>
          <w:sz w:val="20"/>
          <w:szCs w:val="20"/>
        </w:rPr>
        <w:t>d deficit of $27,135,308. The continued operations of the Company are dependent on its ability to generate future cash flows or obtain additional financing. These factors raise substantial doubt about the Company’s ability to continue as a going concern fo</w:t>
      </w:r>
      <w:r>
        <w:rPr>
          <w:sz w:val="20"/>
          <w:szCs w:val="20"/>
        </w:rPr>
        <w:t>r a period of one year from the issuance of these financial statements. These consolidated financial statements do not include any adjustments to the recorded assets or liabilities that might be necessary should the Company be unable to continue as a going</w:t>
      </w:r>
      <w:r>
        <w:rPr>
          <w:sz w:val="20"/>
          <w:szCs w:val="20"/>
        </w:rPr>
        <w:t xml:space="preserve"> concern. </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b/>
          <w:bCs/>
          <w:sz w:val="20"/>
          <w:szCs w:val="20"/>
        </w:rPr>
        <w:t>2. Significant Accounting Policies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ind w:left="675"/>
        <w:jc w:val="both"/>
        <w:divId w:val="7608861"/>
        <w:rPr>
          <w:sz w:val="20"/>
          <w:szCs w:val="20"/>
        </w:rPr>
      </w:pPr>
      <w:r>
        <w:rPr>
          <w:sz w:val="20"/>
          <w:szCs w:val="20"/>
        </w:rPr>
        <w:t>(a) Basis of Presentation</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ind w:left="1350"/>
        <w:jc w:val="both"/>
        <w:divId w:val="7608861"/>
        <w:rPr>
          <w:sz w:val="20"/>
          <w:szCs w:val="20"/>
        </w:rPr>
      </w:pPr>
      <w:r>
        <w:rPr>
          <w:sz w:val="20"/>
          <w:szCs w:val="20"/>
        </w:rPr>
        <w:t xml:space="preserve">The consolidated financial statements and the related notes of the Company are prepared in accordance with generally accepted accounting principles in the United States and are expressed in U.S. dollars. The Company’s fiscal year-end is January 31. </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ind w:left="675"/>
        <w:jc w:val="both"/>
        <w:divId w:val="7608861"/>
        <w:rPr>
          <w:sz w:val="20"/>
          <w:szCs w:val="20"/>
        </w:rPr>
      </w:pPr>
      <w:r>
        <w:rPr>
          <w:sz w:val="20"/>
          <w:szCs w:val="20"/>
        </w:rPr>
        <w:t xml:space="preserve">(b) </w:t>
      </w:r>
      <w:r>
        <w:rPr>
          <w:sz w:val="20"/>
          <w:szCs w:val="20"/>
        </w:rPr>
        <w:t>Use of Estimates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ind w:left="1350"/>
        <w:jc w:val="both"/>
        <w:divId w:val="7608861"/>
        <w:rPr>
          <w:sz w:val="20"/>
          <w:szCs w:val="20"/>
        </w:rPr>
      </w:pPr>
      <w:r>
        <w:rPr>
          <w:sz w:val="20"/>
          <w:szCs w:val="20"/>
        </w:rPr>
        <w:t xml:space="preserve">The preparation of these consolidated financial statements in conformity with generally accepted accounting principles in the United States requires management to make estimates and assumptions that affect the reported amounts of assets </w:t>
      </w:r>
      <w:r>
        <w:rPr>
          <w:sz w:val="20"/>
          <w:szCs w:val="20"/>
        </w:rPr>
        <w:t>and liabilities and disclosure of contingent assets and liabilities at the date of the consolidated financial statements and the reported amounts of revenues and expenses during the reporting period. The Company regularly evaluates estimates and assumption</w:t>
      </w:r>
      <w:r>
        <w:rPr>
          <w:sz w:val="20"/>
          <w:szCs w:val="20"/>
        </w:rPr>
        <w:t>s related to the useful life and recoverability of long-lived assets, assumptions used to determine the fair values of stock-based compensation and derivative liabilities and deferred income tax asset valuation allowances. The Company bases its estimates a</w:t>
      </w:r>
      <w:r>
        <w:rPr>
          <w:sz w:val="20"/>
          <w:szCs w:val="20"/>
        </w:rPr>
        <w:t>nd assumptions on current facts, historical experience and various other factors that it believes to be reasonable under the circumstances, the results of which form the basis for making judgments about the carrying values of assets and liabilities and the</w:t>
      </w:r>
      <w:r>
        <w:rPr>
          <w:sz w:val="20"/>
          <w:szCs w:val="20"/>
        </w:rPr>
        <w:t xml:space="preserve"> accrual of costs and expenses that are not readily apparent from other sources. The actual results experienced by the Company may differ materially and adversely from the Company’s estimates. To the extent there are material differences between the estima</w:t>
      </w:r>
      <w:r>
        <w:rPr>
          <w:sz w:val="20"/>
          <w:szCs w:val="20"/>
        </w:rPr>
        <w:t xml:space="preserve">tes and the actual results, future results of operations will be affected. </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ind w:left="675"/>
        <w:jc w:val="both"/>
        <w:divId w:val="7608861"/>
        <w:rPr>
          <w:sz w:val="20"/>
          <w:szCs w:val="20"/>
        </w:rPr>
      </w:pPr>
      <w:r>
        <w:rPr>
          <w:sz w:val="20"/>
          <w:szCs w:val="20"/>
        </w:rPr>
        <w:t>(c) Interim Financial Statements</w:t>
      </w:r>
    </w:p>
    <w:p w:rsidR="00000000" w:rsidRDefault="00150086">
      <w:pPr>
        <w:pStyle w:val="NormalWeb"/>
        <w:spacing w:before="0" w:beforeAutospacing="0" w:after="0" w:afterAutospacing="0"/>
        <w:ind w:left="675"/>
        <w:jc w:val="both"/>
        <w:divId w:val="7608861"/>
        <w:rPr>
          <w:sz w:val="20"/>
          <w:szCs w:val="20"/>
        </w:rPr>
      </w:pPr>
      <w:r>
        <w:rPr>
          <w:sz w:val="20"/>
          <w:szCs w:val="20"/>
        </w:rPr>
        <w:t> </w:t>
      </w:r>
    </w:p>
    <w:p w:rsidR="00000000" w:rsidRDefault="00150086">
      <w:pPr>
        <w:pStyle w:val="NormalWeb"/>
        <w:spacing w:before="0" w:beforeAutospacing="0" w:after="0" w:afterAutospacing="0"/>
        <w:ind w:left="1350"/>
        <w:jc w:val="both"/>
        <w:divId w:val="7608861"/>
        <w:rPr>
          <w:sz w:val="20"/>
          <w:szCs w:val="20"/>
        </w:rPr>
      </w:pPr>
      <w:r>
        <w:rPr>
          <w:sz w:val="20"/>
          <w:szCs w:val="20"/>
        </w:rPr>
        <w:t>These interim unaudited condensed consolidated financial statements have been prepared on the same basis as the annual consolidated financial s</w:t>
      </w:r>
      <w:r>
        <w:rPr>
          <w:sz w:val="20"/>
          <w:szCs w:val="20"/>
        </w:rPr>
        <w:t xml:space="preserve">tatements and in the opinion of management, reflect all adjustments, which include only normal recurring adjustments, necessary to present fairly the Company’s condensed consolidated financial position, results of operations and cash </w:t>
      </w:r>
      <w:r>
        <w:rPr>
          <w:sz w:val="20"/>
          <w:szCs w:val="20"/>
        </w:rPr>
        <w:lastRenderedPageBreak/>
        <w:t xml:space="preserve">flows for the periods </w:t>
      </w:r>
      <w:r>
        <w:rPr>
          <w:sz w:val="20"/>
          <w:szCs w:val="20"/>
        </w:rPr>
        <w:t>shown. The condensed consolidated results of operations for such periods are not necessarily indicative of the results expected for a full year or for any future period. Certain disclosures and financial information have been condensed in accordance with g</w:t>
      </w:r>
      <w:r>
        <w:rPr>
          <w:sz w:val="20"/>
          <w:szCs w:val="20"/>
        </w:rPr>
        <w:t>enerally accepted accounting principles in the United States.</w:t>
      </w:r>
    </w:p>
    <w:p w:rsidR="00000000" w:rsidRDefault="00150086">
      <w:pPr>
        <w:pStyle w:val="NormalWeb"/>
        <w:spacing w:before="0" w:beforeAutospacing="0" w:after="0" w:afterAutospacing="0"/>
        <w:jc w:val="both"/>
        <w:divId w:val="7608861"/>
        <w:rPr>
          <w:sz w:val="20"/>
          <w:szCs w:val="20"/>
        </w:rPr>
      </w:pPr>
      <w:r>
        <w:rPr>
          <w:sz w:val="20"/>
          <w:szCs w:val="20"/>
        </w:rPr>
        <w:t xml:space="preserve">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tcBorders>
              <w:bottom w:val="single" w:sz="6" w:space="0" w:color="000000"/>
            </w:tcBorders>
            <w:vAlign w:val="center"/>
            <w:hideMark/>
          </w:tcPr>
          <w:p w:rsidR="00000000" w:rsidRDefault="00150086">
            <w:pPr>
              <w:spacing w:before="0" w:beforeAutospacing="0" w:after="0" w:afterAutospacing="0"/>
              <w:jc w:val="center"/>
              <w:rPr>
                <w:rFonts w:eastAsia="Times New Roman"/>
                <w:sz w:val="20"/>
                <w:szCs w:val="20"/>
              </w:rPr>
            </w:pPr>
            <w:r>
              <w:rPr>
                <w:rFonts w:eastAsia="Times New Roman"/>
                <w:sz w:val="20"/>
                <w:szCs w:val="20"/>
              </w:rPr>
              <w:t>8</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50086">
      <w:pPr>
        <w:pStyle w:val="NormalWeb"/>
        <w:spacing w:before="0" w:beforeAutospacing="0" w:after="0" w:afterAutospacing="0"/>
        <w:jc w:val="both"/>
        <w:divId w:val="7608861"/>
        <w:rPr>
          <w:sz w:val="20"/>
          <w:szCs w:val="20"/>
        </w:rPr>
      </w:pPr>
      <w:r>
        <w:rPr>
          <w:sz w:val="20"/>
          <w:szCs w:val="20"/>
        </w:rPr>
        <w:t xml:space="preserve">    </w:t>
      </w:r>
    </w:p>
    <w:p w:rsidR="00000000" w:rsidRDefault="00150086">
      <w:pPr>
        <w:pStyle w:val="NormalWeb"/>
        <w:spacing w:before="0" w:beforeAutospacing="0" w:after="0" w:afterAutospacing="0"/>
        <w:jc w:val="both"/>
        <w:divId w:val="7608861"/>
        <w:rPr>
          <w:sz w:val="20"/>
          <w:szCs w:val="20"/>
        </w:rPr>
      </w:pPr>
      <w:r>
        <w:rPr>
          <w:b/>
          <w:bCs/>
          <w:sz w:val="20"/>
          <w:szCs w:val="20"/>
        </w:rPr>
        <w:t>PIVOT PHARMACEUTICALS INC.</w:t>
      </w:r>
    </w:p>
    <w:p w:rsidR="00000000" w:rsidRDefault="00150086">
      <w:pPr>
        <w:pStyle w:val="NormalWeb"/>
        <w:spacing w:before="0" w:beforeAutospacing="0" w:after="0" w:afterAutospacing="0"/>
        <w:jc w:val="both"/>
        <w:divId w:val="7608861"/>
        <w:rPr>
          <w:sz w:val="20"/>
          <w:szCs w:val="20"/>
        </w:rPr>
      </w:pPr>
      <w:r>
        <w:rPr>
          <w:sz w:val="20"/>
          <w:szCs w:val="20"/>
        </w:rPr>
        <w:t>Notes to the Condensed Consolidated Financial Statements (Unaudited)</w:t>
      </w:r>
    </w:p>
    <w:p w:rsidR="00000000" w:rsidRDefault="00150086">
      <w:pPr>
        <w:pStyle w:val="NormalWeb"/>
        <w:spacing w:before="0" w:beforeAutospacing="0" w:after="0" w:afterAutospacing="0"/>
        <w:jc w:val="both"/>
        <w:divId w:val="7608861"/>
        <w:rPr>
          <w:sz w:val="20"/>
          <w:szCs w:val="20"/>
        </w:rPr>
      </w:pPr>
      <w:r>
        <w:rPr>
          <w:sz w:val="20"/>
          <w:szCs w:val="20"/>
        </w:rPr>
        <w:t>Period ended October 31, 2018</w:t>
      </w:r>
    </w:p>
    <w:p w:rsidR="00000000" w:rsidRDefault="00150086">
      <w:pPr>
        <w:pStyle w:val="NormalWeb"/>
        <w:spacing w:before="0" w:beforeAutospacing="0" w:after="0" w:afterAutospacing="0"/>
        <w:jc w:val="both"/>
        <w:divId w:val="7608861"/>
        <w:rPr>
          <w:sz w:val="20"/>
          <w:szCs w:val="20"/>
        </w:rPr>
      </w:pPr>
      <w:r>
        <w:rPr>
          <w:sz w:val="20"/>
          <w:szCs w:val="20"/>
        </w:rPr>
        <w:t>(Expressed in U.S. dollars)</w:t>
      </w:r>
    </w:p>
    <w:p w:rsidR="00000000" w:rsidRDefault="00150086">
      <w:pPr>
        <w:pStyle w:val="NormalWeb"/>
        <w:spacing w:before="0" w:beforeAutospacing="0" w:after="0" w:afterAutospacing="0"/>
        <w:jc w:val="both"/>
        <w:divId w:val="7608861"/>
        <w:rPr>
          <w:sz w:val="20"/>
          <w:szCs w:val="20"/>
        </w:rPr>
      </w:pPr>
      <w:r>
        <w:rPr>
          <w:sz w:val="20"/>
          <w:szCs w:val="20"/>
        </w:rPr>
        <w:t xml:space="preserve">  </w:t>
      </w:r>
    </w:p>
    <w:p w:rsidR="00000000" w:rsidRDefault="00150086">
      <w:pPr>
        <w:pStyle w:val="NormalWeb"/>
        <w:spacing w:before="0" w:beforeAutospacing="0" w:after="0" w:afterAutospacing="0"/>
        <w:jc w:val="both"/>
        <w:divId w:val="7608861"/>
        <w:rPr>
          <w:sz w:val="20"/>
          <w:szCs w:val="20"/>
        </w:rPr>
      </w:pPr>
      <w:r>
        <w:rPr>
          <w:b/>
          <w:bCs/>
          <w:sz w:val="20"/>
          <w:szCs w:val="20"/>
        </w:rPr>
        <w:t>2. Significant Accounting Policies</w:t>
      </w:r>
      <w:r>
        <w:rPr>
          <w:sz w:val="20"/>
          <w:szCs w:val="20"/>
        </w:rPr>
        <w:t xml:space="preserve"> (continued)</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ind w:left="675"/>
        <w:jc w:val="both"/>
        <w:divId w:val="7608861"/>
        <w:rPr>
          <w:sz w:val="20"/>
          <w:szCs w:val="20"/>
        </w:rPr>
      </w:pPr>
      <w:r>
        <w:rPr>
          <w:sz w:val="20"/>
          <w:szCs w:val="20"/>
        </w:rPr>
        <w:t xml:space="preserve">These interim consolidated financial statements should be read in conjunction with the financial statements included in our Annual Report on Form </w:t>
      </w:r>
      <w:r>
        <w:rPr>
          <w:sz w:val="20"/>
          <w:szCs w:val="20"/>
        </w:rPr>
        <w:t>10-K (the “2018 Form 10-K”) for the year ended January 31, 2018, which was filed with the Securities and Exchange Commission (the “SEC”) on May 1, 2018.</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ind w:left="675"/>
        <w:jc w:val="both"/>
        <w:divId w:val="7608861"/>
        <w:rPr>
          <w:sz w:val="20"/>
          <w:szCs w:val="20"/>
        </w:rPr>
      </w:pPr>
      <w:r>
        <w:rPr>
          <w:sz w:val="20"/>
          <w:szCs w:val="20"/>
        </w:rPr>
        <w:t>(d) Basis of Consolidation</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ind w:left="1350"/>
        <w:jc w:val="both"/>
        <w:divId w:val="7608861"/>
        <w:rPr>
          <w:sz w:val="20"/>
          <w:szCs w:val="20"/>
        </w:rPr>
      </w:pPr>
      <w:r>
        <w:rPr>
          <w:sz w:val="20"/>
          <w:szCs w:val="20"/>
        </w:rPr>
        <w:t>The consolidated financial statements incorporate the financial statements of the Company and entities controlled by the Company. Control is achieved where the Company has the power to govern the financial and operating policies of an entity so as to obtai</w:t>
      </w:r>
      <w:r>
        <w:rPr>
          <w:sz w:val="20"/>
          <w:szCs w:val="20"/>
        </w:rPr>
        <w:t xml:space="preserve">n benefits from its activities. The consolidating entities include: </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4250" w:type="pct"/>
        <w:jc w:val="center"/>
        <w:tblCellSpacing w:w="0" w:type="dxa"/>
        <w:tblCellMar>
          <w:left w:w="0" w:type="dxa"/>
          <w:right w:w="0" w:type="dxa"/>
        </w:tblCellMar>
        <w:tblLook w:val="04A0"/>
      </w:tblPr>
      <w:tblGrid>
        <w:gridCol w:w="5814"/>
        <w:gridCol w:w="64"/>
        <w:gridCol w:w="89"/>
        <w:gridCol w:w="801"/>
        <w:gridCol w:w="50"/>
        <w:gridCol w:w="51"/>
        <w:gridCol w:w="1023"/>
        <w:gridCol w:w="64"/>
      </w:tblGrid>
      <w:tr w:rsidR="00000000">
        <w:trPr>
          <w:divId w:val="7608861"/>
          <w:tblCellSpacing w:w="0" w:type="dxa"/>
          <w:jc w:val="center"/>
        </w:trPr>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 of ownership</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b/>
                <w:bCs/>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b/>
                <w:bCs/>
                <w:sz w:val="20"/>
                <w:szCs w:val="20"/>
              </w:rPr>
              <w:t> </w:t>
            </w:r>
          </w:p>
        </w:tc>
        <w:tc>
          <w:tcPr>
            <w:tcW w:w="0" w:type="auto"/>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Jurisdiction</w:t>
            </w:r>
          </w:p>
        </w:tc>
        <w:tc>
          <w:tcPr>
            <w:tcW w:w="0" w:type="auto"/>
            <w:vAlign w:val="center"/>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 </w:t>
            </w:r>
          </w:p>
        </w:tc>
      </w:tr>
      <w:tr w:rsidR="00000000">
        <w:trPr>
          <w:divId w:val="7608861"/>
          <w:tblCellSpacing w:w="0" w:type="dxa"/>
          <w:jc w:val="center"/>
        </w:trPr>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vAlign w:val="bottom"/>
            <w:hideMark/>
          </w:tcPr>
          <w:p w:rsidR="00000000" w:rsidRDefault="00150086">
            <w:pPr>
              <w:spacing w:before="0" w:beforeAutospacing="0" w:after="0" w:afterAutospacing="0"/>
              <w:jc w:val="center"/>
              <w:rPr>
                <w:rFonts w:eastAsia="Times New Roman"/>
                <w:sz w:val="20"/>
                <w:szCs w:val="20"/>
              </w:rPr>
            </w:pP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center"/>
              <w:rPr>
                <w:sz w:val="20"/>
                <w:szCs w:val="20"/>
              </w:rPr>
            </w:pPr>
            <w:r>
              <w:rPr>
                <w:sz w:val="20"/>
                <w:szCs w:val="20"/>
              </w:rPr>
              <w:t> </w:t>
            </w:r>
          </w:p>
        </w:tc>
        <w:tc>
          <w:tcPr>
            <w:tcW w:w="0" w:type="auto"/>
            <w:vAlign w:val="center"/>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 </w:t>
            </w:r>
          </w:p>
        </w:tc>
      </w:tr>
      <w:tr w:rsidR="00000000">
        <w:trPr>
          <w:divId w:val="7608861"/>
          <w:tblCellSpacing w:w="0" w:type="dxa"/>
          <w:jc w:val="center"/>
        </w:trPr>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Pivot Pharmaceuticals Inc.</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shd w:val="clear" w:color="auto" w:fill="CCEEFF"/>
            <w:vAlign w:val="bottom"/>
            <w:hideMark/>
          </w:tcPr>
          <w:p w:rsidR="00000000" w:rsidRDefault="00150086">
            <w:pPr>
              <w:pStyle w:val="NormalWeb"/>
              <w:spacing w:before="0" w:beforeAutospacing="0" w:after="0" w:afterAutospacing="0"/>
              <w:jc w:val="center"/>
              <w:rPr>
                <w:sz w:val="20"/>
                <w:szCs w:val="20"/>
              </w:rPr>
            </w:pPr>
            <w:r>
              <w:rPr>
                <w:sz w:val="20"/>
                <w:szCs w:val="20"/>
              </w:rPr>
              <w:t>Parent</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pStyle w:val="NormalWeb"/>
              <w:spacing w:before="0" w:beforeAutospacing="0" w:after="0" w:afterAutospacing="0"/>
              <w:jc w:val="center"/>
              <w:rPr>
                <w:sz w:val="20"/>
                <w:szCs w:val="20"/>
              </w:rPr>
            </w:pPr>
            <w:r>
              <w:rPr>
                <w:sz w:val="20"/>
                <w:szCs w:val="20"/>
              </w:rPr>
              <w:t>Canada</w:t>
            </w:r>
          </w:p>
        </w:tc>
        <w:tc>
          <w:tcPr>
            <w:tcW w:w="0" w:type="auto"/>
            <w:shd w:val="clear" w:color="auto" w:fill="CCEEFF"/>
            <w:vAlign w:val="center"/>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 </w:t>
            </w:r>
          </w:p>
        </w:tc>
      </w:tr>
      <w:tr w:rsidR="00000000">
        <w:trPr>
          <w:divId w:val="7608861"/>
          <w:tblCellSpacing w:w="0" w:type="dxa"/>
          <w:jc w:val="center"/>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Pivot Green Stream Health Solutions Inc.</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center"/>
              <w:rPr>
                <w:sz w:val="20"/>
                <w:szCs w:val="20"/>
              </w:rPr>
            </w:pPr>
            <w:r>
              <w:rPr>
                <w:sz w:val="20"/>
                <w:szCs w:val="20"/>
              </w:rPr>
              <w:t>100%</w:t>
            </w:r>
          </w:p>
        </w:tc>
        <w:tc>
          <w:tcPr>
            <w:tcW w:w="50" w:type="pct"/>
            <w:shd w:val="clear" w:color="auto" w:fill="FFFFFF"/>
            <w:vAlign w:val="bottom"/>
            <w:hideMark/>
          </w:tcPr>
          <w:p w:rsidR="00000000" w:rsidRDefault="00150086">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50086">
            <w:pPr>
              <w:pStyle w:val="NormalWeb"/>
              <w:spacing w:before="0" w:beforeAutospacing="0" w:after="0" w:afterAutospacing="0"/>
              <w:jc w:val="center"/>
              <w:rPr>
                <w:sz w:val="20"/>
                <w:szCs w:val="20"/>
              </w:rPr>
            </w:pPr>
            <w:r>
              <w:rPr>
                <w:sz w:val="20"/>
                <w:szCs w:val="20"/>
              </w:rPr>
              <w:t>Canada</w:t>
            </w:r>
          </w:p>
        </w:tc>
        <w:tc>
          <w:tcPr>
            <w:tcW w:w="50" w:type="pct"/>
            <w:shd w:val="clear" w:color="auto" w:fill="FFFFFF"/>
            <w:vAlign w:val="center"/>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 </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Pivot Naturals, LLC (from date of acquisition on February 28, 2018)</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pStyle w:val="NormalWeb"/>
              <w:spacing w:before="0" w:beforeAutospacing="0" w:after="0" w:afterAutospacing="0"/>
              <w:jc w:val="center"/>
              <w:rPr>
                <w:sz w:val="20"/>
                <w:szCs w:val="20"/>
              </w:rPr>
            </w:pPr>
            <w:r>
              <w:rPr>
                <w:sz w:val="20"/>
                <w:szCs w:val="20"/>
              </w:rPr>
              <w:t>100%</w:t>
            </w:r>
          </w:p>
        </w:tc>
        <w:tc>
          <w:tcPr>
            <w:tcW w:w="50" w:type="pct"/>
            <w:shd w:val="clear" w:color="auto" w:fill="CCEEFF"/>
            <w:vAlign w:val="bottom"/>
            <w:hideMark/>
          </w:tcPr>
          <w:p w:rsidR="00000000" w:rsidRDefault="00150086">
            <w:pPr>
              <w:spacing w:before="0" w:beforeAutospacing="0" w:after="0" w:afterAutospacing="0"/>
              <w:jc w:val="both"/>
              <w:rPr>
                <w:rFonts w:eastAsia="Times New Roman"/>
                <w:sz w:val="20"/>
                <w:szCs w:val="20"/>
              </w:rPr>
            </w:pP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150086">
            <w:pPr>
              <w:pStyle w:val="NormalWeb"/>
              <w:spacing w:before="0" w:beforeAutospacing="0" w:after="0" w:afterAutospacing="0"/>
              <w:jc w:val="center"/>
              <w:rPr>
                <w:sz w:val="20"/>
                <w:szCs w:val="20"/>
              </w:rPr>
            </w:pPr>
            <w:r>
              <w:rPr>
                <w:sz w:val="20"/>
                <w:szCs w:val="20"/>
              </w:rPr>
              <w:t>U.S.A.</w:t>
            </w:r>
          </w:p>
        </w:tc>
        <w:tc>
          <w:tcPr>
            <w:tcW w:w="50" w:type="pct"/>
            <w:shd w:val="clear" w:color="auto" w:fill="CCEEFF"/>
            <w:vAlign w:val="center"/>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 </w:t>
            </w:r>
          </w:p>
        </w:tc>
      </w:tr>
      <w:tr w:rsidR="00000000">
        <w:trPr>
          <w:divId w:val="7608861"/>
          <w:tblCellSpacing w:w="0" w:type="dxa"/>
          <w:jc w:val="center"/>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Thrudermic, LLC (from date of acquisition on March 2, 2018)</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center"/>
              <w:rPr>
                <w:sz w:val="20"/>
                <w:szCs w:val="20"/>
              </w:rPr>
            </w:pPr>
            <w:r>
              <w:rPr>
                <w:sz w:val="20"/>
                <w:szCs w:val="20"/>
              </w:rPr>
              <w:t>100%</w:t>
            </w:r>
          </w:p>
        </w:tc>
        <w:tc>
          <w:tcPr>
            <w:tcW w:w="50" w:type="pct"/>
            <w:shd w:val="clear" w:color="auto" w:fill="FFFFFF"/>
            <w:vAlign w:val="bottom"/>
            <w:hideMark/>
          </w:tcPr>
          <w:p w:rsidR="00000000" w:rsidRDefault="00150086">
            <w:pPr>
              <w:spacing w:before="0" w:beforeAutospacing="0" w:after="0" w:afterAutospacing="0"/>
              <w:jc w:val="both"/>
              <w:rPr>
                <w:rFonts w:eastAsia="Times New Roman"/>
                <w:sz w:val="20"/>
                <w:szCs w:val="20"/>
              </w:rPr>
            </w:pP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50086">
            <w:pPr>
              <w:pStyle w:val="NormalWeb"/>
              <w:spacing w:before="0" w:beforeAutospacing="0" w:after="0" w:afterAutospacing="0"/>
              <w:jc w:val="center"/>
              <w:rPr>
                <w:sz w:val="20"/>
                <w:szCs w:val="20"/>
              </w:rPr>
            </w:pPr>
            <w:r>
              <w:rPr>
                <w:sz w:val="20"/>
                <w:szCs w:val="20"/>
              </w:rPr>
              <w:t>U.S.A.</w:t>
            </w:r>
          </w:p>
        </w:tc>
        <w:tc>
          <w:tcPr>
            <w:tcW w:w="50" w:type="pct"/>
            <w:shd w:val="clear" w:color="auto" w:fill="FFFFFF"/>
            <w:vAlign w:val="center"/>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 </w:t>
            </w:r>
          </w:p>
        </w:tc>
      </w:tr>
    </w:tbl>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ind w:left="675"/>
        <w:jc w:val="both"/>
        <w:divId w:val="7608861"/>
        <w:rPr>
          <w:sz w:val="20"/>
          <w:szCs w:val="20"/>
        </w:rPr>
      </w:pPr>
      <w:r>
        <w:rPr>
          <w:sz w:val="20"/>
          <w:szCs w:val="20"/>
        </w:rPr>
        <w:t>(e) Loss Per Share</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ind w:left="1350"/>
        <w:jc w:val="both"/>
        <w:divId w:val="7608861"/>
        <w:rPr>
          <w:sz w:val="20"/>
          <w:szCs w:val="20"/>
        </w:rPr>
      </w:pPr>
      <w:r>
        <w:rPr>
          <w:sz w:val="20"/>
          <w:szCs w:val="20"/>
        </w:rPr>
        <w:t xml:space="preserve">The Company computes net loss per share in accordance with ASC 260, </w:t>
      </w:r>
      <w:r>
        <w:rPr>
          <w:i/>
          <w:iCs/>
          <w:sz w:val="20"/>
          <w:szCs w:val="20"/>
        </w:rPr>
        <w:t xml:space="preserve">Earnings Per Share. </w:t>
      </w:r>
      <w:r>
        <w:rPr>
          <w:sz w:val="20"/>
          <w:szCs w:val="20"/>
        </w:rPr>
        <w:t>ASC 260 requires presentation of both basic and diluted earnings per share (“EPS”</w:t>
      </w:r>
      <w:r>
        <w:rPr>
          <w:sz w:val="20"/>
          <w:szCs w:val="20"/>
        </w:rPr>
        <w:t>) on the face of the consolidated statement of operations. Basic EPS is computed by dividing net income (loss) available to common shareholders (numerator) by the weighted average number of shares outstanding (denominator) during the period. Diluted EPS ex</w:t>
      </w:r>
      <w:r>
        <w:rPr>
          <w:sz w:val="20"/>
          <w:szCs w:val="20"/>
        </w:rPr>
        <w:t>cludes all dilutive potential shares if their effect is anti dilutive. As at October 31, 2018, the Company had 29,776,226 (January 31, 2018 – 6,153,764) potentially dilutive shares.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ind w:left="675"/>
        <w:jc w:val="both"/>
        <w:divId w:val="7608861"/>
        <w:rPr>
          <w:sz w:val="20"/>
          <w:szCs w:val="20"/>
        </w:rPr>
      </w:pPr>
      <w:r>
        <w:rPr>
          <w:sz w:val="20"/>
          <w:szCs w:val="20"/>
        </w:rPr>
        <w:t>(f) Financial Instruments and Fair Value Measures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ind w:left="1350"/>
        <w:jc w:val="both"/>
        <w:divId w:val="7608861"/>
        <w:rPr>
          <w:sz w:val="20"/>
          <w:szCs w:val="20"/>
        </w:rPr>
      </w:pPr>
      <w:r>
        <w:rPr>
          <w:sz w:val="20"/>
          <w:szCs w:val="20"/>
        </w:rPr>
        <w:t>ASC 820, Fair Value Measurements, requires an entity to maximize the use of observable inputs and minimize the use of unobservable inputs when measuring fair value. ASC 820 establishes a fair value hierarchy based on the level of independent, objective evi</w:t>
      </w:r>
      <w:r>
        <w:rPr>
          <w:sz w:val="20"/>
          <w:szCs w:val="20"/>
        </w:rPr>
        <w:t xml:space="preserve">dence surrounding the inputs used to measure fair value. A financial instrument’s categorization within the fair value hierarchy is based upon the lowest level of input that is significant to the fair value measurement. ASC 820 prioritizes the inputs into </w:t>
      </w:r>
      <w:r>
        <w:rPr>
          <w:sz w:val="20"/>
          <w:szCs w:val="20"/>
        </w:rPr>
        <w:t>three levels that may be used to measure fair value:</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ind w:left="2025"/>
        <w:jc w:val="both"/>
        <w:divId w:val="7608861"/>
        <w:rPr>
          <w:sz w:val="20"/>
          <w:szCs w:val="20"/>
        </w:rPr>
      </w:pPr>
      <w:r>
        <w:rPr>
          <w:sz w:val="20"/>
          <w:szCs w:val="20"/>
        </w:rPr>
        <w:lastRenderedPageBreak/>
        <w:t>Level 1: Level 1 applies to assets or liabilities for which there are quoted prices in active markets for identical assets or liabilities.</w:t>
      </w:r>
    </w:p>
    <w:p w:rsidR="00000000" w:rsidRDefault="00150086">
      <w:pPr>
        <w:pStyle w:val="NormalWeb"/>
        <w:spacing w:before="0" w:beforeAutospacing="0" w:after="0" w:afterAutospacing="0"/>
        <w:ind w:left="2025"/>
        <w:jc w:val="both"/>
        <w:divId w:val="7608861"/>
        <w:rPr>
          <w:sz w:val="20"/>
          <w:szCs w:val="20"/>
        </w:rPr>
      </w:pPr>
      <w:r>
        <w:rPr>
          <w:sz w:val="20"/>
          <w:szCs w:val="20"/>
        </w:rPr>
        <w:t> </w:t>
      </w:r>
    </w:p>
    <w:p w:rsidR="00000000" w:rsidRDefault="00150086">
      <w:pPr>
        <w:pStyle w:val="NormalWeb"/>
        <w:spacing w:before="0" w:beforeAutospacing="0" w:after="0" w:afterAutospacing="0"/>
        <w:ind w:left="2025"/>
        <w:jc w:val="both"/>
        <w:divId w:val="7608861"/>
        <w:rPr>
          <w:sz w:val="20"/>
          <w:szCs w:val="20"/>
        </w:rPr>
      </w:pPr>
      <w:r>
        <w:rPr>
          <w:sz w:val="20"/>
          <w:szCs w:val="20"/>
        </w:rPr>
        <w:t xml:space="preserve">Level 2: Level 2 applies to assets or liabilities for which </w:t>
      </w:r>
      <w:r>
        <w:rPr>
          <w:sz w:val="20"/>
          <w:szCs w:val="20"/>
        </w:rPr>
        <w:t>there are inputs other than quoted prices that are observable for the asset or liability such as quoted prices for similar assets or liabilities in active markets; quoted prices for identical assets or liabilities in markets with insufficient volume or inf</w:t>
      </w:r>
      <w:r>
        <w:rPr>
          <w:sz w:val="20"/>
          <w:szCs w:val="20"/>
        </w:rPr>
        <w:t>requent transactions (less active markets); or model-derived valuations in which significant inputs are observable or can be derived principally from, or corroborated by, observable market data.</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tcBorders>
              <w:bottom w:val="single" w:sz="6" w:space="0" w:color="000000"/>
            </w:tcBorders>
            <w:vAlign w:val="center"/>
            <w:hideMark/>
          </w:tcPr>
          <w:p w:rsidR="00000000" w:rsidRDefault="00150086">
            <w:pPr>
              <w:spacing w:before="0" w:beforeAutospacing="0" w:after="0" w:afterAutospacing="0"/>
              <w:jc w:val="center"/>
              <w:rPr>
                <w:rFonts w:eastAsia="Times New Roman"/>
                <w:sz w:val="20"/>
                <w:szCs w:val="20"/>
              </w:rPr>
            </w:pPr>
            <w:r>
              <w:rPr>
                <w:rFonts w:eastAsia="Times New Roman"/>
                <w:sz w:val="20"/>
                <w:szCs w:val="20"/>
              </w:rPr>
              <w:t>9</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50086">
      <w:pPr>
        <w:pStyle w:val="NormalWeb"/>
        <w:spacing w:before="0" w:beforeAutospacing="0" w:after="0" w:afterAutospacing="0"/>
        <w:jc w:val="both"/>
        <w:divId w:val="7608861"/>
        <w:rPr>
          <w:sz w:val="20"/>
          <w:szCs w:val="20"/>
        </w:rPr>
      </w:pPr>
      <w:r>
        <w:rPr>
          <w:sz w:val="20"/>
          <w:szCs w:val="20"/>
        </w:rPr>
        <w:t xml:space="preserve">      </w:t>
      </w:r>
    </w:p>
    <w:p w:rsidR="00000000" w:rsidRDefault="00150086">
      <w:pPr>
        <w:pStyle w:val="NormalWeb"/>
        <w:spacing w:before="0" w:beforeAutospacing="0" w:after="0" w:afterAutospacing="0"/>
        <w:jc w:val="both"/>
        <w:divId w:val="7608861"/>
        <w:rPr>
          <w:sz w:val="20"/>
          <w:szCs w:val="20"/>
        </w:rPr>
      </w:pPr>
      <w:r>
        <w:rPr>
          <w:b/>
          <w:bCs/>
          <w:sz w:val="20"/>
          <w:szCs w:val="20"/>
        </w:rPr>
        <w:t>PIVOT PHARMACEUTICALS INC.</w:t>
      </w:r>
    </w:p>
    <w:p w:rsidR="00000000" w:rsidRDefault="00150086">
      <w:pPr>
        <w:pStyle w:val="NormalWeb"/>
        <w:spacing w:before="0" w:beforeAutospacing="0" w:after="0" w:afterAutospacing="0"/>
        <w:jc w:val="both"/>
        <w:divId w:val="7608861"/>
        <w:rPr>
          <w:sz w:val="20"/>
          <w:szCs w:val="20"/>
        </w:rPr>
      </w:pPr>
      <w:r>
        <w:rPr>
          <w:sz w:val="20"/>
          <w:szCs w:val="20"/>
        </w:rPr>
        <w:t>Notes to the Condensed Consolidated Financial Statements (Unaudited)</w:t>
      </w:r>
    </w:p>
    <w:p w:rsidR="00000000" w:rsidRDefault="00150086">
      <w:pPr>
        <w:pStyle w:val="NormalWeb"/>
        <w:spacing w:before="0" w:beforeAutospacing="0" w:after="0" w:afterAutospacing="0"/>
        <w:jc w:val="both"/>
        <w:divId w:val="7608861"/>
        <w:rPr>
          <w:sz w:val="20"/>
          <w:szCs w:val="20"/>
        </w:rPr>
      </w:pPr>
      <w:r>
        <w:rPr>
          <w:sz w:val="20"/>
          <w:szCs w:val="20"/>
        </w:rPr>
        <w:t>Period ended October 31, 2018</w:t>
      </w:r>
    </w:p>
    <w:p w:rsidR="00000000" w:rsidRDefault="00150086">
      <w:pPr>
        <w:pStyle w:val="NormalWeb"/>
        <w:spacing w:before="0" w:beforeAutospacing="0" w:after="0" w:afterAutospacing="0"/>
        <w:jc w:val="both"/>
        <w:divId w:val="7608861"/>
        <w:rPr>
          <w:sz w:val="20"/>
          <w:szCs w:val="20"/>
        </w:rPr>
      </w:pPr>
      <w:r>
        <w:rPr>
          <w:sz w:val="20"/>
          <w:szCs w:val="20"/>
        </w:rPr>
        <w:t>(Expressed in U.S. dollars)</w:t>
      </w:r>
    </w:p>
    <w:p w:rsidR="00000000" w:rsidRDefault="00150086">
      <w:pPr>
        <w:pStyle w:val="NormalWeb"/>
        <w:spacing w:before="0" w:beforeAutospacing="0" w:after="0" w:afterAutospacing="0"/>
        <w:jc w:val="both"/>
        <w:divId w:val="7608861"/>
        <w:rPr>
          <w:b/>
          <w:bCs/>
          <w:sz w:val="20"/>
          <w:szCs w:val="20"/>
        </w:rPr>
      </w:pPr>
      <w:r>
        <w:rPr>
          <w:b/>
          <w:bCs/>
          <w:sz w:val="20"/>
          <w:szCs w:val="20"/>
        </w:rPr>
        <w:t xml:space="preserve">   </w:t>
      </w:r>
    </w:p>
    <w:p w:rsidR="00000000" w:rsidRDefault="00150086">
      <w:pPr>
        <w:spacing w:before="0" w:beforeAutospacing="0" w:after="0" w:afterAutospacing="0"/>
        <w:jc w:val="both"/>
        <w:divId w:val="7608861"/>
        <w:rPr>
          <w:rFonts w:eastAsia="Times New Roman"/>
          <w:sz w:val="20"/>
          <w:szCs w:val="20"/>
        </w:rPr>
      </w:pPr>
      <w:r>
        <w:rPr>
          <w:rFonts w:eastAsia="Times New Roman"/>
          <w:b/>
          <w:bCs/>
          <w:sz w:val="20"/>
          <w:szCs w:val="20"/>
        </w:rPr>
        <w:t>2. Significant Accounting Policies</w:t>
      </w:r>
      <w:r>
        <w:rPr>
          <w:rFonts w:eastAsia="Times New Roman"/>
          <w:sz w:val="20"/>
          <w:szCs w:val="20"/>
        </w:rPr>
        <w:t xml:space="preserve"> (continued) </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ind w:left="1350"/>
        <w:jc w:val="both"/>
        <w:divId w:val="7608861"/>
        <w:rPr>
          <w:sz w:val="20"/>
          <w:szCs w:val="20"/>
        </w:rPr>
      </w:pPr>
      <w:r>
        <w:rPr>
          <w:sz w:val="20"/>
          <w:szCs w:val="20"/>
        </w:rPr>
        <w:t>Level 3: Level 3 applie</w:t>
      </w:r>
      <w:r>
        <w:rPr>
          <w:sz w:val="20"/>
          <w:szCs w:val="20"/>
        </w:rPr>
        <w:t>s to assets or liabilities for which there are unobservable inputs to the valuation methodology that are significant to the measurement of the fair value of the assets or liabilities.</w:t>
      </w:r>
    </w:p>
    <w:p w:rsidR="00000000" w:rsidRDefault="00150086">
      <w:pPr>
        <w:pStyle w:val="NormalWeb"/>
        <w:spacing w:before="0" w:beforeAutospacing="0" w:after="0" w:afterAutospacing="0"/>
        <w:jc w:val="both"/>
        <w:divId w:val="7608861"/>
        <w:rPr>
          <w:sz w:val="20"/>
          <w:szCs w:val="20"/>
        </w:rPr>
      </w:pPr>
      <w:r>
        <w:rPr>
          <w:sz w:val="20"/>
          <w:szCs w:val="20"/>
        </w:rPr>
        <w:t xml:space="preserve">  </w:t>
      </w:r>
    </w:p>
    <w:p w:rsidR="00000000" w:rsidRDefault="00150086">
      <w:pPr>
        <w:pStyle w:val="NormalWeb"/>
        <w:spacing w:before="0" w:beforeAutospacing="0" w:after="0" w:afterAutospacing="0"/>
        <w:ind w:left="1350"/>
        <w:jc w:val="both"/>
        <w:divId w:val="7608861"/>
        <w:rPr>
          <w:sz w:val="20"/>
          <w:szCs w:val="20"/>
        </w:rPr>
      </w:pPr>
      <w:r>
        <w:rPr>
          <w:sz w:val="20"/>
          <w:szCs w:val="20"/>
        </w:rPr>
        <w:t>The Company’</w:t>
      </w:r>
      <w:r>
        <w:rPr>
          <w:sz w:val="20"/>
          <w:szCs w:val="20"/>
        </w:rPr>
        <w:t>s financial instruments consist principally of cash, amounts receivable, accounts payable and accrued liabilities, due to related parties, convertible debenture and promissory note. Pursuant to ASC 820, the fair value of our cash is determined based on “Le</w:t>
      </w:r>
      <w:r>
        <w:rPr>
          <w:sz w:val="20"/>
          <w:szCs w:val="20"/>
        </w:rPr>
        <w:t>vel 1” inputs, which consist of quoted prices in active markets for identical assets. The recorded values of all other financial instruments approximate their current fair values because of their nature and respective maturity dates or durations.</w:t>
      </w:r>
    </w:p>
    <w:p w:rsidR="00000000" w:rsidRDefault="00150086">
      <w:pPr>
        <w:pStyle w:val="NormalWeb"/>
        <w:spacing w:before="0" w:beforeAutospacing="0" w:after="0" w:afterAutospacing="0"/>
        <w:jc w:val="both"/>
        <w:divId w:val="7608861"/>
        <w:rPr>
          <w:sz w:val="20"/>
          <w:szCs w:val="20"/>
        </w:rPr>
      </w:pPr>
      <w:r>
        <w:rPr>
          <w:sz w:val="20"/>
          <w:szCs w:val="20"/>
        </w:rPr>
        <w:t xml:space="preserve">   </w:t>
      </w:r>
    </w:p>
    <w:p w:rsidR="00000000" w:rsidRDefault="00150086">
      <w:pPr>
        <w:pStyle w:val="NormalWeb"/>
        <w:spacing w:before="0" w:beforeAutospacing="0" w:after="0" w:afterAutospacing="0"/>
        <w:ind w:left="675"/>
        <w:jc w:val="both"/>
        <w:divId w:val="7608861"/>
        <w:rPr>
          <w:sz w:val="20"/>
          <w:szCs w:val="20"/>
        </w:rPr>
      </w:pPr>
      <w:r>
        <w:rPr>
          <w:sz w:val="20"/>
          <w:szCs w:val="20"/>
        </w:rPr>
        <w:t>(g) R</w:t>
      </w:r>
      <w:r>
        <w:rPr>
          <w:sz w:val="20"/>
          <w:szCs w:val="20"/>
        </w:rPr>
        <w:t>ecent Accounting Pronouncements</w:t>
      </w:r>
    </w:p>
    <w:p w:rsidR="00000000" w:rsidRDefault="00150086">
      <w:pPr>
        <w:pStyle w:val="NormalWeb"/>
        <w:spacing w:before="0" w:beforeAutospacing="0" w:after="0" w:afterAutospacing="0"/>
        <w:jc w:val="both"/>
        <w:divId w:val="7608861"/>
        <w:rPr>
          <w:sz w:val="20"/>
          <w:szCs w:val="20"/>
        </w:rPr>
      </w:pPr>
      <w:r>
        <w:rPr>
          <w:sz w:val="20"/>
          <w:szCs w:val="20"/>
        </w:rPr>
        <w:t xml:space="preserve">   </w:t>
      </w:r>
    </w:p>
    <w:p w:rsidR="00000000" w:rsidRDefault="00150086">
      <w:pPr>
        <w:pStyle w:val="NormalWeb"/>
        <w:spacing w:before="0" w:beforeAutospacing="0" w:after="0" w:afterAutospacing="0"/>
        <w:ind w:left="1350"/>
        <w:jc w:val="both"/>
        <w:divId w:val="7608861"/>
        <w:rPr>
          <w:sz w:val="20"/>
          <w:szCs w:val="20"/>
        </w:rPr>
      </w:pPr>
      <w:r>
        <w:rPr>
          <w:sz w:val="20"/>
          <w:szCs w:val="20"/>
        </w:rPr>
        <w:t xml:space="preserve">The Company has implemented all new accounting pronouncements that are in effect and that may impact its consolidated financial statements and does not believe that there are any other new accounting pronouncements that </w:t>
      </w:r>
      <w:r>
        <w:rPr>
          <w:sz w:val="20"/>
          <w:szCs w:val="20"/>
        </w:rPr>
        <w:t>have been issued that might have a material impact on its consolidated financial position or results of operations.</w:t>
      </w:r>
    </w:p>
    <w:p w:rsidR="00000000" w:rsidRDefault="00150086">
      <w:pPr>
        <w:pStyle w:val="NormalWeb"/>
        <w:spacing w:before="0" w:beforeAutospacing="0" w:after="0" w:afterAutospacing="0"/>
        <w:jc w:val="both"/>
        <w:divId w:val="7608861"/>
        <w:rPr>
          <w:sz w:val="20"/>
          <w:szCs w:val="20"/>
        </w:rPr>
      </w:pPr>
      <w:r>
        <w:rPr>
          <w:sz w:val="20"/>
          <w:szCs w:val="20"/>
        </w:rPr>
        <w:t xml:space="preserve">   </w:t>
      </w:r>
    </w:p>
    <w:p w:rsidR="00000000" w:rsidRDefault="00150086">
      <w:pPr>
        <w:pStyle w:val="NormalWeb"/>
        <w:spacing w:before="0" w:beforeAutospacing="0" w:after="0" w:afterAutospacing="0"/>
        <w:jc w:val="both"/>
        <w:divId w:val="7608861"/>
        <w:rPr>
          <w:sz w:val="20"/>
          <w:szCs w:val="20"/>
        </w:rPr>
      </w:pPr>
      <w:r>
        <w:rPr>
          <w:b/>
          <w:bCs/>
          <w:sz w:val="20"/>
          <w:szCs w:val="20"/>
        </w:rPr>
        <w:t>3. Asset Acquisitions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ind w:left="675"/>
        <w:jc w:val="both"/>
        <w:divId w:val="7608861"/>
        <w:rPr>
          <w:sz w:val="20"/>
          <w:szCs w:val="20"/>
        </w:rPr>
      </w:pPr>
      <w:r>
        <w:rPr>
          <w:sz w:val="20"/>
          <w:szCs w:val="20"/>
        </w:rPr>
        <w:t>(a) Thrudermic Transdermal Nanotechnology</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ind w:left="1350"/>
        <w:jc w:val="both"/>
        <w:divId w:val="7608861"/>
        <w:rPr>
          <w:sz w:val="20"/>
          <w:szCs w:val="20"/>
        </w:rPr>
      </w:pPr>
      <w:r>
        <w:rPr>
          <w:sz w:val="20"/>
          <w:szCs w:val="20"/>
        </w:rPr>
        <w:t>On March 2, 2018, the Company entered into an exchange agreement wit</w:t>
      </w:r>
      <w:r>
        <w:rPr>
          <w:sz w:val="20"/>
          <w:szCs w:val="20"/>
        </w:rPr>
        <w:t>h Thrudermic, LLC (“Thrudermic”) and the members of Thrudermic whereby the Company paid $1.00 for the issued and outstanding units of Thrudermic and issued 500,000 shares of common stock (Notes 8 and 11(b)) to the members of Thrudermic for their intellectu</w:t>
      </w:r>
      <w:r>
        <w:rPr>
          <w:sz w:val="20"/>
          <w:szCs w:val="20"/>
        </w:rPr>
        <w:t>al property portfolio, including patents, goodwill and know-how in connection with the Thrudermic Transdermal Nanotechnology.</w:t>
      </w:r>
    </w:p>
    <w:p w:rsidR="00000000" w:rsidRDefault="00150086">
      <w:pPr>
        <w:pStyle w:val="NormalWeb"/>
        <w:spacing w:before="0" w:beforeAutospacing="0" w:after="0" w:afterAutospacing="0"/>
        <w:ind w:left="1350"/>
        <w:jc w:val="both"/>
        <w:divId w:val="7608861"/>
        <w:rPr>
          <w:sz w:val="20"/>
          <w:szCs w:val="20"/>
        </w:rPr>
      </w:pPr>
      <w:r>
        <w:rPr>
          <w:sz w:val="20"/>
          <w:szCs w:val="20"/>
        </w:rPr>
        <w:t> </w:t>
      </w:r>
    </w:p>
    <w:p w:rsidR="00000000" w:rsidRDefault="00150086">
      <w:pPr>
        <w:pStyle w:val="NormalWeb"/>
        <w:spacing w:before="0" w:beforeAutospacing="0" w:after="0" w:afterAutospacing="0"/>
        <w:ind w:left="1350"/>
        <w:jc w:val="both"/>
        <w:divId w:val="7608861"/>
        <w:rPr>
          <w:sz w:val="20"/>
          <w:szCs w:val="20"/>
        </w:rPr>
      </w:pPr>
      <w:r>
        <w:rPr>
          <w:sz w:val="20"/>
          <w:szCs w:val="20"/>
        </w:rPr>
        <w:t>The Company evaluated this acquisition in accordance with ASC 805, Business Combinations (10-55-4) to discern whether the assets</w:t>
      </w:r>
      <w:r>
        <w:rPr>
          <w:sz w:val="20"/>
          <w:szCs w:val="20"/>
        </w:rPr>
        <w:t xml:space="preserve"> and operations of IndUS met the definition of a business. The Company concluded there were not a sufficient number of key processes obtained to develop the inputs into outputs, nor could such processes be easily obtained by the Company. Accordingly, the C</w:t>
      </w:r>
      <w:r>
        <w:rPr>
          <w:sz w:val="20"/>
          <w:szCs w:val="20"/>
        </w:rPr>
        <w:t>ompany accounted for this transaction as the acquisition of assets at cost of $805,000 Canadian Dollars ($624,467 US Dollars).</w:t>
      </w:r>
    </w:p>
    <w:p w:rsidR="00000000" w:rsidRDefault="00150086">
      <w:pPr>
        <w:pStyle w:val="NormalWeb"/>
        <w:spacing w:before="0" w:beforeAutospacing="0" w:after="0" w:afterAutospacing="0"/>
        <w:jc w:val="both"/>
        <w:divId w:val="7608861"/>
        <w:rPr>
          <w:sz w:val="20"/>
          <w:szCs w:val="20"/>
        </w:rPr>
      </w:pPr>
      <w:r>
        <w:rPr>
          <w:sz w:val="20"/>
          <w:szCs w:val="20"/>
        </w:rPr>
        <w:lastRenderedPageBreak/>
        <w:t> </w:t>
      </w:r>
    </w:p>
    <w:p w:rsidR="00000000" w:rsidRDefault="00150086">
      <w:pPr>
        <w:pStyle w:val="NormalWeb"/>
        <w:spacing w:before="0" w:beforeAutospacing="0" w:after="0" w:afterAutospacing="0"/>
        <w:ind w:left="675"/>
        <w:jc w:val="both"/>
        <w:divId w:val="7608861"/>
        <w:rPr>
          <w:sz w:val="20"/>
          <w:szCs w:val="20"/>
        </w:rPr>
      </w:pPr>
      <w:r>
        <w:rPr>
          <w:sz w:val="20"/>
          <w:szCs w:val="20"/>
        </w:rPr>
        <w:t>(b) Solumer Oral Drug Delivery Technology</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ind w:left="1350"/>
        <w:jc w:val="both"/>
        <w:divId w:val="7608861"/>
        <w:rPr>
          <w:sz w:val="20"/>
          <w:szCs w:val="20"/>
        </w:rPr>
      </w:pPr>
      <w:r>
        <w:rPr>
          <w:sz w:val="20"/>
          <w:szCs w:val="20"/>
        </w:rPr>
        <w:t>On August 7, 2018, the Company entered into a licensing agreement with Solubest Ltd</w:t>
      </w:r>
      <w:r>
        <w:rPr>
          <w:sz w:val="20"/>
          <w:szCs w:val="20"/>
        </w:rPr>
        <w:t>. (“Solubest”) whereby the Company will acquire worldwide rights for the use, development and commercialization of Solubest’s Solumer Oral Drug Technology solely for the improved bio-availability, delivery and commercialization of Cannabinoid and Tetrahydr</w:t>
      </w:r>
      <w:r>
        <w:rPr>
          <w:sz w:val="20"/>
          <w:szCs w:val="20"/>
        </w:rPr>
        <w:t>ocannabinol-based products for human and animal use. Financial considerations include: 1) Monthly license fee until commercialization date ($20,000); 2) Monthly development fee ($10,000); 3) Milestone payments upon commercialization ($150,000) and upon net</w:t>
      </w:r>
      <w:r>
        <w:rPr>
          <w:sz w:val="20"/>
          <w:szCs w:val="20"/>
        </w:rPr>
        <w:t xml:space="preserve"> sales of $5,000,000 ($250,000). Other consideration include royalties on aggregate net sales. </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tcBorders>
              <w:bottom w:val="single" w:sz="6" w:space="0" w:color="000000"/>
            </w:tcBorders>
            <w:vAlign w:val="center"/>
            <w:hideMark/>
          </w:tcPr>
          <w:p w:rsidR="00000000" w:rsidRDefault="00150086">
            <w:pPr>
              <w:spacing w:before="0" w:beforeAutospacing="0" w:after="0" w:afterAutospacing="0"/>
              <w:jc w:val="center"/>
              <w:rPr>
                <w:rFonts w:eastAsia="Times New Roman"/>
                <w:sz w:val="20"/>
                <w:szCs w:val="20"/>
              </w:rPr>
            </w:pPr>
            <w:r>
              <w:rPr>
                <w:rFonts w:eastAsia="Times New Roman"/>
                <w:sz w:val="20"/>
                <w:szCs w:val="20"/>
              </w:rPr>
              <w:t>10</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50086">
      <w:pPr>
        <w:pStyle w:val="NormalWeb"/>
        <w:spacing w:before="0" w:beforeAutospacing="0" w:after="0" w:afterAutospacing="0"/>
        <w:jc w:val="both"/>
        <w:divId w:val="7608861"/>
        <w:rPr>
          <w:sz w:val="20"/>
          <w:szCs w:val="20"/>
        </w:rPr>
      </w:pPr>
      <w:r>
        <w:rPr>
          <w:sz w:val="20"/>
          <w:szCs w:val="20"/>
        </w:rPr>
        <w:t xml:space="preserve">    </w:t>
      </w:r>
    </w:p>
    <w:p w:rsidR="00000000" w:rsidRDefault="00150086">
      <w:pPr>
        <w:pStyle w:val="NormalWeb"/>
        <w:spacing w:before="0" w:beforeAutospacing="0" w:after="0" w:afterAutospacing="0"/>
        <w:jc w:val="both"/>
        <w:divId w:val="7608861"/>
        <w:rPr>
          <w:sz w:val="20"/>
          <w:szCs w:val="20"/>
        </w:rPr>
      </w:pPr>
      <w:r>
        <w:rPr>
          <w:b/>
          <w:bCs/>
          <w:sz w:val="20"/>
          <w:szCs w:val="20"/>
        </w:rPr>
        <w:t>PIVOT PHARMACEUTICALS INC.</w:t>
      </w:r>
    </w:p>
    <w:p w:rsidR="00000000" w:rsidRDefault="00150086">
      <w:pPr>
        <w:pStyle w:val="NormalWeb"/>
        <w:spacing w:before="0" w:beforeAutospacing="0" w:after="0" w:afterAutospacing="0"/>
        <w:jc w:val="both"/>
        <w:divId w:val="7608861"/>
        <w:rPr>
          <w:sz w:val="20"/>
          <w:szCs w:val="20"/>
        </w:rPr>
      </w:pPr>
      <w:r>
        <w:rPr>
          <w:sz w:val="20"/>
          <w:szCs w:val="20"/>
        </w:rPr>
        <w:t>Notes to the Condensed Consolidated Financial Statements (Unaudited)</w:t>
      </w:r>
    </w:p>
    <w:p w:rsidR="00000000" w:rsidRDefault="00150086">
      <w:pPr>
        <w:pStyle w:val="NormalWeb"/>
        <w:spacing w:before="0" w:beforeAutospacing="0" w:after="0" w:afterAutospacing="0"/>
        <w:jc w:val="both"/>
        <w:divId w:val="7608861"/>
        <w:rPr>
          <w:sz w:val="20"/>
          <w:szCs w:val="20"/>
        </w:rPr>
      </w:pPr>
      <w:r>
        <w:rPr>
          <w:sz w:val="20"/>
          <w:szCs w:val="20"/>
        </w:rPr>
        <w:t>Period ended October 31, 2018</w:t>
      </w:r>
    </w:p>
    <w:p w:rsidR="00000000" w:rsidRDefault="00150086">
      <w:pPr>
        <w:pStyle w:val="NormalWeb"/>
        <w:spacing w:before="0" w:beforeAutospacing="0" w:after="0" w:afterAutospacing="0"/>
        <w:jc w:val="both"/>
        <w:divId w:val="7608861"/>
        <w:rPr>
          <w:sz w:val="20"/>
          <w:szCs w:val="20"/>
        </w:rPr>
      </w:pPr>
      <w:r>
        <w:rPr>
          <w:sz w:val="20"/>
          <w:szCs w:val="20"/>
        </w:rPr>
        <w:t>(Expressed in U.S. dollars)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spacing w:before="0" w:beforeAutospacing="0" w:after="0" w:afterAutospacing="0"/>
        <w:jc w:val="both"/>
        <w:divId w:val="7608861"/>
        <w:rPr>
          <w:rFonts w:eastAsia="Times New Roman"/>
          <w:sz w:val="20"/>
          <w:szCs w:val="20"/>
        </w:rPr>
      </w:pPr>
      <w:r>
        <w:rPr>
          <w:rFonts w:eastAsia="Times New Roman"/>
          <w:b/>
          <w:bCs/>
          <w:sz w:val="20"/>
          <w:szCs w:val="20"/>
        </w:rPr>
        <w:t>4. Business Acquisition</w:t>
      </w:r>
      <w:r>
        <w:rPr>
          <w:rFonts w:eastAsia="Times New Roman"/>
          <w:sz w:val="20"/>
          <w:szCs w:val="20"/>
        </w:rPr>
        <w:t xml:space="preserve">   On February 28, 2018, the Company completed the acquisition of Pivot Naturals, LLC (previously ERS Ho</w:t>
      </w:r>
      <w:r>
        <w:rPr>
          <w:rFonts w:eastAsia="Times New Roman"/>
          <w:sz w:val="20"/>
          <w:szCs w:val="20"/>
        </w:rPr>
        <w:t>ldings, LLC) (“Pivot Naturals”) pursuant to an exchange agreement dated as of February 10, 2018. As consideration for the purchase, the Company paid $333,333 in cash on closing, issued 5,000,000 shares of common stock (Note 11(a)) and will pay an additiona</w:t>
      </w:r>
      <w:r>
        <w:rPr>
          <w:rFonts w:eastAsia="Times New Roman"/>
          <w:sz w:val="20"/>
          <w:szCs w:val="20"/>
        </w:rPr>
        <w:t>l $333,333 six (6) and twelve (12) months after closing. Financial consideration include royalties on future annual net sales. On September 28, 2018, a payment of $326,666, representing a portion of the payment due six (6) months after closing, was made. T</w:t>
      </w:r>
      <w:r>
        <w:rPr>
          <w:rFonts w:eastAsia="Times New Roman"/>
          <w:sz w:val="20"/>
          <w:szCs w:val="20"/>
        </w:rPr>
        <w:t>he remainder of the payment due six (6) months after closing of $6,667 has been withheld due to infringement of the Company’s patent by the recipient. The acquisition obligation outstanding as at October 31, 2018 is $340,000.   The Company evaluated this a</w:t>
      </w:r>
      <w:r>
        <w:rPr>
          <w:rFonts w:eastAsia="Times New Roman"/>
          <w:sz w:val="20"/>
          <w:szCs w:val="20"/>
        </w:rPr>
        <w:t>cquisition in accordance with ASC 805, Business Combinations (10-55-4) to discern whether the assets and operations of Pivot Naturals met the definition of a business. The Company concluded there were a sufficient number of key processes obtained to develo</w:t>
      </w:r>
      <w:r>
        <w:rPr>
          <w:rFonts w:eastAsia="Times New Roman"/>
          <w:sz w:val="20"/>
          <w:szCs w:val="20"/>
        </w:rPr>
        <w:t xml:space="preserve">p the inputs into outputs and such processes be easily obtained by the Company. Accordingly, the Company accounted for this transaction as an acquisition of a business. </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ind w:left="675"/>
        <w:jc w:val="both"/>
        <w:divId w:val="7608861"/>
        <w:rPr>
          <w:sz w:val="20"/>
          <w:szCs w:val="20"/>
        </w:rPr>
      </w:pPr>
      <w:r>
        <w:rPr>
          <w:sz w:val="20"/>
          <w:szCs w:val="20"/>
        </w:rPr>
        <w:t>The consideration transferred, assets acquired and liabilities assumed recognized is</w:t>
      </w:r>
      <w:r>
        <w:rPr>
          <w:sz w:val="20"/>
          <w:szCs w:val="20"/>
        </w:rPr>
        <w:t xml:space="preserve"> as follows:</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4250" w:type="pct"/>
        <w:jc w:val="center"/>
        <w:tblCellSpacing w:w="0" w:type="dxa"/>
        <w:tblCellMar>
          <w:left w:w="0" w:type="dxa"/>
          <w:right w:w="0" w:type="dxa"/>
        </w:tblCellMar>
        <w:tblLook w:val="04A0"/>
      </w:tblPr>
      <w:tblGrid>
        <w:gridCol w:w="6968"/>
        <w:gridCol w:w="60"/>
        <w:gridCol w:w="61"/>
        <w:gridCol w:w="800"/>
        <w:gridCol w:w="67"/>
      </w:tblGrid>
      <w:tr w:rsidR="00000000">
        <w:trPr>
          <w:divId w:val="7608861"/>
          <w:tblCellSpacing w:w="0" w:type="dxa"/>
          <w:jc w:val="center"/>
        </w:trPr>
        <w:tc>
          <w:tcPr>
            <w:tcW w:w="0" w:type="auto"/>
            <w:tcBorders>
              <w:bottom w:val="single" w:sz="6" w:space="0" w:color="000000"/>
            </w:tcBorders>
            <w:vAlign w:val="bottom"/>
            <w:hideMark/>
          </w:tcPr>
          <w:p w:rsidR="00000000" w:rsidRDefault="00150086">
            <w:pPr>
              <w:pStyle w:val="NormalWeb"/>
              <w:spacing w:before="0" w:beforeAutospacing="0" w:after="0" w:afterAutospacing="0"/>
              <w:jc w:val="both"/>
              <w:rPr>
                <w:sz w:val="20"/>
                <w:szCs w:val="20"/>
              </w:rPr>
            </w:pPr>
            <w:r>
              <w:rPr>
                <w:b/>
                <w:bCs/>
                <w:sz w:val="20"/>
                <w:szCs w:val="20"/>
              </w:rPr>
              <w:t xml:space="preserve">Consideration paid: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Cash paid</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333,333</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Cash to be paid</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666,666</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Common stock issued</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5,150,000</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Total purchase price</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6,149,999</w:t>
            </w:r>
          </w:p>
        </w:tc>
        <w:tc>
          <w:tcPr>
            <w:tcW w:w="50" w:type="pct"/>
            <w:shd w:val="clear" w:color="auto" w:fill="FFFF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jc w:val="center"/>
        </w:trPr>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tcBorders>
              <w:bottom w:val="single" w:sz="6" w:space="0" w:color="000000"/>
            </w:tcBorders>
            <w:shd w:val="clear" w:color="auto" w:fill="FFFFFF"/>
            <w:hideMark/>
          </w:tcPr>
          <w:p w:rsidR="00000000" w:rsidRDefault="00150086">
            <w:pPr>
              <w:pStyle w:val="NormalWeb"/>
              <w:spacing w:before="0" w:beforeAutospacing="0" w:after="0" w:afterAutospacing="0"/>
              <w:jc w:val="both"/>
              <w:rPr>
                <w:sz w:val="20"/>
                <w:szCs w:val="20"/>
              </w:rPr>
            </w:pPr>
            <w:r>
              <w:rPr>
                <w:b/>
                <w:bCs/>
                <w:sz w:val="20"/>
                <w:szCs w:val="20"/>
              </w:rPr>
              <w:t xml:space="preserve">Net assets acquired: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000000"/>
            </w:tcBorders>
            <w:shd w:val="clear" w:color="auto" w:fill="FFFFFF"/>
            <w:vAlign w:val="center"/>
            <w:hideMark/>
          </w:tcPr>
          <w:p w:rsidR="00000000" w:rsidRDefault="00150086">
            <w:pPr>
              <w:pStyle w:val="NormalWeb"/>
              <w:spacing w:before="0" w:beforeAutospacing="0" w:after="0" w:afterAutospacing="0"/>
              <w:jc w:val="center"/>
              <w:rPr>
                <w:sz w:val="20"/>
                <w:szCs w:val="20"/>
              </w:rPr>
            </w:pPr>
            <w:r>
              <w:rPr>
                <w:b/>
                <w:bCs/>
                <w:sz w:val="20"/>
                <w:szCs w:val="20"/>
              </w:rPr>
              <w:t>$</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Cash</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2,152</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Equipment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4,037</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Intangible asset (patents)</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6,190,868</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Accounts payable and accrued liabilities</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(31,133</w:t>
            </w:r>
          </w:p>
        </w:tc>
        <w:tc>
          <w:tcPr>
            <w:tcW w:w="50" w:type="pct"/>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Loan payable</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(15,925</w:t>
            </w:r>
          </w:p>
        </w:tc>
        <w:tc>
          <w:tcPr>
            <w:tcW w:w="50" w:type="pct"/>
            <w:shd w:val="clear" w:color="auto" w:fill="CCEEFF"/>
            <w:tcMar>
              <w:top w:w="0" w:type="dxa"/>
              <w:left w:w="0" w:type="dxa"/>
              <w:bottom w:w="1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7608861"/>
          <w:tblCellSpacing w:w="0" w:type="dxa"/>
          <w:jc w:val="center"/>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Net value of business purchased</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6,149,999</w:t>
            </w:r>
          </w:p>
        </w:tc>
        <w:tc>
          <w:tcPr>
            <w:tcW w:w="50" w:type="pct"/>
            <w:shd w:val="clear" w:color="auto" w:fill="FFFF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bl>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ind w:left="675"/>
        <w:jc w:val="both"/>
        <w:divId w:val="7608861"/>
        <w:rPr>
          <w:sz w:val="20"/>
          <w:szCs w:val="20"/>
        </w:rPr>
      </w:pPr>
      <w:r>
        <w:rPr>
          <w:sz w:val="20"/>
          <w:szCs w:val="20"/>
        </w:rPr>
        <w:t xml:space="preserve">The Company applied the acquisition method to the business combination and valued each of the assets acquired (cash, equipment, intangible asset) and liabilities assumed (accounts payable and accrued </w:t>
      </w:r>
      <w:r>
        <w:rPr>
          <w:sz w:val="20"/>
          <w:szCs w:val="20"/>
        </w:rPr>
        <w:lastRenderedPageBreak/>
        <w:t>liabilities and loan payable) at fair value as of the ac</w:t>
      </w:r>
      <w:r>
        <w:rPr>
          <w:sz w:val="20"/>
          <w:szCs w:val="20"/>
        </w:rPr>
        <w:t>quisition date. The cash, accounts payable and accrued liabilities and loan payable were deemed to be recorded at fair value as of the acquisition date. The Company determined the fair value of the equipment to be historical net book value. The preliminary</w:t>
      </w:r>
      <w:r>
        <w:rPr>
          <w:sz w:val="20"/>
          <w:szCs w:val="20"/>
        </w:rPr>
        <w:t xml:space="preserve"> allocation of the purchase price was based on estimates of the fair value of the assets and liabilities assumed based on provisional amounts. The allocation of the excess purchase price is not final and the amounts allocated to intangible assets are subje</w:t>
      </w:r>
      <w:r>
        <w:rPr>
          <w:sz w:val="20"/>
          <w:szCs w:val="20"/>
        </w:rPr>
        <w:t>ct to change pending the completion of final valuations of certain assets and liabilities.</w:t>
      </w:r>
    </w:p>
    <w:p w:rsidR="00000000" w:rsidRDefault="00150086">
      <w:pPr>
        <w:pStyle w:val="NormalWeb"/>
        <w:spacing w:before="0" w:beforeAutospacing="0" w:after="0" w:afterAutospacing="0"/>
        <w:ind w:left="675"/>
        <w:jc w:val="both"/>
        <w:divId w:val="7608861"/>
        <w:rPr>
          <w:sz w:val="20"/>
          <w:szCs w:val="20"/>
        </w:rPr>
      </w:pPr>
      <w:r>
        <w:rPr>
          <w:sz w:val="20"/>
          <w:szCs w:val="20"/>
        </w:rPr>
        <w:t> </w:t>
      </w:r>
    </w:p>
    <w:p w:rsidR="00000000" w:rsidRDefault="00150086">
      <w:pPr>
        <w:pStyle w:val="NormalWeb"/>
        <w:spacing w:before="0" w:beforeAutospacing="0" w:after="0" w:afterAutospacing="0"/>
        <w:ind w:left="675"/>
        <w:jc w:val="both"/>
        <w:divId w:val="7608861"/>
        <w:rPr>
          <w:sz w:val="20"/>
          <w:szCs w:val="20"/>
        </w:rPr>
      </w:pPr>
      <w:r>
        <w:rPr>
          <w:sz w:val="20"/>
          <w:szCs w:val="20"/>
        </w:rPr>
        <w:t>Pursuant to the acquisition, the Company expensed $120,000 of acquisition-related costs. Patents acquired will be amortized over an estimated useful life of ten (1</w:t>
      </w:r>
      <w:r>
        <w:rPr>
          <w:sz w:val="20"/>
          <w:szCs w:val="20"/>
        </w:rPr>
        <w:t>0) years.</w:t>
      </w:r>
    </w:p>
    <w:p w:rsidR="00000000" w:rsidRDefault="00150086">
      <w:pPr>
        <w:pStyle w:val="NormalWeb"/>
        <w:spacing w:before="0" w:beforeAutospacing="0" w:after="0" w:afterAutospacing="0"/>
        <w:jc w:val="both"/>
        <w:divId w:val="7608861"/>
        <w:rPr>
          <w:sz w:val="20"/>
          <w:szCs w:val="20"/>
        </w:rPr>
      </w:pPr>
      <w:r>
        <w:rPr>
          <w:sz w:val="20"/>
          <w:szCs w:val="20"/>
        </w:rPr>
        <w:t xml:space="preserve">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tcBorders>
              <w:bottom w:val="single" w:sz="6" w:space="0" w:color="000000"/>
            </w:tcBorders>
            <w:vAlign w:val="center"/>
            <w:hideMark/>
          </w:tcPr>
          <w:p w:rsidR="00000000" w:rsidRDefault="00150086">
            <w:pPr>
              <w:spacing w:before="0" w:beforeAutospacing="0" w:after="0" w:afterAutospacing="0"/>
              <w:jc w:val="center"/>
              <w:rPr>
                <w:rFonts w:eastAsia="Times New Roman"/>
                <w:sz w:val="20"/>
                <w:szCs w:val="20"/>
              </w:rPr>
            </w:pPr>
            <w:r>
              <w:rPr>
                <w:rFonts w:eastAsia="Times New Roman"/>
                <w:sz w:val="20"/>
                <w:szCs w:val="20"/>
              </w:rPr>
              <w:t>11</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50086">
      <w:pPr>
        <w:pStyle w:val="NormalWeb"/>
        <w:spacing w:before="0" w:beforeAutospacing="0" w:after="0" w:afterAutospacing="0"/>
        <w:jc w:val="both"/>
        <w:divId w:val="7608861"/>
        <w:rPr>
          <w:sz w:val="20"/>
          <w:szCs w:val="20"/>
        </w:rPr>
      </w:pPr>
      <w:r>
        <w:rPr>
          <w:sz w:val="20"/>
          <w:szCs w:val="20"/>
        </w:rPr>
        <w:t xml:space="preserve">   </w:t>
      </w:r>
    </w:p>
    <w:p w:rsidR="00000000" w:rsidRDefault="00150086">
      <w:pPr>
        <w:pStyle w:val="NormalWeb"/>
        <w:spacing w:before="0" w:beforeAutospacing="0" w:after="0" w:afterAutospacing="0"/>
        <w:jc w:val="both"/>
        <w:divId w:val="7608861"/>
        <w:rPr>
          <w:sz w:val="20"/>
          <w:szCs w:val="20"/>
        </w:rPr>
      </w:pPr>
      <w:r>
        <w:rPr>
          <w:b/>
          <w:bCs/>
          <w:sz w:val="20"/>
          <w:szCs w:val="20"/>
        </w:rPr>
        <w:t>PIVOT PHARMACEUTICALS INC.</w:t>
      </w:r>
    </w:p>
    <w:p w:rsidR="00000000" w:rsidRDefault="00150086">
      <w:pPr>
        <w:pStyle w:val="NormalWeb"/>
        <w:spacing w:before="0" w:beforeAutospacing="0" w:after="0" w:afterAutospacing="0"/>
        <w:jc w:val="both"/>
        <w:divId w:val="7608861"/>
        <w:rPr>
          <w:sz w:val="20"/>
          <w:szCs w:val="20"/>
        </w:rPr>
      </w:pPr>
      <w:r>
        <w:rPr>
          <w:sz w:val="20"/>
          <w:szCs w:val="20"/>
        </w:rPr>
        <w:t>Notes to the Condensed Consolidated Financial Statements (Unaudited)</w:t>
      </w:r>
    </w:p>
    <w:p w:rsidR="00000000" w:rsidRDefault="00150086">
      <w:pPr>
        <w:pStyle w:val="NormalWeb"/>
        <w:spacing w:before="0" w:beforeAutospacing="0" w:after="0" w:afterAutospacing="0"/>
        <w:jc w:val="both"/>
        <w:divId w:val="7608861"/>
        <w:rPr>
          <w:sz w:val="20"/>
          <w:szCs w:val="20"/>
        </w:rPr>
      </w:pPr>
      <w:r>
        <w:rPr>
          <w:sz w:val="20"/>
          <w:szCs w:val="20"/>
        </w:rPr>
        <w:t>Period ended October 31, 2018</w:t>
      </w:r>
    </w:p>
    <w:p w:rsidR="00000000" w:rsidRDefault="00150086">
      <w:pPr>
        <w:pStyle w:val="NormalWeb"/>
        <w:spacing w:before="0" w:beforeAutospacing="0" w:after="0" w:afterAutospacing="0"/>
        <w:jc w:val="both"/>
        <w:divId w:val="7608861"/>
        <w:rPr>
          <w:sz w:val="20"/>
          <w:szCs w:val="20"/>
        </w:rPr>
      </w:pPr>
      <w:r>
        <w:rPr>
          <w:sz w:val="20"/>
          <w:szCs w:val="20"/>
        </w:rPr>
        <w:t>(Expressed in U.S. dollars)</w:t>
      </w:r>
    </w:p>
    <w:p w:rsidR="00000000" w:rsidRDefault="00150086">
      <w:pPr>
        <w:pStyle w:val="NormalWeb"/>
        <w:spacing w:before="0" w:beforeAutospacing="0" w:after="0" w:afterAutospacing="0"/>
        <w:jc w:val="both"/>
        <w:divId w:val="7608861"/>
        <w:rPr>
          <w:b/>
          <w:bCs/>
          <w:sz w:val="20"/>
          <w:szCs w:val="20"/>
        </w:rPr>
      </w:pPr>
      <w:r>
        <w:rPr>
          <w:b/>
          <w:bCs/>
          <w:sz w:val="20"/>
          <w:szCs w:val="20"/>
        </w:rPr>
        <w:t xml:space="preserve">   </w:t>
      </w:r>
    </w:p>
    <w:p w:rsidR="00000000" w:rsidRDefault="00150086">
      <w:pPr>
        <w:pStyle w:val="NormalWeb"/>
        <w:spacing w:before="0" w:beforeAutospacing="0" w:after="0" w:afterAutospacing="0"/>
        <w:jc w:val="both"/>
        <w:divId w:val="7608861"/>
        <w:rPr>
          <w:b/>
          <w:bCs/>
          <w:sz w:val="20"/>
          <w:szCs w:val="20"/>
        </w:rPr>
      </w:pPr>
      <w:r>
        <w:rPr>
          <w:b/>
          <w:bCs/>
          <w:sz w:val="20"/>
          <w:szCs w:val="20"/>
        </w:rPr>
        <w:t>5. Deposit</w:t>
      </w:r>
    </w:p>
    <w:p w:rsidR="00000000" w:rsidRDefault="00150086">
      <w:pPr>
        <w:pStyle w:val="NormalWeb"/>
        <w:spacing w:before="0" w:beforeAutospacing="0" w:after="0" w:afterAutospacing="0"/>
        <w:jc w:val="both"/>
        <w:divId w:val="7608861"/>
        <w:rPr>
          <w:b/>
          <w:bCs/>
          <w:sz w:val="20"/>
          <w:szCs w:val="20"/>
        </w:rPr>
      </w:pPr>
      <w:r>
        <w:rPr>
          <w:b/>
          <w:bCs/>
          <w:sz w:val="20"/>
          <w:szCs w:val="20"/>
        </w:rPr>
        <w:t> </w:t>
      </w:r>
    </w:p>
    <w:p w:rsidR="00000000" w:rsidRDefault="00150086">
      <w:pPr>
        <w:spacing w:before="0" w:beforeAutospacing="0" w:after="0" w:afterAutospacing="0"/>
        <w:jc w:val="both"/>
        <w:divId w:val="7608861"/>
        <w:rPr>
          <w:rFonts w:eastAsia="Times New Roman"/>
          <w:sz w:val="20"/>
          <w:szCs w:val="20"/>
        </w:rPr>
      </w:pPr>
      <w:r>
        <w:rPr>
          <w:rFonts w:eastAsia="Times New Roman"/>
          <w:sz w:val="20"/>
          <w:szCs w:val="20"/>
        </w:rPr>
        <w:t>Pursuant to a letter of intent signed with Agro-Biotech Inc. (“ABI”) on February 19, 2018 for exclusive negotiations related to the acquisition of ABI by April 15, 2018, the Company paid a deposit of $250,000 Canadian Dollars ($196,340 US Doll</w:t>
      </w:r>
      <w:r>
        <w:rPr>
          <w:rFonts w:eastAsia="Times New Roman"/>
          <w:sz w:val="20"/>
          <w:szCs w:val="20"/>
        </w:rPr>
        <w:t>ars). The deposit is non-refundable, except upon wrongful refusal of ABI to conclude the acquisition. The acquisition of ABI was not concluded by April 15, 2018. On April 24, 2018, the Company submitted an originating application to the Superior Court in t</w:t>
      </w:r>
      <w:r>
        <w:rPr>
          <w:rFonts w:eastAsia="Times New Roman"/>
          <w:sz w:val="20"/>
          <w:szCs w:val="20"/>
        </w:rPr>
        <w:t>he province of Quebec, Canada seeking to recover losses arising from the lack of cooperation by ABI, including the deposit made, in concluding the transaction. For the period ended October 31, 2018, the Company wrote-off the balance of the deposit and reco</w:t>
      </w:r>
      <w:r>
        <w:rPr>
          <w:rFonts w:eastAsia="Times New Roman"/>
          <w:sz w:val="20"/>
          <w:szCs w:val="20"/>
        </w:rPr>
        <w:t xml:space="preserve">rded a loss on write-off of deposit of $193,175.   </w:t>
      </w:r>
    </w:p>
    <w:p w:rsidR="00000000" w:rsidRDefault="00150086">
      <w:pPr>
        <w:pStyle w:val="NormalWeb"/>
        <w:spacing w:before="0" w:beforeAutospacing="0" w:after="0" w:afterAutospacing="0"/>
        <w:jc w:val="both"/>
        <w:divId w:val="7608861"/>
        <w:rPr>
          <w:sz w:val="20"/>
          <w:szCs w:val="20"/>
        </w:rPr>
      </w:pPr>
      <w:r>
        <w:rPr>
          <w:b/>
          <w:bCs/>
          <w:sz w:val="20"/>
          <w:szCs w:val="20"/>
        </w:rPr>
        <w:t> </w:t>
      </w:r>
    </w:p>
    <w:p w:rsidR="00000000" w:rsidRDefault="00150086">
      <w:pPr>
        <w:pStyle w:val="NormalWeb"/>
        <w:spacing w:before="0" w:beforeAutospacing="0" w:after="0" w:afterAutospacing="0"/>
        <w:jc w:val="both"/>
        <w:divId w:val="7608861"/>
        <w:rPr>
          <w:sz w:val="20"/>
          <w:szCs w:val="20"/>
        </w:rPr>
      </w:pPr>
      <w:r>
        <w:rPr>
          <w:b/>
          <w:bCs/>
          <w:sz w:val="20"/>
          <w:szCs w:val="20"/>
        </w:rPr>
        <w:t>6. Inventory</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4250" w:type="pct"/>
        <w:jc w:val="center"/>
        <w:tblCellSpacing w:w="0" w:type="dxa"/>
        <w:tblCellMar>
          <w:left w:w="0" w:type="dxa"/>
          <w:right w:w="0" w:type="dxa"/>
        </w:tblCellMar>
        <w:tblLook w:val="04A0"/>
      </w:tblPr>
      <w:tblGrid>
        <w:gridCol w:w="6046"/>
        <w:gridCol w:w="79"/>
        <w:gridCol w:w="79"/>
        <w:gridCol w:w="716"/>
        <w:gridCol w:w="80"/>
        <w:gridCol w:w="80"/>
        <w:gridCol w:w="80"/>
        <w:gridCol w:w="716"/>
        <w:gridCol w:w="80"/>
      </w:tblGrid>
      <w:tr w:rsidR="00000000">
        <w:trPr>
          <w:divId w:val="7608861"/>
          <w:tblCellSpacing w:w="0" w:type="dxa"/>
          <w:jc w:val="center"/>
        </w:trPr>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October 31,</w:t>
            </w:r>
          </w:p>
          <w:p w:rsidR="00000000" w:rsidRDefault="00150086">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b/>
                <w:bCs/>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b/>
                <w:bCs/>
                <w:sz w:val="20"/>
                <w:szCs w:val="20"/>
              </w:rPr>
              <w:t> </w:t>
            </w:r>
          </w:p>
        </w:tc>
        <w:tc>
          <w:tcPr>
            <w:tcW w:w="450" w:type="pct"/>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January 31,</w:t>
            </w:r>
          </w:p>
          <w:p w:rsidR="00000000" w:rsidRDefault="00150086">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Raw materials</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6,795</w:t>
            </w:r>
          </w:p>
        </w:tc>
        <w:tc>
          <w:tcPr>
            <w:tcW w:w="50" w:type="pct"/>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bl>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b/>
          <w:bCs/>
          <w:sz w:val="20"/>
          <w:szCs w:val="20"/>
        </w:rPr>
        <w:t>7. Equipment</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4250" w:type="pct"/>
        <w:jc w:val="center"/>
        <w:tblCellSpacing w:w="0" w:type="dxa"/>
        <w:tblCellMar>
          <w:left w:w="0" w:type="dxa"/>
          <w:right w:w="0" w:type="dxa"/>
        </w:tblCellMar>
        <w:tblLook w:val="04A0"/>
      </w:tblPr>
      <w:tblGrid>
        <w:gridCol w:w="6874"/>
        <w:gridCol w:w="63"/>
        <w:gridCol w:w="96"/>
        <w:gridCol w:w="860"/>
        <w:gridCol w:w="63"/>
      </w:tblGrid>
      <w:tr w:rsidR="00000000">
        <w:trPr>
          <w:divId w:val="7608861"/>
          <w:tblCellSpacing w:w="0" w:type="dxa"/>
          <w:jc w:val="center"/>
        </w:trPr>
        <w:tc>
          <w:tcPr>
            <w:tcW w:w="0" w:type="auto"/>
            <w:vAlign w:val="bottom"/>
            <w:hideMark/>
          </w:tcPr>
          <w:p w:rsidR="00000000" w:rsidRDefault="00150086">
            <w:pPr>
              <w:pStyle w:val="NormalWeb"/>
              <w:spacing w:before="0" w:beforeAutospacing="0" w:after="0" w:afterAutospacing="0"/>
              <w:jc w:val="both"/>
              <w:rPr>
                <w:sz w:val="20"/>
                <w:szCs w:val="20"/>
              </w:rPr>
            </w:pPr>
            <w:r>
              <w:rPr>
                <w:b/>
                <w:bCs/>
                <w:sz w:val="20"/>
                <w:szCs w:val="20"/>
              </w:rPr>
              <w:t xml:space="preserve">Cost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Lab</w:t>
            </w:r>
          </w:p>
          <w:p w:rsidR="00000000" w:rsidRDefault="00150086">
            <w:pPr>
              <w:pStyle w:val="NormalWeb"/>
              <w:spacing w:before="0" w:beforeAutospacing="0" w:after="0" w:afterAutospacing="0"/>
              <w:jc w:val="center"/>
              <w:rPr>
                <w:sz w:val="20"/>
                <w:szCs w:val="20"/>
              </w:rPr>
            </w:pPr>
            <w:r>
              <w:rPr>
                <w:b/>
                <w:bCs/>
                <w:sz w:val="20"/>
                <w:szCs w:val="20"/>
              </w:rPr>
              <w:t>Equipment</w:t>
            </w:r>
          </w:p>
          <w:p w:rsidR="00000000" w:rsidRDefault="00150086">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Balance, January 31, 2018</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Exchange agreement (Note 4)</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5,700</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Balance, October 31, 2018</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5,700</w:t>
            </w:r>
          </w:p>
        </w:tc>
        <w:tc>
          <w:tcPr>
            <w:tcW w:w="50" w:type="pct"/>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bl>
    <w:p w:rsidR="00000000" w:rsidRDefault="00150086">
      <w:pPr>
        <w:pStyle w:val="NormalWeb"/>
        <w:spacing w:before="0" w:beforeAutospacing="0" w:after="0" w:afterAutospacing="0"/>
        <w:jc w:val="both"/>
        <w:divId w:val="7608861"/>
        <w:rPr>
          <w:sz w:val="20"/>
          <w:szCs w:val="20"/>
        </w:rPr>
      </w:pPr>
      <w:r>
        <w:rPr>
          <w:sz w:val="20"/>
          <w:szCs w:val="20"/>
        </w:rPr>
        <w:t> </w:t>
      </w:r>
    </w:p>
    <w:tbl>
      <w:tblPr>
        <w:tblW w:w="4250" w:type="pct"/>
        <w:jc w:val="center"/>
        <w:tblCellSpacing w:w="0" w:type="dxa"/>
        <w:tblCellMar>
          <w:left w:w="0" w:type="dxa"/>
          <w:right w:w="0" w:type="dxa"/>
        </w:tblCellMar>
        <w:tblLook w:val="04A0"/>
      </w:tblPr>
      <w:tblGrid>
        <w:gridCol w:w="7000"/>
        <w:gridCol w:w="80"/>
        <w:gridCol w:w="80"/>
        <w:gridCol w:w="716"/>
        <w:gridCol w:w="80"/>
      </w:tblGrid>
      <w:tr w:rsidR="00000000">
        <w:trPr>
          <w:divId w:val="7608861"/>
          <w:tblCellSpacing w:w="0" w:type="dxa"/>
          <w:jc w:val="center"/>
        </w:trPr>
        <w:tc>
          <w:tcPr>
            <w:tcW w:w="0" w:type="auto"/>
            <w:hideMark/>
          </w:tcPr>
          <w:p w:rsidR="00000000" w:rsidRDefault="00150086">
            <w:pPr>
              <w:pStyle w:val="NormalWeb"/>
              <w:spacing w:before="0" w:beforeAutospacing="0" w:after="0" w:afterAutospacing="0"/>
              <w:jc w:val="both"/>
              <w:rPr>
                <w:sz w:val="20"/>
                <w:szCs w:val="20"/>
              </w:rPr>
            </w:pPr>
            <w:r>
              <w:rPr>
                <w:b/>
                <w:bCs/>
                <w:sz w:val="20"/>
                <w:szCs w:val="20"/>
              </w:rPr>
              <w:t xml:space="preserve">Accumulated Amortization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Balance, January 31, 2018</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Exchange agreement (Note 4)</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1,663</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Amortization</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633</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lastRenderedPageBreak/>
              <w:t>Balance, October 31, 2018</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2,296</w:t>
            </w:r>
          </w:p>
        </w:tc>
        <w:tc>
          <w:tcPr>
            <w:tcW w:w="50" w:type="pct"/>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bl>
    <w:p w:rsidR="00000000" w:rsidRDefault="00150086">
      <w:pPr>
        <w:pStyle w:val="NormalWeb"/>
        <w:spacing w:before="0" w:beforeAutospacing="0" w:after="0" w:afterAutospacing="0"/>
        <w:jc w:val="both"/>
        <w:divId w:val="7608861"/>
        <w:rPr>
          <w:sz w:val="20"/>
          <w:szCs w:val="20"/>
        </w:rPr>
      </w:pPr>
      <w:r>
        <w:rPr>
          <w:sz w:val="20"/>
          <w:szCs w:val="20"/>
        </w:rPr>
        <w:t> </w:t>
      </w:r>
    </w:p>
    <w:tbl>
      <w:tblPr>
        <w:tblW w:w="4250" w:type="pct"/>
        <w:jc w:val="center"/>
        <w:tblCellSpacing w:w="0" w:type="dxa"/>
        <w:tblCellMar>
          <w:left w:w="0" w:type="dxa"/>
          <w:right w:w="0" w:type="dxa"/>
        </w:tblCellMar>
        <w:tblLook w:val="04A0"/>
      </w:tblPr>
      <w:tblGrid>
        <w:gridCol w:w="7000"/>
        <w:gridCol w:w="80"/>
        <w:gridCol w:w="80"/>
        <w:gridCol w:w="716"/>
        <w:gridCol w:w="80"/>
      </w:tblGrid>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Net book value, October 31, 2018</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3,404</w:t>
            </w:r>
          </w:p>
        </w:tc>
        <w:tc>
          <w:tcPr>
            <w:tcW w:w="50" w:type="pct"/>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Net book value, January 31, 2018</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bl>
    <w:p w:rsidR="00000000" w:rsidRDefault="00150086">
      <w:pPr>
        <w:pStyle w:val="NormalWeb"/>
        <w:spacing w:before="0" w:beforeAutospacing="0" w:after="0" w:afterAutospacing="0"/>
        <w:jc w:val="both"/>
        <w:divId w:val="7608861"/>
        <w:rPr>
          <w:sz w:val="20"/>
          <w:szCs w:val="20"/>
        </w:rPr>
      </w:pPr>
      <w:r>
        <w:rPr>
          <w:sz w:val="20"/>
          <w:szCs w:val="20"/>
        </w:rPr>
        <w:t xml:space="preserve">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tcBorders>
              <w:bottom w:val="single" w:sz="6" w:space="0" w:color="000000"/>
            </w:tcBorders>
            <w:vAlign w:val="center"/>
            <w:hideMark/>
          </w:tcPr>
          <w:p w:rsidR="00000000" w:rsidRDefault="00150086">
            <w:pPr>
              <w:spacing w:before="0" w:beforeAutospacing="0" w:after="0" w:afterAutospacing="0"/>
              <w:jc w:val="center"/>
              <w:rPr>
                <w:rFonts w:eastAsia="Times New Roman"/>
                <w:sz w:val="20"/>
                <w:szCs w:val="20"/>
              </w:rPr>
            </w:pPr>
            <w:r>
              <w:rPr>
                <w:rFonts w:eastAsia="Times New Roman"/>
                <w:sz w:val="20"/>
                <w:szCs w:val="20"/>
              </w:rPr>
              <w:t>12</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50086">
      <w:pPr>
        <w:pStyle w:val="NormalWeb"/>
        <w:spacing w:before="0" w:beforeAutospacing="0" w:after="0" w:afterAutospacing="0"/>
        <w:jc w:val="both"/>
        <w:divId w:val="7608861"/>
        <w:rPr>
          <w:sz w:val="20"/>
          <w:szCs w:val="20"/>
        </w:rPr>
      </w:pPr>
      <w:r>
        <w:rPr>
          <w:sz w:val="20"/>
          <w:szCs w:val="20"/>
        </w:rPr>
        <w:t xml:space="preserve">   </w:t>
      </w:r>
    </w:p>
    <w:p w:rsidR="00000000" w:rsidRDefault="00150086">
      <w:pPr>
        <w:pStyle w:val="NormalWeb"/>
        <w:spacing w:before="0" w:beforeAutospacing="0" w:after="0" w:afterAutospacing="0"/>
        <w:jc w:val="both"/>
        <w:divId w:val="7608861"/>
        <w:rPr>
          <w:sz w:val="20"/>
          <w:szCs w:val="20"/>
        </w:rPr>
      </w:pPr>
      <w:r>
        <w:rPr>
          <w:b/>
          <w:bCs/>
          <w:sz w:val="20"/>
          <w:szCs w:val="20"/>
        </w:rPr>
        <w:t>PIVOT PHARMACEUTICALS INC.</w:t>
      </w:r>
    </w:p>
    <w:p w:rsidR="00000000" w:rsidRDefault="00150086">
      <w:pPr>
        <w:pStyle w:val="NormalWeb"/>
        <w:spacing w:before="0" w:beforeAutospacing="0" w:after="0" w:afterAutospacing="0"/>
        <w:jc w:val="both"/>
        <w:divId w:val="7608861"/>
        <w:rPr>
          <w:sz w:val="20"/>
          <w:szCs w:val="20"/>
        </w:rPr>
      </w:pPr>
      <w:r>
        <w:rPr>
          <w:sz w:val="20"/>
          <w:szCs w:val="20"/>
        </w:rPr>
        <w:t>Notes to the Condensed Consolidated Financial Statements (Unaudited)</w:t>
      </w:r>
    </w:p>
    <w:p w:rsidR="00000000" w:rsidRDefault="00150086">
      <w:pPr>
        <w:pStyle w:val="NormalWeb"/>
        <w:spacing w:before="0" w:beforeAutospacing="0" w:after="0" w:afterAutospacing="0"/>
        <w:jc w:val="both"/>
        <w:divId w:val="7608861"/>
        <w:rPr>
          <w:sz w:val="20"/>
          <w:szCs w:val="20"/>
        </w:rPr>
      </w:pPr>
      <w:r>
        <w:rPr>
          <w:sz w:val="20"/>
          <w:szCs w:val="20"/>
        </w:rPr>
        <w:t>Period ended October 31, 2018</w:t>
      </w:r>
    </w:p>
    <w:p w:rsidR="00000000" w:rsidRDefault="00150086">
      <w:pPr>
        <w:pStyle w:val="NormalWeb"/>
        <w:spacing w:before="0" w:beforeAutospacing="0" w:after="0" w:afterAutospacing="0"/>
        <w:jc w:val="both"/>
        <w:divId w:val="7608861"/>
        <w:rPr>
          <w:sz w:val="20"/>
          <w:szCs w:val="20"/>
        </w:rPr>
      </w:pPr>
      <w:r>
        <w:rPr>
          <w:sz w:val="20"/>
          <w:szCs w:val="20"/>
        </w:rPr>
        <w:t>(Expressed in U.S. dollars)</w:t>
      </w:r>
    </w:p>
    <w:p w:rsidR="00000000" w:rsidRDefault="00150086">
      <w:pPr>
        <w:pStyle w:val="NormalWeb"/>
        <w:spacing w:before="0" w:beforeAutospacing="0" w:after="0" w:afterAutospacing="0"/>
        <w:jc w:val="both"/>
        <w:divId w:val="7608861"/>
        <w:rPr>
          <w:b/>
          <w:bCs/>
          <w:sz w:val="20"/>
          <w:szCs w:val="20"/>
        </w:rPr>
      </w:pPr>
      <w:r>
        <w:rPr>
          <w:b/>
          <w:bCs/>
          <w:sz w:val="20"/>
          <w:szCs w:val="20"/>
        </w:rPr>
        <w:t xml:space="preserve">    </w:t>
      </w:r>
    </w:p>
    <w:p w:rsidR="00000000" w:rsidRDefault="00150086">
      <w:pPr>
        <w:pStyle w:val="NormalWeb"/>
        <w:spacing w:before="0" w:beforeAutospacing="0" w:after="0" w:afterAutospacing="0"/>
        <w:jc w:val="both"/>
        <w:divId w:val="7608861"/>
        <w:rPr>
          <w:b/>
          <w:bCs/>
          <w:sz w:val="20"/>
          <w:szCs w:val="20"/>
        </w:rPr>
      </w:pPr>
      <w:r>
        <w:rPr>
          <w:b/>
          <w:bCs/>
          <w:sz w:val="20"/>
          <w:szCs w:val="20"/>
        </w:rPr>
        <w:t>8. Intangible Assets</w:t>
      </w:r>
    </w:p>
    <w:p w:rsidR="00000000" w:rsidRDefault="00150086">
      <w:pPr>
        <w:spacing w:before="0" w:beforeAutospacing="0" w:after="0" w:afterAutospacing="0"/>
        <w:jc w:val="both"/>
        <w:divId w:val="7608861"/>
        <w:rPr>
          <w:rFonts w:eastAsia="Times New Roman"/>
          <w:sz w:val="20"/>
          <w:szCs w:val="20"/>
        </w:rPr>
      </w:pPr>
      <w:r>
        <w:rPr>
          <w:rFonts w:eastAsia="Times New Roman"/>
          <w:b/>
          <w:bCs/>
          <w:sz w:val="20"/>
          <w:szCs w:val="20"/>
        </w:rPr>
        <w:t xml:space="preserve">  </w:t>
      </w:r>
    </w:p>
    <w:tbl>
      <w:tblPr>
        <w:tblW w:w="4250" w:type="pct"/>
        <w:jc w:val="center"/>
        <w:tblCellSpacing w:w="0" w:type="dxa"/>
        <w:tblCellMar>
          <w:left w:w="0" w:type="dxa"/>
          <w:right w:w="0" w:type="dxa"/>
        </w:tblCellMar>
        <w:tblLook w:val="04A0"/>
      </w:tblPr>
      <w:tblGrid>
        <w:gridCol w:w="5075"/>
        <w:gridCol w:w="63"/>
        <w:gridCol w:w="76"/>
        <w:gridCol w:w="688"/>
        <w:gridCol w:w="67"/>
        <w:gridCol w:w="61"/>
        <w:gridCol w:w="64"/>
        <w:gridCol w:w="800"/>
        <w:gridCol w:w="65"/>
        <w:gridCol w:w="65"/>
        <w:gridCol w:w="65"/>
        <w:gridCol w:w="800"/>
        <w:gridCol w:w="67"/>
      </w:tblGrid>
      <w:tr w:rsidR="00000000">
        <w:trPr>
          <w:divId w:val="7608861"/>
          <w:tblCellSpacing w:w="0" w:type="dxa"/>
          <w:jc w:val="center"/>
        </w:trPr>
        <w:tc>
          <w:tcPr>
            <w:tcW w:w="0" w:type="auto"/>
            <w:tcBorders>
              <w:bottom w:val="single" w:sz="6" w:space="0" w:color="000000"/>
            </w:tcBorders>
            <w:vAlign w:val="bottom"/>
            <w:hideMark/>
          </w:tcPr>
          <w:p w:rsidR="00000000" w:rsidRDefault="00150086">
            <w:pPr>
              <w:pStyle w:val="NormalWeb"/>
              <w:spacing w:before="0" w:beforeAutospacing="0" w:after="0" w:afterAutospacing="0"/>
              <w:jc w:val="both"/>
              <w:rPr>
                <w:sz w:val="20"/>
                <w:szCs w:val="20"/>
              </w:rPr>
            </w:pPr>
            <w:r>
              <w:rPr>
                <w:b/>
                <w:bCs/>
                <w:sz w:val="20"/>
                <w:szCs w:val="20"/>
              </w:rPr>
              <w:t xml:space="preserve">Cost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BiPhasix</w:t>
            </w:r>
          </w:p>
          <w:p w:rsidR="00000000" w:rsidRDefault="00150086">
            <w:pPr>
              <w:pStyle w:val="NormalWeb"/>
              <w:spacing w:before="0" w:beforeAutospacing="0" w:after="0" w:afterAutospacing="0"/>
              <w:jc w:val="center"/>
              <w:rPr>
                <w:sz w:val="20"/>
                <w:szCs w:val="20"/>
              </w:rPr>
            </w:pPr>
            <w:r>
              <w:rPr>
                <w:b/>
                <w:bCs/>
                <w:sz w:val="20"/>
                <w:szCs w:val="20"/>
              </w:rPr>
              <w:t>License</w:t>
            </w:r>
          </w:p>
          <w:p w:rsidR="00000000" w:rsidRDefault="00150086">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center"/>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center"/>
              <w:rPr>
                <w:sz w:val="20"/>
                <w:szCs w:val="20"/>
              </w:rPr>
            </w:pPr>
            <w:r>
              <w:rPr>
                <w:sz w:val="20"/>
                <w:szCs w:val="20"/>
              </w:rPr>
              <w:t> </w:t>
            </w:r>
          </w:p>
        </w:tc>
        <w:tc>
          <w:tcPr>
            <w:tcW w:w="450" w:type="pct"/>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Patents</w:t>
            </w:r>
          </w:p>
          <w:p w:rsidR="00000000" w:rsidRDefault="00150086">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center"/>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center"/>
              <w:rPr>
                <w:sz w:val="20"/>
                <w:szCs w:val="20"/>
              </w:rPr>
            </w:pPr>
            <w:r>
              <w:rPr>
                <w:sz w:val="20"/>
                <w:szCs w:val="20"/>
              </w:rPr>
              <w:t> </w:t>
            </w:r>
          </w:p>
        </w:tc>
        <w:tc>
          <w:tcPr>
            <w:tcW w:w="450" w:type="pct"/>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Total</w:t>
            </w:r>
          </w:p>
          <w:p w:rsidR="00000000" w:rsidRDefault="00150086">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Balance, January 31, 2018</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259,639</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259,639</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Addition and exchange agreement (Note 4)</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6,803,408</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6,803,408</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Effect of foreign exchange rate changes</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(16,774</w:t>
            </w:r>
          </w:p>
        </w:tc>
        <w:tc>
          <w:tcPr>
            <w:tcW w:w="50" w:type="pct"/>
            <w:shd w:val="clear" w:color="auto" w:fill="CCEEFF"/>
            <w:tcMar>
              <w:top w:w="0" w:type="dxa"/>
              <w:left w:w="0" w:type="dxa"/>
              <w:bottom w:w="1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(16,774</w:t>
            </w:r>
          </w:p>
        </w:tc>
        <w:tc>
          <w:tcPr>
            <w:tcW w:w="50" w:type="pct"/>
            <w:shd w:val="clear" w:color="auto" w:fill="CCEEFF"/>
            <w:tcMar>
              <w:top w:w="0" w:type="dxa"/>
              <w:left w:w="0" w:type="dxa"/>
              <w:bottom w:w="1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7608861"/>
          <w:tblCellSpacing w:w="0" w:type="dxa"/>
          <w:jc w:val="center"/>
        </w:trPr>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Balance, October 31, 2018</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242,865</w:t>
            </w:r>
          </w:p>
        </w:tc>
        <w:tc>
          <w:tcPr>
            <w:tcW w:w="50" w:type="pct"/>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6,803,408</w:t>
            </w:r>
          </w:p>
        </w:tc>
        <w:tc>
          <w:tcPr>
            <w:tcW w:w="50" w:type="pct"/>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7,046,273</w:t>
            </w:r>
          </w:p>
        </w:tc>
        <w:tc>
          <w:tcPr>
            <w:tcW w:w="50" w:type="pct"/>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bl>
    <w:p w:rsidR="00000000" w:rsidRDefault="00150086">
      <w:pPr>
        <w:pStyle w:val="NormalWeb"/>
        <w:spacing w:before="0" w:beforeAutospacing="0" w:after="0" w:afterAutospacing="0"/>
        <w:jc w:val="both"/>
        <w:divId w:val="7608861"/>
        <w:rPr>
          <w:sz w:val="20"/>
          <w:szCs w:val="20"/>
        </w:rPr>
      </w:pPr>
      <w:r>
        <w:rPr>
          <w:sz w:val="20"/>
          <w:szCs w:val="20"/>
        </w:rPr>
        <w:t> </w:t>
      </w:r>
    </w:p>
    <w:tbl>
      <w:tblPr>
        <w:tblW w:w="4250" w:type="pct"/>
        <w:jc w:val="center"/>
        <w:tblCellSpacing w:w="0" w:type="dxa"/>
        <w:tblCellMar>
          <w:left w:w="0" w:type="dxa"/>
          <w:right w:w="0" w:type="dxa"/>
        </w:tblCellMar>
        <w:tblLook w:val="04A0"/>
      </w:tblPr>
      <w:tblGrid>
        <w:gridCol w:w="5091"/>
        <w:gridCol w:w="79"/>
        <w:gridCol w:w="79"/>
        <w:gridCol w:w="715"/>
        <w:gridCol w:w="80"/>
        <w:gridCol w:w="80"/>
        <w:gridCol w:w="80"/>
        <w:gridCol w:w="716"/>
        <w:gridCol w:w="80"/>
        <w:gridCol w:w="80"/>
        <w:gridCol w:w="80"/>
        <w:gridCol w:w="716"/>
        <w:gridCol w:w="80"/>
      </w:tblGrid>
      <w:tr w:rsidR="00000000">
        <w:trPr>
          <w:divId w:val="7608861"/>
          <w:tblCellSpacing w:w="0" w:type="dxa"/>
          <w:jc w:val="center"/>
        </w:trPr>
        <w:tc>
          <w:tcPr>
            <w:tcW w:w="0" w:type="auto"/>
            <w:hideMark/>
          </w:tcPr>
          <w:p w:rsidR="00000000" w:rsidRDefault="00150086">
            <w:pPr>
              <w:pStyle w:val="NormalWeb"/>
              <w:spacing w:before="0" w:beforeAutospacing="0" w:after="0" w:afterAutospacing="0"/>
              <w:jc w:val="both"/>
              <w:rPr>
                <w:sz w:val="20"/>
                <w:szCs w:val="20"/>
              </w:rPr>
            </w:pPr>
            <w:r>
              <w:rPr>
                <w:b/>
                <w:bCs/>
                <w:sz w:val="20"/>
                <w:szCs w:val="20"/>
              </w:rPr>
              <w:t xml:space="preserve">Accumulated Amortization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Balance, January 31, 2018</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25,075</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25,075</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Amortization</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45,413</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456,667</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502,080</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Effect of foreign exchange rate changes</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(1,331</w:t>
            </w:r>
          </w:p>
        </w:tc>
        <w:tc>
          <w:tcPr>
            <w:tcW w:w="50" w:type="pct"/>
            <w:shd w:val="clear" w:color="auto" w:fill="CCEEFF"/>
            <w:tcMar>
              <w:top w:w="0" w:type="dxa"/>
              <w:left w:w="0" w:type="dxa"/>
              <w:bottom w:w="1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(1,331</w:t>
            </w:r>
          </w:p>
        </w:tc>
        <w:tc>
          <w:tcPr>
            <w:tcW w:w="50" w:type="pct"/>
            <w:shd w:val="clear" w:color="auto" w:fill="CCEEFF"/>
            <w:tcMar>
              <w:top w:w="0" w:type="dxa"/>
              <w:left w:w="0" w:type="dxa"/>
              <w:bottom w:w="1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7608861"/>
          <w:tblCellSpacing w:w="0" w:type="dxa"/>
          <w:jc w:val="center"/>
        </w:trPr>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Balance, October 31, 2018</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69,157</w:t>
            </w:r>
          </w:p>
        </w:tc>
        <w:tc>
          <w:tcPr>
            <w:tcW w:w="50" w:type="pct"/>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456,667</w:t>
            </w:r>
          </w:p>
        </w:tc>
        <w:tc>
          <w:tcPr>
            <w:tcW w:w="50" w:type="pct"/>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525,824</w:t>
            </w:r>
          </w:p>
        </w:tc>
        <w:tc>
          <w:tcPr>
            <w:tcW w:w="50" w:type="pct"/>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bl>
    <w:p w:rsidR="00000000" w:rsidRDefault="00150086">
      <w:pPr>
        <w:pStyle w:val="NormalWeb"/>
        <w:spacing w:before="0" w:beforeAutospacing="0" w:after="0" w:afterAutospacing="0"/>
        <w:jc w:val="both"/>
        <w:divId w:val="7608861"/>
        <w:rPr>
          <w:sz w:val="20"/>
          <w:szCs w:val="20"/>
        </w:rPr>
      </w:pPr>
      <w:r>
        <w:rPr>
          <w:sz w:val="20"/>
          <w:szCs w:val="20"/>
        </w:rPr>
        <w:t> </w:t>
      </w:r>
    </w:p>
    <w:tbl>
      <w:tblPr>
        <w:tblW w:w="4250" w:type="pct"/>
        <w:jc w:val="center"/>
        <w:tblCellSpacing w:w="0" w:type="dxa"/>
        <w:tblCellMar>
          <w:left w:w="0" w:type="dxa"/>
          <w:right w:w="0" w:type="dxa"/>
        </w:tblCellMar>
        <w:tblLook w:val="04A0"/>
      </w:tblPr>
      <w:tblGrid>
        <w:gridCol w:w="5076"/>
        <w:gridCol w:w="64"/>
        <w:gridCol w:w="64"/>
        <w:gridCol w:w="700"/>
        <w:gridCol w:w="64"/>
        <w:gridCol w:w="64"/>
        <w:gridCol w:w="64"/>
        <w:gridCol w:w="800"/>
        <w:gridCol w:w="65"/>
        <w:gridCol w:w="65"/>
        <w:gridCol w:w="65"/>
        <w:gridCol w:w="800"/>
        <w:gridCol w:w="65"/>
      </w:tblGrid>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Net book value, October 31, 2018</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173,708</w:t>
            </w:r>
          </w:p>
        </w:tc>
        <w:tc>
          <w:tcPr>
            <w:tcW w:w="50" w:type="pct"/>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6,346,741</w:t>
            </w:r>
          </w:p>
        </w:tc>
        <w:tc>
          <w:tcPr>
            <w:tcW w:w="50" w:type="pct"/>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6,520,449</w:t>
            </w:r>
          </w:p>
        </w:tc>
        <w:tc>
          <w:tcPr>
            <w:tcW w:w="50" w:type="pct"/>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Net book value, January 31, 2018</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234,564</w:t>
            </w:r>
          </w:p>
        </w:tc>
        <w:tc>
          <w:tcPr>
            <w:tcW w:w="50" w:type="pct"/>
            <w:shd w:val="clear" w:color="auto" w:fill="FFFF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234,564</w:t>
            </w:r>
          </w:p>
        </w:tc>
        <w:tc>
          <w:tcPr>
            <w:tcW w:w="50" w:type="pct"/>
            <w:shd w:val="clear" w:color="auto" w:fill="FFFF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bl>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b/>
          <w:bCs/>
          <w:sz w:val="20"/>
          <w:szCs w:val="20"/>
        </w:rPr>
        <w:t xml:space="preserve">9. Convertible Debenture </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ind w:left="675"/>
        <w:jc w:val="both"/>
        <w:divId w:val="7608861"/>
        <w:rPr>
          <w:sz w:val="20"/>
          <w:szCs w:val="20"/>
        </w:rPr>
      </w:pPr>
      <w:r>
        <w:rPr>
          <w:sz w:val="20"/>
          <w:szCs w:val="20"/>
        </w:rPr>
        <w:t>On March 2, 2018, the Company issued convertible debentures with two non-related parties totaling $5,000,000 Canadian Dollars ($3,878,675 US Dollars). The debentures are secured under a General Security Agreement, bear interest at 10% per annum payable qua</w:t>
      </w:r>
      <w:r>
        <w:rPr>
          <w:sz w:val="20"/>
          <w:szCs w:val="20"/>
        </w:rPr>
        <w:t>rterly and mature on March 2, 2019. The notes are convertible into common shares at a conversion price equal to $1.74 Canadian Dollars ($1.33 US Dollars) per common share. The Company issued 172,413 share purchase warrants with an exercise price of $1.74 C</w:t>
      </w:r>
      <w:r>
        <w:rPr>
          <w:sz w:val="20"/>
          <w:szCs w:val="20"/>
        </w:rPr>
        <w:t>anadian Dollars and three year expiry as finder’s fee for the convertible debentures.</w:t>
      </w:r>
    </w:p>
    <w:p w:rsidR="00000000" w:rsidRDefault="00150086">
      <w:pPr>
        <w:pStyle w:val="NormalWeb"/>
        <w:spacing w:before="0" w:beforeAutospacing="0" w:after="0" w:afterAutospacing="0"/>
        <w:ind w:left="675"/>
        <w:jc w:val="both"/>
        <w:divId w:val="7608861"/>
        <w:rPr>
          <w:sz w:val="20"/>
          <w:szCs w:val="20"/>
        </w:rPr>
      </w:pPr>
      <w:r>
        <w:rPr>
          <w:sz w:val="20"/>
          <w:szCs w:val="20"/>
        </w:rPr>
        <w:t> </w:t>
      </w:r>
    </w:p>
    <w:p w:rsidR="00000000" w:rsidRDefault="00150086">
      <w:pPr>
        <w:pStyle w:val="NormalWeb"/>
        <w:spacing w:before="0" w:beforeAutospacing="0" w:after="0" w:afterAutospacing="0"/>
        <w:ind w:left="675"/>
        <w:jc w:val="both"/>
        <w:divId w:val="7608861"/>
        <w:rPr>
          <w:sz w:val="20"/>
          <w:szCs w:val="20"/>
        </w:rPr>
      </w:pPr>
      <w:r>
        <w:rPr>
          <w:sz w:val="20"/>
          <w:szCs w:val="20"/>
        </w:rPr>
        <w:t>On October 22, 2018, $1,500,000 Canadian Dollars ($1,144,601 US Dollars) of the convertible debentures were settled through the issuance of 3,750,000 units of the Compa</w:t>
      </w:r>
      <w:r>
        <w:rPr>
          <w:sz w:val="20"/>
          <w:szCs w:val="20"/>
        </w:rPr>
        <w:t>ny with each unit consisting of one common stock and one share purchase warrant with an exercise price of $0.60 Canadian Dollars ($0.46 US Dollars) and three year expiry. The Company considered the settlement to be a substantial modification of the terms o</w:t>
      </w:r>
      <w:r>
        <w:rPr>
          <w:sz w:val="20"/>
          <w:szCs w:val="20"/>
        </w:rPr>
        <w:t>f the convertible debenture and recorded a loss on extinguishment of debenture of $1,508,836 in the condensed consolidated statement of operations. Pursuant to the settlement, the Company paid $41,439 representing the remainder of the interest on the deben</w:t>
      </w:r>
      <w:r>
        <w:rPr>
          <w:sz w:val="20"/>
          <w:szCs w:val="20"/>
        </w:rPr>
        <w:t xml:space="preserve">tures settled through maturity date of March 2, 2019. </w:t>
      </w:r>
    </w:p>
    <w:p w:rsidR="00000000" w:rsidRDefault="00150086">
      <w:pPr>
        <w:pStyle w:val="NormalWeb"/>
        <w:spacing w:before="0" w:beforeAutospacing="0" w:after="0" w:afterAutospacing="0"/>
        <w:ind w:left="675"/>
        <w:jc w:val="both"/>
        <w:divId w:val="7608861"/>
        <w:rPr>
          <w:sz w:val="20"/>
          <w:szCs w:val="20"/>
        </w:rPr>
      </w:pPr>
      <w:r>
        <w:rPr>
          <w:sz w:val="20"/>
          <w:szCs w:val="20"/>
        </w:rPr>
        <w:lastRenderedPageBreak/>
        <w:t> </w:t>
      </w:r>
    </w:p>
    <w:p w:rsidR="00000000" w:rsidRDefault="00150086">
      <w:pPr>
        <w:pStyle w:val="NormalWeb"/>
        <w:spacing w:before="0" w:beforeAutospacing="0" w:after="0" w:afterAutospacing="0"/>
        <w:ind w:left="675"/>
        <w:jc w:val="both"/>
        <w:divId w:val="7608861"/>
        <w:rPr>
          <w:sz w:val="20"/>
          <w:szCs w:val="20"/>
        </w:rPr>
      </w:pPr>
      <w:r>
        <w:rPr>
          <w:sz w:val="20"/>
          <w:szCs w:val="20"/>
        </w:rPr>
        <w:t xml:space="preserve">On October 22, 2018, the Company modified the conversion price on the remainder of the convertible debentures, totaling $3,500,000 Canadian Dollars ($2,670,736 US Dollars), to C$0.42 per common share. As the modification was considered a modification with </w:t>
      </w:r>
      <w:r>
        <w:rPr>
          <w:sz w:val="20"/>
          <w:szCs w:val="20"/>
        </w:rPr>
        <w:t>substantially different terms, the modification has been accounted for as an extinguishment of the original debenture and the recognition of a new convertible debenture with a loss on extinguishment of debenture of $126,327 recorded in the condensed consol</w:t>
      </w:r>
      <w:r>
        <w:rPr>
          <w:sz w:val="20"/>
          <w:szCs w:val="20"/>
        </w:rPr>
        <w:t>idated statement of operations.</w:t>
      </w:r>
    </w:p>
    <w:p w:rsidR="00000000" w:rsidRDefault="00150086">
      <w:pPr>
        <w:pStyle w:val="NormalWeb"/>
        <w:spacing w:before="0" w:beforeAutospacing="0" w:after="0" w:afterAutospacing="0"/>
        <w:ind w:left="675"/>
        <w:jc w:val="both"/>
        <w:divId w:val="7608861"/>
        <w:rPr>
          <w:sz w:val="20"/>
          <w:szCs w:val="20"/>
        </w:rPr>
      </w:pPr>
      <w:r>
        <w:rPr>
          <w:sz w:val="20"/>
          <w:szCs w:val="20"/>
        </w:rPr>
        <w:t> </w:t>
      </w:r>
    </w:p>
    <w:p w:rsidR="00000000" w:rsidRDefault="00150086">
      <w:pPr>
        <w:pStyle w:val="NormalWeb"/>
        <w:spacing w:before="0" w:beforeAutospacing="0" w:after="0" w:afterAutospacing="0"/>
        <w:ind w:left="675"/>
        <w:jc w:val="both"/>
        <w:divId w:val="7608861"/>
        <w:rPr>
          <w:sz w:val="20"/>
          <w:szCs w:val="20"/>
        </w:rPr>
      </w:pPr>
      <w:r>
        <w:rPr>
          <w:sz w:val="20"/>
          <w:szCs w:val="20"/>
        </w:rPr>
        <w:t>As of October 31, 2018, the carrying value of the convertible debenture is $2,722,270, which is inclusive of debt premium of $59,053. As of October 31, 2018, interest accrued on the convertible debenture is $29,725.</w:t>
      </w:r>
    </w:p>
    <w:p w:rsidR="00000000" w:rsidRDefault="00150086">
      <w:pPr>
        <w:pStyle w:val="NormalWeb"/>
        <w:spacing w:before="0" w:beforeAutospacing="0" w:after="0" w:afterAutospacing="0"/>
        <w:jc w:val="both"/>
        <w:divId w:val="7608861"/>
        <w:rPr>
          <w:sz w:val="20"/>
          <w:szCs w:val="20"/>
        </w:rPr>
      </w:pPr>
      <w:r>
        <w:rPr>
          <w:sz w:val="20"/>
          <w:szCs w:val="20"/>
        </w:rPr>
        <w:t xml:space="preserve">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tcBorders>
              <w:bottom w:val="single" w:sz="6" w:space="0" w:color="000000"/>
            </w:tcBorders>
            <w:vAlign w:val="center"/>
            <w:hideMark/>
          </w:tcPr>
          <w:p w:rsidR="00000000" w:rsidRDefault="00150086">
            <w:pPr>
              <w:spacing w:before="0" w:beforeAutospacing="0" w:after="0" w:afterAutospacing="0"/>
              <w:jc w:val="center"/>
              <w:rPr>
                <w:rFonts w:eastAsia="Times New Roman"/>
                <w:sz w:val="20"/>
                <w:szCs w:val="20"/>
              </w:rPr>
            </w:pPr>
            <w:r>
              <w:rPr>
                <w:rFonts w:eastAsia="Times New Roman"/>
                <w:sz w:val="20"/>
                <w:szCs w:val="20"/>
              </w:rPr>
              <w:t>13</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50086">
      <w:pPr>
        <w:pStyle w:val="NormalWeb"/>
        <w:spacing w:before="0" w:beforeAutospacing="0" w:after="0" w:afterAutospacing="0"/>
        <w:jc w:val="both"/>
        <w:divId w:val="7608861"/>
        <w:rPr>
          <w:sz w:val="20"/>
          <w:szCs w:val="20"/>
        </w:rPr>
      </w:pPr>
      <w:r>
        <w:rPr>
          <w:sz w:val="20"/>
          <w:szCs w:val="20"/>
        </w:rPr>
        <w:t xml:space="preserve">   </w:t>
      </w:r>
    </w:p>
    <w:p w:rsidR="00000000" w:rsidRDefault="00150086">
      <w:pPr>
        <w:pStyle w:val="NormalWeb"/>
        <w:spacing w:before="0" w:beforeAutospacing="0" w:after="0" w:afterAutospacing="0"/>
        <w:jc w:val="both"/>
        <w:divId w:val="7608861"/>
        <w:rPr>
          <w:sz w:val="20"/>
          <w:szCs w:val="20"/>
        </w:rPr>
      </w:pPr>
      <w:r>
        <w:rPr>
          <w:b/>
          <w:bCs/>
          <w:sz w:val="20"/>
          <w:szCs w:val="20"/>
        </w:rPr>
        <w:t>PIVOT PHARMACEUTICALS INC.</w:t>
      </w:r>
    </w:p>
    <w:p w:rsidR="00000000" w:rsidRDefault="00150086">
      <w:pPr>
        <w:pStyle w:val="NormalWeb"/>
        <w:spacing w:before="0" w:beforeAutospacing="0" w:after="0" w:afterAutospacing="0"/>
        <w:jc w:val="both"/>
        <w:divId w:val="7608861"/>
        <w:rPr>
          <w:sz w:val="20"/>
          <w:szCs w:val="20"/>
        </w:rPr>
      </w:pPr>
      <w:r>
        <w:rPr>
          <w:sz w:val="20"/>
          <w:szCs w:val="20"/>
        </w:rPr>
        <w:t>Notes to the Condensed Consolidated Financial Statements (Unaudited)</w:t>
      </w:r>
    </w:p>
    <w:p w:rsidR="00000000" w:rsidRDefault="00150086">
      <w:pPr>
        <w:pStyle w:val="NormalWeb"/>
        <w:spacing w:before="0" w:beforeAutospacing="0" w:after="0" w:afterAutospacing="0"/>
        <w:jc w:val="both"/>
        <w:divId w:val="7608861"/>
        <w:rPr>
          <w:sz w:val="20"/>
          <w:szCs w:val="20"/>
        </w:rPr>
      </w:pPr>
      <w:r>
        <w:rPr>
          <w:sz w:val="20"/>
          <w:szCs w:val="20"/>
        </w:rPr>
        <w:t>Period ended October 31, 2018</w:t>
      </w:r>
    </w:p>
    <w:p w:rsidR="00000000" w:rsidRDefault="00150086">
      <w:pPr>
        <w:pStyle w:val="NormalWeb"/>
        <w:spacing w:before="0" w:beforeAutospacing="0" w:after="0" w:afterAutospacing="0"/>
        <w:jc w:val="both"/>
        <w:divId w:val="7608861"/>
        <w:rPr>
          <w:sz w:val="20"/>
          <w:szCs w:val="20"/>
        </w:rPr>
      </w:pPr>
      <w:r>
        <w:rPr>
          <w:sz w:val="20"/>
          <w:szCs w:val="20"/>
        </w:rPr>
        <w:t>(Expressed in U.S. dollars)</w:t>
      </w:r>
    </w:p>
    <w:p w:rsidR="00000000" w:rsidRDefault="00150086">
      <w:pPr>
        <w:pStyle w:val="NormalWeb"/>
        <w:spacing w:before="0" w:beforeAutospacing="0" w:after="0" w:afterAutospacing="0"/>
        <w:jc w:val="both"/>
        <w:divId w:val="7608861"/>
        <w:rPr>
          <w:b/>
          <w:bCs/>
          <w:sz w:val="20"/>
          <w:szCs w:val="20"/>
        </w:rPr>
      </w:pPr>
      <w:r>
        <w:rPr>
          <w:b/>
          <w:bCs/>
          <w:sz w:val="20"/>
          <w:szCs w:val="20"/>
        </w:rPr>
        <w:t xml:space="preserve">  </w:t>
      </w:r>
    </w:p>
    <w:p w:rsidR="00000000" w:rsidRDefault="00150086">
      <w:pPr>
        <w:pStyle w:val="NormalWeb"/>
        <w:spacing w:before="0" w:beforeAutospacing="0" w:after="0" w:afterAutospacing="0"/>
        <w:jc w:val="both"/>
        <w:divId w:val="7608861"/>
        <w:rPr>
          <w:b/>
          <w:bCs/>
          <w:sz w:val="20"/>
          <w:szCs w:val="20"/>
        </w:rPr>
      </w:pPr>
      <w:r>
        <w:rPr>
          <w:b/>
          <w:bCs/>
          <w:sz w:val="20"/>
          <w:szCs w:val="20"/>
        </w:rPr>
        <w:t>10. Promissory Note</w:t>
      </w:r>
    </w:p>
    <w:p w:rsidR="00000000" w:rsidRDefault="00150086">
      <w:pPr>
        <w:pStyle w:val="NormalWeb"/>
        <w:spacing w:before="0" w:beforeAutospacing="0" w:after="0" w:afterAutospacing="0"/>
        <w:jc w:val="both"/>
        <w:divId w:val="7608861"/>
        <w:rPr>
          <w:b/>
          <w:bCs/>
          <w:sz w:val="20"/>
          <w:szCs w:val="20"/>
        </w:rPr>
      </w:pPr>
      <w:r>
        <w:rPr>
          <w:b/>
          <w:bCs/>
          <w:sz w:val="20"/>
          <w:szCs w:val="20"/>
        </w:rPr>
        <w:t> </w:t>
      </w:r>
      <w:r>
        <w:rPr>
          <w:b/>
          <w:bCs/>
          <w:sz w:val="20"/>
          <w:szCs w:val="20"/>
        </w:rPr>
        <w:t> </w:t>
      </w:r>
    </w:p>
    <w:p w:rsidR="00000000" w:rsidRDefault="00150086">
      <w:pPr>
        <w:spacing w:before="0" w:beforeAutospacing="0" w:after="0" w:afterAutospacing="0"/>
        <w:jc w:val="both"/>
        <w:divId w:val="7608861"/>
        <w:rPr>
          <w:rFonts w:eastAsia="Times New Roman"/>
          <w:sz w:val="20"/>
          <w:szCs w:val="20"/>
        </w:rPr>
      </w:pPr>
      <w:r>
        <w:rPr>
          <w:rFonts w:eastAsia="Times New Roman"/>
          <w:sz w:val="20"/>
          <w:szCs w:val="20"/>
        </w:rPr>
        <w:t xml:space="preserve">(a) Promissory Note – Former Chief Executive Officer </w:t>
      </w:r>
    </w:p>
    <w:p w:rsidR="00000000" w:rsidRDefault="00150086">
      <w:pPr>
        <w:pStyle w:val="NormalWeb"/>
        <w:spacing w:before="0" w:beforeAutospacing="0" w:after="0" w:afterAutospacing="0"/>
        <w:ind w:left="1350"/>
        <w:jc w:val="both"/>
        <w:divId w:val="7608861"/>
        <w:rPr>
          <w:sz w:val="20"/>
          <w:szCs w:val="20"/>
        </w:rPr>
      </w:pPr>
      <w:r>
        <w:rPr>
          <w:sz w:val="20"/>
          <w:szCs w:val="20"/>
        </w:rPr>
        <w:t>The Company issued a promissory note in the amount of $200,000 to its former CEO, which bears interest at 8% per annum. Principal and accrued interest are due on the earlier of: 1) 30 days after the c</w:t>
      </w:r>
      <w:r>
        <w:rPr>
          <w:sz w:val="20"/>
          <w:szCs w:val="20"/>
        </w:rPr>
        <w:t>ompletion of a financing of at least $2,000,000 and (ii) September 10, 2027, provided that if repayment occurs prior to the second anniversary date, all interest will be waived. On March 2, 2018, the Company issued senior secured convertible debentures for</w:t>
      </w:r>
      <w:r>
        <w:rPr>
          <w:sz w:val="20"/>
          <w:szCs w:val="20"/>
        </w:rPr>
        <w:t xml:space="preserve"> gross proceeds of $5,000,000 Canadian dollars (Note 9). Accordingly, accrued interest being waived, principal was due and repaid on March 30, 2018 and a gain on repayment of promissory note of $6,969 was recorded.</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ind w:left="675"/>
        <w:jc w:val="both"/>
        <w:divId w:val="7608861"/>
        <w:rPr>
          <w:sz w:val="20"/>
          <w:szCs w:val="20"/>
        </w:rPr>
      </w:pPr>
      <w:r>
        <w:rPr>
          <w:sz w:val="20"/>
          <w:szCs w:val="20"/>
        </w:rPr>
        <w:t>(b) Promissory Note – Third Party</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ind w:left="1350"/>
        <w:jc w:val="both"/>
        <w:divId w:val="7608861"/>
        <w:rPr>
          <w:sz w:val="20"/>
          <w:szCs w:val="20"/>
        </w:rPr>
      </w:pPr>
      <w:r>
        <w:rPr>
          <w:sz w:val="20"/>
          <w:szCs w:val="20"/>
        </w:rPr>
        <w:t>On September 27, 2017, the Company issued a promissory note in the amount of $400,000, bearing interest at 12% per annum and maturing on December 31, 2018, which no proceeds have been received by the Company as at October 31, 2018. As part of the promissor</w:t>
      </w:r>
      <w:r>
        <w:rPr>
          <w:sz w:val="20"/>
          <w:szCs w:val="20"/>
        </w:rPr>
        <w:t>y note, 100,000 shares of our common stock were issued on October 26, 2017.</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ind w:left="675"/>
        <w:jc w:val="both"/>
        <w:divId w:val="7608861"/>
        <w:rPr>
          <w:sz w:val="20"/>
          <w:szCs w:val="20"/>
        </w:rPr>
      </w:pPr>
      <w:r>
        <w:rPr>
          <w:sz w:val="20"/>
          <w:szCs w:val="20"/>
        </w:rPr>
        <w:t>(c) Promissory Note – Altum Pharmaceuticals Inc. (“Altum”)</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ind w:left="1350"/>
        <w:jc w:val="both"/>
        <w:divId w:val="7608861"/>
        <w:rPr>
          <w:sz w:val="20"/>
          <w:szCs w:val="20"/>
        </w:rPr>
      </w:pPr>
      <w:r>
        <w:rPr>
          <w:sz w:val="20"/>
          <w:szCs w:val="20"/>
        </w:rPr>
        <w:t xml:space="preserve">On February 16, 2018, the Company issued a promissory note of up to $560,000 Canadian Dollars ($445,895 US Dollars), </w:t>
      </w:r>
      <w:r>
        <w:rPr>
          <w:sz w:val="20"/>
          <w:szCs w:val="20"/>
        </w:rPr>
        <w:t>bearing interest at 10% per annum to Altum and maturing on May 15, 2018. On February 19 and March 1, 2018, $250,000 Canadian Dollars ($198,981 US Dollars) and $252,464 Canadian Dollars ($196,761 US Dollars) were advanced to the Company. On March 2, 2018, t</w:t>
      </w:r>
      <w:r>
        <w:rPr>
          <w:sz w:val="20"/>
          <w:szCs w:val="20"/>
        </w:rPr>
        <w:t>he Company repaid the principal amount and accrued interest on the note totaling $503,285 Canadian Dollars ($390,398 US Dollars).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b/>
          <w:bCs/>
          <w:sz w:val="20"/>
          <w:szCs w:val="20"/>
        </w:rPr>
        <w:t>11. Common Stock</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7608861"/>
          <w:tblCellSpacing w:w="0" w:type="dxa"/>
        </w:trPr>
        <w:tc>
          <w:tcPr>
            <w:tcW w:w="200" w:type="pct"/>
            <w:hideMark/>
          </w:tcPr>
          <w:p w:rsidR="00000000" w:rsidRDefault="00150086">
            <w:pPr>
              <w:pStyle w:val="NormalWeb"/>
              <w:spacing w:before="0" w:beforeAutospacing="0" w:after="0" w:afterAutospacing="0"/>
              <w:jc w:val="both"/>
              <w:rPr>
                <w:sz w:val="20"/>
                <w:szCs w:val="20"/>
              </w:rPr>
            </w:pPr>
            <w:r>
              <w:rPr>
                <w:sz w:val="20"/>
                <w:szCs w:val="20"/>
              </w:rPr>
              <w:t> </w:t>
            </w:r>
          </w:p>
        </w:tc>
        <w:tc>
          <w:tcPr>
            <w:tcW w:w="200" w:type="pct"/>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(a)</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On February 28, 2018, 5,000,000 shares of common stock, with fair value of $5,191,662, were issued pursuant to the exchange agreement with Pivot Naturals (Note 4).</w:t>
            </w:r>
          </w:p>
        </w:tc>
      </w:tr>
      <w:tr w:rsidR="00000000">
        <w:trPr>
          <w:divId w:val="7608861"/>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(b)</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On March 2, 2018, 500,000 shares of common stock, with fair value of $620,328, were issued pursuant to the exchange agreement with Thrudermic and the members of Thrudermic (Note 3(a)).</w:t>
            </w:r>
          </w:p>
        </w:tc>
      </w:tr>
      <w:tr w:rsidR="00000000">
        <w:trPr>
          <w:divId w:val="7608861"/>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hideMark/>
          </w:tcPr>
          <w:p w:rsidR="00000000" w:rsidRDefault="00150086">
            <w:pPr>
              <w:pStyle w:val="NormalWeb"/>
              <w:spacing w:before="0" w:beforeAutospacing="0" w:after="0" w:afterAutospacing="0"/>
              <w:jc w:val="both"/>
              <w:rPr>
                <w:sz w:val="20"/>
                <w:szCs w:val="20"/>
              </w:rPr>
            </w:pPr>
            <w:r>
              <w:rPr>
                <w:sz w:val="20"/>
                <w:szCs w:val="20"/>
              </w:rPr>
              <w:lastRenderedPageBreak/>
              <w:t> </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(c)</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During the nine months ended October 31, 2018, the Company issued 598,735 shares of common stock, with fair value totaling $323,338, to third parties for services rendered.</w:t>
            </w:r>
          </w:p>
        </w:tc>
      </w:tr>
      <w:tr w:rsidR="00000000">
        <w:trPr>
          <w:divId w:val="7608861"/>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(d)</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During the nine months ended October 31, 2018 the Company issued 277,691 shares of common stock, with fair value totaling $119,606, as compensation pursuant to employment agreements entered into as part of the acquisitions of the Thrudermic Transdermal Nan</w:t>
            </w:r>
            <w:r>
              <w:rPr>
                <w:rFonts w:eastAsia="Times New Roman"/>
                <w:sz w:val="20"/>
                <w:szCs w:val="20"/>
              </w:rPr>
              <w:t>otechnology (Note 3(a)) and Pivot Naturals (Note 4).</w:t>
            </w:r>
          </w:p>
        </w:tc>
      </w:tr>
      <w:tr w:rsidR="00000000">
        <w:trPr>
          <w:divId w:val="7608861"/>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(e)</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On October 22, 2018, 3,750,000 units of the Company, with each unit consisting of one common stock and one share purchase warrant with an exercise price of $0.60 Canadian Dollars and three year expiry, were issued pursuant to settlement of $1,500,000 Canad</w:t>
            </w:r>
            <w:r>
              <w:rPr>
                <w:rFonts w:eastAsia="Times New Roman"/>
                <w:sz w:val="20"/>
                <w:szCs w:val="20"/>
              </w:rPr>
              <w:t>ian Dollars of convertible debentures (Note 9).</w:t>
            </w:r>
          </w:p>
        </w:tc>
      </w:tr>
    </w:tbl>
    <w:p w:rsidR="00000000" w:rsidRDefault="00150086">
      <w:pPr>
        <w:pStyle w:val="NormalWeb"/>
        <w:spacing w:before="0" w:beforeAutospacing="0" w:after="0" w:afterAutospacing="0"/>
        <w:jc w:val="both"/>
        <w:divId w:val="7608861"/>
        <w:rPr>
          <w:sz w:val="20"/>
          <w:szCs w:val="20"/>
        </w:rPr>
      </w:pPr>
      <w:r>
        <w:rPr>
          <w:sz w:val="20"/>
          <w:szCs w:val="20"/>
        </w:rPr>
        <w:t xml:space="preserve">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tcBorders>
              <w:bottom w:val="single" w:sz="6" w:space="0" w:color="000000"/>
            </w:tcBorders>
            <w:vAlign w:val="center"/>
            <w:hideMark/>
          </w:tcPr>
          <w:p w:rsidR="00000000" w:rsidRDefault="00150086">
            <w:pPr>
              <w:spacing w:before="0" w:beforeAutospacing="0" w:after="0" w:afterAutospacing="0"/>
              <w:jc w:val="center"/>
              <w:rPr>
                <w:rFonts w:eastAsia="Times New Roman"/>
                <w:sz w:val="20"/>
                <w:szCs w:val="20"/>
              </w:rPr>
            </w:pPr>
            <w:r>
              <w:rPr>
                <w:rFonts w:eastAsia="Times New Roman"/>
                <w:sz w:val="20"/>
                <w:szCs w:val="20"/>
              </w:rPr>
              <w:t>14</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50086">
      <w:pPr>
        <w:pStyle w:val="NormalWeb"/>
        <w:spacing w:before="0" w:beforeAutospacing="0" w:after="0" w:afterAutospacing="0"/>
        <w:jc w:val="both"/>
        <w:divId w:val="7608861"/>
        <w:rPr>
          <w:sz w:val="20"/>
          <w:szCs w:val="20"/>
        </w:rPr>
      </w:pPr>
      <w:r>
        <w:rPr>
          <w:sz w:val="20"/>
          <w:szCs w:val="20"/>
        </w:rPr>
        <w:t xml:space="preserve">   </w:t>
      </w:r>
    </w:p>
    <w:p w:rsidR="00000000" w:rsidRDefault="00150086">
      <w:pPr>
        <w:pStyle w:val="NormalWeb"/>
        <w:spacing w:before="0" w:beforeAutospacing="0" w:after="0" w:afterAutospacing="0"/>
        <w:jc w:val="both"/>
        <w:divId w:val="7608861"/>
        <w:rPr>
          <w:sz w:val="20"/>
          <w:szCs w:val="20"/>
        </w:rPr>
      </w:pPr>
      <w:r>
        <w:rPr>
          <w:b/>
          <w:bCs/>
          <w:sz w:val="20"/>
          <w:szCs w:val="20"/>
        </w:rPr>
        <w:t>PIVOT PHARMACEUTICALS INC.</w:t>
      </w:r>
    </w:p>
    <w:p w:rsidR="00000000" w:rsidRDefault="00150086">
      <w:pPr>
        <w:pStyle w:val="NormalWeb"/>
        <w:spacing w:before="0" w:beforeAutospacing="0" w:after="0" w:afterAutospacing="0"/>
        <w:jc w:val="both"/>
        <w:divId w:val="7608861"/>
        <w:rPr>
          <w:sz w:val="20"/>
          <w:szCs w:val="20"/>
        </w:rPr>
      </w:pPr>
      <w:r>
        <w:rPr>
          <w:sz w:val="20"/>
          <w:szCs w:val="20"/>
        </w:rPr>
        <w:t>Notes to the Condensed Consolidated Financial Statements (Unaudited)</w:t>
      </w:r>
    </w:p>
    <w:p w:rsidR="00000000" w:rsidRDefault="00150086">
      <w:pPr>
        <w:pStyle w:val="NormalWeb"/>
        <w:spacing w:before="0" w:beforeAutospacing="0" w:after="0" w:afterAutospacing="0"/>
        <w:jc w:val="both"/>
        <w:divId w:val="7608861"/>
        <w:rPr>
          <w:sz w:val="20"/>
          <w:szCs w:val="20"/>
        </w:rPr>
      </w:pPr>
      <w:r>
        <w:rPr>
          <w:sz w:val="20"/>
          <w:szCs w:val="20"/>
        </w:rPr>
        <w:t>Period ended October 31, 2018</w:t>
      </w:r>
    </w:p>
    <w:p w:rsidR="00000000" w:rsidRDefault="00150086">
      <w:pPr>
        <w:pStyle w:val="NormalWeb"/>
        <w:spacing w:before="0" w:beforeAutospacing="0" w:after="0" w:afterAutospacing="0"/>
        <w:jc w:val="both"/>
        <w:divId w:val="7608861"/>
        <w:rPr>
          <w:sz w:val="20"/>
          <w:szCs w:val="20"/>
        </w:rPr>
      </w:pPr>
      <w:r>
        <w:rPr>
          <w:sz w:val="20"/>
          <w:szCs w:val="20"/>
        </w:rPr>
        <w:t>(Expressed in U.S. dollars)</w:t>
      </w:r>
      <w:r>
        <w:rPr>
          <w:b/>
          <w:bCs/>
          <w:sz w:val="20"/>
          <w:szCs w:val="20"/>
        </w:rPr>
        <w:t xml:space="preserve">  </w:t>
      </w:r>
    </w:p>
    <w:p w:rsidR="00000000" w:rsidRDefault="00150086">
      <w:pPr>
        <w:pStyle w:val="NormalWeb"/>
        <w:spacing w:before="0" w:beforeAutospacing="0" w:after="0" w:afterAutospacing="0"/>
        <w:jc w:val="both"/>
        <w:divId w:val="7608861"/>
        <w:rPr>
          <w:sz w:val="20"/>
          <w:szCs w:val="20"/>
        </w:rPr>
      </w:pPr>
      <w:r>
        <w:rPr>
          <w:b/>
          <w:bCs/>
          <w:sz w:val="20"/>
          <w:szCs w:val="20"/>
        </w:rPr>
        <w:t> </w:t>
      </w:r>
    </w:p>
    <w:p w:rsidR="00000000" w:rsidRDefault="00150086">
      <w:pPr>
        <w:pStyle w:val="NormalWeb"/>
        <w:spacing w:before="0" w:beforeAutospacing="0" w:after="0" w:afterAutospacing="0"/>
        <w:jc w:val="both"/>
        <w:divId w:val="7608861"/>
        <w:rPr>
          <w:sz w:val="20"/>
          <w:szCs w:val="20"/>
        </w:rPr>
      </w:pPr>
      <w:r>
        <w:rPr>
          <w:b/>
          <w:bCs/>
          <w:sz w:val="20"/>
          <w:szCs w:val="20"/>
        </w:rPr>
        <w:t xml:space="preserve">11. Common Stock </w:t>
      </w:r>
      <w:r>
        <w:rPr>
          <w:sz w:val="20"/>
          <w:szCs w:val="20"/>
        </w:rPr>
        <w:t xml:space="preserve">(continued) </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7608861"/>
          <w:tblCellSpacing w:w="0" w:type="dxa"/>
        </w:trPr>
        <w:tc>
          <w:tcPr>
            <w:tcW w:w="200" w:type="pct"/>
            <w:hideMark/>
          </w:tcPr>
          <w:p w:rsidR="00000000" w:rsidRDefault="00150086">
            <w:pPr>
              <w:pStyle w:val="NormalWeb"/>
              <w:spacing w:before="0" w:beforeAutospacing="0" w:after="0" w:afterAutospacing="0"/>
              <w:jc w:val="both"/>
              <w:rPr>
                <w:sz w:val="20"/>
                <w:szCs w:val="20"/>
              </w:rPr>
            </w:pPr>
            <w:r>
              <w:rPr>
                <w:sz w:val="20"/>
                <w:szCs w:val="20"/>
              </w:rPr>
              <w:t> </w:t>
            </w:r>
          </w:p>
        </w:tc>
        <w:tc>
          <w:tcPr>
            <w:tcW w:w="200" w:type="pct"/>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(f)</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In October, 2018, 3,328,250 units of the Company, with each unit consisting of one common stock and one share purchase warrant with an exercise price of $0.60 Canadian Dollars and three year expiry, were issued for subscription proceeds of $1,331,300 Canad</w:t>
            </w:r>
            <w:r>
              <w:rPr>
                <w:rFonts w:eastAsia="Times New Roman"/>
                <w:sz w:val="20"/>
                <w:szCs w:val="20"/>
              </w:rPr>
              <w:t>ian Dollars ($1,022,005 US Dollars). Pursuant to the private placement, the Company paid finders’ fee of $64,104 in cash and issued 142,260 share purchase warrants with an exercise price of $0.60 Canadian Dollars and three year expiry. An additional 38,000</w:t>
            </w:r>
            <w:r>
              <w:rPr>
                <w:rFonts w:eastAsia="Times New Roman"/>
                <w:sz w:val="20"/>
                <w:szCs w:val="20"/>
              </w:rPr>
              <w:t xml:space="preserve"> share purchase warrants, with an exercise price of $0.60 Canadian Dollars and three year expiry, in finders’ fee were issued on November 2, 2018.</w:t>
            </w:r>
          </w:p>
        </w:tc>
      </w:tr>
    </w:tbl>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b/>
          <w:bCs/>
          <w:sz w:val="20"/>
          <w:szCs w:val="20"/>
        </w:rPr>
        <w:t>12. Stock Options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ind w:left="675"/>
        <w:jc w:val="both"/>
        <w:divId w:val="7608861"/>
        <w:rPr>
          <w:sz w:val="20"/>
          <w:szCs w:val="20"/>
        </w:rPr>
      </w:pPr>
      <w:r>
        <w:rPr>
          <w:sz w:val="20"/>
          <w:szCs w:val="20"/>
        </w:rPr>
        <w:t xml:space="preserve">Effective December 30, 2015, the Company adopted a stock option plan. Under this plan, </w:t>
      </w:r>
      <w:r>
        <w:rPr>
          <w:sz w:val="20"/>
          <w:szCs w:val="20"/>
        </w:rPr>
        <w:t>the Company may grant options to its directors, officers, employees and consultants up to an amount as determined by the Company and will be no more than a percentage of its outstanding common stock as may be required by the stock exchange the Company is l</w:t>
      </w:r>
      <w:r>
        <w:rPr>
          <w:sz w:val="20"/>
          <w:szCs w:val="20"/>
        </w:rPr>
        <w:t>isted with. The exercise price of the stock options will be determined by the Company and will be no less than any minimum exercise price as may be required by the stock exchange the Company is listed with.</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ind w:left="675"/>
        <w:jc w:val="both"/>
        <w:divId w:val="7608861"/>
        <w:rPr>
          <w:sz w:val="20"/>
          <w:szCs w:val="20"/>
        </w:rPr>
      </w:pPr>
      <w:r>
        <w:rPr>
          <w:sz w:val="20"/>
          <w:szCs w:val="20"/>
        </w:rPr>
        <w:t>The following table summarizes the continuity o</w:t>
      </w:r>
      <w:r>
        <w:rPr>
          <w:sz w:val="20"/>
          <w:szCs w:val="20"/>
        </w:rPr>
        <w:t>f the Company’s stock options:</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4250" w:type="pct"/>
        <w:jc w:val="center"/>
        <w:tblCellSpacing w:w="0" w:type="dxa"/>
        <w:tblCellMar>
          <w:left w:w="0" w:type="dxa"/>
          <w:right w:w="0" w:type="dxa"/>
        </w:tblCellMar>
        <w:tblLook w:val="04A0"/>
      </w:tblPr>
      <w:tblGrid>
        <w:gridCol w:w="3718"/>
        <w:gridCol w:w="58"/>
        <w:gridCol w:w="58"/>
        <w:gridCol w:w="900"/>
        <w:gridCol w:w="67"/>
        <w:gridCol w:w="50"/>
        <w:gridCol w:w="83"/>
        <w:gridCol w:w="740"/>
        <w:gridCol w:w="67"/>
        <w:gridCol w:w="50"/>
        <w:gridCol w:w="104"/>
        <w:gridCol w:w="930"/>
        <w:gridCol w:w="67"/>
        <w:gridCol w:w="50"/>
        <w:gridCol w:w="55"/>
        <w:gridCol w:w="900"/>
        <w:gridCol w:w="59"/>
      </w:tblGrid>
      <w:tr w:rsidR="00000000">
        <w:trPr>
          <w:divId w:val="7608861"/>
          <w:tblCellSpacing w:w="0" w:type="dxa"/>
          <w:jc w:val="center"/>
        </w:trPr>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Number</w:t>
            </w:r>
          </w:p>
          <w:p w:rsidR="00000000" w:rsidRDefault="00150086">
            <w:pPr>
              <w:pStyle w:val="NormalWeb"/>
              <w:spacing w:before="0" w:beforeAutospacing="0" w:after="0" w:afterAutospacing="0"/>
              <w:jc w:val="center"/>
              <w:rPr>
                <w:sz w:val="20"/>
                <w:szCs w:val="20"/>
              </w:rPr>
            </w:pPr>
            <w:r>
              <w:rPr>
                <w:b/>
                <w:bCs/>
                <w:sz w:val="20"/>
                <w:szCs w:val="20"/>
              </w:rPr>
              <w:t>of Options</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center"/>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center"/>
              <w:rPr>
                <w:sz w:val="20"/>
                <w:szCs w:val="20"/>
              </w:rPr>
            </w:pPr>
            <w:r>
              <w:rPr>
                <w:sz w:val="20"/>
                <w:szCs w:val="20"/>
              </w:rPr>
              <w:t> </w:t>
            </w:r>
          </w:p>
        </w:tc>
        <w:tc>
          <w:tcPr>
            <w:tcW w:w="450" w:type="pct"/>
            <w:gridSpan w:val="2"/>
            <w:tcBorders>
              <w:bottom w:val="single" w:sz="6" w:space="0" w:color="000000"/>
            </w:tcBorders>
            <w:vAlign w:val="bottom"/>
            <w:hideMark/>
          </w:tcPr>
          <w:p w:rsidR="00000000" w:rsidRDefault="00150086">
            <w:pPr>
              <w:spacing w:before="0" w:beforeAutospacing="0" w:after="0" w:afterAutospacing="0"/>
              <w:jc w:val="center"/>
              <w:rPr>
                <w:rFonts w:eastAsia="Times New Roman"/>
                <w:sz w:val="20"/>
                <w:szCs w:val="20"/>
              </w:rPr>
            </w:pPr>
            <w:r>
              <w:rPr>
                <w:rFonts w:eastAsia="Times New Roman"/>
                <w:b/>
                <w:bCs/>
                <w:sz w:val="20"/>
                <w:szCs w:val="20"/>
              </w:rPr>
              <w:t>Weighted</w:t>
            </w:r>
            <w:r>
              <w:rPr>
                <w:rFonts w:eastAsia="Times New Roman"/>
                <w:sz w:val="20"/>
                <w:szCs w:val="20"/>
              </w:rPr>
              <w:t xml:space="preserve"> </w:t>
            </w:r>
            <w:r>
              <w:rPr>
                <w:rFonts w:eastAsia="Times New Roman"/>
                <w:b/>
                <w:bCs/>
                <w:sz w:val="20"/>
                <w:szCs w:val="20"/>
              </w:rPr>
              <w:t>Average</w:t>
            </w:r>
            <w:r>
              <w:rPr>
                <w:rFonts w:eastAsia="Times New Roman"/>
                <w:sz w:val="20"/>
                <w:szCs w:val="20"/>
              </w:rPr>
              <w:t xml:space="preserve"> </w:t>
            </w:r>
            <w:r>
              <w:rPr>
                <w:rFonts w:eastAsia="Times New Roman"/>
                <w:b/>
                <w:bCs/>
                <w:sz w:val="20"/>
                <w:szCs w:val="20"/>
              </w:rPr>
              <w:t>Exercise</w:t>
            </w:r>
            <w:r>
              <w:rPr>
                <w:rFonts w:eastAsia="Times New Roman"/>
                <w:sz w:val="20"/>
                <w:szCs w:val="20"/>
              </w:rPr>
              <w:t xml:space="preserve"> </w:t>
            </w:r>
            <w:r>
              <w:rPr>
                <w:rFonts w:eastAsia="Times New Roman"/>
                <w:b/>
                <w:bCs/>
                <w:sz w:val="20"/>
                <w:szCs w:val="20"/>
              </w:rPr>
              <w:t>Price</w:t>
            </w:r>
            <w:r>
              <w:rPr>
                <w:rFonts w:eastAsia="Times New Roman"/>
                <w:sz w:val="20"/>
                <w:szCs w:val="20"/>
              </w:rPr>
              <w:t xml:space="preserve"> </w:t>
            </w:r>
          </w:p>
          <w:p w:rsidR="00000000" w:rsidRDefault="00150086">
            <w:pPr>
              <w:pStyle w:val="NormalWeb"/>
              <w:spacing w:before="0" w:beforeAutospacing="0" w:after="0" w:afterAutospacing="0"/>
              <w:jc w:val="center"/>
              <w:rPr>
                <w:sz w:val="20"/>
                <w:szCs w:val="20"/>
              </w:rPr>
            </w:pPr>
            <w:r>
              <w:rPr>
                <w:b/>
                <w:bCs/>
                <w:sz w:val="20"/>
                <w:szCs w:val="20"/>
              </w:rPr>
              <w:t xml:space="preserve">(US$) </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center"/>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center"/>
              <w:rPr>
                <w:sz w:val="20"/>
                <w:szCs w:val="20"/>
              </w:rPr>
            </w:pPr>
            <w:r>
              <w:rPr>
                <w:sz w:val="20"/>
                <w:szCs w:val="20"/>
              </w:rPr>
              <w:t> </w:t>
            </w:r>
          </w:p>
        </w:tc>
        <w:tc>
          <w:tcPr>
            <w:tcW w:w="450" w:type="pct"/>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Weighted Average Remaining Contractual Life</w:t>
            </w:r>
          </w:p>
          <w:p w:rsidR="00000000" w:rsidRDefault="00150086">
            <w:pPr>
              <w:pStyle w:val="NormalWeb"/>
              <w:spacing w:before="0" w:beforeAutospacing="0" w:after="0" w:afterAutospacing="0"/>
              <w:jc w:val="center"/>
              <w:rPr>
                <w:sz w:val="20"/>
                <w:szCs w:val="20"/>
              </w:rPr>
            </w:pPr>
            <w:r>
              <w:rPr>
                <w:b/>
                <w:bCs/>
                <w:sz w:val="20"/>
                <w:szCs w:val="20"/>
              </w:rPr>
              <w:t>(years)</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center"/>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center"/>
              <w:rPr>
                <w:sz w:val="20"/>
                <w:szCs w:val="20"/>
              </w:rPr>
            </w:pPr>
            <w:r>
              <w:rPr>
                <w:sz w:val="20"/>
                <w:szCs w:val="20"/>
              </w:rPr>
              <w:t> </w:t>
            </w:r>
          </w:p>
        </w:tc>
        <w:tc>
          <w:tcPr>
            <w:tcW w:w="450" w:type="pct"/>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Aggregate</w:t>
            </w:r>
          </w:p>
          <w:p w:rsidR="00000000" w:rsidRDefault="00150086">
            <w:pPr>
              <w:pStyle w:val="NormalWeb"/>
              <w:spacing w:before="0" w:beforeAutospacing="0" w:after="0" w:afterAutospacing="0"/>
              <w:jc w:val="center"/>
              <w:rPr>
                <w:sz w:val="20"/>
                <w:szCs w:val="20"/>
              </w:rPr>
            </w:pPr>
            <w:r>
              <w:rPr>
                <w:b/>
                <w:bCs/>
                <w:sz w:val="20"/>
                <w:szCs w:val="20"/>
              </w:rPr>
              <w:t>Intrinsic</w:t>
            </w:r>
          </w:p>
          <w:p w:rsidR="00000000" w:rsidRDefault="00150086">
            <w:pPr>
              <w:pStyle w:val="NormalWeb"/>
              <w:spacing w:before="0" w:beforeAutospacing="0" w:after="0" w:afterAutospacing="0"/>
              <w:jc w:val="center"/>
              <w:rPr>
                <w:sz w:val="20"/>
                <w:szCs w:val="20"/>
              </w:rPr>
            </w:pPr>
            <w:r>
              <w:rPr>
                <w:b/>
                <w:bCs/>
                <w:sz w:val="20"/>
                <w:szCs w:val="20"/>
              </w:rPr>
              <w:t>Value</w:t>
            </w:r>
          </w:p>
          <w:p w:rsidR="00000000" w:rsidRDefault="00150086">
            <w:pPr>
              <w:pStyle w:val="NormalWeb"/>
              <w:spacing w:before="0" w:beforeAutospacing="0" w:after="0" w:afterAutospacing="0"/>
              <w:jc w:val="center"/>
              <w:rPr>
                <w:sz w:val="20"/>
                <w:szCs w:val="20"/>
              </w:rPr>
            </w:pPr>
            <w:r>
              <w:rPr>
                <w:b/>
                <w:bCs/>
                <w:sz w:val="20"/>
                <w:szCs w:val="20"/>
              </w:rPr>
              <w:t>(US$)</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Outstanding, January 31, 2018</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13,620,833</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0.34</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3.26</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22,917,756</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Granted</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300,000</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0.97</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4.57</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Forfeited</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(229,000</w:t>
            </w:r>
          </w:p>
        </w:tc>
        <w:tc>
          <w:tcPr>
            <w:tcW w:w="50" w:type="pct"/>
            <w:shd w:val="clear" w:color="auto" w:fill="CCEEFF"/>
            <w:tcMar>
              <w:top w:w="0" w:type="dxa"/>
              <w:left w:w="0" w:type="dxa"/>
              <w:bottom w:w="1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(0.26</w:t>
            </w:r>
          </w:p>
        </w:tc>
        <w:tc>
          <w:tcPr>
            <w:tcW w:w="50" w:type="pct"/>
            <w:shd w:val="clear" w:color="auto" w:fill="CCEEFF"/>
            <w:tcMar>
              <w:top w:w="0" w:type="dxa"/>
              <w:left w:w="0" w:type="dxa"/>
              <w:bottom w:w="1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(2.15</w:t>
            </w:r>
          </w:p>
        </w:tc>
        <w:tc>
          <w:tcPr>
            <w:tcW w:w="50" w:type="pct"/>
            <w:shd w:val="clear" w:color="auto" w:fill="CCEEFF"/>
            <w:tcMar>
              <w:top w:w="0" w:type="dxa"/>
              <w:left w:w="0" w:type="dxa"/>
              <w:bottom w:w="1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 xml:space="preserve">Outstanding, October 31, 2018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13,691,833</w:t>
            </w:r>
          </w:p>
        </w:tc>
        <w:tc>
          <w:tcPr>
            <w:tcW w:w="50" w:type="pct"/>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0.35</w:t>
            </w:r>
          </w:p>
        </w:tc>
        <w:tc>
          <w:tcPr>
            <w:tcW w:w="50" w:type="pct"/>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2.56</w:t>
            </w:r>
          </w:p>
        </w:tc>
        <w:tc>
          <w:tcPr>
            <w:tcW w:w="50" w:type="pct"/>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1,771,295</w:t>
            </w:r>
          </w:p>
        </w:tc>
        <w:tc>
          <w:tcPr>
            <w:tcW w:w="50" w:type="pct"/>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lastRenderedPageBreak/>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 xml:space="preserve">Exercisable, October 31, 2018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13,475,169</w:t>
            </w:r>
          </w:p>
        </w:tc>
        <w:tc>
          <w:tcPr>
            <w:tcW w:w="50" w:type="pct"/>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0.35</w:t>
            </w:r>
          </w:p>
        </w:tc>
        <w:tc>
          <w:tcPr>
            <w:tcW w:w="50" w:type="pct"/>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2.53</w:t>
            </w:r>
          </w:p>
        </w:tc>
        <w:tc>
          <w:tcPr>
            <w:tcW w:w="50" w:type="pct"/>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1,771,295</w:t>
            </w:r>
          </w:p>
        </w:tc>
        <w:tc>
          <w:tcPr>
            <w:tcW w:w="50" w:type="pct"/>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bl>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ind w:left="675"/>
        <w:jc w:val="both"/>
        <w:divId w:val="7608861"/>
        <w:rPr>
          <w:sz w:val="20"/>
          <w:szCs w:val="20"/>
        </w:rPr>
      </w:pPr>
      <w:r>
        <w:rPr>
          <w:sz w:val="20"/>
          <w:szCs w:val="20"/>
        </w:rPr>
        <w:t>The fair value of stock-based compensation expense was estimated using the Black-Scholes option pricing model and the following assumptions:</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4250" w:type="pct"/>
        <w:jc w:val="center"/>
        <w:tblCellSpacing w:w="0" w:type="dxa"/>
        <w:tblCellMar>
          <w:left w:w="0" w:type="dxa"/>
          <w:right w:w="0" w:type="dxa"/>
        </w:tblCellMar>
        <w:tblLook w:val="04A0"/>
      </w:tblPr>
      <w:tblGrid>
        <w:gridCol w:w="4081"/>
        <w:gridCol w:w="51"/>
        <w:gridCol w:w="80"/>
        <w:gridCol w:w="720"/>
        <w:gridCol w:w="167"/>
        <w:gridCol w:w="50"/>
        <w:gridCol w:w="72"/>
        <w:gridCol w:w="671"/>
        <w:gridCol w:w="167"/>
        <w:gridCol w:w="52"/>
        <w:gridCol w:w="79"/>
        <w:gridCol w:w="710"/>
        <w:gridCol w:w="167"/>
        <w:gridCol w:w="50"/>
        <w:gridCol w:w="79"/>
        <w:gridCol w:w="710"/>
        <w:gridCol w:w="50"/>
      </w:tblGrid>
      <w:tr w:rsidR="00000000">
        <w:trPr>
          <w:divId w:val="7608861"/>
          <w:tblCellSpacing w:w="0" w:type="dxa"/>
          <w:jc w:val="center"/>
        </w:trPr>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Expected Volatility</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center"/>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center"/>
              <w:rPr>
                <w:sz w:val="20"/>
                <w:szCs w:val="20"/>
              </w:rPr>
            </w:pPr>
            <w:r>
              <w:rPr>
                <w:sz w:val="20"/>
                <w:szCs w:val="20"/>
              </w:rPr>
              <w:t> </w:t>
            </w:r>
          </w:p>
        </w:tc>
        <w:tc>
          <w:tcPr>
            <w:tcW w:w="450" w:type="pct"/>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Risk-free</w:t>
            </w:r>
          </w:p>
          <w:p w:rsidR="00000000" w:rsidRDefault="00150086">
            <w:pPr>
              <w:pStyle w:val="NormalWeb"/>
              <w:spacing w:before="0" w:beforeAutospacing="0" w:after="0" w:afterAutospacing="0"/>
              <w:jc w:val="center"/>
              <w:rPr>
                <w:sz w:val="20"/>
                <w:szCs w:val="20"/>
              </w:rPr>
            </w:pPr>
            <w:r>
              <w:rPr>
                <w:b/>
                <w:bCs/>
                <w:sz w:val="20"/>
                <w:szCs w:val="20"/>
              </w:rPr>
              <w:t> Interest</w:t>
            </w:r>
          </w:p>
          <w:p w:rsidR="00000000" w:rsidRDefault="00150086">
            <w:pPr>
              <w:pStyle w:val="NormalWeb"/>
              <w:spacing w:before="0" w:beforeAutospacing="0" w:after="0" w:afterAutospacing="0"/>
              <w:jc w:val="center"/>
              <w:rPr>
                <w:sz w:val="20"/>
                <w:szCs w:val="20"/>
              </w:rPr>
            </w:pPr>
            <w:r>
              <w:rPr>
                <w:b/>
                <w:bCs/>
                <w:sz w:val="20"/>
                <w:szCs w:val="20"/>
              </w:rPr>
              <w:t>Rate</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center"/>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center"/>
              <w:rPr>
                <w:sz w:val="20"/>
                <w:szCs w:val="20"/>
              </w:rPr>
            </w:pPr>
            <w:r>
              <w:rPr>
                <w:sz w:val="20"/>
                <w:szCs w:val="20"/>
              </w:rPr>
              <w:t> </w:t>
            </w:r>
          </w:p>
        </w:tc>
        <w:tc>
          <w:tcPr>
            <w:tcW w:w="450" w:type="pct"/>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Expected Dividend</w:t>
            </w:r>
          </w:p>
          <w:p w:rsidR="00000000" w:rsidRDefault="00150086">
            <w:pPr>
              <w:pStyle w:val="NormalWeb"/>
              <w:spacing w:before="0" w:beforeAutospacing="0" w:after="0" w:afterAutospacing="0"/>
              <w:jc w:val="center"/>
              <w:rPr>
                <w:sz w:val="20"/>
                <w:szCs w:val="20"/>
              </w:rPr>
            </w:pPr>
            <w:r>
              <w:rPr>
                <w:b/>
                <w:bCs/>
                <w:sz w:val="20"/>
                <w:szCs w:val="20"/>
              </w:rPr>
              <w:t>Yield</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center"/>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center"/>
              <w:rPr>
                <w:sz w:val="20"/>
                <w:szCs w:val="20"/>
              </w:rPr>
            </w:pPr>
            <w:r>
              <w:rPr>
                <w:sz w:val="20"/>
                <w:szCs w:val="20"/>
              </w:rPr>
              <w:t> </w:t>
            </w:r>
          </w:p>
        </w:tc>
        <w:tc>
          <w:tcPr>
            <w:tcW w:w="450" w:type="pct"/>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Expected Life</w:t>
            </w:r>
          </w:p>
          <w:p w:rsidR="00000000" w:rsidRDefault="00150086">
            <w:pPr>
              <w:pStyle w:val="NormalWeb"/>
              <w:spacing w:before="0" w:beforeAutospacing="0" w:after="0" w:afterAutospacing="0"/>
              <w:jc w:val="center"/>
              <w:rPr>
                <w:sz w:val="20"/>
                <w:szCs w:val="20"/>
              </w:rPr>
            </w:pPr>
            <w:r>
              <w:rPr>
                <w:b/>
                <w:bCs/>
                <w:sz w:val="20"/>
                <w:szCs w:val="20"/>
              </w:rPr>
              <w:t>(in years)</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100,000 options expiring on November 14, 2022</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333</w:t>
            </w:r>
          </w:p>
        </w:tc>
        <w:tc>
          <w:tcPr>
            <w:tcW w:w="50" w:type="pct"/>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2.95</w:t>
            </w:r>
          </w:p>
        </w:tc>
        <w:tc>
          <w:tcPr>
            <w:tcW w:w="50" w:type="pct"/>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0</w:t>
            </w:r>
          </w:p>
        </w:tc>
        <w:tc>
          <w:tcPr>
            <w:tcW w:w="50" w:type="pct"/>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4.04</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200,000 options expiring on March 11, 2023</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342</w:t>
            </w:r>
          </w:p>
        </w:tc>
        <w:tc>
          <w:tcPr>
            <w:tcW w:w="50" w:type="pct"/>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2.98</w:t>
            </w:r>
          </w:p>
        </w:tc>
        <w:tc>
          <w:tcPr>
            <w:tcW w:w="50" w:type="pct"/>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0</w:t>
            </w:r>
          </w:p>
        </w:tc>
        <w:tc>
          <w:tcPr>
            <w:tcW w:w="50" w:type="pct"/>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4.36</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100,000 options expiring on October 28, 2023</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364</w:t>
            </w:r>
          </w:p>
        </w:tc>
        <w:tc>
          <w:tcPr>
            <w:tcW w:w="50" w:type="pct"/>
            <w:shd w:val="clear" w:color="auto" w:fill="CCEEFF"/>
            <w:tcMar>
              <w:top w:w="0" w:type="dxa"/>
              <w:left w:w="0" w:type="dxa"/>
              <w:bottom w:w="1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2.98</w:t>
            </w:r>
          </w:p>
        </w:tc>
        <w:tc>
          <w:tcPr>
            <w:tcW w:w="50" w:type="pct"/>
            <w:shd w:val="clear" w:color="auto" w:fill="CCEEFF"/>
            <w:tcMar>
              <w:top w:w="0" w:type="dxa"/>
              <w:left w:w="0" w:type="dxa"/>
              <w:bottom w:w="1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0</w:t>
            </w:r>
          </w:p>
        </w:tc>
        <w:tc>
          <w:tcPr>
            <w:tcW w:w="50" w:type="pct"/>
            <w:shd w:val="clear" w:color="auto" w:fill="CCEEFF"/>
            <w:tcMar>
              <w:top w:w="0" w:type="dxa"/>
              <w:left w:w="0" w:type="dxa"/>
              <w:bottom w:w="1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4.99</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bl>
    <w:p w:rsidR="00000000" w:rsidRDefault="00150086">
      <w:pPr>
        <w:pStyle w:val="NormalWeb"/>
        <w:spacing w:before="0" w:beforeAutospacing="0" w:after="0" w:afterAutospacing="0"/>
        <w:jc w:val="both"/>
        <w:divId w:val="7608861"/>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tcBorders>
              <w:bottom w:val="single" w:sz="6" w:space="0" w:color="000000"/>
            </w:tcBorders>
            <w:vAlign w:val="center"/>
            <w:hideMark/>
          </w:tcPr>
          <w:p w:rsidR="00000000" w:rsidRDefault="00150086">
            <w:pPr>
              <w:spacing w:before="0" w:beforeAutospacing="0" w:after="0" w:afterAutospacing="0"/>
              <w:jc w:val="center"/>
              <w:rPr>
                <w:rFonts w:eastAsia="Times New Roman"/>
                <w:sz w:val="20"/>
                <w:szCs w:val="20"/>
              </w:rPr>
            </w:pPr>
            <w:r>
              <w:rPr>
                <w:rFonts w:eastAsia="Times New Roman"/>
                <w:sz w:val="20"/>
                <w:szCs w:val="20"/>
              </w:rPr>
              <w:t>15</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50086">
      <w:pPr>
        <w:pStyle w:val="NormalWeb"/>
        <w:spacing w:before="0" w:beforeAutospacing="0" w:after="0" w:afterAutospacing="0"/>
        <w:jc w:val="both"/>
        <w:divId w:val="7608861"/>
        <w:rPr>
          <w:sz w:val="20"/>
          <w:szCs w:val="20"/>
        </w:rPr>
      </w:pPr>
      <w:r>
        <w:rPr>
          <w:sz w:val="20"/>
          <w:szCs w:val="20"/>
        </w:rPr>
        <w:t xml:space="preserve">   </w:t>
      </w:r>
    </w:p>
    <w:p w:rsidR="00000000" w:rsidRDefault="00150086">
      <w:pPr>
        <w:pStyle w:val="NormalWeb"/>
        <w:spacing w:before="0" w:beforeAutospacing="0" w:after="0" w:afterAutospacing="0"/>
        <w:jc w:val="both"/>
        <w:divId w:val="7608861"/>
        <w:rPr>
          <w:sz w:val="20"/>
          <w:szCs w:val="20"/>
        </w:rPr>
      </w:pPr>
      <w:r>
        <w:rPr>
          <w:b/>
          <w:bCs/>
          <w:sz w:val="20"/>
          <w:szCs w:val="20"/>
        </w:rPr>
        <w:t>PIVOT PHARMACEUTICALS INC.</w:t>
      </w:r>
    </w:p>
    <w:p w:rsidR="00000000" w:rsidRDefault="00150086">
      <w:pPr>
        <w:pStyle w:val="NormalWeb"/>
        <w:spacing w:before="0" w:beforeAutospacing="0" w:after="0" w:afterAutospacing="0"/>
        <w:jc w:val="both"/>
        <w:divId w:val="7608861"/>
        <w:rPr>
          <w:sz w:val="20"/>
          <w:szCs w:val="20"/>
        </w:rPr>
      </w:pPr>
      <w:r>
        <w:rPr>
          <w:sz w:val="20"/>
          <w:szCs w:val="20"/>
        </w:rPr>
        <w:t>Notes to the Condensed Consolidated Financial Statements (Unaudited)</w:t>
      </w:r>
    </w:p>
    <w:p w:rsidR="00000000" w:rsidRDefault="00150086">
      <w:pPr>
        <w:pStyle w:val="NormalWeb"/>
        <w:spacing w:before="0" w:beforeAutospacing="0" w:after="0" w:afterAutospacing="0"/>
        <w:jc w:val="both"/>
        <w:divId w:val="7608861"/>
        <w:rPr>
          <w:sz w:val="20"/>
          <w:szCs w:val="20"/>
        </w:rPr>
      </w:pPr>
      <w:r>
        <w:rPr>
          <w:sz w:val="20"/>
          <w:szCs w:val="20"/>
        </w:rPr>
        <w:t>Period ended October 31, 2018</w:t>
      </w:r>
    </w:p>
    <w:p w:rsidR="00000000" w:rsidRDefault="00150086">
      <w:pPr>
        <w:pStyle w:val="NormalWeb"/>
        <w:spacing w:before="0" w:beforeAutospacing="0" w:after="0" w:afterAutospacing="0"/>
        <w:jc w:val="both"/>
        <w:divId w:val="7608861"/>
        <w:rPr>
          <w:sz w:val="20"/>
          <w:szCs w:val="20"/>
        </w:rPr>
      </w:pPr>
      <w:r>
        <w:rPr>
          <w:sz w:val="20"/>
          <w:szCs w:val="20"/>
        </w:rPr>
        <w:t>(Expressed in U.S. dollars)</w:t>
      </w:r>
    </w:p>
    <w:p w:rsidR="00000000" w:rsidRDefault="00150086">
      <w:pPr>
        <w:pStyle w:val="NormalWeb"/>
        <w:spacing w:before="0" w:beforeAutospacing="0" w:after="0" w:afterAutospacing="0"/>
        <w:jc w:val="both"/>
        <w:divId w:val="7608861"/>
        <w:rPr>
          <w:b/>
          <w:bCs/>
          <w:sz w:val="20"/>
          <w:szCs w:val="20"/>
        </w:rPr>
      </w:pPr>
      <w:r>
        <w:rPr>
          <w:b/>
          <w:bCs/>
          <w:sz w:val="20"/>
          <w:szCs w:val="20"/>
        </w:rPr>
        <w:t xml:space="preserve">  </w:t>
      </w:r>
    </w:p>
    <w:p w:rsidR="00000000" w:rsidRDefault="00150086">
      <w:pPr>
        <w:spacing w:before="0" w:beforeAutospacing="0" w:after="0" w:afterAutospacing="0"/>
        <w:jc w:val="both"/>
        <w:divId w:val="7608861"/>
        <w:rPr>
          <w:rFonts w:eastAsia="Times New Roman"/>
          <w:sz w:val="20"/>
          <w:szCs w:val="20"/>
        </w:rPr>
      </w:pPr>
      <w:r>
        <w:rPr>
          <w:rFonts w:eastAsia="Times New Roman"/>
          <w:b/>
          <w:bCs/>
          <w:sz w:val="20"/>
          <w:szCs w:val="20"/>
        </w:rPr>
        <w:t xml:space="preserve">12. Stock Options </w:t>
      </w:r>
      <w:r>
        <w:rPr>
          <w:rFonts w:eastAsia="Times New Roman"/>
          <w:sz w:val="20"/>
          <w:szCs w:val="20"/>
        </w:rPr>
        <w:t xml:space="preserve">(continued) </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ind w:left="675"/>
        <w:jc w:val="both"/>
        <w:divId w:val="7608861"/>
        <w:rPr>
          <w:sz w:val="20"/>
          <w:szCs w:val="20"/>
        </w:rPr>
      </w:pPr>
      <w:r>
        <w:rPr>
          <w:sz w:val="20"/>
          <w:szCs w:val="20"/>
        </w:rPr>
        <w:t>Additional information regarding stock options as of October 31, 2018, is as follows:</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4250" w:type="pct"/>
        <w:jc w:val="center"/>
        <w:tblCellSpacing w:w="0" w:type="dxa"/>
        <w:tblCellMar>
          <w:left w:w="0" w:type="dxa"/>
          <w:right w:w="0" w:type="dxa"/>
        </w:tblCellMar>
        <w:tblLook w:val="04A0"/>
      </w:tblPr>
      <w:tblGrid>
        <w:gridCol w:w="1767"/>
        <w:gridCol w:w="1768"/>
        <w:gridCol w:w="1768"/>
        <w:gridCol w:w="2653"/>
      </w:tblGrid>
      <w:tr w:rsidR="00000000">
        <w:trPr>
          <w:divId w:val="7608861"/>
          <w:trHeight w:val="225"/>
          <w:tblCellSpacing w:w="0" w:type="dxa"/>
          <w:jc w:val="center"/>
        </w:trPr>
        <w:tc>
          <w:tcPr>
            <w:tcW w:w="500" w:type="pct"/>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Op</w:t>
            </w:r>
            <w:r>
              <w:rPr>
                <w:b/>
                <w:bCs/>
                <w:sz w:val="20"/>
                <w:szCs w:val="20"/>
              </w:rPr>
              <w:t>tions Outstanding</w:t>
            </w:r>
          </w:p>
        </w:tc>
        <w:tc>
          <w:tcPr>
            <w:tcW w:w="500" w:type="pct"/>
            <w:tcBorders>
              <w:bottom w:val="single" w:sz="6" w:space="0" w:color="000000"/>
            </w:tcBorders>
            <w:hideMark/>
          </w:tcPr>
          <w:p w:rsidR="00000000" w:rsidRDefault="00150086">
            <w:pPr>
              <w:pStyle w:val="NormalWeb"/>
              <w:spacing w:before="0" w:beforeAutospacing="0" w:after="0" w:afterAutospacing="0"/>
              <w:jc w:val="center"/>
              <w:rPr>
                <w:sz w:val="20"/>
                <w:szCs w:val="20"/>
              </w:rPr>
            </w:pPr>
            <w:r>
              <w:rPr>
                <w:sz w:val="20"/>
                <w:szCs w:val="20"/>
              </w:rPr>
              <w:t> </w:t>
            </w:r>
          </w:p>
          <w:p w:rsidR="00000000" w:rsidRDefault="00150086">
            <w:pPr>
              <w:pStyle w:val="NormalWeb"/>
              <w:spacing w:before="0" w:beforeAutospacing="0" w:after="0" w:afterAutospacing="0"/>
              <w:jc w:val="center"/>
              <w:rPr>
                <w:sz w:val="20"/>
                <w:szCs w:val="20"/>
              </w:rPr>
            </w:pPr>
            <w:r>
              <w:rPr>
                <w:b/>
                <w:bCs/>
                <w:sz w:val="20"/>
                <w:szCs w:val="20"/>
              </w:rPr>
              <w:t>Options</w:t>
            </w:r>
          </w:p>
          <w:p w:rsidR="00000000" w:rsidRDefault="00150086">
            <w:pPr>
              <w:pStyle w:val="NormalWeb"/>
              <w:spacing w:before="0" w:beforeAutospacing="0" w:after="0" w:afterAutospacing="0"/>
              <w:jc w:val="center"/>
              <w:rPr>
                <w:sz w:val="20"/>
                <w:szCs w:val="20"/>
              </w:rPr>
            </w:pPr>
            <w:r>
              <w:rPr>
                <w:b/>
                <w:bCs/>
                <w:sz w:val="20"/>
                <w:szCs w:val="20"/>
              </w:rPr>
              <w:t>Exercisable</w:t>
            </w:r>
          </w:p>
        </w:tc>
        <w:tc>
          <w:tcPr>
            <w:tcW w:w="500" w:type="pct"/>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Exercise</w:t>
            </w:r>
          </w:p>
          <w:p w:rsidR="00000000" w:rsidRDefault="00150086">
            <w:pPr>
              <w:pStyle w:val="NormalWeb"/>
              <w:spacing w:before="0" w:beforeAutospacing="0" w:after="0" w:afterAutospacing="0"/>
              <w:jc w:val="center"/>
              <w:rPr>
                <w:sz w:val="20"/>
                <w:szCs w:val="20"/>
              </w:rPr>
            </w:pPr>
            <w:r>
              <w:rPr>
                <w:b/>
                <w:bCs/>
                <w:sz w:val="20"/>
                <w:szCs w:val="20"/>
              </w:rPr>
              <w:t>Price</w:t>
            </w:r>
          </w:p>
          <w:p w:rsidR="00000000" w:rsidRDefault="00150086">
            <w:pPr>
              <w:pStyle w:val="NormalWeb"/>
              <w:spacing w:before="0" w:beforeAutospacing="0" w:after="0" w:afterAutospacing="0"/>
              <w:jc w:val="center"/>
              <w:rPr>
                <w:sz w:val="20"/>
                <w:szCs w:val="20"/>
              </w:rPr>
            </w:pPr>
            <w:r>
              <w:rPr>
                <w:b/>
                <w:bCs/>
                <w:sz w:val="20"/>
                <w:szCs w:val="20"/>
              </w:rPr>
              <w:t>$</w:t>
            </w:r>
          </w:p>
        </w:tc>
        <w:tc>
          <w:tcPr>
            <w:tcW w:w="750" w:type="pct"/>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Expiry Date</w:t>
            </w:r>
          </w:p>
        </w:tc>
      </w:tr>
      <w:tr w:rsidR="00000000">
        <w:trPr>
          <w:divId w:val="7608861"/>
          <w:trHeight w:val="225"/>
          <w:tblCellSpacing w:w="0" w:type="dxa"/>
          <w:jc w:val="center"/>
        </w:trPr>
        <w:tc>
          <w:tcPr>
            <w:tcW w:w="0" w:type="auto"/>
            <w:shd w:val="clear" w:color="auto" w:fill="CCEEFF"/>
            <w:vAlign w:val="bottom"/>
            <w:hideMark/>
          </w:tcPr>
          <w:p w:rsidR="00000000" w:rsidRDefault="00150086">
            <w:pPr>
              <w:pStyle w:val="NormalWeb"/>
              <w:spacing w:before="0" w:beforeAutospacing="0" w:after="0" w:afterAutospacing="0"/>
              <w:jc w:val="center"/>
              <w:rPr>
                <w:sz w:val="20"/>
                <w:szCs w:val="20"/>
              </w:rPr>
            </w:pPr>
            <w:r>
              <w:rPr>
                <w:sz w:val="20"/>
                <w:szCs w:val="20"/>
              </w:rPr>
              <w:t>4,000,000</w:t>
            </w:r>
          </w:p>
        </w:tc>
        <w:tc>
          <w:tcPr>
            <w:tcW w:w="0" w:type="auto"/>
            <w:shd w:val="clear" w:color="auto" w:fill="CCEEFF"/>
            <w:hideMark/>
          </w:tcPr>
          <w:p w:rsidR="00000000" w:rsidRDefault="00150086">
            <w:pPr>
              <w:pStyle w:val="NormalWeb"/>
              <w:spacing w:before="0" w:beforeAutospacing="0" w:after="0" w:afterAutospacing="0"/>
              <w:jc w:val="center"/>
              <w:rPr>
                <w:sz w:val="20"/>
                <w:szCs w:val="20"/>
              </w:rPr>
            </w:pPr>
            <w:r>
              <w:rPr>
                <w:sz w:val="20"/>
                <w:szCs w:val="20"/>
              </w:rPr>
              <w:t>4,000,000</w:t>
            </w:r>
          </w:p>
        </w:tc>
        <w:tc>
          <w:tcPr>
            <w:tcW w:w="0" w:type="auto"/>
            <w:shd w:val="clear" w:color="auto" w:fill="CCEEFF"/>
            <w:vAlign w:val="bottom"/>
            <w:hideMark/>
          </w:tcPr>
          <w:p w:rsidR="00000000" w:rsidRDefault="00150086">
            <w:pPr>
              <w:pStyle w:val="NormalWeb"/>
              <w:spacing w:before="0" w:beforeAutospacing="0" w:after="0" w:afterAutospacing="0"/>
              <w:jc w:val="center"/>
              <w:rPr>
                <w:sz w:val="20"/>
                <w:szCs w:val="20"/>
              </w:rPr>
            </w:pPr>
            <w:r>
              <w:rPr>
                <w:sz w:val="20"/>
                <w:szCs w:val="20"/>
              </w:rPr>
              <w:t>0.10</w:t>
            </w:r>
          </w:p>
        </w:tc>
        <w:tc>
          <w:tcPr>
            <w:tcW w:w="0" w:type="auto"/>
            <w:shd w:val="clear" w:color="auto" w:fill="CCEEFF"/>
            <w:vAlign w:val="bottom"/>
            <w:hideMark/>
          </w:tcPr>
          <w:p w:rsidR="00000000" w:rsidRDefault="00150086">
            <w:pPr>
              <w:pStyle w:val="NormalWeb"/>
              <w:spacing w:before="0" w:beforeAutospacing="0" w:after="0" w:afterAutospacing="0"/>
              <w:jc w:val="center"/>
              <w:rPr>
                <w:sz w:val="20"/>
                <w:szCs w:val="20"/>
              </w:rPr>
            </w:pPr>
            <w:r>
              <w:rPr>
                <w:sz w:val="20"/>
                <w:szCs w:val="20"/>
              </w:rPr>
              <w:t>December 14, 2020</w:t>
            </w:r>
          </w:p>
        </w:tc>
      </w:tr>
      <w:tr w:rsidR="00000000">
        <w:trPr>
          <w:divId w:val="7608861"/>
          <w:trHeight w:val="225"/>
          <w:tblCellSpacing w:w="0" w:type="dxa"/>
          <w:jc w:val="center"/>
        </w:trPr>
        <w:tc>
          <w:tcPr>
            <w:tcW w:w="0" w:type="auto"/>
            <w:shd w:val="clear" w:color="auto" w:fill="FFFFFF"/>
            <w:vAlign w:val="bottom"/>
            <w:hideMark/>
          </w:tcPr>
          <w:p w:rsidR="00000000" w:rsidRDefault="00150086">
            <w:pPr>
              <w:pStyle w:val="NormalWeb"/>
              <w:spacing w:before="0" w:beforeAutospacing="0" w:after="0" w:afterAutospacing="0"/>
              <w:jc w:val="center"/>
              <w:rPr>
                <w:sz w:val="20"/>
                <w:szCs w:val="20"/>
              </w:rPr>
            </w:pPr>
            <w:r>
              <w:rPr>
                <w:sz w:val="20"/>
                <w:szCs w:val="20"/>
              </w:rPr>
              <w:t>5,250,000</w:t>
            </w:r>
          </w:p>
        </w:tc>
        <w:tc>
          <w:tcPr>
            <w:tcW w:w="0" w:type="auto"/>
            <w:shd w:val="clear" w:color="auto" w:fill="FFFFFF"/>
            <w:hideMark/>
          </w:tcPr>
          <w:p w:rsidR="00000000" w:rsidRDefault="00150086">
            <w:pPr>
              <w:pStyle w:val="NormalWeb"/>
              <w:spacing w:before="0" w:beforeAutospacing="0" w:after="0" w:afterAutospacing="0"/>
              <w:jc w:val="center"/>
              <w:rPr>
                <w:sz w:val="20"/>
                <w:szCs w:val="20"/>
              </w:rPr>
            </w:pPr>
            <w:r>
              <w:rPr>
                <w:sz w:val="20"/>
                <w:szCs w:val="20"/>
              </w:rPr>
              <w:t>5,250,000</w:t>
            </w:r>
          </w:p>
        </w:tc>
        <w:tc>
          <w:tcPr>
            <w:tcW w:w="0" w:type="auto"/>
            <w:shd w:val="clear" w:color="auto" w:fill="FFFFFF"/>
            <w:vAlign w:val="bottom"/>
            <w:hideMark/>
          </w:tcPr>
          <w:p w:rsidR="00000000" w:rsidRDefault="00150086">
            <w:pPr>
              <w:pStyle w:val="NormalWeb"/>
              <w:spacing w:before="0" w:beforeAutospacing="0" w:after="0" w:afterAutospacing="0"/>
              <w:jc w:val="center"/>
              <w:rPr>
                <w:sz w:val="20"/>
                <w:szCs w:val="20"/>
              </w:rPr>
            </w:pPr>
            <w:r>
              <w:rPr>
                <w:sz w:val="20"/>
                <w:szCs w:val="20"/>
              </w:rPr>
              <w:t>0.70</w:t>
            </w:r>
          </w:p>
        </w:tc>
        <w:tc>
          <w:tcPr>
            <w:tcW w:w="0" w:type="auto"/>
            <w:shd w:val="clear" w:color="auto" w:fill="FFFFFF"/>
            <w:vAlign w:val="bottom"/>
            <w:hideMark/>
          </w:tcPr>
          <w:p w:rsidR="00000000" w:rsidRDefault="00150086">
            <w:pPr>
              <w:pStyle w:val="NormalWeb"/>
              <w:spacing w:before="0" w:beforeAutospacing="0" w:after="0" w:afterAutospacing="0"/>
              <w:jc w:val="center"/>
              <w:rPr>
                <w:sz w:val="20"/>
                <w:szCs w:val="20"/>
              </w:rPr>
            </w:pPr>
            <w:r>
              <w:rPr>
                <w:sz w:val="20"/>
                <w:szCs w:val="20"/>
              </w:rPr>
              <w:t>February 22, 2021</w:t>
            </w:r>
          </w:p>
        </w:tc>
      </w:tr>
      <w:tr w:rsidR="00000000">
        <w:trPr>
          <w:divId w:val="7608861"/>
          <w:trHeight w:val="225"/>
          <w:tblCellSpacing w:w="0" w:type="dxa"/>
          <w:jc w:val="center"/>
        </w:trPr>
        <w:tc>
          <w:tcPr>
            <w:tcW w:w="0" w:type="auto"/>
            <w:shd w:val="clear" w:color="auto" w:fill="CCEEFF"/>
            <w:vAlign w:val="bottom"/>
            <w:hideMark/>
          </w:tcPr>
          <w:p w:rsidR="00000000" w:rsidRDefault="00150086">
            <w:pPr>
              <w:pStyle w:val="NormalWeb"/>
              <w:spacing w:before="0" w:beforeAutospacing="0" w:after="0" w:afterAutospacing="0"/>
              <w:jc w:val="center"/>
              <w:rPr>
                <w:sz w:val="20"/>
                <w:szCs w:val="20"/>
              </w:rPr>
            </w:pPr>
            <w:r>
              <w:rPr>
                <w:sz w:val="20"/>
                <w:szCs w:val="20"/>
              </w:rPr>
              <w:t>4,000,000</w:t>
            </w:r>
          </w:p>
        </w:tc>
        <w:tc>
          <w:tcPr>
            <w:tcW w:w="0" w:type="auto"/>
            <w:shd w:val="clear" w:color="auto" w:fill="CCEEFF"/>
            <w:hideMark/>
          </w:tcPr>
          <w:p w:rsidR="00000000" w:rsidRDefault="00150086">
            <w:pPr>
              <w:pStyle w:val="NormalWeb"/>
              <w:spacing w:before="0" w:beforeAutospacing="0" w:after="0" w:afterAutospacing="0"/>
              <w:jc w:val="center"/>
              <w:rPr>
                <w:sz w:val="20"/>
                <w:szCs w:val="20"/>
              </w:rPr>
            </w:pPr>
            <w:r>
              <w:rPr>
                <w:sz w:val="20"/>
                <w:szCs w:val="20"/>
              </w:rPr>
              <w:t>4,000,000</w:t>
            </w:r>
          </w:p>
        </w:tc>
        <w:tc>
          <w:tcPr>
            <w:tcW w:w="0" w:type="auto"/>
            <w:shd w:val="clear" w:color="auto" w:fill="CCEEFF"/>
            <w:vAlign w:val="bottom"/>
            <w:hideMark/>
          </w:tcPr>
          <w:p w:rsidR="00000000" w:rsidRDefault="00150086">
            <w:pPr>
              <w:pStyle w:val="NormalWeb"/>
              <w:spacing w:before="0" w:beforeAutospacing="0" w:after="0" w:afterAutospacing="0"/>
              <w:jc w:val="center"/>
              <w:rPr>
                <w:sz w:val="20"/>
                <w:szCs w:val="20"/>
              </w:rPr>
            </w:pPr>
            <w:r>
              <w:rPr>
                <w:sz w:val="20"/>
                <w:szCs w:val="20"/>
              </w:rPr>
              <w:t>0.10</w:t>
            </w:r>
          </w:p>
        </w:tc>
        <w:tc>
          <w:tcPr>
            <w:tcW w:w="0" w:type="auto"/>
            <w:shd w:val="clear" w:color="auto" w:fill="CCEEFF"/>
            <w:vAlign w:val="bottom"/>
            <w:hideMark/>
          </w:tcPr>
          <w:p w:rsidR="00000000" w:rsidRDefault="00150086">
            <w:pPr>
              <w:pStyle w:val="NormalWeb"/>
              <w:spacing w:before="0" w:beforeAutospacing="0" w:after="0" w:afterAutospacing="0"/>
              <w:jc w:val="center"/>
              <w:rPr>
                <w:sz w:val="20"/>
                <w:szCs w:val="20"/>
              </w:rPr>
            </w:pPr>
            <w:r>
              <w:rPr>
                <w:sz w:val="20"/>
                <w:szCs w:val="20"/>
              </w:rPr>
              <w:t>December 14, 2021</w:t>
            </w:r>
          </w:p>
        </w:tc>
      </w:tr>
      <w:tr w:rsidR="00000000">
        <w:trPr>
          <w:divId w:val="7608861"/>
          <w:trHeight w:val="225"/>
          <w:tblCellSpacing w:w="0" w:type="dxa"/>
          <w:jc w:val="center"/>
        </w:trPr>
        <w:tc>
          <w:tcPr>
            <w:tcW w:w="0" w:type="auto"/>
            <w:shd w:val="clear" w:color="auto" w:fill="FFFFFF"/>
            <w:vAlign w:val="bottom"/>
            <w:hideMark/>
          </w:tcPr>
          <w:p w:rsidR="00000000" w:rsidRDefault="00150086">
            <w:pPr>
              <w:pStyle w:val="NormalWeb"/>
              <w:spacing w:before="0" w:beforeAutospacing="0" w:after="0" w:afterAutospacing="0"/>
              <w:jc w:val="center"/>
              <w:rPr>
                <w:sz w:val="20"/>
                <w:szCs w:val="20"/>
              </w:rPr>
            </w:pPr>
            <w:r>
              <w:rPr>
                <w:sz w:val="20"/>
                <w:szCs w:val="20"/>
              </w:rPr>
              <w:t>41,833</w:t>
            </w:r>
          </w:p>
        </w:tc>
        <w:tc>
          <w:tcPr>
            <w:tcW w:w="0" w:type="auto"/>
            <w:shd w:val="clear" w:color="auto" w:fill="FFFFFF"/>
            <w:hideMark/>
          </w:tcPr>
          <w:p w:rsidR="00000000" w:rsidRDefault="00150086">
            <w:pPr>
              <w:pStyle w:val="NormalWeb"/>
              <w:spacing w:before="0" w:beforeAutospacing="0" w:after="0" w:afterAutospacing="0"/>
              <w:jc w:val="center"/>
              <w:rPr>
                <w:sz w:val="20"/>
                <w:szCs w:val="20"/>
              </w:rPr>
            </w:pPr>
            <w:r>
              <w:rPr>
                <w:sz w:val="20"/>
                <w:szCs w:val="20"/>
              </w:rPr>
              <w:t>41,833</w:t>
            </w:r>
          </w:p>
        </w:tc>
        <w:tc>
          <w:tcPr>
            <w:tcW w:w="0" w:type="auto"/>
            <w:shd w:val="clear" w:color="auto" w:fill="FFFFFF"/>
            <w:vAlign w:val="bottom"/>
            <w:hideMark/>
          </w:tcPr>
          <w:p w:rsidR="00000000" w:rsidRDefault="00150086">
            <w:pPr>
              <w:pStyle w:val="NormalWeb"/>
              <w:spacing w:before="0" w:beforeAutospacing="0" w:after="0" w:afterAutospacing="0"/>
              <w:jc w:val="center"/>
              <w:rPr>
                <w:sz w:val="20"/>
                <w:szCs w:val="20"/>
              </w:rPr>
            </w:pPr>
            <w:r>
              <w:rPr>
                <w:sz w:val="20"/>
                <w:szCs w:val="20"/>
              </w:rPr>
              <w:t>0.05</w:t>
            </w:r>
          </w:p>
        </w:tc>
        <w:tc>
          <w:tcPr>
            <w:tcW w:w="0" w:type="auto"/>
            <w:shd w:val="clear" w:color="auto" w:fill="FFFFFF"/>
            <w:vAlign w:val="bottom"/>
            <w:hideMark/>
          </w:tcPr>
          <w:p w:rsidR="00000000" w:rsidRDefault="00150086">
            <w:pPr>
              <w:pStyle w:val="NormalWeb"/>
              <w:spacing w:before="0" w:beforeAutospacing="0" w:after="0" w:afterAutospacing="0"/>
              <w:jc w:val="center"/>
              <w:rPr>
                <w:sz w:val="20"/>
                <w:szCs w:val="20"/>
              </w:rPr>
            </w:pPr>
            <w:r>
              <w:rPr>
                <w:sz w:val="20"/>
                <w:szCs w:val="20"/>
              </w:rPr>
              <w:t>January 23, 2022</w:t>
            </w:r>
          </w:p>
        </w:tc>
      </w:tr>
      <w:tr w:rsidR="00000000">
        <w:trPr>
          <w:divId w:val="7608861"/>
          <w:trHeight w:val="225"/>
          <w:tblCellSpacing w:w="0" w:type="dxa"/>
          <w:jc w:val="center"/>
        </w:trPr>
        <w:tc>
          <w:tcPr>
            <w:tcW w:w="0" w:type="auto"/>
            <w:shd w:val="clear" w:color="auto" w:fill="CCEEFF"/>
            <w:vAlign w:val="bottom"/>
            <w:hideMark/>
          </w:tcPr>
          <w:p w:rsidR="00000000" w:rsidRDefault="00150086">
            <w:pPr>
              <w:pStyle w:val="NormalWeb"/>
              <w:spacing w:before="0" w:beforeAutospacing="0" w:after="0" w:afterAutospacing="0"/>
              <w:jc w:val="center"/>
              <w:rPr>
                <w:sz w:val="20"/>
                <w:szCs w:val="20"/>
              </w:rPr>
            </w:pPr>
            <w:r>
              <w:rPr>
                <w:sz w:val="20"/>
                <w:szCs w:val="20"/>
              </w:rPr>
              <w:t>100,000</w:t>
            </w:r>
          </w:p>
        </w:tc>
        <w:tc>
          <w:tcPr>
            <w:tcW w:w="0" w:type="auto"/>
            <w:shd w:val="clear" w:color="auto" w:fill="CCEEFF"/>
            <w:hideMark/>
          </w:tcPr>
          <w:p w:rsidR="00000000" w:rsidRDefault="00150086">
            <w:pPr>
              <w:pStyle w:val="NormalWeb"/>
              <w:spacing w:before="0" w:beforeAutospacing="0" w:after="0" w:afterAutospacing="0"/>
              <w:jc w:val="center"/>
              <w:rPr>
                <w:sz w:val="20"/>
                <w:szCs w:val="20"/>
              </w:rPr>
            </w:pPr>
            <w:r>
              <w:rPr>
                <w:sz w:val="20"/>
                <w:szCs w:val="20"/>
              </w:rPr>
              <w:t>50,000</w:t>
            </w:r>
          </w:p>
        </w:tc>
        <w:tc>
          <w:tcPr>
            <w:tcW w:w="0" w:type="auto"/>
            <w:shd w:val="clear" w:color="auto" w:fill="CCEEFF"/>
            <w:vAlign w:val="bottom"/>
            <w:hideMark/>
          </w:tcPr>
          <w:p w:rsidR="00000000" w:rsidRDefault="00150086">
            <w:pPr>
              <w:pStyle w:val="NormalWeb"/>
              <w:spacing w:before="0" w:beforeAutospacing="0" w:after="0" w:afterAutospacing="0"/>
              <w:jc w:val="center"/>
              <w:rPr>
                <w:sz w:val="20"/>
                <w:szCs w:val="20"/>
              </w:rPr>
            </w:pPr>
            <w:r>
              <w:rPr>
                <w:sz w:val="20"/>
                <w:szCs w:val="20"/>
              </w:rPr>
              <w:t>0.39</w:t>
            </w:r>
          </w:p>
        </w:tc>
        <w:tc>
          <w:tcPr>
            <w:tcW w:w="0" w:type="auto"/>
            <w:shd w:val="clear" w:color="auto" w:fill="CCEEFF"/>
            <w:vAlign w:val="bottom"/>
            <w:hideMark/>
          </w:tcPr>
          <w:p w:rsidR="00000000" w:rsidRDefault="00150086">
            <w:pPr>
              <w:pStyle w:val="NormalWeb"/>
              <w:spacing w:before="0" w:beforeAutospacing="0" w:after="0" w:afterAutospacing="0"/>
              <w:jc w:val="center"/>
              <w:rPr>
                <w:sz w:val="20"/>
                <w:szCs w:val="20"/>
              </w:rPr>
            </w:pPr>
            <w:r>
              <w:rPr>
                <w:sz w:val="20"/>
                <w:szCs w:val="20"/>
              </w:rPr>
              <w:t>November 14, 2022</w:t>
            </w:r>
          </w:p>
        </w:tc>
      </w:tr>
      <w:tr w:rsidR="00000000">
        <w:trPr>
          <w:divId w:val="7608861"/>
          <w:trHeight w:val="225"/>
          <w:tblCellSpacing w:w="0" w:type="dxa"/>
          <w:jc w:val="center"/>
        </w:trPr>
        <w:tc>
          <w:tcPr>
            <w:tcW w:w="0" w:type="auto"/>
            <w:shd w:val="clear" w:color="auto" w:fill="FFFFFF"/>
            <w:vAlign w:val="bottom"/>
            <w:hideMark/>
          </w:tcPr>
          <w:p w:rsidR="00000000" w:rsidRDefault="00150086">
            <w:pPr>
              <w:pStyle w:val="NormalWeb"/>
              <w:spacing w:before="0" w:beforeAutospacing="0" w:after="0" w:afterAutospacing="0"/>
              <w:jc w:val="center"/>
              <w:rPr>
                <w:sz w:val="20"/>
                <w:szCs w:val="20"/>
              </w:rPr>
            </w:pPr>
            <w:r>
              <w:rPr>
                <w:sz w:val="20"/>
                <w:szCs w:val="20"/>
              </w:rPr>
              <w:t>200,000</w:t>
            </w:r>
          </w:p>
        </w:tc>
        <w:tc>
          <w:tcPr>
            <w:tcW w:w="0" w:type="auto"/>
            <w:shd w:val="clear" w:color="auto" w:fill="FFFFFF"/>
            <w:hideMark/>
          </w:tcPr>
          <w:p w:rsidR="00000000" w:rsidRDefault="00150086">
            <w:pPr>
              <w:pStyle w:val="NormalWeb"/>
              <w:spacing w:before="0" w:beforeAutospacing="0" w:after="0" w:afterAutospacing="0"/>
              <w:jc w:val="center"/>
              <w:rPr>
                <w:sz w:val="20"/>
                <w:szCs w:val="20"/>
              </w:rPr>
            </w:pPr>
            <w:r>
              <w:rPr>
                <w:sz w:val="20"/>
                <w:szCs w:val="20"/>
              </w:rPr>
              <w:t>133,336</w:t>
            </w:r>
          </w:p>
        </w:tc>
        <w:tc>
          <w:tcPr>
            <w:tcW w:w="0" w:type="auto"/>
            <w:shd w:val="clear" w:color="auto" w:fill="FFFFFF"/>
            <w:vAlign w:val="bottom"/>
            <w:hideMark/>
          </w:tcPr>
          <w:p w:rsidR="00000000" w:rsidRDefault="00150086">
            <w:pPr>
              <w:pStyle w:val="NormalWeb"/>
              <w:spacing w:before="0" w:beforeAutospacing="0" w:after="0" w:afterAutospacing="0"/>
              <w:jc w:val="center"/>
              <w:rPr>
                <w:sz w:val="20"/>
                <w:szCs w:val="20"/>
              </w:rPr>
            </w:pPr>
            <w:r>
              <w:rPr>
                <w:sz w:val="20"/>
                <w:szCs w:val="20"/>
              </w:rPr>
              <w:t>1.30</w:t>
            </w:r>
          </w:p>
        </w:tc>
        <w:tc>
          <w:tcPr>
            <w:tcW w:w="0" w:type="auto"/>
            <w:shd w:val="clear" w:color="auto" w:fill="FFFFFF"/>
            <w:vAlign w:val="bottom"/>
            <w:hideMark/>
          </w:tcPr>
          <w:p w:rsidR="00000000" w:rsidRDefault="00150086">
            <w:pPr>
              <w:pStyle w:val="NormalWeb"/>
              <w:spacing w:before="0" w:beforeAutospacing="0" w:after="0" w:afterAutospacing="0"/>
              <w:jc w:val="center"/>
              <w:rPr>
                <w:sz w:val="20"/>
                <w:szCs w:val="20"/>
              </w:rPr>
            </w:pPr>
            <w:r>
              <w:rPr>
                <w:sz w:val="20"/>
                <w:szCs w:val="20"/>
              </w:rPr>
              <w:t>March 11, 2023</w:t>
            </w:r>
          </w:p>
        </w:tc>
      </w:tr>
      <w:tr w:rsidR="00000000">
        <w:trPr>
          <w:divId w:val="7608861"/>
          <w:trHeight w:val="225"/>
          <w:tblCellSpacing w:w="0" w:type="dxa"/>
          <w:jc w:val="center"/>
        </w:trPr>
        <w:tc>
          <w:tcPr>
            <w:tcW w:w="0" w:type="auto"/>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center"/>
              <w:rPr>
                <w:sz w:val="20"/>
                <w:szCs w:val="20"/>
              </w:rPr>
            </w:pPr>
            <w:r>
              <w:rPr>
                <w:sz w:val="20"/>
                <w:szCs w:val="20"/>
              </w:rPr>
              <w:t>100,000</w:t>
            </w:r>
          </w:p>
        </w:tc>
        <w:tc>
          <w:tcPr>
            <w:tcW w:w="0" w:type="auto"/>
            <w:tcBorders>
              <w:bottom w:val="single" w:sz="6" w:space="0" w:color="000000"/>
            </w:tcBorders>
            <w:shd w:val="clear" w:color="auto" w:fill="CCEEFF"/>
            <w:hideMark/>
          </w:tcPr>
          <w:p w:rsidR="00000000" w:rsidRDefault="00150086">
            <w:pPr>
              <w:pStyle w:val="NormalWeb"/>
              <w:spacing w:before="0" w:beforeAutospacing="0" w:after="0" w:afterAutospacing="0"/>
              <w:jc w:val="center"/>
              <w:rPr>
                <w:sz w:val="20"/>
                <w:szCs w:val="20"/>
              </w:rPr>
            </w:pPr>
            <w:r>
              <w:rPr>
                <w:sz w:val="20"/>
                <w:szCs w:val="20"/>
              </w:rPr>
              <w:t>-</w:t>
            </w:r>
          </w:p>
        </w:tc>
        <w:tc>
          <w:tcPr>
            <w:tcW w:w="0" w:type="auto"/>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center"/>
              <w:rPr>
                <w:sz w:val="20"/>
                <w:szCs w:val="20"/>
              </w:rPr>
            </w:pPr>
            <w:r>
              <w:rPr>
                <w:sz w:val="20"/>
                <w:szCs w:val="20"/>
              </w:rPr>
              <w:t>0.32</w:t>
            </w:r>
          </w:p>
        </w:tc>
        <w:tc>
          <w:tcPr>
            <w:tcW w:w="0" w:type="auto"/>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center"/>
              <w:rPr>
                <w:sz w:val="20"/>
                <w:szCs w:val="20"/>
              </w:rPr>
            </w:pPr>
            <w:r>
              <w:rPr>
                <w:sz w:val="20"/>
                <w:szCs w:val="20"/>
              </w:rPr>
              <w:t>October 28, 2023</w:t>
            </w:r>
          </w:p>
        </w:tc>
      </w:tr>
      <w:tr w:rsidR="00000000">
        <w:trPr>
          <w:divId w:val="7608861"/>
          <w:trHeight w:val="225"/>
          <w:tblCellSpacing w:w="0" w:type="dxa"/>
          <w:jc w:val="center"/>
        </w:trPr>
        <w:tc>
          <w:tcPr>
            <w:tcW w:w="0" w:type="auto"/>
            <w:tcBorders>
              <w:bottom w:val="double" w:sz="6" w:space="0" w:color="000000"/>
            </w:tcBorders>
            <w:shd w:val="clear" w:color="auto" w:fill="FFFFFF"/>
            <w:vAlign w:val="bottom"/>
            <w:hideMark/>
          </w:tcPr>
          <w:p w:rsidR="00000000" w:rsidRDefault="00150086">
            <w:pPr>
              <w:pStyle w:val="NormalWeb"/>
              <w:spacing w:before="0" w:beforeAutospacing="0" w:after="0" w:afterAutospacing="0"/>
              <w:jc w:val="center"/>
              <w:rPr>
                <w:sz w:val="20"/>
                <w:szCs w:val="20"/>
              </w:rPr>
            </w:pPr>
            <w:r>
              <w:rPr>
                <w:sz w:val="20"/>
                <w:szCs w:val="20"/>
              </w:rPr>
              <w:t>13,691,833</w:t>
            </w:r>
          </w:p>
        </w:tc>
        <w:tc>
          <w:tcPr>
            <w:tcW w:w="0" w:type="auto"/>
            <w:tcBorders>
              <w:bottom w:val="double" w:sz="6" w:space="0" w:color="000000"/>
            </w:tcBorders>
            <w:shd w:val="clear" w:color="auto" w:fill="FFFFFF"/>
            <w:hideMark/>
          </w:tcPr>
          <w:p w:rsidR="00000000" w:rsidRDefault="00150086">
            <w:pPr>
              <w:pStyle w:val="NormalWeb"/>
              <w:spacing w:before="0" w:beforeAutospacing="0" w:after="0" w:afterAutospacing="0"/>
              <w:jc w:val="center"/>
              <w:rPr>
                <w:sz w:val="20"/>
                <w:szCs w:val="20"/>
              </w:rPr>
            </w:pPr>
            <w:r>
              <w:rPr>
                <w:sz w:val="20"/>
                <w:szCs w:val="20"/>
              </w:rPr>
              <w:t>13,475,169</w:t>
            </w:r>
          </w:p>
        </w:tc>
        <w:tc>
          <w:tcPr>
            <w:tcW w:w="0" w:type="auto"/>
            <w:tcBorders>
              <w:bottom w:val="double" w:sz="6" w:space="0" w:color="000000"/>
            </w:tcBorders>
            <w:shd w:val="clear" w:color="auto" w:fill="FFFFFF"/>
            <w:vAlign w:val="bottom"/>
            <w:hideMark/>
          </w:tcPr>
          <w:p w:rsidR="00000000" w:rsidRDefault="00150086">
            <w:pPr>
              <w:spacing w:before="0" w:beforeAutospacing="0" w:after="0" w:afterAutospacing="0"/>
              <w:jc w:val="both"/>
              <w:rPr>
                <w:rFonts w:eastAsia="Times New Roman"/>
                <w:sz w:val="20"/>
                <w:szCs w:val="20"/>
              </w:rPr>
            </w:pPr>
          </w:p>
        </w:tc>
        <w:tc>
          <w:tcPr>
            <w:tcW w:w="0" w:type="auto"/>
            <w:tcBorders>
              <w:bottom w:val="double" w:sz="6" w:space="0" w:color="000000"/>
            </w:tcBorders>
            <w:shd w:val="clear" w:color="auto" w:fill="FFFFFF"/>
            <w:vAlign w:val="bottom"/>
            <w:hideMark/>
          </w:tcPr>
          <w:p w:rsidR="00000000" w:rsidRDefault="00150086">
            <w:pPr>
              <w:spacing w:before="0" w:beforeAutospacing="0" w:after="0" w:afterAutospacing="0"/>
              <w:jc w:val="both"/>
              <w:rPr>
                <w:rFonts w:eastAsia="Times New Roman"/>
                <w:sz w:val="20"/>
                <w:szCs w:val="20"/>
              </w:rPr>
            </w:pPr>
          </w:p>
        </w:tc>
      </w:tr>
    </w:tbl>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ind w:left="675"/>
        <w:jc w:val="both"/>
        <w:divId w:val="7608861"/>
        <w:rPr>
          <w:sz w:val="20"/>
          <w:szCs w:val="20"/>
        </w:rPr>
      </w:pPr>
      <w:r>
        <w:rPr>
          <w:sz w:val="20"/>
          <w:szCs w:val="20"/>
        </w:rPr>
        <w:t>$50,983 of stock-based compensation have yet to be recognized and will be recognized in future periods.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b/>
          <w:bCs/>
          <w:sz w:val="20"/>
          <w:szCs w:val="20"/>
        </w:rPr>
        <w:t>13. Share Purchase Warrant</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ind w:left="675"/>
        <w:jc w:val="both"/>
        <w:divId w:val="7608861"/>
        <w:rPr>
          <w:sz w:val="20"/>
          <w:szCs w:val="20"/>
        </w:rPr>
      </w:pPr>
      <w:r>
        <w:rPr>
          <w:sz w:val="20"/>
          <w:szCs w:val="20"/>
        </w:rPr>
        <w:t>The following table summarizes the continuity of share purchase warrant:</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4250" w:type="pct"/>
        <w:jc w:val="center"/>
        <w:tblCellSpacing w:w="0" w:type="dxa"/>
        <w:tblCellMar>
          <w:left w:w="0" w:type="dxa"/>
          <w:right w:w="0" w:type="dxa"/>
        </w:tblCellMar>
        <w:tblLook w:val="04A0"/>
      </w:tblPr>
      <w:tblGrid>
        <w:gridCol w:w="5876"/>
        <w:gridCol w:w="69"/>
        <w:gridCol w:w="69"/>
        <w:gridCol w:w="800"/>
        <w:gridCol w:w="69"/>
        <w:gridCol w:w="69"/>
        <w:gridCol w:w="69"/>
        <w:gridCol w:w="865"/>
        <w:gridCol w:w="70"/>
      </w:tblGrid>
      <w:tr w:rsidR="00000000">
        <w:trPr>
          <w:divId w:val="7608861"/>
          <w:tblCellSpacing w:w="0" w:type="dxa"/>
          <w:jc w:val="center"/>
        </w:trPr>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Number of</w:t>
            </w:r>
          </w:p>
          <w:p w:rsidR="00000000" w:rsidRDefault="00150086">
            <w:pPr>
              <w:pStyle w:val="NormalWeb"/>
              <w:spacing w:before="0" w:beforeAutospacing="0" w:after="0" w:afterAutospacing="0"/>
              <w:jc w:val="center"/>
              <w:rPr>
                <w:sz w:val="20"/>
                <w:szCs w:val="20"/>
              </w:rPr>
            </w:pPr>
            <w:r>
              <w:rPr>
                <w:b/>
                <w:bCs/>
                <w:sz w:val="20"/>
                <w:szCs w:val="20"/>
              </w:rPr>
              <w:t>Warrants</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center"/>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center"/>
              <w:rPr>
                <w:sz w:val="20"/>
                <w:szCs w:val="20"/>
              </w:rPr>
            </w:pPr>
            <w:r>
              <w:rPr>
                <w:sz w:val="20"/>
                <w:szCs w:val="20"/>
              </w:rPr>
              <w:t> </w:t>
            </w:r>
          </w:p>
        </w:tc>
        <w:tc>
          <w:tcPr>
            <w:tcW w:w="0" w:type="auto"/>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Weighted Average Exercise Price</w:t>
            </w:r>
          </w:p>
          <w:p w:rsidR="00000000" w:rsidRDefault="00150086">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 xml:space="preserve">Balance, January 31, 2018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265,125</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0.35</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Granted</w:t>
            </w:r>
          </w:p>
        </w:tc>
        <w:tc>
          <w:tcPr>
            <w:tcW w:w="0" w:type="auto"/>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7,392,923</w:t>
            </w:r>
          </w:p>
        </w:tc>
        <w:tc>
          <w:tcPr>
            <w:tcW w:w="0" w:type="auto"/>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0.48</w:t>
            </w:r>
          </w:p>
        </w:tc>
        <w:tc>
          <w:tcPr>
            <w:tcW w:w="0" w:type="auto"/>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Balance, October 31, 2018</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7,658,048</w:t>
            </w:r>
          </w:p>
        </w:tc>
        <w:tc>
          <w:tcPr>
            <w:tcW w:w="0" w:type="auto"/>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tcBorders>
              <w:bottom w:val="double" w:sz="6" w:space="0" w:color="000000"/>
            </w:tcBorders>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tcBorders>
              <w:bottom w:val="doub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0.48</w:t>
            </w:r>
          </w:p>
        </w:tc>
        <w:tc>
          <w:tcPr>
            <w:tcW w:w="0" w:type="auto"/>
            <w:shd w:val="clear" w:color="auto" w:fill="CCEE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bl>
    <w:p w:rsidR="00000000" w:rsidRDefault="00150086">
      <w:pPr>
        <w:pStyle w:val="NormalWeb"/>
        <w:spacing w:before="0" w:beforeAutospacing="0" w:after="0" w:afterAutospacing="0"/>
        <w:jc w:val="both"/>
        <w:divId w:val="7608861"/>
        <w:rPr>
          <w:sz w:val="20"/>
          <w:szCs w:val="20"/>
        </w:rPr>
      </w:pPr>
      <w:r>
        <w:rPr>
          <w:sz w:val="20"/>
          <w:szCs w:val="20"/>
        </w:rPr>
        <w:lastRenderedPageBreak/>
        <w:t> </w:t>
      </w:r>
    </w:p>
    <w:p w:rsidR="00000000" w:rsidRDefault="00150086">
      <w:pPr>
        <w:pStyle w:val="NormalWeb"/>
        <w:spacing w:before="0" w:beforeAutospacing="0" w:after="0" w:afterAutospacing="0"/>
        <w:ind w:left="675"/>
        <w:jc w:val="both"/>
        <w:divId w:val="7608861"/>
        <w:rPr>
          <w:sz w:val="20"/>
          <w:szCs w:val="20"/>
        </w:rPr>
      </w:pPr>
      <w:r>
        <w:rPr>
          <w:sz w:val="20"/>
          <w:szCs w:val="20"/>
        </w:rPr>
        <w:t>As at October 31, 2018, the following share purchase warrants were outstanding:</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4250" w:type="pct"/>
        <w:jc w:val="center"/>
        <w:tblCellSpacing w:w="0" w:type="dxa"/>
        <w:tblCellMar>
          <w:left w:w="0" w:type="dxa"/>
          <w:right w:w="0" w:type="dxa"/>
        </w:tblCellMar>
        <w:tblLook w:val="04A0"/>
      </w:tblPr>
      <w:tblGrid>
        <w:gridCol w:w="2713"/>
        <w:gridCol w:w="1808"/>
        <w:gridCol w:w="3435"/>
      </w:tblGrid>
      <w:tr w:rsidR="00000000">
        <w:trPr>
          <w:divId w:val="7608861"/>
          <w:trHeight w:val="225"/>
          <w:tblCellSpacing w:w="0" w:type="dxa"/>
          <w:jc w:val="center"/>
        </w:trPr>
        <w:tc>
          <w:tcPr>
            <w:tcW w:w="750" w:type="pct"/>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Number of</w:t>
            </w:r>
          </w:p>
          <w:p w:rsidR="00000000" w:rsidRDefault="00150086">
            <w:pPr>
              <w:pStyle w:val="NormalWeb"/>
              <w:spacing w:before="0" w:beforeAutospacing="0" w:after="0" w:afterAutospacing="0"/>
              <w:jc w:val="center"/>
              <w:rPr>
                <w:sz w:val="20"/>
                <w:szCs w:val="20"/>
              </w:rPr>
            </w:pPr>
            <w:r>
              <w:rPr>
                <w:b/>
                <w:bCs/>
                <w:sz w:val="20"/>
                <w:szCs w:val="20"/>
              </w:rPr>
              <w:t xml:space="preserve">Warrants </w:t>
            </w:r>
          </w:p>
        </w:tc>
        <w:tc>
          <w:tcPr>
            <w:tcW w:w="500" w:type="pct"/>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Exercise</w:t>
            </w:r>
          </w:p>
          <w:p w:rsidR="00000000" w:rsidRDefault="00150086">
            <w:pPr>
              <w:pStyle w:val="NormalWeb"/>
              <w:spacing w:before="0" w:beforeAutospacing="0" w:after="0" w:afterAutospacing="0"/>
              <w:jc w:val="center"/>
              <w:rPr>
                <w:sz w:val="20"/>
                <w:szCs w:val="20"/>
              </w:rPr>
            </w:pPr>
            <w:r>
              <w:rPr>
                <w:b/>
                <w:bCs/>
                <w:sz w:val="20"/>
                <w:szCs w:val="20"/>
              </w:rPr>
              <w:t>Price</w:t>
            </w:r>
          </w:p>
          <w:p w:rsidR="00000000" w:rsidRDefault="00150086">
            <w:pPr>
              <w:pStyle w:val="NormalWeb"/>
              <w:spacing w:before="0" w:beforeAutospacing="0" w:after="0" w:afterAutospacing="0"/>
              <w:jc w:val="center"/>
              <w:rPr>
                <w:sz w:val="20"/>
                <w:szCs w:val="20"/>
              </w:rPr>
            </w:pPr>
            <w:r>
              <w:rPr>
                <w:b/>
                <w:bCs/>
                <w:sz w:val="20"/>
                <w:szCs w:val="20"/>
              </w:rPr>
              <w:t>$</w:t>
            </w:r>
          </w:p>
        </w:tc>
        <w:tc>
          <w:tcPr>
            <w:tcW w:w="950" w:type="pct"/>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Expiry Date</w:t>
            </w:r>
          </w:p>
        </w:tc>
      </w:tr>
      <w:tr w:rsidR="00000000">
        <w:trPr>
          <w:divId w:val="7608861"/>
          <w:trHeight w:val="225"/>
          <w:tblCellSpacing w:w="0" w:type="dxa"/>
          <w:jc w:val="center"/>
        </w:trPr>
        <w:tc>
          <w:tcPr>
            <w:tcW w:w="750" w:type="pct"/>
            <w:hideMark/>
          </w:tcPr>
          <w:p w:rsidR="00000000" w:rsidRDefault="00150086">
            <w:pPr>
              <w:spacing w:before="0" w:beforeAutospacing="0" w:after="0" w:afterAutospacing="0"/>
              <w:jc w:val="both"/>
              <w:rPr>
                <w:rFonts w:eastAsia="Times New Roman"/>
                <w:sz w:val="20"/>
                <w:szCs w:val="20"/>
              </w:rPr>
            </w:pPr>
          </w:p>
        </w:tc>
        <w:tc>
          <w:tcPr>
            <w:tcW w:w="500" w:type="pct"/>
            <w:vAlign w:val="bottom"/>
            <w:hideMark/>
          </w:tcPr>
          <w:p w:rsidR="00000000" w:rsidRDefault="00150086">
            <w:pPr>
              <w:spacing w:before="0" w:beforeAutospacing="0" w:after="0" w:afterAutospacing="0"/>
              <w:jc w:val="both"/>
              <w:rPr>
                <w:rFonts w:eastAsia="Times New Roman"/>
                <w:sz w:val="20"/>
                <w:szCs w:val="20"/>
              </w:rPr>
            </w:pPr>
          </w:p>
        </w:tc>
        <w:tc>
          <w:tcPr>
            <w:tcW w:w="950" w:type="pct"/>
            <w:vAlign w:val="bottom"/>
            <w:hideMark/>
          </w:tcPr>
          <w:p w:rsidR="00000000" w:rsidRDefault="00150086">
            <w:pPr>
              <w:pStyle w:val="NormalWeb"/>
              <w:spacing w:before="0" w:beforeAutospacing="0" w:after="0" w:afterAutospacing="0"/>
              <w:jc w:val="center"/>
              <w:rPr>
                <w:sz w:val="20"/>
                <w:szCs w:val="20"/>
              </w:rPr>
            </w:pPr>
            <w:r>
              <w:rPr>
                <w:sz w:val="20"/>
                <w:szCs w:val="20"/>
              </w:rPr>
              <w:t> </w:t>
            </w:r>
          </w:p>
        </w:tc>
      </w:tr>
      <w:tr w:rsidR="00000000">
        <w:trPr>
          <w:divId w:val="7608861"/>
          <w:trHeight w:val="225"/>
          <w:tblCellSpacing w:w="0" w:type="dxa"/>
          <w:jc w:val="center"/>
        </w:trPr>
        <w:tc>
          <w:tcPr>
            <w:tcW w:w="750" w:type="pct"/>
            <w:shd w:val="clear" w:color="auto" w:fill="CCEEFF"/>
            <w:hideMark/>
          </w:tcPr>
          <w:p w:rsidR="00000000" w:rsidRDefault="00150086">
            <w:pPr>
              <w:pStyle w:val="NormalWeb"/>
              <w:spacing w:before="0" w:beforeAutospacing="0" w:after="0" w:afterAutospacing="0"/>
              <w:jc w:val="center"/>
              <w:rPr>
                <w:sz w:val="20"/>
                <w:szCs w:val="20"/>
              </w:rPr>
            </w:pPr>
            <w:r>
              <w:rPr>
                <w:sz w:val="20"/>
                <w:szCs w:val="20"/>
              </w:rPr>
              <w:t>190,000</w:t>
            </w:r>
          </w:p>
        </w:tc>
        <w:tc>
          <w:tcPr>
            <w:tcW w:w="500" w:type="pct"/>
            <w:shd w:val="clear" w:color="auto" w:fill="CCEEFF"/>
            <w:vAlign w:val="bottom"/>
            <w:hideMark/>
          </w:tcPr>
          <w:p w:rsidR="00000000" w:rsidRDefault="00150086">
            <w:pPr>
              <w:pStyle w:val="NormalWeb"/>
              <w:spacing w:before="0" w:beforeAutospacing="0" w:after="0" w:afterAutospacing="0"/>
              <w:jc w:val="center"/>
              <w:rPr>
                <w:sz w:val="20"/>
                <w:szCs w:val="20"/>
              </w:rPr>
            </w:pPr>
            <w:r>
              <w:rPr>
                <w:sz w:val="20"/>
                <w:szCs w:val="20"/>
              </w:rPr>
              <w:t>0.35</w:t>
            </w:r>
          </w:p>
        </w:tc>
        <w:tc>
          <w:tcPr>
            <w:tcW w:w="950" w:type="pct"/>
            <w:shd w:val="clear" w:color="auto" w:fill="CCEEFF"/>
            <w:vAlign w:val="bottom"/>
            <w:hideMark/>
          </w:tcPr>
          <w:p w:rsidR="00000000" w:rsidRDefault="00150086">
            <w:pPr>
              <w:pStyle w:val="NormalWeb"/>
              <w:spacing w:before="0" w:beforeAutospacing="0" w:after="0" w:afterAutospacing="0"/>
              <w:jc w:val="center"/>
              <w:rPr>
                <w:sz w:val="20"/>
                <w:szCs w:val="20"/>
              </w:rPr>
            </w:pPr>
            <w:r>
              <w:rPr>
                <w:sz w:val="20"/>
                <w:szCs w:val="20"/>
              </w:rPr>
              <w:t>May 20, 2019</w:t>
            </w:r>
          </w:p>
        </w:tc>
      </w:tr>
      <w:tr w:rsidR="00000000">
        <w:trPr>
          <w:divId w:val="7608861"/>
          <w:trHeight w:val="225"/>
          <w:tblCellSpacing w:w="0" w:type="dxa"/>
          <w:jc w:val="center"/>
        </w:trPr>
        <w:tc>
          <w:tcPr>
            <w:tcW w:w="750" w:type="pct"/>
            <w:shd w:val="clear" w:color="auto" w:fill="FFFFFF"/>
            <w:hideMark/>
          </w:tcPr>
          <w:p w:rsidR="00000000" w:rsidRDefault="00150086">
            <w:pPr>
              <w:pStyle w:val="NormalWeb"/>
              <w:spacing w:before="0" w:beforeAutospacing="0" w:after="0" w:afterAutospacing="0"/>
              <w:jc w:val="center"/>
              <w:rPr>
                <w:sz w:val="20"/>
                <w:szCs w:val="20"/>
              </w:rPr>
            </w:pPr>
            <w:r>
              <w:rPr>
                <w:sz w:val="20"/>
                <w:szCs w:val="20"/>
              </w:rPr>
              <w:t>75,125</w:t>
            </w:r>
          </w:p>
        </w:tc>
        <w:tc>
          <w:tcPr>
            <w:tcW w:w="500" w:type="pct"/>
            <w:shd w:val="clear" w:color="auto" w:fill="FFFFFF"/>
            <w:vAlign w:val="bottom"/>
            <w:hideMark/>
          </w:tcPr>
          <w:p w:rsidR="00000000" w:rsidRDefault="00150086">
            <w:pPr>
              <w:pStyle w:val="NormalWeb"/>
              <w:spacing w:before="0" w:beforeAutospacing="0" w:after="0" w:afterAutospacing="0"/>
              <w:jc w:val="center"/>
              <w:rPr>
                <w:sz w:val="20"/>
                <w:szCs w:val="20"/>
              </w:rPr>
            </w:pPr>
            <w:r>
              <w:rPr>
                <w:sz w:val="20"/>
                <w:szCs w:val="20"/>
              </w:rPr>
              <w:t>0.35</w:t>
            </w:r>
          </w:p>
        </w:tc>
        <w:tc>
          <w:tcPr>
            <w:tcW w:w="950" w:type="pct"/>
            <w:shd w:val="clear" w:color="auto" w:fill="FFFFFF"/>
            <w:vAlign w:val="bottom"/>
            <w:hideMark/>
          </w:tcPr>
          <w:p w:rsidR="00000000" w:rsidRDefault="00150086">
            <w:pPr>
              <w:pStyle w:val="NormalWeb"/>
              <w:spacing w:before="0" w:beforeAutospacing="0" w:after="0" w:afterAutospacing="0"/>
              <w:jc w:val="center"/>
              <w:rPr>
                <w:sz w:val="20"/>
                <w:szCs w:val="20"/>
              </w:rPr>
            </w:pPr>
            <w:r>
              <w:rPr>
                <w:sz w:val="20"/>
                <w:szCs w:val="20"/>
              </w:rPr>
              <w:t>June 14 ,2019</w:t>
            </w:r>
          </w:p>
        </w:tc>
      </w:tr>
      <w:tr w:rsidR="00000000">
        <w:trPr>
          <w:divId w:val="7608861"/>
          <w:trHeight w:val="225"/>
          <w:tblCellSpacing w:w="0" w:type="dxa"/>
          <w:jc w:val="center"/>
        </w:trPr>
        <w:tc>
          <w:tcPr>
            <w:tcW w:w="750" w:type="pct"/>
            <w:shd w:val="clear" w:color="auto" w:fill="CCEEFF"/>
            <w:hideMark/>
          </w:tcPr>
          <w:p w:rsidR="00000000" w:rsidRDefault="00150086">
            <w:pPr>
              <w:pStyle w:val="NormalWeb"/>
              <w:spacing w:before="0" w:beforeAutospacing="0" w:after="0" w:afterAutospacing="0"/>
              <w:jc w:val="center"/>
              <w:rPr>
                <w:sz w:val="20"/>
                <w:szCs w:val="20"/>
              </w:rPr>
            </w:pPr>
            <w:r>
              <w:rPr>
                <w:sz w:val="20"/>
                <w:szCs w:val="20"/>
              </w:rPr>
              <w:t>172,413</w:t>
            </w:r>
          </w:p>
        </w:tc>
        <w:tc>
          <w:tcPr>
            <w:tcW w:w="500" w:type="pct"/>
            <w:shd w:val="clear" w:color="auto" w:fill="CCEEFF"/>
            <w:vAlign w:val="bottom"/>
            <w:hideMark/>
          </w:tcPr>
          <w:p w:rsidR="00000000" w:rsidRDefault="00150086">
            <w:pPr>
              <w:pStyle w:val="NormalWeb"/>
              <w:spacing w:before="0" w:beforeAutospacing="0" w:after="0" w:afterAutospacing="0"/>
              <w:jc w:val="center"/>
              <w:rPr>
                <w:sz w:val="20"/>
                <w:szCs w:val="20"/>
              </w:rPr>
            </w:pPr>
            <w:r>
              <w:rPr>
                <w:sz w:val="20"/>
                <w:szCs w:val="20"/>
              </w:rPr>
              <w:t>1.35</w:t>
            </w:r>
          </w:p>
        </w:tc>
        <w:tc>
          <w:tcPr>
            <w:tcW w:w="950" w:type="pct"/>
            <w:shd w:val="clear" w:color="auto" w:fill="CCEEFF"/>
            <w:vAlign w:val="bottom"/>
            <w:hideMark/>
          </w:tcPr>
          <w:p w:rsidR="00000000" w:rsidRDefault="00150086">
            <w:pPr>
              <w:pStyle w:val="NormalWeb"/>
              <w:spacing w:before="0" w:beforeAutospacing="0" w:after="0" w:afterAutospacing="0"/>
              <w:jc w:val="center"/>
              <w:rPr>
                <w:sz w:val="20"/>
                <w:szCs w:val="20"/>
              </w:rPr>
            </w:pPr>
            <w:r>
              <w:rPr>
                <w:sz w:val="20"/>
                <w:szCs w:val="20"/>
              </w:rPr>
              <w:t>March 1, 2021</w:t>
            </w:r>
          </w:p>
        </w:tc>
      </w:tr>
      <w:tr w:rsidR="00000000">
        <w:trPr>
          <w:divId w:val="7608861"/>
          <w:trHeight w:val="225"/>
          <w:tblCellSpacing w:w="0" w:type="dxa"/>
          <w:jc w:val="center"/>
        </w:trPr>
        <w:tc>
          <w:tcPr>
            <w:tcW w:w="750" w:type="pct"/>
            <w:shd w:val="clear" w:color="auto" w:fill="FFFFFF"/>
            <w:hideMark/>
          </w:tcPr>
          <w:p w:rsidR="00000000" w:rsidRDefault="00150086">
            <w:pPr>
              <w:pStyle w:val="NormalWeb"/>
              <w:spacing w:before="0" w:beforeAutospacing="0" w:after="0" w:afterAutospacing="0"/>
              <w:jc w:val="center"/>
              <w:rPr>
                <w:sz w:val="20"/>
                <w:szCs w:val="20"/>
              </w:rPr>
            </w:pPr>
            <w:r>
              <w:rPr>
                <w:sz w:val="20"/>
                <w:szCs w:val="20"/>
              </w:rPr>
              <w:t>2,853,250</w:t>
            </w:r>
          </w:p>
        </w:tc>
        <w:tc>
          <w:tcPr>
            <w:tcW w:w="500" w:type="pct"/>
            <w:shd w:val="clear" w:color="auto" w:fill="FFFFFF"/>
            <w:vAlign w:val="bottom"/>
            <w:hideMark/>
          </w:tcPr>
          <w:p w:rsidR="00000000" w:rsidRDefault="00150086">
            <w:pPr>
              <w:pStyle w:val="NormalWeb"/>
              <w:spacing w:before="0" w:beforeAutospacing="0" w:after="0" w:afterAutospacing="0"/>
              <w:jc w:val="center"/>
              <w:rPr>
                <w:sz w:val="20"/>
                <w:szCs w:val="20"/>
              </w:rPr>
            </w:pPr>
            <w:r>
              <w:rPr>
                <w:sz w:val="20"/>
                <w:szCs w:val="20"/>
              </w:rPr>
              <w:t>0.47</w:t>
            </w:r>
          </w:p>
        </w:tc>
        <w:tc>
          <w:tcPr>
            <w:tcW w:w="950" w:type="pct"/>
            <w:shd w:val="clear" w:color="auto" w:fill="FFFFFF"/>
            <w:vAlign w:val="bottom"/>
            <w:hideMark/>
          </w:tcPr>
          <w:p w:rsidR="00000000" w:rsidRDefault="00150086">
            <w:pPr>
              <w:pStyle w:val="NormalWeb"/>
              <w:spacing w:before="0" w:beforeAutospacing="0" w:after="0" w:afterAutospacing="0"/>
              <w:jc w:val="center"/>
              <w:rPr>
                <w:sz w:val="20"/>
                <w:szCs w:val="20"/>
              </w:rPr>
            </w:pPr>
            <w:r>
              <w:rPr>
                <w:sz w:val="20"/>
                <w:szCs w:val="20"/>
              </w:rPr>
              <w:t>September 21, 2021</w:t>
            </w:r>
          </w:p>
        </w:tc>
      </w:tr>
      <w:tr w:rsidR="00000000">
        <w:trPr>
          <w:divId w:val="7608861"/>
          <w:trHeight w:val="225"/>
          <w:tblCellSpacing w:w="0" w:type="dxa"/>
          <w:jc w:val="center"/>
        </w:trPr>
        <w:tc>
          <w:tcPr>
            <w:tcW w:w="750" w:type="pct"/>
            <w:shd w:val="clear" w:color="auto" w:fill="CCEEFF"/>
            <w:hideMark/>
          </w:tcPr>
          <w:p w:rsidR="00000000" w:rsidRDefault="00150086">
            <w:pPr>
              <w:pStyle w:val="NormalWeb"/>
              <w:spacing w:before="0" w:beforeAutospacing="0" w:after="0" w:afterAutospacing="0"/>
              <w:jc w:val="center"/>
              <w:rPr>
                <w:sz w:val="20"/>
                <w:szCs w:val="20"/>
              </w:rPr>
            </w:pPr>
            <w:r>
              <w:rPr>
                <w:sz w:val="20"/>
                <w:szCs w:val="20"/>
              </w:rPr>
              <w:t>8,000</w:t>
            </w:r>
          </w:p>
        </w:tc>
        <w:tc>
          <w:tcPr>
            <w:tcW w:w="500" w:type="pct"/>
            <w:shd w:val="clear" w:color="auto" w:fill="CCEEFF"/>
            <w:vAlign w:val="bottom"/>
            <w:hideMark/>
          </w:tcPr>
          <w:p w:rsidR="00000000" w:rsidRDefault="00150086">
            <w:pPr>
              <w:pStyle w:val="NormalWeb"/>
              <w:spacing w:before="0" w:beforeAutospacing="0" w:after="0" w:afterAutospacing="0"/>
              <w:jc w:val="center"/>
              <w:rPr>
                <w:sz w:val="20"/>
                <w:szCs w:val="20"/>
              </w:rPr>
            </w:pPr>
            <w:r>
              <w:rPr>
                <w:sz w:val="20"/>
                <w:szCs w:val="20"/>
              </w:rPr>
              <w:t xml:space="preserve">0.47 </w:t>
            </w:r>
          </w:p>
        </w:tc>
        <w:tc>
          <w:tcPr>
            <w:tcW w:w="950" w:type="pct"/>
            <w:shd w:val="clear" w:color="auto" w:fill="CCEEFF"/>
            <w:vAlign w:val="bottom"/>
            <w:hideMark/>
          </w:tcPr>
          <w:p w:rsidR="00000000" w:rsidRDefault="00150086">
            <w:pPr>
              <w:pStyle w:val="NormalWeb"/>
              <w:spacing w:before="0" w:beforeAutospacing="0" w:after="0" w:afterAutospacing="0"/>
              <w:jc w:val="center"/>
              <w:rPr>
                <w:sz w:val="20"/>
                <w:szCs w:val="20"/>
              </w:rPr>
            </w:pPr>
            <w:r>
              <w:rPr>
                <w:sz w:val="20"/>
                <w:szCs w:val="20"/>
              </w:rPr>
              <w:t>October 1, 2021</w:t>
            </w:r>
          </w:p>
        </w:tc>
      </w:tr>
      <w:tr w:rsidR="00000000">
        <w:trPr>
          <w:divId w:val="7608861"/>
          <w:trHeight w:val="225"/>
          <w:tblCellSpacing w:w="0" w:type="dxa"/>
          <w:jc w:val="center"/>
        </w:trPr>
        <w:tc>
          <w:tcPr>
            <w:tcW w:w="750" w:type="pct"/>
            <w:shd w:val="clear" w:color="auto" w:fill="FFFFFF"/>
            <w:hideMark/>
          </w:tcPr>
          <w:p w:rsidR="00000000" w:rsidRDefault="00150086">
            <w:pPr>
              <w:pStyle w:val="NormalWeb"/>
              <w:spacing w:before="0" w:beforeAutospacing="0" w:after="0" w:afterAutospacing="0"/>
              <w:jc w:val="center"/>
              <w:rPr>
                <w:sz w:val="20"/>
                <w:szCs w:val="20"/>
              </w:rPr>
            </w:pPr>
            <w:r>
              <w:rPr>
                <w:sz w:val="20"/>
                <w:szCs w:val="20"/>
              </w:rPr>
              <w:t>609,260</w:t>
            </w:r>
          </w:p>
        </w:tc>
        <w:tc>
          <w:tcPr>
            <w:tcW w:w="500" w:type="pct"/>
            <w:shd w:val="clear" w:color="auto" w:fill="FFFFFF"/>
            <w:vAlign w:val="bottom"/>
            <w:hideMark/>
          </w:tcPr>
          <w:p w:rsidR="00000000" w:rsidRDefault="00150086">
            <w:pPr>
              <w:pStyle w:val="NormalWeb"/>
              <w:spacing w:before="0" w:beforeAutospacing="0" w:after="0" w:afterAutospacing="0"/>
              <w:jc w:val="center"/>
              <w:rPr>
                <w:sz w:val="20"/>
                <w:szCs w:val="20"/>
              </w:rPr>
            </w:pPr>
            <w:r>
              <w:rPr>
                <w:sz w:val="20"/>
                <w:szCs w:val="20"/>
              </w:rPr>
              <w:t xml:space="preserve">0.46 </w:t>
            </w:r>
          </w:p>
        </w:tc>
        <w:tc>
          <w:tcPr>
            <w:tcW w:w="950" w:type="pct"/>
            <w:shd w:val="clear" w:color="auto" w:fill="FFFFFF"/>
            <w:vAlign w:val="bottom"/>
            <w:hideMark/>
          </w:tcPr>
          <w:p w:rsidR="00000000" w:rsidRDefault="00150086">
            <w:pPr>
              <w:pStyle w:val="NormalWeb"/>
              <w:spacing w:before="0" w:beforeAutospacing="0" w:after="0" w:afterAutospacing="0"/>
              <w:jc w:val="center"/>
              <w:rPr>
                <w:sz w:val="20"/>
                <w:szCs w:val="20"/>
              </w:rPr>
            </w:pPr>
            <w:r>
              <w:rPr>
                <w:sz w:val="20"/>
                <w:szCs w:val="20"/>
              </w:rPr>
              <w:t>October 18, 2021</w:t>
            </w:r>
          </w:p>
        </w:tc>
      </w:tr>
      <w:tr w:rsidR="00000000">
        <w:trPr>
          <w:divId w:val="7608861"/>
          <w:trHeight w:val="225"/>
          <w:tblCellSpacing w:w="0" w:type="dxa"/>
          <w:jc w:val="center"/>
        </w:trPr>
        <w:tc>
          <w:tcPr>
            <w:tcW w:w="750" w:type="pct"/>
            <w:tcBorders>
              <w:bottom w:val="single" w:sz="6" w:space="0" w:color="000000"/>
            </w:tcBorders>
            <w:shd w:val="clear" w:color="auto" w:fill="CCEEFF"/>
            <w:hideMark/>
          </w:tcPr>
          <w:p w:rsidR="00000000" w:rsidRDefault="00150086">
            <w:pPr>
              <w:pStyle w:val="NormalWeb"/>
              <w:spacing w:before="0" w:beforeAutospacing="0" w:after="0" w:afterAutospacing="0"/>
              <w:jc w:val="center"/>
              <w:rPr>
                <w:sz w:val="20"/>
                <w:szCs w:val="20"/>
              </w:rPr>
            </w:pPr>
            <w:r>
              <w:rPr>
                <w:sz w:val="20"/>
                <w:szCs w:val="20"/>
              </w:rPr>
              <w:t>3,750,000</w:t>
            </w:r>
          </w:p>
        </w:tc>
        <w:tc>
          <w:tcPr>
            <w:tcW w:w="50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center"/>
              <w:rPr>
                <w:sz w:val="20"/>
                <w:szCs w:val="20"/>
              </w:rPr>
            </w:pPr>
            <w:r>
              <w:rPr>
                <w:sz w:val="20"/>
                <w:szCs w:val="20"/>
              </w:rPr>
              <w:t>0.46</w:t>
            </w:r>
          </w:p>
        </w:tc>
        <w:tc>
          <w:tcPr>
            <w:tcW w:w="950" w:type="pct"/>
            <w:tcBorders>
              <w:bottom w:val="single" w:sz="6" w:space="0" w:color="000000"/>
            </w:tcBorders>
            <w:shd w:val="clear" w:color="auto" w:fill="CCEEFF"/>
            <w:vAlign w:val="bottom"/>
            <w:hideMark/>
          </w:tcPr>
          <w:p w:rsidR="00000000" w:rsidRDefault="00150086">
            <w:pPr>
              <w:pStyle w:val="NormalWeb"/>
              <w:spacing w:before="0" w:beforeAutospacing="0" w:after="0" w:afterAutospacing="0"/>
              <w:jc w:val="center"/>
              <w:rPr>
                <w:sz w:val="20"/>
                <w:szCs w:val="20"/>
              </w:rPr>
            </w:pPr>
            <w:r>
              <w:rPr>
                <w:sz w:val="20"/>
                <w:szCs w:val="20"/>
              </w:rPr>
              <w:t>October 22, 2021</w:t>
            </w:r>
          </w:p>
        </w:tc>
      </w:tr>
      <w:tr w:rsidR="00000000">
        <w:trPr>
          <w:divId w:val="7608861"/>
          <w:trHeight w:val="225"/>
          <w:tblCellSpacing w:w="0" w:type="dxa"/>
          <w:jc w:val="center"/>
        </w:trPr>
        <w:tc>
          <w:tcPr>
            <w:tcW w:w="750" w:type="pct"/>
            <w:tcBorders>
              <w:bottom w:val="double" w:sz="6" w:space="0" w:color="000000"/>
            </w:tcBorders>
            <w:shd w:val="clear" w:color="auto" w:fill="FFFFFF"/>
            <w:hideMark/>
          </w:tcPr>
          <w:p w:rsidR="00000000" w:rsidRDefault="00150086">
            <w:pPr>
              <w:pStyle w:val="NormalWeb"/>
              <w:spacing w:before="0" w:beforeAutospacing="0" w:after="0" w:afterAutospacing="0"/>
              <w:jc w:val="center"/>
              <w:rPr>
                <w:sz w:val="20"/>
                <w:szCs w:val="20"/>
              </w:rPr>
            </w:pPr>
            <w:r>
              <w:rPr>
                <w:sz w:val="20"/>
                <w:szCs w:val="20"/>
              </w:rPr>
              <w:t>7,658,048</w:t>
            </w:r>
          </w:p>
        </w:tc>
        <w:tc>
          <w:tcPr>
            <w:tcW w:w="500" w:type="pct"/>
            <w:tcBorders>
              <w:bottom w:val="double" w:sz="6" w:space="0" w:color="000000"/>
            </w:tcBorders>
            <w:shd w:val="clear" w:color="auto" w:fill="FFFFFF"/>
            <w:vAlign w:val="bottom"/>
            <w:hideMark/>
          </w:tcPr>
          <w:p w:rsidR="00000000" w:rsidRDefault="00150086">
            <w:pPr>
              <w:spacing w:before="0" w:beforeAutospacing="0" w:after="0" w:afterAutospacing="0"/>
              <w:jc w:val="both"/>
              <w:rPr>
                <w:rFonts w:eastAsia="Times New Roman"/>
                <w:sz w:val="20"/>
                <w:szCs w:val="20"/>
              </w:rPr>
            </w:pPr>
          </w:p>
        </w:tc>
        <w:tc>
          <w:tcPr>
            <w:tcW w:w="950" w:type="pct"/>
            <w:tcBorders>
              <w:bottom w:val="double" w:sz="6" w:space="0" w:color="000000"/>
            </w:tcBorders>
            <w:shd w:val="clear" w:color="auto" w:fill="FFFFFF"/>
            <w:vAlign w:val="bottom"/>
            <w:hideMark/>
          </w:tcPr>
          <w:p w:rsidR="00000000" w:rsidRDefault="00150086">
            <w:pPr>
              <w:spacing w:before="0" w:beforeAutospacing="0" w:after="0" w:afterAutospacing="0"/>
              <w:jc w:val="both"/>
              <w:rPr>
                <w:rFonts w:eastAsia="Times New Roman"/>
                <w:sz w:val="20"/>
                <w:szCs w:val="20"/>
              </w:rPr>
            </w:pPr>
          </w:p>
        </w:tc>
      </w:tr>
    </w:tbl>
    <w:p w:rsidR="00000000" w:rsidRDefault="00150086">
      <w:pPr>
        <w:pStyle w:val="NormalWeb"/>
        <w:spacing w:before="0" w:beforeAutospacing="0" w:after="0" w:afterAutospacing="0"/>
        <w:jc w:val="both"/>
        <w:divId w:val="7608861"/>
        <w:rPr>
          <w:sz w:val="20"/>
          <w:szCs w:val="20"/>
        </w:rPr>
      </w:pPr>
      <w:r>
        <w:rPr>
          <w:sz w:val="20"/>
          <w:szCs w:val="20"/>
        </w:rPr>
        <w:t xml:space="preserve">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tcBorders>
              <w:bottom w:val="single" w:sz="6" w:space="0" w:color="000000"/>
            </w:tcBorders>
            <w:vAlign w:val="center"/>
            <w:hideMark/>
          </w:tcPr>
          <w:p w:rsidR="00000000" w:rsidRDefault="00150086">
            <w:pPr>
              <w:spacing w:before="0" w:beforeAutospacing="0" w:after="0" w:afterAutospacing="0"/>
              <w:jc w:val="center"/>
              <w:rPr>
                <w:rFonts w:eastAsia="Times New Roman"/>
                <w:sz w:val="20"/>
                <w:szCs w:val="20"/>
              </w:rPr>
            </w:pPr>
            <w:r>
              <w:rPr>
                <w:rFonts w:eastAsia="Times New Roman"/>
                <w:sz w:val="20"/>
                <w:szCs w:val="20"/>
              </w:rPr>
              <w:t>16</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50086">
      <w:pPr>
        <w:pStyle w:val="NormalWeb"/>
        <w:spacing w:before="0" w:beforeAutospacing="0" w:after="0" w:afterAutospacing="0"/>
        <w:jc w:val="both"/>
        <w:divId w:val="7608861"/>
        <w:rPr>
          <w:sz w:val="20"/>
          <w:szCs w:val="20"/>
        </w:rPr>
      </w:pPr>
      <w:r>
        <w:rPr>
          <w:sz w:val="20"/>
          <w:szCs w:val="20"/>
        </w:rPr>
        <w:t xml:space="preserve">   </w:t>
      </w:r>
    </w:p>
    <w:p w:rsidR="00000000" w:rsidRDefault="00150086">
      <w:pPr>
        <w:pStyle w:val="NormalWeb"/>
        <w:spacing w:before="0" w:beforeAutospacing="0" w:after="0" w:afterAutospacing="0"/>
        <w:jc w:val="both"/>
        <w:divId w:val="7608861"/>
        <w:rPr>
          <w:sz w:val="20"/>
          <w:szCs w:val="20"/>
        </w:rPr>
      </w:pPr>
      <w:r>
        <w:rPr>
          <w:b/>
          <w:bCs/>
          <w:sz w:val="20"/>
          <w:szCs w:val="20"/>
        </w:rPr>
        <w:t>PIVOT PHARMACEUTICALS INC.</w:t>
      </w:r>
    </w:p>
    <w:p w:rsidR="00000000" w:rsidRDefault="00150086">
      <w:pPr>
        <w:pStyle w:val="NormalWeb"/>
        <w:spacing w:before="0" w:beforeAutospacing="0" w:after="0" w:afterAutospacing="0"/>
        <w:jc w:val="both"/>
        <w:divId w:val="7608861"/>
        <w:rPr>
          <w:sz w:val="20"/>
          <w:szCs w:val="20"/>
        </w:rPr>
      </w:pPr>
      <w:r>
        <w:rPr>
          <w:sz w:val="20"/>
          <w:szCs w:val="20"/>
        </w:rPr>
        <w:t>Notes to the Condensed Consolidated Financial Statements (Unaudited)</w:t>
      </w:r>
    </w:p>
    <w:p w:rsidR="00000000" w:rsidRDefault="00150086">
      <w:pPr>
        <w:pStyle w:val="NormalWeb"/>
        <w:spacing w:before="0" w:beforeAutospacing="0" w:after="0" w:afterAutospacing="0"/>
        <w:jc w:val="both"/>
        <w:divId w:val="7608861"/>
        <w:rPr>
          <w:sz w:val="20"/>
          <w:szCs w:val="20"/>
        </w:rPr>
      </w:pPr>
      <w:r>
        <w:rPr>
          <w:sz w:val="20"/>
          <w:szCs w:val="20"/>
        </w:rPr>
        <w:t>Period ended October 31, 2018</w:t>
      </w:r>
    </w:p>
    <w:p w:rsidR="00000000" w:rsidRDefault="00150086">
      <w:pPr>
        <w:pStyle w:val="NormalWeb"/>
        <w:spacing w:before="0" w:beforeAutospacing="0" w:after="0" w:afterAutospacing="0"/>
        <w:jc w:val="both"/>
        <w:divId w:val="7608861"/>
        <w:rPr>
          <w:sz w:val="20"/>
          <w:szCs w:val="20"/>
        </w:rPr>
      </w:pPr>
      <w:r>
        <w:rPr>
          <w:sz w:val="20"/>
          <w:szCs w:val="20"/>
        </w:rPr>
        <w:t>(Expressed in U.S. dollars)</w:t>
      </w:r>
    </w:p>
    <w:p w:rsidR="00000000" w:rsidRDefault="00150086">
      <w:pPr>
        <w:pStyle w:val="NormalWeb"/>
        <w:spacing w:before="0" w:beforeAutospacing="0" w:after="0" w:afterAutospacing="0"/>
        <w:jc w:val="both"/>
        <w:divId w:val="7608861"/>
        <w:rPr>
          <w:b/>
          <w:bCs/>
          <w:sz w:val="20"/>
          <w:szCs w:val="20"/>
        </w:rPr>
      </w:pPr>
      <w:r>
        <w:rPr>
          <w:b/>
          <w:bCs/>
          <w:sz w:val="20"/>
          <w:szCs w:val="20"/>
        </w:rPr>
        <w:t xml:space="preserve">  </w:t>
      </w:r>
    </w:p>
    <w:p w:rsidR="00000000" w:rsidRDefault="00150086">
      <w:pPr>
        <w:spacing w:before="0" w:beforeAutospacing="0" w:after="0" w:afterAutospacing="0"/>
        <w:jc w:val="both"/>
        <w:divId w:val="7608861"/>
        <w:rPr>
          <w:rFonts w:eastAsia="Times New Roman"/>
          <w:sz w:val="20"/>
          <w:szCs w:val="20"/>
        </w:rPr>
      </w:pPr>
      <w:r>
        <w:rPr>
          <w:rFonts w:eastAsia="Times New Roman"/>
          <w:b/>
          <w:bCs/>
          <w:sz w:val="20"/>
          <w:szCs w:val="20"/>
        </w:rPr>
        <w:t>14. Supplemental Cash Flow Information</w:t>
      </w:r>
      <w:r>
        <w:rPr>
          <w:rFonts w:eastAsia="Times New Roman"/>
          <w:sz w:val="20"/>
          <w:szCs w:val="20"/>
        </w:rPr>
        <w:t xml:space="preserve"> </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4250" w:type="pct"/>
        <w:jc w:val="center"/>
        <w:tblCellSpacing w:w="0" w:type="dxa"/>
        <w:tblCellMar>
          <w:left w:w="0" w:type="dxa"/>
          <w:right w:w="0" w:type="dxa"/>
        </w:tblCellMar>
        <w:tblLook w:val="04A0"/>
      </w:tblPr>
      <w:tblGrid>
        <w:gridCol w:w="6036"/>
        <w:gridCol w:w="69"/>
        <w:gridCol w:w="69"/>
        <w:gridCol w:w="800"/>
        <w:gridCol w:w="69"/>
        <w:gridCol w:w="69"/>
        <w:gridCol w:w="69"/>
        <w:gridCol w:w="705"/>
        <w:gridCol w:w="70"/>
      </w:tblGrid>
      <w:tr w:rsidR="00000000">
        <w:trPr>
          <w:divId w:val="7608861"/>
          <w:tblCellSpacing w:w="0" w:type="dxa"/>
          <w:jc w:val="center"/>
        </w:trPr>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Nine Months</w:t>
            </w:r>
          </w:p>
          <w:p w:rsidR="00000000" w:rsidRDefault="00150086">
            <w:pPr>
              <w:pStyle w:val="NormalWeb"/>
              <w:spacing w:before="0" w:beforeAutospacing="0" w:after="0" w:afterAutospacing="0"/>
              <w:jc w:val="center"/>
              <w:rPr>
                <w:sz w:val="20"/>
                <w:szCs w:val="20"/>
              </w:rPr>
            </w:pPr>
            <w:r>
              <w:rPr>
                <w:b/>
                <w:bCs/>
                <w:sz w:val="20"/>
                <w:szCs w:val="20"/>
              </w:rPr>
              <w:t>Ended</w:t>
            </w:r>
          </w:p>
          <w:p w:rsidR="00000000" w:rsidRDefault="00150086">
            <w:pPr>
              <w:pStyle w:val="NormalWeb"/>
              <w:spacing w:before="0" w:beforeAutospacing="0" w:after="0" w:afterAutospacing="0"/>
              <w:jc w:val="center"/>
              <w:rPr>
                <w:sz w:val="20"/>
                <w:szCs w:val="20"/>
              </w:rPr>
            </w:pPr>
            <w:r>
              <w:rPr>
                <w:b/>
                <w:bCs/>
                <w:sz w:val="20"/>
                <w:szCs w:val="20"/>
              </w:rPr>
              <w:t>October 31,</w:t>
            </w:r>
          </w:p>
          <w:p w:rsidR="00000000" w:rsidRDefault="00150086">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center"/>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center"/>
              <w:rPr>
                <w:sz w:val="20"/>
                <w:szCs w:val="20"/>
              </w:rPr>
            </w:pPr>
            <w:r>
              <w:rPr>
                <w:sz w:val="20"/>
                <w:szCs w:val="20"/>
              </w:rPr>
              <w:t> </w:t>
            </w:r>
          </w:p>
        </w:tc>
        <w:tc>
          <w:tcPr>
            <w:tcW w:w="450" w:type="pct"/>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Nine Months</w:t>
            </w:r>
          </w:p>
          <w:p w:rsidR="00000000" w:rsidRDefault="00150086">
            <w:pPr>
              <w:pStyle w:val="NormalWeb"/>
              <w:spacing w:before="0" w:beforeAutospacing="0" w:after="0" w:afterAutospacing="0"/>
              <w:jc w:val="center"/>
              <w:rPr>
                <w:sz w:val="20"/>
                <w:szCs w:val="20"/>
              </w:rPr>
            </w:pPr>
            <w:r>
              <w:rPr>
                <w:b/>
                <w:bCs/>
                <w:sz w:val="20"/>
                <w:szCs w:val="20"/>
              </w:rPr>
              <w:t>Ended</w:t>
            </w:r>
          </w:p>
          <w:p w:rsidR="00000000" w:rsidRDefault="00150086">
            <w:pPr>
              <w:pStyle w:val="NormalWeb"/>
              <w:spacing w:before="0" w:beforeAutospacing="0" w:after="0" w:afterAutospacing="0"/>
              <w:jc w:val="center"/>
              <w:rPr>
                <w:sz w:val="20"/>
                <w:szCs w:val="20"/>
              </w:rPr>
            </w:pPr>
            <w:r>
              <w:rPr>
                <w:b/>
                <w:bCs/>
                <w:sz w:val="20"/>
                <w:szCs w:val="20"/>
              </w:rPr>
              <w:t>October 31,</w:t>
            </w:r>
          </w:p>
          <w:p w:rsidR="00000000" w:rsidRDefault="00150086">
            <w:pPr>
              <w:pStyle w:val="NormalWeb"/>
              <w:spacing w:before="0" w:beforeAutospacing="0" w:after="0" w:afterAutospacing="0"/>
              <w:jc w:val="center"/>
              <w:rPr>
                <w:sz w:val="20"/>
                <w:szCs w:val="20"/>
              </w:rPr>
            </w:pPr>
            <w:r>
              <w:rPr>
                <w:b/>
                <w:bCs/>
                <w:sz w:val="20"/>
                <w:szCs w:val="20"/>
              </w:rPr>
              <w:t>2017</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hideMark/>
          </w:tcPr>
          <w:p w:rsidR="00000000" w:rsidRDefault="00150086">
            <w:pPr>
              <w:pStyle w:val="NormalWeb"/>
              <w:spacing w:before="0" w:beforeAutospacing="0" w:after="0" w:afterAutospacing="0"/>
              <w:jc w:val="both"/>
              <w:rPr>
                <w:sz w:val="20"/>
                <w:szCs w:val="20"/>
              </w:rPr>
            </w:pPr>
            <w:r>
              <w:rPr>
                <w:sz w:val="20"/>
                <w:szCs w:val="20"/>
              </w:rPr>
              <w:t>Supplemental disclosures:</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Interest paid</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269,293</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Income tax paid</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Non-cash investing and financing activities</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Capital contribution through forgiveness of debt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531,310</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Common stock issued for settlement of accounts payable</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35,152</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Common stock issued for settlement of convertible debenture (Note 9)</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1,230,446</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601,097</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Common stock issued for prepaid assets</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72,924</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Common stock issued for intangible asset (Note 3(a))</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620,328</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262,500</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Common stock issued for services</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443,093</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21,207</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Common stock issued for acquisition of business (Note 4)</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5,191,662</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Promissory note issued for settlement of accrued salaries</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200,000</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Treasury stock returned and retired in disposition of assets</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380,000</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Warrants granted for finder’</w:t>
            </w:r>
            <w:r>
              <w:rPr>
                <w:sz w:val="20"/>
                <w:szCs w:val="20"/>
              </w:rPr>
              <w:t>s fee (Note 9)</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203,553</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jc w:val="center"/>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Warrants granted for settlement of convertible debenture (Note 9)</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1,162,383</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bl>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b/>
          <w:bCs/>
          <w:sz w:val="20"/>
          <w:szCs w:val="20"/>
        </w:rPr>
        <w:t>15. Related Party Transactions</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7608861"/>
          <w:tblCellSpacing w:w="0" w:type="dxa"/>
        </w:trPr>
        <w:tc>
          <w:tcPr>
            <w:tcW w:w="200" w:type="pct"/>
            <w:hideMark/>
          </w:tcPr>
          <w:p w:rsidR="00000000" w:rsidRDefault="00150086">
            <w:pPr>
              <w:pStyle w:val="NormalWeb"/>
              <w:spacing w:before="0" w:beforeAutospacing="0" w:after="0" w:afterAutospacing="0"/>
              <w:jc w:val="both"/>
              <w:rPr>
                <w:sz w:val="20"/>
                <w:szCs w:val="20"/>
              </w:rPr>
            </w:pPr>
            <w:r>
              <w:rPr>
                <w:sz w:val="20"/>
                <w:szCs w:val="20"/>
              </w:rPr>
              <w:t> </w:t>
            </w:r>
          </w:p>
        </w:tc>
        <w:tc>
          <w:tcPr>
            <w:tcW w:w="200" w:type="pct"/>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(a)</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As at October 31, 2018, the Company owed $3,255 (January 31, 2018 - $4,767), $1,339 (January 31, 2018 - $nil), $8,270 (January 31, 2018 - $nil) and $1,071 (January 31, 2018 - $nil) to a director, a director and officer, an officer of the Company and an off</w:t>
            </w:r>
            <w:r>
              <w:rPr>
                <w:rFonts w:eastAsia="Times New Roman"/>
                <w:sz w:val="20"/>
                <w:szCs w:val="20"/>
              </w:rPr>
              <w:t xml:space="preserve">icer of the Company’s subsidiary, respectively, which are </w:t>
            </w:r>
            <w:r>
              <w:rPr>
                <w:rFonts w:eastAsia="Times New Roman"/>
                <w:sz w:val="20"/>
                <w:szCs w:val="20"/>
              </w:rPr>
              <w:lastRenderedPageBreak/>
              <w:t>unsecured, non-interest bearing, and due on demand.</w:t>
            </w:r>
          </w:p>
        </w:tc>
      </w:tr>
      <w:tr w:rsidR="00000000">
        <w:trPr>
          <w:divId w:val="7608861"/>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lastRenderedPageBreak/>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(b)</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On September 12, 2017, the Company entered into a licensing agreement with Altum, a party related by way of common director and officers, whereby the Company acquired worldwide rights to the BiPhasix™ transdermal drug delivery technology for the developmen</w:t>
            </w:r>
            <w:r>
              <w:rPr>
                <w:rFonts w:eastAsia="Times New Roman"/>
                <w:sz w:val="20"/>
                <w:szCs w:val="20"/>
              </w:rPr>
              <w:t>t and commercialization of Cannabinoids, Cannabidiol and Tetrahydrocannabinol products.</w:t>
            </w:r>
          </w:p>
        </w:tc>
      </w:tr>
      <w:tr w:rsidR="00000000">
        <w:trPr>
          <w:divId w:val="7608861"/>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(c)</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During the nine months ended October 31, 2018, the Company paid $644 in interest expense on a promissory note issued to Altum (Note 10(c)).</w:t>
            </w:r>
          </w:p>
        </w:tc>
      </w:tr>
      <w:tr w:rsidR="00000000">
        <w:trPr>
          <w:divId w:val="7608861"/>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(d)</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During the nine months ended October 31, 2018, the Company’s subsidiary, Pivot Naturals, paid $49,540 to a company owned by its President for research and development.</w:t>
            </w:r>
          </w:p>
        </w:tc>
      </w:tr>
    </w:tbl>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b/>
          <w:bCs/>
          <w:sz w:val="20"/>
          <w:szCs w:val="20"/>
        </w:rPr>
        <w:t>16. Subsequent Events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ind w:left="675"/>
        <w:jc w:val="both"/>
        <w:divId w:val="7608861"/>
        <w:rPr>
          <w:sz w:val="20"/>
          <w:szCs w:val="20"/>
        </w:rPr>
      </w:pPr>
      <w:r>
        <w:rPr>
          <w:sz w:val="20"/>
          <w:szCs w:val="20"/>
        </w:rPr>
        <w:t>On November 2, 2018, the Company issued 750,000 units, with each unit consisting of one common stock and one share purchase warrant with an exercise price of $0.60 Canadian Dollars and three year expiry, for subscription proceeds of $300,000 Canadian Dolla</w:t>
      </w:r>
      <w:r>
        <w:rPr>
          <w:sz w:val="20"/>
          <w:szCs w:val="20"/>
        </w:rPr>
        <w:t>rs. Pursuant to the private placement, the Company paid finders’ fee of $24,000 Canadian Dollars in cash and issued 60,000 share purchase warrants with an exercise price of $0.60 Canadian Dollars and three year expiry. In addition, 38,000 share purchase wa</w:t>
      </w:r>
      <w:r>
        <w:rPr>
          <w:sz w:val="20"/>
          <w:szCs w:val="20"/>
        </w:rPr>
        <w:t>rrants related to finder’s fee on the private placement in October 2018 were issued (Note 11(f)).</w:t>
      </w:r>
    </w:p>
    <w:p w:rsidR="00000000" w:rsidRDefault="00150086">
      <w:pPr>
        <w:pStyle w:val="NormalWeb"/>
        <w:spacing w:before="0" w:beforeAutospacing="0" w:after="0" w:afterAutospacing="0"/>
        <w:jc w:val="both"/>
        <w:divId w:val="7608861"/>
        <w:rPr>
          <w:sz w:val="20"/>
          <w:szCs w:val="20"/>
        </w:rPr>
      </w:pPr>
      <w:r>
        <w:rPr>
          <w:sz w:val="20"/>
          <w:szCs w:val="20"/>
        </w:rPr>
        <w:t xml:space="preserve">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tcBorders>
              <w:bottom w:val="single" w:sz="6" w:space="0" w:color="000000"/>
            </w:tcBorders>
            <w:vAlign w:val="center"/>
            <w:hideMark/>
          </w:tcPr>
          <w:p w:rsidR="00000000" w:rsidRDefault="00150086">
            <w:pPr>
              <w:spacing w:before="0" w:beforeAutospacing="0" w:after="0" w:afterAutospacing="0"/>
              <w:jc w:val="center"/>
              <w:rPr>
                <w:rFonts w:eastAsia="Times New Roman"/>
                <w:sz w:val="20"/>
                <w:szCs w:val="20"/>
              </w:rPr>
            </w:pPr>
            <w:r>
              <w:rPr>
                <w:rFonts w:eastAsia="Times New Roman"/>
                <w:sz w:val="20"/>
                <w:szCs w:val="20"/>
              </w:rPr>
              <w:t>17</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50086">
      <w:pPr>
        <w:pStyle w:val="NormalWeb"/>
        <w:spacing w:before="0" w:beforeAutospacing="0" w:after="0" w:afterAutospacing="0"/>
        <w:jc w:val="both"/>
        <w:divId w:val="7608861"/>
        <w:rPr>
          <w:sz w:val="20"/>
          <w:szCs w:val="20"/>
        </w:rPr>
      </w:pPr>
      <w:r>
        <w:rPr>
          <w:sz w:val="20"/>
          <w:szCs w:val="20"/>
        </w:rPr>
        <w:t xml:space="preserve">    </w:t>
      </w:r>
    </w:p>
    <w:p w:rsidR="00000000" w:rsidRDefault="00150086">
      <w:pPr>
        <w:pStyle w:val="NormalWeb"/>
        <w:spacing w:before="0" w:beforeAutospacing="0" w:after="0" w:afterAutospacing="0"/>
        <w:jc w:val="both"/>
        <w:divId w:val="7608861"/>
        <w:rPr>
          <w:sz w:val="20"/>
          <w:szCs w:val="20"/>
        </w:rPr>
      </w:pPr>
      <w:bookmarkStart w:id="3" w:name="Item_2._Management’s_Discussion_and_Anal"/>
      <w:r>
        <w:rPr>
          <w:b/>
          <w:bCs/>
          <w:sz w:val="20"/>
          <w:szCs w:val="20"/>
        </w:rPr>
        <w:t>Item 2. Management’</w:t>
      </w:r>
      <w:r>
        <w:rPr>
          <w:b/>
          <w:bCs/>
          <w:sz w:val="20"/>
          <w:szCs w:val="20"/>
        </w:rPr>
        <w:t>s Discussion and Analysis of Financial Condition and Results of Operations</w:t>
      </w:r>
      <w:bookmarkEnd w:id="3"/>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center"/>
        <w:divId w:val="7608861"/>
        <w:rPr>
          <w:sz w:val="20"/>
          <w:szCs w:val="20"/>
        </w:rPr>
      </w:pPr>
      <w:r>
        <w:rPr>
          <w:sz w:val="20"/>
          <w:szCs w:val="20"/>
          <w:u w:val="single"/>
        </w:rPr>
        <w:t>Forward-Looking Statements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This report on Form 10-Q contains certain forward-looking statements. All statements other than statements of historical fact are “forward-looking sta</w:t>
      </w:r>
      <w:r>
        <w:rPr>
          <w:sz w:val="20"/>
          <w:szCs w:val="20"/>
        </w:rPr>
        <w:t>tements” for purposes of these provisions, including any projections of earnings, revenues, or other financial items; any statements of the plans, strategies, and objectives of management for future operation; any statements concerning proposed new product</w:t>
      </w:r>
      <w:r>
        <w:rPr>
          <w:sz w:val="20"/>
          <w:szCs w:val="20"/>
        </w:rPr>
        <w:t>s, services, or developments; any statements regarding future economic conditions or performance; statements of belief; and any statement of assumptions underlying any of the foregoing. Such forward-looking statements are subject to inherent risks and unce</w:t>
      </w:r>
      <w:r>
        <w:rPr>
          <w:sz w:val="20"/>
          <w:szCs w:val="20"/>
        </w:rPr>
        <w:t>rtainties, and actual results could differ materially from those anticipated by the forward-looking statements.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These forward-looking statements involve significant risks and uncertainties, including, but not limited to, the following: competition, promotional costs and the risk of declining revenues. Our actual results could differ materially from those anticipated</w:t>
      </w:r>
      <w:r>
        <w:rPr>
          <w:sz w:val="20"/>
          <w:szCs w:val="20"/>
        </w:rPr>
        <w:t xml:space="preserve"> in such forward-looking statements as a result of a number of factors. These forward-looking statements are made as of the date of this filing, and we assume no obligation to update such forward-looking statements. The following discusses our financial co</w:t>
      </w:r>
      <w:r>
        <w:rPr>
          <w:sz w:val="20"/>
          <w:szCs w:val="20"/>
        </w:rPr>
        <w:t>ndition and results of operations based upon our unaudited financial statements which have been prepared in conformity with accounting principles generally accepted in the United States. It should be read in conjunction with our financial statements and th</w:t>
      </w:r>
      <w:r>
        <w:rPr>
          <w:sz w:val="20"/>
          <w:szCs w:val="20"/>
        </w:rPr>
        <w:t>e notes thereto included elsewhere herein.</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Although we believe that the expectations reflected in the forward-looking statements are reasonable, we cannot guarantee future results, levels of activity, performance or achievements. Except as required by ap</w:t>
      </w:r>
      <w:r>
        <w:rPr>
          <w:sz w:val="20"/>
          <w:szCs w:val="20"/>
        </w:rPr>
        <w:t>plicable law, including the securities laws of the United States, we do not intend to update any of the forward-looking statements to conform these statements to actual results.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Our financial statements are stated in U.S. Dollars (US$) and are prepared i</w:t>
      </w:r>
      <w:r>
        <w:rPr>
          <w:sz w:val="20"/>
          <w:szCs w:val="20"/>
        </w:rPr>
        <w:t>n accordance with United States Generally Accepted Accounting Principles.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lastRenderedPageBreak/>
        <w:t>In this quarterly report, unless otherwise specified, all dollar amounts are expressed in U.S. Dollars (US$) and all references to “common shares” refer to the common shares in our</w:t>
      </w:r>
      <w:r>
        <w:rPr>
          <w:sz w:val="20"/>
          <w:szCs w:val="20"/>
        </w:rPr>
        <w:t xml:space="preserve"> capital stock.</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As used in this quarterly report, the terms “we”, “us”, “our” and “our company” mean Pivot Pharmaceuticals Inc., unless otherwise indicated.</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b/>
          <w:bCs/>
          <w:i/>
          <w:iCs/>
          <w:sz w:val="20"/>
          <w:szCs w:val="20"/>
        </w:rPr>
        <w:t xml:space="preserve">General Overview </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We are an early stage pharmaceutical company. We were incorporated in the P</w:t>
      </w:r>
      <w:r>
        <w:rPr>
          <w:sz w:val="20"/>
          <w:szCs w:val="20"/>
        </w:rPr>
        <w:t>rovince of British Columbia, Canada under the name “649186 B.C. Ltd.”, on June 10, 2002. On September 9, 2003, we changed our name to “Xerxes Health Corp.” and on June 26, 2007, we changed our name to “Neurokine Pharmaceuticals Inc.”.</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Effective June 4, 2</w:t>
      </w:r>
      <w:r>
        <w:rPr>
          <w:sz w:val="20"/>
          <w:szCs w:val="20"/>
        </w:rPr>
        <w:t>014, we filed with the British Columbia Registrar of Companies a Form 11, Notice of Alteration, wherein we increased our authorized share capital from 500,000,000 common shares without par value to an unlimited number of common shares without par value. Th</w:t>
      </w:r>
      <w:r>
        <w:rPr>
          <w:sz w:val="20"/>
          <w:szCs w:val="20"/>
        </w:rPr>
        <w:t>e increase of authorized capital was approved by our stockholders at the annual and special meeting held on June 3, 2014.</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On September 26, 2014, our company held a special meeting of stockholders to approve the removal of our company’s Pre-Existing Compa</w:t>
      </w:r>
      <w:r>
        <w:rPr>
          <w:sz w:val="20"/>
          <w:szCs w:val="20"/>
        </w:rPr>
        <w:t>ny Provisions, the cancellation of our current Articles and the adoption of new Articles and to approve a reverse stock split on the basis of up to one new common stock for every 100 old common stock.</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 xml:space="preserve">Effective October 8, 2014, we filed with the British </w:t>
      </w:r>
      <w:r>
        <w:rPr>
          <w:sz w:val="20"/>
          <w:szCs w:val="20"/>
        </w:rPr>
        <w:t>Columbia Registrar of Companies a Form 11, Notice of Alteration, wherein we removed our Pre-Existing Company Provisions.</w:t>
      </w:r>
    </w:p>
    <w:p w:rsidR="00000000" w:rsidRDefault="00150086">
      <w:pPr>
        <w:pStyle w:val="NormalWeb"/>
        <w:spacing w:before="0" w:beforeAutospacing="0" w:after="0" w:afterAutospacing="0"/>
        <w:jc w:val="both"/>
        <w:divId w:val="7608861"/>
        <w:rPr>
          <w:sz w:val="20"/>
          <w:szCs w:val="20"/>
        </w:rPr>
      </w:pPr>
      <w:r>
        <w:rPr>
          <w:sz w:val="20"/>
          <w:szCs w:val="20"/>
        </w:rPr>
        <w:t xml:space="preserve">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tcBorders>
              <w:bottom w:val="single" w:sz="6" w:space="0" w:color="000000"/>
            </w:tcBorders>
            <w:vAlign w:val="center"/>
            <w:hideMark/>
          </w:tcPr>
          <w:p w:rsidR="00000000" w:rsidRDefault="00150086">
            <w:pPr>
              <w:spacing w:before="0" w:beforeAutospacing="0" w:after="0" w:afterAutospacing="0"/>
              <w:jc w:val="center"/>
              <w:rPr>
                <w:rFonts w:eastAsia="Times New Roman"/>
                <w:sz w:val="20"/>
                <w:szCs w:val="20"/>
              </w:rPr>
            </w:pPr>
            <w:r>
              <w:rPr>
                <w:rFonts w:eastAsia="Times New Roman"/>
                <w:sz w:val="20"/>
                <w:szCs w:val="20"/>
              </w:rPr>
              <w:t>18</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50086">
      <w:pPr>
        <w:pStyle w:val="NormalWeb"/>
        <w:spacing w:before="0" w:beforeAutospacing="0" w:after="0" w:afterAutospacing="0"/>
        <w:jc w:val="both"/>
        <w:divId w:val="7608861"/>
        <w:rPr>
          <w:sz w:val="20"/>
          <w:szCs w:val="20"/>
        </w:rPr>
      </w:pPr>
      <w:r>
        <w:rPr>
          <w:sz w:val="20"/>
          <w:szCs w:val="20"/>
        </w:rPr>
        <w:t xml:space="preserve">   </w:t>
      </w:r>
    </w:p>
    <w:p w:rsidR="00000000" w:rsidRDefault="00150086">
      <w:pPr>
        <w:pStyle w:val="NormalWeb"/>
        <w:spacing w:before="0" w:beforeAutospacing="0" w:after="0" w:afterAutospacing="0"/>
        <w:jc w:val="both"/>
        <w:divId w:val="7608861"/>
        <w:rPr>
          <w:sz w:val="20"/>
          <w:szCs w:val="20"/>
        </w:rPr>
      </w:pPr>
      <w:r>
        <w:rPr>
          <w:sz w:val="20"/>
          <w:szCs w:val="20"/>
        </w:rPr>
        <w:t>Effective April 7, 2015, we filed with the British Columbia Registrar of Companies a Form 11, Notice of Alteration, wherein we changed our name to “Pivot Pharmaceuticals Inc.”.</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Effective at the opening of trading on April 20, 2015, as approved by FINRA, our company effected a reverse stock split of our issued and outstanding common shares on the basis of 10 old common stock for 1 new common stock.</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On November 20, 2015, we compl</w:t>
      </w:r>
      <w:r>
        <w:rPr>
          <w:sz w:val="20"/>
          <w:szCs w:val="20"/>
        </w:rPr>
        <w:t>eted the acquisition of IndUS Pharmaceuticals, Inc. (“IndUS”), a Delaware corporation, pursuant to an Agreement and Plan of Merger and Acquisition Agreement dated as of November 4, 2015 among our company, Pivot Pharma U.S. Inc., our wholly owned subsidiary</w:t>
      </w:r>
      <w:r>
        <w:rPr>
          <w:sz w:val="20"/>
          <w:szCs w:val="20"/>
        </w:rPr>
        <w:t>, IndUS and Sindu Research Laboratories Pvt Ltd. As consideration for the purchase, we issued 4,512,500 shares of common stock on November 23, 2015 and 237,500 shares of common stock on December 4, 2015 and granted 41,833 stock options pursuant to the Agre</w:t>
      </w:r>
      <w:r>
        <w:rPr>
          <w:sz w:val="20"/>
          <w:szCs w:val="20"/>
        </w:rPr>
        <w:t xml:space="preserve">ement and Plan of Merger. As part of the acquisition, we appointed Dr. Pravin Chaturvedi as our new Chief Executive Officer and Director. On September 11, 2017, we completed an exchange agreement whereby we exchanged with Dr. Chaturvedi 100% of its shares </w:t>
      </w:r>
      <w:r>
        <w:rPr>
          <w:sz w:val="20"/>
          <w:szCs w:val="20"/>
        </w:rPr>
        <w:t>of common stock of IndUS and IndUS net liabilities for 3,800,000 shares of common stock of Pivot, upon which Dr. Chaturvedi resigned as Chief Executive Officer and Director.</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On September 12, 2017, we entered into a licensing agreement with Altum Pharmace</w:t>
      </w:r>
      <w:r>
        <w:rPr>
          <w:sz w:val="20"/>
          <w:szCs w:val="20"/>
        </w:rPr>
        <w:t>uticals Inc. (“Altum”) whereby we were granted worldwide rights to BiPhasix Transdermal Drug Delivery Technology (“BiPhasix Technology”) for the delivery and commercialization of cannabinoids, cannabidiol (“CBD”), and tetrahydrocannabinol (“THC”) based pro</w:t>
      </w:r>
      <w:r>
        <w:rPr>
          <w:sz w:val="20"/>
          <w:szCs w:val="20"/>
        </w:rPr>
        <w:t>ducts. Financial consideration included:</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7608861"/>
          <w:tblCellSpacing w:w="0" w:type="dxa"/>
        </w:trPr>
        <w:tc>
          <w:tcPr>
            <w:tcW w:w="200" w:type="pct"/>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200" w:type="pct"/>
            <w:hideMark/>
          </w:tcPr>
          <w:p w:rsidR="00000000" w:rsidRDefault="00150086">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Issuance of 2,500,000 shares of common stock on effective date of agreement</w:t>
            </w:r>
          </w:p>
        </w:tc>
      </w:tr>
      <w:tr w:rsidR="00000000">
        <w:trPr>
          <w:divId w:val="7608861"/>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Issuance of 2,500,000 shares of common stock of Pivot upon Health Canada Natural Product Number (“NPN”</w:t>
            </w:r>
            <w:r>
              <w:rPr>
                <w:rFonts w:eastAsia="Times New Roman"/>
                <w:sz w:val="20"/>
                <w:szCs w:val="20"/>
              </w:rPr>
              <w:t>) approval;</w:t>
            </w:r>
          </w:p>
        </w:tc>
      </w:tr>
      <w:tr w:rsidR="00000000">
        <w:trPr>
          <w:divId w:val="7608861"/>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lastRenderedPageBreak/>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Royalties on annual gross sales; and</w:t>
            </w:r>
          </w:p>
        </w:tc>
      </w:tr>
      <w:tr w:rsidR="00000000">
        <w:trPr>
          <w:divId w:val="7608861"/>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For pharmaceutical products, milestone payments payable upon first Investigative New Drug Approval, upon positive outcome of Phase II trial in first indication, and upon New Drug Application approval.</w:t>
            </w:r>
          </w:p>
        </w:tc>
      </w:tr>
    </w:tbl>
    <w:p w:rsidR="00000000" w:rsidRDefault="00150086">
      <w:pPr>
        <w:pStyle w:val="NormalWeb"/>
        <w:spacing w:before="0" w:beforeAutospacing="0" w:after="0" w:afterAutospacing="0"/>
        <w:jc w:val="both"/>
        <w:divId w:val="7608861"/>
        <w:rPr>
          <w:rFonts w:ascii="Symbol" w:hAnsi="Symbol"/>
          <w:sz w:val="20"/>
          <w:szCs w:val="20"/>
        </w:rPr>
      </w:pPr>
      <w:r>
        <w:rPr>
          <w:rFonts w:ascii="Symbol"/>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 xml:space="preserve">On September 23, 2017, we entered into a collaboration and license agreement with SolMic GmbH (“Solmic”) whereby we acquired worldwide rights to Solmic’s Solubilisation Technology for the development and commercialization of cannabinoid-containing natural </w:t>
      </w:r>
      <w:r>
        <w:rPr>
          <w:sz w:val="20"/>
          <w:szCs w:val="20"/>
        </w:rPr>
        <w:t>extracts. Milestones include payments upon the following developments: 1) Regulatory approval of a natural health product; 2) First approval of an investigative new drug application for a pharmaceutical product; 3) Positive outcome of a Phase II clinical t</w:t>
      </w:r>
      <w:r>
        <w:rPr>
          <w:sz w:val="20"/>
          <w:szCs w:val="20"/>
        </w:rPr>
        <w:t>rial of a pharmaceutical product in the first indication; and 4) Approval of a New Drug Application for a pharmaceutical product by the US Food and Drug Administration. Other consideration include a sales milestone upon aggregate net sales of $5,000,000 an</w:t>
      </w:r>
      <w:r>
        <w:rPr>
          <w:sz w:val="20"/>
          <w:szCs w:val="20"/>
        </w:rPr>
        <w:t>d royalties on aggregate net sales.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On December 19, 2017, we commenced trading on the Canadian Securities Exchange under the symbol “PVOT”.</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On February 28, 2018, we completed the acquisition of ERS Holdings, LLC (“ERS”) pursuant to an Exchange Agreemen</w:t>
      </w:r>
      <w:r>
        <w:rPr>
          <w:sz w:val="20"/>
          <w:szCs w:val="20"/>
        </w:rPr>
        <w:t xml:space="preserve">t dated as of February 10, 2018 among Pivot Pharmaceuticals Inc. (“Pivot”), ERS and the members of ERS. As consideration for the purchase, we paid $333,333 in cash on closing and will pay an additional $333,333 six (6) and twelve (12) months after closing </w:t>
      </w:r>
      <w:r>
        <w:rPr>
          <w:sz w:val="20"/>
          <w:szCs w:val="20"/>
        </w:rPr>
        <w:t>for total cash payment of $1 million. On September 7, 2018, the payment due six (6) months after closing was extended to September 30, 2018. In addition, we also issued 5,000,000 shares of our common stock and will pay royalties on future net sales. ERS ha</w:t>
      </w:r>
      <w:r>
        <w:rPr>
          <w:sz w:val="20"/>
          <w:szCs w:val="20"/>
        </w:rPr>
        <w:t>s developed a patented technology called “RTIC” Ready-To-Infuse-Cannabis, relating to the transformation of cannabis oil into powder for infusion into a variety of food and beverage products such as capsules, K-Cups, stick packs, baked mixes, liquid shots,</w:t>
      </w:r>
      <w:r>
        <w:rPr>
          <w:sz w:val="20"/>
          <w:szCs w:val="20"/>
        </w:rPr>
        <w:t xml:space="preserve"> protein shakes, topicals, lotions, and bottled beverages.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On March 2, 2018, we completed the acquisition of Thrudermic, LLC (“Thrudermic”) and worldwide rights to Thrudermic’s patented Transdermal Nanotechnology for the development and commercialization</w:t>
      </w:r>
      <w:r>
        <w:rPr>
          <w:sz w:val="20"/>
          <w:szCs w:val="20"/>
        </w:rPr>
        <w:t xml:space="preserve"> of transdermal cannabinoids pursuant to an Exchange Agreement dated as of March 2, 2018 among Pivot, Dr. Joseph Borovsky, Dr. Leonid Lurya and Thrudermic. As consideration for the purchase, we paid $1 in cash on closing and issued 500,000 shares of our co</w:t>
      </w:r>
      <w:r>
        <w:rPr>
          <w:sz w:val="20"/>
          <w:szCs w:val="20"/>
        </w:rPr>
        <w:t>mmon stock.</w:t>
      </w:r>
    </w:p>
    <w:p w:rsidR="00000000" w:rsidRDefault="00150086">
      <w:pPr>
        <w:pStyle w:val="NormalWeb"/>
        <w:spacing w:before="0" w:beforeAutospacing="0" w:after="0" w:afterAutospacing="0"/>
        <w:jc w:val="both"/>
        <w:divId w:val="7608861"/>
        <w:rPr>
          <w:sz w:val="20"/>
          <w:szCs w:val="20"/>
        </w:rPr>
      </w:pPr>
      <w:r>
        <w:rPr>
          <w:sz w:val="20"/>
          <w:szCs w:val="20"/>
        </w:rPr>
        <w:t xml:space="preserve">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tcBorders>
              <w:bottom w:val="single" w:sz="6" w:space="0" w:color="000000"/>
            </w:tcBorders>
            <w:vAlign w:val="center"/>
            <w:hideMark/>
          </w:tcPr>
          <w:p w:rsidR="00000000" w:rsidRDefault="00150086">
            <w:pPr>
              <w:spacing w:before="0" w:beforeAutospacing="0" w:after="0" w:afterAutospacing="0"/>
              <w:jc w:val="center"/>
              <w:rPr>
                <w:rFonts w:eastAsia="Times New Roman"/>
                <w:sz w:val="20"/>
                <w:szCs w:val="20"/>
              </w:rPr>
            </w:pPr>
            <w:r>
              <w:rPr>
                <w:rFonts w:eastAsia="Times New Roman"/>
                <w:sz w:val="20"/>
                <w:szCs w:val="20"/>
              </w:rPr>
              <w:t>19</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50086">
      <w:pPr>
        <w:pStyle w:val="NormalWeb"/>
        <w:spacing w:before="0" w:beforeAutospacing="0" w:after="0" w:afterAutospacing="0"/>
        <w:jc w:val="both"/>
        <w:divId w:val="7608861"/>
        <w:rPr>
          <w:sz w:val="20"/>
          <w:szCs w:val="20"/>
        </w:rPr>
      </w:pPr>
      <w:r>
        <w:rPr>
          <w:sz w:val="20"/>
          <w:szCs w:val="20"/>
        </w:rPr>
        <w:t xml:space="preserve">   </w:t>
      </w:r>
    </w:p>
    <w:p w:rsidR="00000000" w:rsidRDefault="00150086">
      <w:pPr>
        <w:pStyle w:val="NormalWeb"/>
        <w:spacing w:before="0" w:beforeAutospacing="0" w:after="0" w:afterAutospacing="0"/>
        <w:jc w:val="both"/>
        <w:divId w:val="7608861"/>
        <w:rPr>
          <w:sz w:val="20"/>
          <w:szCs w:val="20"/>
        </w:rPr>
      </w:pPr>
      <w:r>
        <w:rPr>
          <w:sz w:val="20"/>
          <w:szCs w:val="20"/>
        </w:rPr>
        <w:t>On August 7, 2018, we entered into a licensing agreement with Solubest Ltd. (“Solubest”</w:t>
      </w:r>
      <w:r>
        <w:rPr>
          <w:sz w:val="20"/>
          <w:szCs w:val="20"/>
        </w:rPr>
        <w:t>) whereby we acquired worldwide rights for the use, development and commercialization of its patented Solumer™ Oral Drug Delivery Technology (“Solumer™”) for the improved bioavailability, delivery and commercialization of CBD, THC and other biocannabis-bas</w:t>
      </w:r>
      <w:r>
        <w:rPr>
          <w:sz w:val="20"/>
          <w:szCs w:val="20"/>
        </w:rPr>
        <w:t>ed products. Financial consideration included:</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7608861"/>
          <w:tblCellSpacing w:w="0" w:type="dxa"/>
        </w:trPr>
        <w:tc>
          <w:tcPr>
            <w:tcW w:w="200" w:type="pct"/>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200" w:type="pct"/>
            <w:hideMark/>
          </w:tcPr>
          <w:p w:rsidR="00000000" w:rsidRDefault="00150086">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Royalties on net sales;</w:t>
            </w:r>
          </w:p>
        </w:tc>
      </w:tr>
      <w:tr w:rsidR="00000000">
        <w:trPr>
          <w:divId w:val="7608861"/>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Monthly license fee from execution of the agreement until commercialization;</w:t>
            </w:r>
          </w:p>
        </w:tc>
      </w:tr>
      <w:tr w:rsidR="00000000">
        <w:trPr>
          <w:divId w:val="7608861"/>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Monthly development fee of licensed products; and</w:t>
            </w:r>
          </w:p>
        </w:tc>
      </w:tr>
      <w:tr w:rsidR="00000000">
        <w:trPr>
          <w:divId w:val="7608861"/>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Milestone payments upon commercialization and aggregate net sales of $5,000,000.</w:t>
            </w:r>
          </w:p>
        </w:tc>
      </w:tr>
    </w:tbl>
    <w:p w:rsidR="00000000" w:rsidRDefault="00150086">
      <w:pPr>
        <w:pStyle w:val="NormalWeb"/>
        <w:spacing w:before="0" w:beforeAutospacing="0" w:after="0" w:afterAutospacing="0"/>
        <w:jc w:val="both"/>
        <w:divId w:val="7608861"/>
        <w:rPr>
          <w:rFonts w:ascii="Symbol" w:hAnsi="Symbol"/>
          <w:sz w:val="20"/>
          <w:szCs w:val="20"/>
        </w:rPr>
      </w:pPr>
      <w:r>
        <w:rPr>
          <w:rFonts w:ascii="Symbol"/>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Our principal executive office is located at 1275 West 6th Avenue, Vancouver, B.C. Canada V6H 1A6. Our telephone number is (604) 805-7783.</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b/>
          <w:bCs/>
          <w:i/>
          <w:iCs/>
          <w:sz w:val="20"/>
          <w:szCs w:val="20"/>
        </w:rPr>
        <w:t xml:space="preserve">Our Current Business </w:t>
      </w:r>
    </w:p>
    <w:p w:rsidR="00000000" w:rsidRDefault="00150086">
      <w:pPr>
        <w:pStyle w:val="NormalWeb"/>
        <w:spacing w:before="0" w:beforeAutospacing="0" w:after="0" w:afterAutospacing="0"/>
        <w:jc w:val="both"/>
        <w:divId w:val="7608861"/>
        <w:rPr>
          <w:sz w:val="20"/>
          <w:szCs w:val="20"/>
        </w:rPr>
      </w:pPr>
      <w:r>
        <w:rPr>
          <w:sz w:val="20"/>
          <w:szCs w:val="20"/>
        </w:rPr>
        <w:lastRenderedPageBreak/>
        <w:t> </w:t>
      </w:r>
    </w:p>
    <w:p w:rsidR="00000000" w:rsidRDefault="00150086">
      <w:pPr>
        <w:pStyle w:val="NormalWeb"/>
        <w:spacing w:before="0" w:beforeAutospacing="0" w:after="0" w:afterAutospacing="0"/>
        <w:jc w:val="both"/>
        <w:divId w:val="7608861"/>
        <w:rPr>
          <w:sz w:val="20"/>
          <w:szCs w:val="20"/>
        </w:rPr>
      </w:pPr>
      <w:r>
        <w:rPr>
          <w:sz w:val="20"/>
          <w:szCs w:val="20"/>
        </w:rPr>
        <w:t>We are an emerging biopharmaceutical company engaged in the development and commercializati</w:t>
      </w:r>
      <w:r>
        <w:rPr>
          <w:sz w:val="20"/>
          <w:szCs w:val="20"/>
        </w:rPr>
        <w:t>on of therapeutic pharmaceuticals and nutraceuticals, as well as drug delivery platform technologies.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Our company focuses on pharmaceutical development of proprietary drug delivery technologies for multiple indications using small molecules, biological a</w:t>
      </w:r>
      <w:r>
        <w:rPr>
          <w:sz w:val="20"/>
          <w:szCs w:val="20"/>
        </w:rPr>
        <w:t>nd botanical (e.g. cannabinoids) products to treat unmet medical needs. In September 2017, we in-licensed a patented topical transdermal drug delivery technology platform, BiPhasix, and an oral drug delivery technology, Solmic Micelle, for delivery of cann</w:t>
      </w:r>
      <w:r>
        <w:rPr>
          <w:sz w:val="20"/>
          <w:szCs w:val="20"/>
        </w:rPr>
        <w:t>abinoids. We have also acquired the Ready-To-Infuse Cannabis technology in February 2018 and the Thrudermic Transdermal Nanotechnology (transdermal) in March 2018.</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 xml:space="preserve">Our wholly-owned subsidiaries, Pivot Green Stream Health Solutions Inc. (“PGS”) and Pivot </w:t>
      </w:r>
      <w:r>
        <w:rPr>
          <w:sz w:val="20"/>
          <w:szCs w:val="20"/>
        </w:rPr>
        <w:t>Naturals, LLC (“Pivot Naturals”) (formerly, ERS), focus on the research, development, and commercialization of cannabinoid based nutraceuticals. PGS will generate data to support the safety and efficacy of cannabinoids as Natural Health Product (“NHPs”) as</w:t>
      </w:r>
      <w:r>
        <w:rPr>
          <w:sz w:val="20"/>
          <w:szCs w:val="20"/>
        </w:rPr>
        <w:t xml:space="preserve"> outlined in Health Canada Regulations in order to make particular health claims. Health Canada publishes the Natural Health Products Regulations (“NHPR”) which set out the requirements governing the sale, manufacture, packaging, labelling, importation, di</w:t>
      </w:r>
      <w:r>
        <w:rPr>
          <w:sz w:val="20"/>
          <w:szCs w:val="20"/>
        </w:rPr>
        <w:t xml:space="preserve">stribution and storage of NHPs. </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According to Health Canada, the objective of the NHPR is to provide reasonable assurance that products offered for sale in Canada are safe, efficacious and of high quality. PGS may also follow applicable and harmonized re</w:t>
      </w:r>
      <w:r>
        <w:rPr>
          <w:sz w:val="20"/>
          <w:szCs w:val="20"/>
        </w:rPr>
        <w:t>gulations for product development and commercialization in the US, European Union and Asia Pacific regions. Alternatively, PGS will commercialize certain cannabinoid products with a Licensed Producer and/or Licensed Distributor as per the regulations conce</w:t>
      </w:r>
      <w:r>
        <w:rPr>
          <w:sz w:val="20"/>
          <w:szCs w:val="20"/>
        </w:rPr>
        <w:t xml:space="preserve">rning Access to Cannabis for Medical Purposes Regulations (“ACMPR”) since certain active ingredients in cannabinoids remain restricted until new legislation permits ease of development and distribution in 2018. </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Lastly, PGS may also develop products cont</w:t>
      </w:r>
      <w:r>
        <w:rPr>
          <w:sz w:val="20"/>
          <w:szCs w:val="20"/>
        </w:rPr>
        <w:t>aining cannabinoid active ingredients obtained from industrial hemp according to the Industrial Hemp Regulations (“IHR”) permitting such products provided they are sourced from industrial hemp. Otherwise stated, this means that the plants and plant parts o</w:t>
      </w:r>
      <w:r>
        <w:rPr>
          <w:sz w:val="20"/>
          <w:szCs w:val="20"/>
        </w:rPr>
        <w:t xml:space="preserve">f the genera Cannabis, the leaves and flowering heads of which do not contain more than 0.3% THC w/w, and includes the derivatives of such plants and plant parts. </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 xml:space="preserve">PGS’s pipeline targets indications such as cancer supportive care, pain and inflammation, </w:t>
      </w:r>
      <w:r>
        <w:rPr>
          <w:sz w:val="20"/>
          <w:szCs w:val="20"/>
        </w:rPr>
        <w:t xml:space="preserve">women’s sexual dysfunction, dermatology and eye disease. </w:t>
      </w:r>
    </w:p>
    <w:p w:rsidR="00000000" w:rsidRDefault="00150086">
      <w:pPr>
        <w:pStyle w:val="NormalWeb"/>
        <w:spacing w:before="0" w:beforeAutospacing="0" w:after="0" w:afterAutospacing="0"/>
        <w:jc w:val="both"/>
        <w:divId w:val="7608861"/>
        <w:rPr>
          <w:sz w:val="20"/>
          <w:szCs w:val="20"/>
        </w:rPr>
      </w:pPr>
      <w:r>
        <w:rPr>
          <w:sz w:val="20"/>
          <w:szCs w:val="20"/>
        </w:rPr>
        <w:t xml:space="preserve">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tcBorders>
              <w:bottom w:val="single" w:sz="6" w:space="0" w:color="000000"/>
            </w:tcBorders>
            <w:vAlign w:val="center"/>
            <w:hideMark/>
          </w:tcPr>
          <w:p w:rsidR="00000000" w:rsidRDefault="00150086">
            <w:pPr>
              <w:spacing w:before="0" w:beforeAutospacing="0" w:after="0" w:afterAutospacing="0"/>
              <w:jc w:val="center"/>
              <w:rPr>
                <w:rFonts w:eastAsia="Times New Roman"/>
                <w:sz w:val="20"/>
                <w:szCs w:val="20"/>
              </w:rPr>
            </w:pPr>
            <w:r>
              <w:rPr>
                <w:rFonts w:eastAsia="Times New Roman"/>
                <w:sz w:val="20"/>
                <w:szCs w:val="20"/>
              </w:rPr>
              <w:t>20</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50086">
      <w:pPr>
        <w:pStyle w:val="NormalWeb"/>
        <w:spacing w:before="0" w:beforeAutospacing="0" w:after="0" w:afterAutospacing="0"/>
        <w:jc w:val="both"/>
        <w:divId w:val="7608861"/>
        <w:rPr>
          <w:sz w:val="20"/>
          <w:szCs w:val="20"/>
        </w:rPr>
      </w:pPr>
      <w:r>
        <w:rPr>
          <w:sz w:val="20"/>
          <w:szCs w:val="20"/>
        </w:rPr>
        <w:t xml:space="preserve">   </w:t>
      </w:r>
    </w:p>
    <w:p w:rsidR="00000000" w:rsidRDefault="00150086">
      <w:pPr>
        <w:pStyle w:val="NormalWeb"/>
        <w:spacing w:before="0" w:beforeAutospacing="0" w:after="0" w:afterAutospacing="0"/>
        <w:jc w:val="both"/>
        <w:divId w:val="7608861"/>
        <w:rPr>
          <w:sz w:val="20"/>
          <w:szCs w:val="20"/>
        </w:rPr>
      </w:pPr>
      <w:r>
        <w:rPr>
          <w:sz w:val="20"/>
          <w:szCs w:val="20"/>
        </w:rPr>
        <w:t>Our overall strategy includes the following:</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7608861"/>
          <w:tblCellSpacing w:w="0" w:type="dxa"/>
        </w:trPr>
        <w:tc>
          <w:tcPr>
            <w:tcW w:w="200" w:type="pct"/>
            <w:hideMark/>
          </w:tcPr>
          <w:p w:rsidR="00000000" w:rsidRDefault="00150086">
            <w:pPr>
              <w:pStyle w:val="NormalWeb"/>
              <w:spacing w:before="0" w:beforeAutospacing="0" w:after="0" w:afterAutospacing="0"/>
              <w:jc w:val="both"/>
              <w:rPr>
                <w:sz w:val="20"/>
                <w:szCs w:val="20"/>
              </w:rPr>
            </w:pPr>
            <w:r>
              <w:rPr>
                <w:sz w:val="20"/>
                <w:szCs w:val="20"/>
              </w:rPr>
              <w:t> </w:t>
            </w:r>
          </w:p>
        </w:tc>
        <w:tc>
          <w:tcPr>
            <w:tcW w:w="200" w:type="pct"/>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1.</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Acquire market-ready natural health products from third-parties for rebranding and re-sale;</w:t>
            </w:r>
          </w:p>
        </w:tc>
      </w:tr>
      <w:tr w:rsidR="00000000">
        <w:trPr>
          <w:divId w:val="7608861"/>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2.</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Acquire cannabinoid-based food additives for medical consumer sales;</w:t>
            </w:r>
          </w:p>
        </w:tc>
      </w:tr>
      <w:tr w:rsidR="00000000">
        <w:trPr>
          <w:divId w:val="7608861"/>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3.</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Develop cannabinoid-based natural health products using our BiPhasix topical platform technology;</w:t>
            </w:r>
          </w:p>
        </w:tc>
      </w:tr>
      <w:tr w:rsidR="00000000">
        <w:trPr>
          <w:divId w:val="7608861"/>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4.</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Develop pharmaceutical products delivered using our BiPhasix topical platform technology;</w:t>
            </w:r>
          </w:p>
        </w:tc>
      </w:tr>
      <w:tr w:rsidR="00000000">
        <w:trPr>
          <w:divId w:val="7608861"/>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5.</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Obtain partnerships with Health Canada approved Authorized Licensed Producers and/or Licensed Distributors, which can provide restricted and non-restricted cannabinoids as per the ACMPR or the IHR;</w:t>
            </w:r>
          </w:p>
        </w:tc>
      </w:tr>
      <w:tr w:rsidR="00000000">
        <w:trPr>
          <w:divId w:val="7608861"/>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6.</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Acquire novel proprietary drug delivery technologies, for example, metered dose, intra-nasal, suppositories;</w:t>
            </w:r>
          </w:p>
        </w:tc>
      </w:tr>
      <w:tr w:rsidR="00000000">
        <w:trPr>
          <w:divId w:val="7608861"/>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hideMark/>
          </w:tcPr>
          <w:p w:rsidR="00000000" w:rsidRDefault="00150086">
            <w:pPr>
              <w:pStyle w:val="NormalWeb"/>
              <w:spacing w:before="0" w:beforeAutospacing="0" w:after="0" w:afterAutospacing="0"/>
              <w:jc w:val="both"/>
              <w:rPr>
                <w:sz w:val="20"/>
                <w:szCs w:val="20"/>
              </w:rPr>
            </w:pPr>
            <w:r>
              <w:rPr>
                <w:sz w:val="20"/>
                <w:szCs w:val="20"/>
              </w:rPr>
              <w:lastRenderedPageBreak/>
              <w:t> </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7.</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Make an application at the appropriate time to acquire Health Canada’</w:t>
            </w:r>
            <w:r>
              <w:rPr>
                <w:rFonts w:eastAsia="Times New Roman"/>
                <w:sz w:val="20"/>
                <w:szCs w:val="20"/>
              </w:rPr>
              <w:t>s Authorized Licensed Producers and Licensed Dealers licenses as per the ACMPR;</w:t>
            </w:r>
          </w:p>
        </w:tc>
      </w:tr>
      <w:tr w:rsidR="00000000">
        <w:trPr>
          <w:divId w:val="7608861"/>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8.</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Out-license our platform technologies to Licensed Producers or Licensed Distributors and other drug developers;</w:t>
            </w:r>
          </w:p>
        </w:tc>
      </w:tr>
      <w:tr w:rsidR="00000000">
        <w:trPr>
          <w:divId w:val="7608861"/>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9.</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Secure and develop further intellectual property;</w:t>
            </w:r>
          </w:p>
        </w:tc>
      </w:tr>
      <w:tr w:rsidR="00000000">
        <w:trPr>
          <w:divId w:val="7608861"/>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10.</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Opportunistically acquire later</w:t>
            </w:r>
            <w:r>
              <w:rPr>
                <w:rFonts w:eastAsia="Times New Roman"/>
                <w:sz w:val="20"/>
                <w:szCs w:val="20"/>
              </w:rPr>
              <w:noBreakHyphen/>
              <w:t>stage drug candidates that provide new treatment options to address unmet medical needs in health care; and</w:t>
            </w:r>
          </w:p>
        </w:tc>
      </w:tr>
      <w:tr w:rsidR="00000000">
        <w:trPr>
          <w:divId w:val="7608861"/>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11.</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Establish partnerships with large and specialty pharmaceutical companies and/or biotechnology companies to collaboratively develop and/or commercialize our products.</w:t>
            </w:r>
          </w:p>
        </w:tc>
      </w:tr>
    </w:tbl>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b/>
          <w:bCs/>
          <w:i/>
          <w:iCs/>
          <w:sz w:val="20"/>
          <w:szCs w:val="20"/>
        </w:rPr>
        <w:t>Our Research and Development Strategy</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Our management team has implemented a business minded and cost conscious approach to product research and development by focusing on development of novel therapies to address unmet needs in health care. Our research and development strategy will apply nove</w:t>
      </w:r>
      <w:r>
        <w:rPr>
          <w:sz w:val="20"/>
          <w:szCs w:val="20"/>
        </w:rPr>
        <w:t xml:space="preserve">l drug delivery options for new and/or existing drugs or NHPs. </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 xml:space="preserve">For a drug to be successful it must be both efficacious and acceptably safe. Before a drug may be commercially marketed, it must be scrutinized and approved by applicable health authorities </w:t>
      </w:r>
      <w:r>
        <w:rPr>
          <w:sz w:val="20"/>
          <w:szCs w:val="20"/>
        </w:rPr>
        <w:t xml:space="preserve">(such as Health Canada and the FDA in the United States) in each country or jurisdiction where it is sought to be sold. In pharmaceutical research and development, clinical trials are conducted to assess the safety and efficacy of the drug and the data to </w:t>
      </w:r>
      <w:r>
        <w:rPr>
          <w:sz w:val="20"/>
          <w:szCs w:val="20"/>
        </w:rPr>
        <w:t>be collected for such new drugs. Health authorities then scrutinize the preclinical and clinical data and determine, based on the results, whether a drug may be sold to the public. Similarly, clinical trials can only take place once satisfactory informatio</w:t>
      </w:r>
      <w:r>
        <w:rPr>
          <w:sz w:val="20"/>
          <w:szCs w:val="20"/>
        </w:rPr>
        <w:t>n has been gathered on the quality of the product and its non-clinical safety, and approval to conduct clinical trials has been granted by the appropriate health authority in the country where the trial is scheduled to take place.</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Clinical trials involvi</w:t>
      </w:r>
      <w:r>
        <w:rPr>
          <w:sz w:val="20"/>
          <w:szCs w:val="20"/>
        </w:rPr>
        <w:t>ng new drugs are commonly classified into four phases. Each phase of the drug approval process is treated as a separate clinical trial. The drug development process will normally proceed through all four phases over many years. If the drug successfully pas</w:t>
      </w:r>
      <w:r>
        <w:rPr>
          <w:sz w:val="20"/>
          <w:szCs w:val="20"/>
        </w:rPr>
        <w:t>ses through Phases I, II and III, it will usually be approved by the national regulatory authority for use in the general population. Phase IV trials are ‘post approval’ studies. Due to the considerable cost that may be required to complete a full series o</w:t>
      </w:r>
      <w:r>
        <w:rPr>
          <w:sz w:val="20"/>
          <w:szCs w:val="20"/>
        </w:rPr>
        <w:t>f clinical trials, the burden of paying for all the necessary people and services is usually borne by the sponsor, who may be the pharmaceutical or biotechnology company that developed the drug that is the subject of the study. Since the diversity of roles</w:t>
      </w:r>
      <w:r>
        <w:rPr>
          <w:sz w:val="20"/>
          <w:szCs w:val="20"/>
        </w:rPr>
        <w:t xml:space="preserve"> may exceed the resources of the sponsor, clinical trials are often managed by outsourced partners such as contract research organizations. Furthermore, approval rates for new drugs at each clinical trial stage are prohibitively low, which may require the </w:t>
      </w:r>
      <w:r>
        <w:rPr>
          <w:sz w:val="20"/>
          <w:szCs w:val="20"/>
        </w:rPr>
        <w:t>sponsor to finance additional trials or abandon the drug under development altogether.</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tcBorders>
              <w:bottom w:val="single" w:sz="6" w:space="0" w:color="000000"/>
            </w:tcBorders>
            <w:vAlign w:val="center"/>
            <w:hideMark/>
          </w:tcPr>
          <w:p w:rsidR="00000000" w:rsidRDefault="00150086">
            <w:pPr>
              <w:spacing w:before="0" w:beforeAutospacing="0" w:after="0" w:afterAutospacing="0"/>
              <w:jc w:val="center"/>
              <w:rPr>
                <w:rFonts w:eastAsia="Times New Roman"/>
                <w:sz w:val="20"/>
                <w:szCs w:val="20"/>
              </w:rPr>
            </w:pPr>
            <w:r>
              <w:rPr>
                <w:rFonts w:eastAsia="Times New Roman"/>
                <w:sz w:val="20"/>
                <w:szCs w:val="20"/>
              </w:rPr>
              <w:t>21</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50086">
      <w:pPr>
        <w:pStyle w:val="NormalWeb"/>
        <w:spacing w:before="0" w:beforeAutospacing="0" w:after="0" w:afterAutospacing="0"/>
        <w:jc w:val="both"/>
        <w:divId w:val="7608861"/>
        <w:rPr>
          <w:sz w:val="20"/>
          <w:szCs w:val="20"/>
        </w:rPr>
      </w:pPr>
      <w:r>
        <w:rPr>
          <w:sz w:val="20"/>
          <w:szCs w:val="20"/>
        </w:rPr>
        <w:t xml:space="preserve">    </w:t>
      </w:r>
    </w:p>
    <w:p w:rsidR="00000000" w:rsidRDefault="00150086">
      <w:pPr>
        <w:pStyle w:val="NormalWeb"/>
        <w:spacing w:before="0" w:beforeAutospacing="0" w:after="0" w:afterAutospacing="0"/>
        <w:jc w:val="both"/>
        <w:divId w:val="7608861"/>
        <w:rPr>
          <w:sz w:val="20"/>
          <w:szCs w:val="20"/>
        </w:rPr>
      </w:pPr>
      <w:r>
        <w:rPr>
          <w:sz w:val="20"/>
          <w:szCs w:val="20"/>
        </w:rPr>
        <w:t>We will also develop products regulated under Canada’</w:t>
      </w:r>
      <w:r>
        <w:rPr>
          <w:sz w:val="20"/>
          <w:szCs w:val="20"/>
        </w:rPr>
        <w:t xml:space="preserve">s Natural Health Products Guidance and support claims with clinical based data as per current regulations. </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 xml:space="preserve">Preclinical safety studies for pharmaceutical or NHP product development will be conducted over the next 12 months to advance at least one of our </w:t>
      </w:r>
      <w:r>
        <w:rPr>
          <w:sz w:val="20"/>
          <w:szCs w:val="20"/>
        </w:rPr>
        <w:t>product candidates.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b/>
          <w:bCs/>
          <w:i/>
          <w:iCs/>
          <w:sz w:val="20"/>
          <w:szCs w:val="20"/>
        </w:rPr>
        <w:t>Our Platform Technologies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u w:val="single"/>
        </w:rPr>
        <w:t>BiPhasix Transdermal Drug Delivery Technology (Topical Platform)</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lastRenderedPageBreak/>
        <w:t>Pivot has acquired worldwide rights from Altum for its patented topical transdermal drug delivery technology platform, or BiPhasix, which w</w:t>
      </w:r>
      <w:r>
        <w:rPr>
          <w:sz w:val="20"/>
          <w:szCs w:val="20"/>
        </w:rPr>
        <w:t>e will use for the delivery and commercialization of cannabinoid, cannabidiol (“CBD”) and tetrahydrocannabinol (“THC”) based products.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The BiPhasix technology has the potential to deliver drugs less invasively than by injections. It also has the potentia</w:t>
      </w:r>
      <w:r>
        <w:rPr>
          <w:sz w:val="20"/>
          <w:szCs w:val="20"/>
        </w:rPr>
        <w:t>l to topically deliver therapeutic amounts of drugs with better absorption rates, where creams, ointments or conventional liposomes have not been effective.</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u w:val="single"/>
        </w:rPr>
        <w:t>Thrudermic Transdermal Nanotechnology (Topical Platform)</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Pivot has acquired the worldwide rights to Thrudermic’s patented Transdermal Nanotechnology for the development and commercialization of transdermal cannabinoids. Developed in Israel, the Thrudermic lipid-based nano dispersion technology for topical cannab</w:t>
      </w:r>
      <w:r>
        <w:rPr>
          <w:sz w:val="20"/>
          <w:szCs w:val="20"/>
        </w:rPr>
        <w:t>inoids uses FDA approved materials. The technology has the ability to specifically formulate individual drugs to control and prolong drug release while maintaining steady therapeutic concentrations, The technology can handle water soluble and water insolub</w:t>
      </w:r>
      <w:r>
        <w:rPr>
          <w:sz w:val="20"/>
          <w:szCs w:val="20"/>
        </w:rPr>
        <w:t>le drugs with no change to the skin morphology, no sensitivity to the digestive system, no pain from injections and no observed adverse reactions.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u w:val="single"/>
        </w:rPr>
        <w:t>Solmic Solubilization Drug Delivery Technology (Oral Platform)</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Pivot has acquired the worldwide rights to</w:t>
      </w:r>
      <w:r>
        <w:rPr>
          <w:sz w:val="20"/>
          <w:szCs w:val="20"/>
        </w:rPr>
        <w:t xml:space="preserve"> Solmic’s Solubilisation Technology for the development and commercialization of cannabinoid-containing natural extracts. Solmic’s technology allows active ingredients to become water soluble without changing their composition and nature. Solubilized subst</w:t>
      </w:r>
      <w:r>
        <w:rPr>
          <w:sz w:val="20"/>
          <w:szCs w:val="20"/>
        </w:rPr>
        <w:t>ances that are packed in micelles are protected from degradation from light, stomach acid, and from enzymes released in the intestinal tract. The micellisation process results in a stable, homogenous and transparent mixture, which significantly increases u</w:t>
      </w:r>
      <w:r>
        <w:rPr>
          <w:sz w:val="20"/>
          <w:szCs w:val="20"/>
        </w:rPr>
        <w:t>ptake of fat soluble ingredients from the gut into the blood system of fat soluble ingredients, resulting in greater bioavailability.</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u w:val="single"/>
        </w:rPr>
        <w:t>Solumer Drug Delivery Technology (Oral Platform)</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Pivot has acquired the worldwide rights to Solubest’s Solumer Technol</w:t>
      </w:r>
      <w:r>
        <w:rPr>
          <w:sz w:val="20"/>
          <w:szCs w:val="20"/>
        </w:rPr>
        <w:t xml:space="preserve">ogy for the oral delivery of cannabinoids, such as CBD and THC, with improved bioavailability. The Solumer Technology allows to convert the cannabinoids to powder for tablets and capsules and the powder can be dispersed in liquids to give a clear solution </w:t>
      </w:r>
      <w:r>
        <w:rPr>
          <w:sz w:val="20"/>
          <w:szCs w:val="20"/>
        </w:rPr>
        <w:t>that is colorless, and flavorless for beverage applications.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u w:val="single"/>
        </w:rPr>
        <w:t>Ready-To-Infuse Cannabis Technology</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Pivot’s patented Ready-To-Infuse-Cannabis (“RTIC”) process technology creates precise and repeatable dosing of cannabis by transforming concentrated cannab</w:t>
      </w:r>
      <w:r>
        <w:rPr>
          <w:sz w:val="20"/>
          <w:szCs w:val="20"/>
        </w:rPr>
        <w:t>is oil into a stable, emulsifiable, odorless and flavorless powder form. The derived powder may then be encapsulated and infused for use in beverages, edibles, lotions and additional health and personal care products. The RTIC process is conducive for manu</w:t>
      </w:r>
      <w:r>
        <w:rPr>
          <w:sz w:val="20"/>
          <w:szCs w:val="20"/>
        </w:rPr>
        <w:t>facturing of a wide array of products, including:</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tcBorders>
              <w:bottom w:val="single" w:sz="6" w:space="0" w:color="000000"/>
            </w:tcBorders>
            <w:vAlign w:val="center"/>
            <w:hideMark/>
          </w:tcPr>
          <w:p w:rsidR="00000000" w:rsidRDefault="00150086">
            <w:pPr>
              <w:spacing w:before="0" w:beforeAutospacing="0" w:after="0" w:afterAutospacing="0"/>
              <w:jc w:val="center"/>
              <w:rPr>
                <w:rFonts w:eastAsia="Times New Roman"/>
                <w:sz w:val="20"/>
                <w:szCs w:val="20"/>
              </w:rPr>
            </w:pPr>
            <w:r>
              <w:rPr>
                <w:rFonts w:eastAsia="Times New Roman"/>
                <w:sz w:val="20"/>
                <w:szCs w:val="20"/>
              </w:rPr>
              <w:t>22</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50086">
      <w:pPr>
        <w:pStyle w:val="NormalWeb"/>
        <w:spacing w:before="0" w:beforeAutospacing="0" w:after="0" w:afterAutospacing="0"/>
        <w:jc w:val="both"/>
        <w:divId w:val="7608861"/>
        <w:rPr>
          <w:sz w:val="20"/>
          <w:szCs w:val="20"/>
        </w:rPr>
      </w:pPr>
      <w:r>
        <w:rPr>
          <w:sz w:val="20"/>
          <w:szCs w:val="20"/>
        </w:rPr>
        <w:t xml:space="preserve">   </w:t>
      </w:r>
    </w:p>
    <w:p w:rsidR="00000000" w:rsidRDefault="00150086">
      <w:pPr>
        <w:pStyle w:val="NormalWeb"/>
        <w:spacing w:before="0" w:beforeAutospacing="0" w:after="0" w:afterAutospacing="0"/>
        <w:jc w:val="both"/>
        <w:divId w:val="7608861"/>
        <w:rPr>
          <w:sz w:val="20"/>
          <w:szCs w:val="20"/>
        </w:rPr>
      </w:pPr>
      <w:r>
        <w:rPr>
          <w:sz w:val="20"/>
          <w:szCs w:val="20"/>
        </w:rPr>
        <w:t>1. Capsules/Tablets: One of our patents is issued for use in capsules and tablets. Another of our patents has numerous claims for adding other active ingredients to tablets and capsules, such as Melatonin or Gingko Biloba, allowing for specific treatment f</w:t>
      </w:r>
      <w:r>
        <w:rPr>
          <w:sz w:val="20"/>
          <w:szCs w:val="20"/>
        </w:rPr>
        <w:t>or targeted effects. Efficient mass production of capsules, conforming to GMP standards is part of our core competencies and manufacturing capabilities. Production of capsules is scheduled for the second quarter of the calendar year 2019.</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2. Beverage/Add</w:t>
      </w:r>
      <w:r>
        <w:rPr>
          <w:sz w:val="20"/>
          <w:szCs w:val="20"/>
        </w:rPr>
        <w:t>itive Stick Packs: Single-serve stick packs are convenient and functional when used in hot beverages. Stick packs are also highly functional. Production of stick packs is scheduled for the second quarter of the calendar year 2019.</w:t>
      </w:r>
    </w:p>
    <w:p w:rsidR="00000000" w:rsidRDefault="00150086">
      <w:pPr>
        <w:pStyle w:val="NormalWeb"/>
        <w:spacing w:before="0" w:beforeAutospacing="0" w:after="0" w:afterAutospacing="0"/>
        <w:jc w:val="both"/>
        <w:divId w:val="7608861"/>
        <w:rPr>
          <w:sz w:val="20"/>
          <w:szCs w:val="20"/>
        </w:rPr>
      </w:pPr>
      <w:r>
        <w:rPr>
          <w:sz w:val="20"/>
          <w:szCs w:val="20"/>
        </w:rPr>
        <w:lastRenderedPageBreak/>
        <w:t> </w:t>
      </w:r>
    </w:p>
    <w:p w:rsidR="00000000" w:rsidRDefault="00150086">
      <w:pPr>
        <w:pStyle w:val="NormalWeb"/>
        <w:spacing w:before="0" w:beforeAutospacing="0" w:after="0" w:afterAutospacing="0"/>
        <w:jc w:val="both"/>
        <w:divId w:val="7608861"/>
        <w:rPr>
          <w:sz w:val="20"/>
          <w:szCs w:val="20"/>
        </w:rPr>
      </w:pPr>
      <w:r>
        <w:rPr>
          <w:sz w:val="20"/>
          <w:szCs w:val="20"/>
        </w:rPr>
        <w:t>3. Pet Products: Our pa</w:t>
      </w:r>
      <w:r>
        <w:rPr>
          <w:sz w:val="20"/>
          <w:szCs w:val="20"/>
        </w:rPr>
        <w:t xml:space="preserve">tented cannabis powder will also be mass produced and packaged in bulk for both consumer pet health needs. Production of pet powders is scheduled for the second quarter of calendar year 2019. </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4. Lotions and Topical Creams: Our patented lotion and topica</w:t>
      </w:r>
      <w:r>
        <w:rPr>
          <w:sz w:val="20"/>
          <w:szCs w:val="20"/>
        </w:rPr>
        <w:t>l technology will be mass produced and packaged for consumer health needs. Production of lotions and topical creams is scheduled for the first quarter of calendar 2019.</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b/>
          <w:bCs/>
          <w:i/>
          <w:iCs/>
          <w:sz w:val="20"/>
          <w:szCs w:val="20"/>
        </w:rPr>
        <w:t>Our Product Development Initiatives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Our product development initiatives will address unmet medical needs in health care.</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5000" w:type="pct"/>
        <w:jc w:val="center"/>
        <w:tblCellSpacing w:w="0" w:type="dxa"/>
        <w:tblBorders>
          <w:bottom w:val="single" w:sz="6" w:space="0" w:color="000000"/>
          <w:right w:val="single" w:sz="6" w:space="0" w:color="000000"/>
        </w:tblBorders>
        <w:tblCellMar>
          <w:top w:w="45" w:type="dxa"/>
          <w:left w:w="45" w:type="dxa"/>
          <w:bottom w:w="45" w:type="dxa"/>
          <w:right w:w="45" w:type="dxa"/>
        </w:tblCellMar>
        <w:tblLook w:val="04A0"/>
      </w:tblPr>
      <w:tblGrid>
        <w:gridCol w:w="1210"/>
        <w:gridCol w:w="1874"/>
        <w:gridCol w:w="3865"/>
        <w:gridCol w:w="1210"/>
        <w:gridCol w:w="1321"/>
      </w:tblGrid>
      <w:tr w:rsidR="00000000">
        <w:trPr>
          <w:divId w:val="7608861"/>
          <w:trHeight w:val="225"/>
          <w:tblCellSpacing w:w="0" w:type="dxa"/>
          <w:jc w:val="center"/>
        </w:trPr>
        <w:tc>
          <w:tcPr>
            <w:tcW w:w="650" w:type="pct"/>
            <w:tcBorders>
              <w:top w:val="single" w:sz="6" w:space="0" w:color="000000"/>
              <w:left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PRODUCT</w:t>
            </w:r>
          </w:p>
        </w:tc>
        <w:tc>
          <w:tcPr>
            <w:tcW w:w="1000" w:type="pct"/>
            <w:tcBorders>
              <w:top w:val="single" w:sz="6" w:space="0" w:color="000000"/>
              <w:left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DELIVERY TECHNOLOGY</w:t>
            </w:r>
          </w:p>
        </w:tc>
        <w:tc>
          <w:tcPr>
            <w:tcW w:w="0" w:type="auto"/>
            <w:tcBorders>
              <w:top w:val="single" w:sz="6" w:space="0" w:color="000000"/>
              <w:left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INDICATION</w:t>
            </w:r>
          </w:p>
        </w:tc>
        <w:tc>
          <w:tcPr>
            <w:tcW w:w="650" w:type="pct"/>
            <w:tcBorders>
              <w:top w:val="single" w:sz="6" w:space="0" w:color="000000"/>
              <w:left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 xml:space="preserve">GLOBAL MARKET SIZE </w:t>
            </w:r>
            <w:r>
              <w:rPr>
                <w:b/>
                <w:bCs/>
                <w:sz w:val="20"/>
                <w:szCs w:val="20"/>
                <w:vertAlign w:val="superscript"/>
              </w:rPr>
              <w:t>(1)</w:t>
            </w:r>
          </w:p>
        </w:tc>
        <w:tc>
          <w:tcPr>
            <w:tcW w:w="650" w:type="pct"/>
            <w:tcBorders>
              <w:top w:val="single" w:sz="6" w:space="0" w:color="000000"/>
              <w:left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ESTIMATED PRODUCT LAUNCH</w:t>
            </w:r>
          </w:p>
        </w:tc>
      </w:tr>
      <w:tr w:rsidR="00000000">
        <w:trPr>
          <w:divId w:val="7608861"/>
          <w:trHeight w:val="225"/>
          <w:tblCellSpacing w:w="0" w:type="dxa"/>
          <w:jc w:val="center"/>
        </w:trPr>
        <w:tc>
          <w:tcPr>
            <w:tcW w:w="0" w:type="auto"/>
            <w:tcBorders>
              <w:top w:val="single" w:sz="6" w:space="0" w:color="000000"/>
              <w:left w:val="single" w:sz="6" w:space="0" w:color="000000"/>
            </w:tcBorders>
            <w:shd w:val="clear" w:color="auto" w:fill="CCEEFF"/>
            <w:hideMark/>
          </w:tcPr>
          <w:p w:rsidR="00000000" w:rsidRDefault="00150086">
            <w:pPr>
              <w:pStyle w:val="NormalWeb"/>
              <w:spacing w:before="0" w:beforeAutospacing="0" w:after="0" w:afterAutospacing="0"/>
              <w:jc w:val="both"/>
              <w:rPr>
                <w:sz w:val="20"/>
                <w:szCs w:val="20"/>
              </w:rPr>
            </w:pPr>
            <w:r>
              <w:rPr>
                <w:sz w:val="20"/>
                <w:szCs w:val="20"/>
              </w:rPr>
              <w:t>PGS-N001</w:t>
            </w:r>
          </w:p>
        </w:tc>
        <w:tc>
          <w:tcPr>
            <w:tcW w:w="0" w:type="auto"/>
            <w:tcBorders>
              <w:top w:val="single" w:sz="6" w:space="0" w:color="000000"/>
              <w:left w:val="single" w:sz="6" w:space="0" w:color="000000"/>
            </w:tcBorders>
            <w:shd w:val="clear" w:color="auto" w:fill="CCEEFF"/>
            <w:hideMark/>
          </w:tcPr>
          <w:p w:rsidR="00000000" w:rsidRDefault="00150086">
            <w:pPr>
              <w:pStyle w:val="NormalWeb"/>
              <w:spacing w:before="0" w:beforeAutospacing="0" w:after="0" w:afterAutospacing="0"/>
              <w:jc w:val="both"/>
              <w:rPr>
                <w:sz w:val="20"/>
                <w:szCs w:val="20"/>
              </w:rPr>
            </w:pPr>
            <w:r>
              <w:rPr>
                <w:sz w:val="20"/>
                <w:szCs w:val="20"/>
              </w:rPr>
              <w:t>Solmic Solubilisate / Oral</w:t>
            </w:r>
          </w:p>
        </w:tc>
        <w:tc>
          <w:tcPr>
            <w:tcW w:w="0" w:type="auto"/>
            <w:tcBorders>
              <w:top w:val="single" w:sz="6" w:space="0" w:color="000000"/>
              <w:left w:val="single" w:sz="6" w:space="0" w:color="000000"/>
            </w:tcBorders>
            <w:shd w:val="clear" w:color="auto" w:fill="CCEEFF"/>
            <w:hideMark/>
          </w:tcPr>
          <w:p w:rsidR="00000000" w:rsidRDefault="00150086">
            <w:pPr>
              <w:pStyle w:val="NormalWeb"/>
              <w:spacing w:before="0" w:beforeAutospacing="0" w:after="0" w:afterAutospacing="0"/>
              <w:jc w:val="both"/>
              <w:rPr>
                <w:sz w:val="20"/>
                <w:szCs w:val="20"/>
              </w:rPr>
            </w:pPr>
            <w:r>
              <w:rPr>
                <w:sz w:val="20"/>
                <w:szCs w:val="20"/>
              </w:rPr>
              <w:t>Cancer supportive care (CINV) (chemo-induced nausea and vomiting)</w:t>
            </w:r>
          </w:p>
        </w:tc>
        <w:tc>
          <w:tcPr>
            <w:tcW w:w="0" w:type="auto"/>
            <w:tcBorders>
              <w:top w:val="single" w:sz="6" w:space="0" w:color="000000"/>
              <w:left w:val="single" w:sz="6" w:space="0" w:color="000000"/>
            </w:tcBorders>
            <w:shd w:val="clear" w:color="auto" w:fill="CCEEFF"/>
            <w:hideMark/>
          </w:tcPr>
          <w:p w:rsidR="00000000" w:rsidRDefault="00150086">
            <w:pPr>
              <w:pStyle w:val="NormalWeb"/>
              <w:spacing w:before="0" w:beforeAutospacing="0" w:after="0" w:afterAutospacing="0"/>
              <w:jc w:val="center"/>
              <w:rPr>
                <w:sz w:val="20"/>
                <w:szCs w:val="20"/>
              </w:rPr>
            </w:pPr>
            <w:r>
              <w:rPr>
                <w:sz w:val="20"/>
                <w:szCs w:val="20"/>
              </w:rPr>
              <w:t>&gt;$1B</w:t>
            </w:r>
          </w:p>
        </w:tc>
        <w:tc>
          <w:tcPr>
            <w:tcW w:w="0" w:type="auto"/>
            <w:tcBorders>
              <w:top w:val="single" w:sz="6" w:space="0" w:color="000000"/>
              <w:left w:val="single" w:sz="6" w:space="0" w:color="000000"/>
            </w:tcBorders>
            <w:shd w:val="clear" w:color="auto" w:fill="CCEEFF"/>
            <w:hideMark/>
          </w:tcPr>
          <w:p w:rsidR="00000000" w:rsidRDefault="00150086">
            <w:pPr>
              <w:pStyle w:val="NormalWeb"/>
              <w:spacing w:before="0" w:beforeAutospacing="0" w:after="0" w:afterAutospacing="0"/>
              <w:jc w:val="center"/>
              <w:rPr>
                <w:sz w:val="20"/>
                <w:szCs w:val="20"/>
              </w:rPr>
            </w:pPr>
            <w:r>
              <w:rPr>
                <w:sz w:val="20"/>
                <w:szCs w:val="20"/>
              </w:rPr>
              <w:t>2019</w:t>
            </w:r>
          </w:p>
        </w:tc>
      </w:tr>
      <w:tr w:rsidR="00000000">
        <w:trPr>
          <w:divId w:val="7608861"/>
          <w:trHeight w:val="225"/>
          <w:tblCellSpacing w:w="0" w:type="dxa"/>
          <w:jc w:val="center"/>
        </w:trPr>
        <w:tc>
          <w:tcPr>
            <w:tcW w:w="0" w:type="auto"/>
            <w:tcBorders>
              <w:top w:val="single" w:sz="6" w:space="0" w:color="000000"/>
              <w:left w:val="single" w:sz="6" w:space="0" w:color="000000"/>
            </w:tcBorders>
            <w:shd w:val="clear" w:color="auto" w:fill="FFFFFF"/>
            <w:hideMark/>
          </w:tcPr>
          <w:p w:rsidR="00000000" w:rsidRDefault="00150086">
            <w:pPr>
              <w:pStyle w:val="NormalWeb"/>
              <w:spacing w:before="0" w:beforeAutospacing="0" w:after="0" w:afterAutospacing="0"/>
              <w:jc w:val="both"/>
              <w:rPr>
                <w:sz w:val="20"/>
                <w:szCs w:val="20"/>
              </w:rPr>
            </w:pPr>
            <w:r>
              <w:rPr>
                <w:sz w:val="20"/>
                <w:szCs w:val="20"/>
              </w:rPr>
              <w:t>PGS-N002</w:t>
            </w:r>
          </w:p>
        </w:tc>
        <w:tc>
          <w:tcPr>
            <w:tcW w:w="0" w:type="auto"/>
            <w:tcBorders>
              <w:top w:val="single" w:sz="6" w:space="0" w:color="000000"/>
              <w:left w:val="single" w:sz="6" w:space="0" w:color="000000"/>
            </w:tcBorders>
            <w:shd w:val="clear" w:color="auto" w:fill="FFFFFF"/>
            <w:hideMark/>
          </w:tcPr>
          <w:p w:rsidR="00000000" w:rsidRDefault="00150086">
            <w:pPr>
              <w:pStyle w:val="NormalWeb"/>
              <w:spacing w:before="0" w:beforeAutospacing="0" w:after="0" w:afterAutospacing="0"/>
              <w:jc w:val="both"/>
              <w:rPr>
                <w:sz w:val="20"/>
                <w:szCs w:val="20"/>
              </w:rPr>
            </w:pPr>
            <w:r>
              <w:rPr>
                <w:sz w:val="20"/>
                <w:szCs w:val="20"/>
              </w:rPr>
              <w:t>Solmic Solubilisate / Oral</w:t>
            </w:r>
          </w:p>
        </w:tc>
        <w:tc>
          <w:tcPr>
            <w:tcW w:w="0" w:type="auto"/>
            <w:tcBorders>
              <w:top w:val="single" w:sz="6" w:space="0" w:color="000000"/>
              <w:left w:val="single" w:sz="6" w:space="0" w:color="000000"/>
            </w:tcBorders>
            <w:shd w:val="clear" w:color="auto" w:fill="FFFFFF"/>
            <w:hideMark/>
          </w:tcPr>
          <w:p w:rsidR="00000000" w:rsidRDefault="00150086">
            <w:pPr>
              <w:pStyle w:val="NormalWeb"/>
              <w:spacing w:before="0" w:beforeAutospacing="0" w:after="0" w:afterAutospacing="0"/>
              <w:jc w:val="both"/>
              <w:rPr>
                <w:sz w:val="20"/>
                <w:szCs w:val="20"/>
              </w:rPr>
            </w:pPr>
            <w:r>
              <w:rPr>
                <w:sz w:val="20"/>
                <w:szCs w:val="20"/>
              </w:rPr>
              <w:t>Restless leg syndrome</w:t>
            </w:r>
          </w:p>
        </w:tc>
        <w:tc>
          <w:tcPr>
            <w:tcW w:w="0" w:type="auto"/>
            <w:tcBorders>
              <w:top w:val="single" w:sz="6" w:space="0" w:color="000000"/>
              <w:left w:val="single" w:sz="6" w:space="0" w:color="000000"/>
            </w:tcBorders>
            <w:shd w:val="clear" w:color="auto" w:fill="FFFFFF"/>
            <w:hideMark/>
          </w:tcPr>
          <w:p w:rsidR="00000000" w:rsidRDefault="00150086">
            <w:pPr>
              <w:pStyle w:val="NormalWeb"/>
              <w:spacing w:before="0" w:beforeAutospacing="0" w:after="0" w:afterAutospacing="0"/>
              <w:jc w:val="center"/>
              <w:rPr>
                <w:sz w:val="20"/>
                <w:szCs w:val="20"/>
              </w:rPr>
            </w:pPr>
            <w:r>
              <w:rPr>
                <w:sz w:val="20"/>
                <w:szCs w:val="20"/>
              </w:rPr>
              <w:t>&gt;$2B</w:t>
            </w:r>
          </w:p>
        </w:tc>
        <w:tc>
          <w:tcPr>
            <w:tcW w:w="0" w:type="auto"/>
            <w:tcBorders>
              <w:top w:val="single" w:sz="6" w:space="0" w:color="000000"/>
              <w:left w:val="single" w:sz="6" w:space="0" w:color="000000"/>
            </w:tcBorders>
            <w:shd w:val="clear" w:color="auto" w:fill="FFFFFF"/>
            <w:hideMark/>
          </w:tcPr>
          <w:p w:rsidR="00000000" w:rsidRDefault="00150086">
            <w:pPr>
              <w:pStyle w:val="NormalWeb"/>
              <w:spacing w:before="0" w:beforeAutospacing="0" w:after="0" w:afterAutospacing="0"/>
              <w:jc w:val="center"/>
              <w:rPr>
                <w:sz w:val="20"/>
                <w:szCs w:val="20"/>
              </w:rPr>
            </w:pPr>
            <w:r>
              <w:rPr>
                <w:sz w:val="20"/>
                <w:szCs w:val="20"/>
              </w:rPr>
              <w:t>2019</w:t>
            </w:r>
          </w:p>
        </w:tc>
      </w:tr>
      <w:tr w:rsidR="00000000">
        <w:trPr>
          <w:divId w:val="7608861"/>
          <w:trHeight w:val="225"/>
          <w:tblCellSpacing w:w="0" w:type="dxa"/>
          <w:jc w:val="center"/>
        </w:trPr>
        <w:tc>
          <w:tcPr>
            <w:tcW w:w="0" w:type="auto"/>
            <w:tcBorders>
              <w:top w:val="single" w:sz="6" w:space="0" w:color="000000"/>
              <w:left w:val="single" w:sz="6" w:space="0" w:color="000000"/>
            </w:tcBorders>
            <w:shd w:val="clear" w:color="auto" w:fill="CCEEFF"/>
            <w:hideMark/>
          </w:tcPr>
          <w:p w:rsidR="00000000" w:rsidRDefault="00150086">
            <w:pPr>
              <w:pStyle w:val="NormalWeb"/>
              <w:spacing w:before="0" w:beforeAutospacing="0" w:after="0" w:afterAutospacing="0"/>
              <w:jc w:val="both"/>
              <w:rPr>
                <w:sz w:val="20"/>
                <w:szCs w:val="20"/>
              </w:rPr>
            </w:pPr>
            <w:r>
              <w:rPr>
                <w:sz w:val="20"/>
                <w:szCs w:val="20"/>
              </w:rPr>
              <w:t>PGS-N003</w:t>
            </w:r>
          </w:p>
        </w:tc>
        <w:tc>
          <w:tcPr>
            <w:tcW w:w="0" w:type="auto"/>
            <w:tcBorders>
              <w:top w:val="single" w:sz="6" w:space="0" w:color="000000"/>
              <w:left w:val="single" w:sz="6" w:space="0" w:color="000000"/>
            </w:tcBorders>
            <w:shd w:val="clear" w:color="auto" w:fill="CCEEFF"/>
            <w:hideMark/>
          </w:tcPr>
          <w:p w:rsidR="00000000" w:rsidRDefault="00150086">
            <w:pPr>
              <w:pStyle w:val="NormalWeb"/>
              <w:spacing w:before="0" w:beforeAutospacing="0" w:after="0" w:afterAutospacing="0"/>
              <w:jc w:val="both"/>
              <w:rPr>
                <w:sz w:val="20"/>
                <w:szCs w:val="20"/>
              </w:rPr>
            </w:pPr>
            <w:r>
              <w:rPr>
                <w:sz w:val="20"/>
                <w:szCs w:val="20"/>
              </w:rPr>
              <w:t>Solmic Solubilisate / Oral</w:t>
            </w:r>
          </w:p>
        </w:tc>
        <w:tc>
          <w:tcPr>
            <w:tcW w:w="0" w:type="auto"/>
            <w:tcBorders>
              <w:top w:val="single" w:sz="6" w:space="0" w:color="000000"/>
              <w:left w:val="single" w:sz="6" w:space="0" w:color="000000"/>
            </w:tcBorders>
            <w:shd w:val="clear" w:color="auto" w:fill="CCEEFF"/>
            <w:hideMark/>
          </w:tcPr>
          <w:p w:rsidR="00000000" w:rsidRDefault="00150086">
            <w:pPr>
              <w:pStyle w:val="NormalWeb"/>
              <w:spacing w:before="0" w:beforeAutospacing="0" w:after="0" w:afterAutospacing="0"/>
              <w:jc w:val="both"/>
              <w:rPr>
                <w:sz w:val="20"/>
                <w:szCs w:val="20"/>
              </w:rPr>
            </w:pPr>
            <w:r>
              <w:rPr>
                <w:sz w:val="20"/>
                <w:szCs w:val="20"/>
              </w:rPr>
              <w:t>Pain and inflammation (for opioid withdrawal)</w:t>
            </w:r>
          </w:p>
        </w:tc>
        <w:tc>
          <w:tcPr>
            <w:tcW w:w="0" w:type="auto"/>
            <w:tcBorders>
              <w:top w:val="single" w:sz="6" w:space="0" w:color="000000"/>
              <w:left w:val="single" w:sz="6" w:space="0" w:color="000000"/>
            </w:tcBorders>
            <w:shd w:val="clear" w:color="auto" w:fill="CCEEFF"/>
            <w:hideMark/>
          </w:tcPr>
          <w:p w:rsidR="00000000" w:rsidRDefault="00150086">
            <w:pPr>
              <w:pStyle w:val="NormalWeb"/>
              <w:spacing w:before="0" w:beforeAutospacing="0" w:after="0" w:afterAutospacing="0"/>
              <w:jc w:val="center"/>
              <w:rPr>
                <w:sz w:val="20"/>
                <w:szCs w:val="20"/>
              </w:rPr>
            </w:pPr>
            <w:r>
              <w:rPr>
                <w:sz w:val="20"/>
                <w:szCs w:val="20"/>
              </w:rPr>
              <w:t>&gt;$15B</w:t>
            </w:r>
          </w:p>
        </w:tc>
        <w:tc>
          <w:tcPr>
            <w:tcW w:w="0" w:type="auto"/>
            <w:tcBorders>
              <w:top w:val="single" w:sz="6" w:space="0" w:color="000000"/>
              <w:left w:val="single" w:sz="6" w:space="0" w:color="000000"/>
            </w:tcBorders>
            <w:shd w:val="clear" w:color="auto" w:fill="CCEEFF"/>
            <w:hideMark/>
          </w:tcPr>
          <w:p w:rsidR="00000000" w:rsidRDefault="00150086">
            <w:pPr>
              <w:pStyle w:val="NormalWeb"/>
              <w:spacing w:before="0" w:beforeAutospacing="0" w:after="0" w:afterAutospacing="0"/>
              <w:jc w:val="center"/>
              <w:rPr>
                <w:sz w:val="20"/>
                <w:szCs w:val="20"/>
              </w:rPr>
            </w:pPr>
            <w:r>
              <w:rPr>
                <w:sz w:val="20"/>
                <w:szCs w:val="20"/>
              </w:rPr>
              <w:t>2019</w:t>
            </w:r>
          </w:p>
        </w:tc>
      </w:tr>
      <w:tr w:rsidR="00000000">
        <w:trPr>
          <w:divId w:val="7608861"/>
          <w:trHeight w:val="225"/>
          <w:tblCellSpacing w:w="0" w:type="dxa"/>
          <w:jc w:val="center"/>
        </w:trPr>
        <w:tc>
          <w:tcPr>
            <w:tcW w:w="0" w:type="auto"/>
            <w:tcBorders>
              <w:top w:val="single" w:sz="6" w:space="0" w:color="000000"/>
              <w:left w:val="single" w:sz="6" w:space="0" w:color="000000"/>
            </w:tcBorders>
            <w:shd w:val="clear" w:color="auto" w:fill="FFFFFF"/>
            <w:hideMark/>
          </w:tcPr>
          <w:p w:rsidR="00000000" w:rsidRDefault="00150086">
            <w:pPr>
              <w:pStyle w:val="NormalWeb"/>
              <w:spacing w:before="0" w:beforeAutospacing="0" w:after="0" w:afterAutospacing="0"/>
              <w:jc w:val="both"/>
              <w:rPr>
                <w:sz w:val="20"/>
                <w:szCs w:val="20"/>
              </w:rPr>
            </w:pPr>
            <w:r>
              <w:rPr>
                <w:sz w:val="20"/>
                <w:szCs w:val="20"/>
              </w:rPr>
              <w:t>PGS-N004</w:t>
            </w:r>
          </w:p>
        </w:tc>
        <w:tc>
          <w:tcPr>
            <w:tcW w:w="0" w:type="auto"/>
            <w:tcBorders>
              <w:top w:val="single" w:sz="6" w:space="0" w:color="000000"/>
              <w:left w:val="single" w:sz="6" w:space="0" w:color="000000"/>
            </w:tcBorders>
            <w:shd w:val="clear" w:color="auto" w:fill="FFFFFF"/>
            <w:hideMark/>
          </w:tcPr>
          <w:p w:rsidR="00000000" w:rsidRDefault="00150086">
            <w:pPr>
              <w:pStyle w:val="NormalWeb"/>
              <w:spacing w:before="0" w:beforeAutospacing="0" w:after="0" w:afterAutospacing="0"/>
              <w:jc w:val="both"/>
              <w:rPr>
                <w:sz w:val="20"/>
                <w:szCs w:val="20"/>
              </w:rPr>
            </w:pPr>
            <w:r>
              <w:rPr>
                <w:sz w:val="20"/>
                <w:szCs w:val="20"/>
              </w:rPr>
              <w:t>Solmic Solubilisate / Oral</w:t>
            </w:r>
          </w:p>
        </w:tc>
        <w:tc>
          <w:tcPr>
            <w:tcW w:w="0" w:type="auto"/>
            <w:tcBorders>
              <w:top w:val="single" w:sz="6" w:space="0" w:color="000000"/>
              <w:left w:val="single" w:sz="6" w:space="0" w:color="000000"/>
            </w:tcBorders>
            <w:shd w:val="clear" w:color="auto" w:fill="FFFFFF"/>
            <w:hideMark/>
          </w:tcPr>
          <w:p w:rsidR="00000000" w:rsidRDefault="00150086">
            <w:pPr>
              <w:pStyle w:val="NormalWeb"/>
              <w:spacing w:before="0" w:beforeAutospacing="0" w:after="0" w:afterAutospacing="0"/>
              <w:jc w:val="both"/>
              <w:rPr>
                <w:sz w:val="20"/>
                <w:szCs w:val="20"/>
              </w:rPr>
            </w:pPr>
            <w:r>
              <w:rPr>
                <w:sz w:val="20"/>
                <w:szCs w:val="20"/>
              </w:rPr>
              <w:t>Cancer supportive care (mucositis relief)</w:t>
            </w:r>
          </w:p>
        </w:tc>
        <w:tc>
          <w:tcPr>
            <w:tcW w:w="0" w:type="auto"/>
            <w:tcBorders>
              <w:top w:val="single" w:sz="6" w:space="0" w:color="000000"/>
              <w:left w:val="single" w:sz="6" w:space="0" w:color="000000"/>
            </w:tcBorders>
            <w:shd w:val="clear" w:color="auto" w:fill="FFFFFF"/>
            <w:hideMark/>
          </w:tcPr>
          <w:p w:rsidR="00000000" w:rsidRDefault="00150086">
            <w:pPr>
              <w:pStyle w:val="NormalWeb"/>
              <w:spacing w:before="0" w:beforeAutospacing="0" w:after="0" w:afterAutospacing="0"/>
              <w:jc w:val="center"/>
              <w:rPr>
                <w:sz w:val="20"/>
                <w:szCs w:val="20"/>
              </w:rPr>
            </w:pPr>
            <w:r>
              <w:rPr>
                <w:sz w:val="20"/>
                <w:szCs w:val="20"/>
              </w:rPr>
              <w:t>&gt;$12B</w:t>
            </w:r>
          </w:p>
        </w:tc>
        <w:tc>
          <w:tcPr>
            <w:tcW w:w="0" w:type="auto"/>
            <w:tcBorders>
              <w:top w:val="single" w:sz="6" w:space="0" w:color="000000"/>
              <w:left w:val="single" w:sz="6" w:space="0" w:color="000000"/>
            </w:tcBorders>
            <w:shd w:val="clear" w:color="auto" w:fill="FFFFFF"/>
            <w:hideMark/>
          </w:tcPr>
          <w:p w:rsidR="00000000" w:rsidRDefault="00150086">
            <w:pPr>
              <w:pStyle w:val="NormalWeb"/>
              <w:spacing w:before="0" w:beforeAutospacing="0" w:after="0" w:afterAutospacing="0"/>
              <w:jc w:val="center"/>
              <w:rPr>
                <w:sz w:val="20"/>
                <w:szCs w:val="20"/>
              </w:rPr>
            </w:pPr>
            <w:r>
              <w:rPr>
                <w:sz w:val="20"/>
                <w:szCs w:val="20"/>
              </w:rPr>
              <w:t>2019</w:t>
            </w:r>
          </w:p>
        </w:tc>
      </w:tr>
      <w:tr w:rsidR="00000000">
        <w:trPr>
          <w:divId w:val="7608861"/>
          <w:trHeight w:val="225"/>
          <w:tblCellSpacing w:w="0" w:type="dxa"/>
          <w:jc w:val="center"/>
        </w:trPr>
        <w:tc>
          <w:tcPr>
            <w:tcW w:w="0" w:type="auto"/>
            <w:tcBorders>
              <w:top w:val="single" w:sz="6" w:space="0" w:color="000000"/>
              <w:left w:val="single" w:sz="6" w:space="0" w:color="000000"/>
            </w:tcBorders>
            <w:shd w:val="clear" w:color="auto" w:fill="CCEEFF"/>
            <w:hideMark/>
          </w:tcPr>
          <w:p w:rsidR="00000000" w:rsidRDefault="00150086">
            <w:pPr>
              <w:pStyle w:val="NormalWeb"/>
              <w:spacing w:before="0" w:beforeAutospacing="0" w:after="0" w:afterAutospacing="0"/>
              <w:jc w:val="both"/>
              <w:rPr>
                <w:sz w:val="20"/>
                <w:szCs w:val="20"/>
              </w:rPr>
            </w:pPr>
            <w:r>
              <w:rPr>
                <w:sz w:val="20"/>
                <w:szCs w:val="20"/>
              </w:rPr>
              <w:t>PGS-N005</w:t>
            </w:r>
          </w:p>
        </w:tc>
        <w:tc>
          <w:tcPr>
            <w:tcW w:w="0" w:type="auto"/>
            <w:tcBorders>
              <w:top w:val="single" w:sz="6" w:space="0" w:color="000000"/>
              <w:left w:val="single" w:sz="6" w:space="0" w:color="000000"/>
            </w:tcBorders>
            <w:shd w:val="clear" w:color="auto" w:fill="CCEEFF"/>
            <w:hideMark/>
          </w:tcPr>
          <w:p w:rsidR="00000000" w:rsidRDefault="00150086">
            <w:pPr>
              <w:pStyle w:val="NormalWeb"/>
              <w:spacing w:before="0" w:beforeAutospacing="0" w:after="0" w:afterAutospacing="0"/>
              <w:jc w:val="both"/>
              <w:rPr>
                <w:sz w:val="20"/>
                <w:szCs w:val="20"/>
              </w:rPr>
            </w:pPr>
            <w:r>
              <w:rPr>
                <w:sz w:val="20"/>
                <w:szCs w:val="20"/>
              </w:rPr>
              <w:t>BiPhasix / Topical</w:t>
            </w:r>
          </w:p>
        </w:tc>
        <w:tc>
          <w:tcPr>
            <w:tcW w:w="0" w:type="auto"/>
            <w:tcBorders>
              <w:top w:val="single" w:sz="6" w:space="0" w:color="000000"/>
              <w:left w:val="single" w:sz="6" w:space="0" w:color="000000"/>
            </w:tcBorders>
            <w:shd w:val="clear" w:color="auto" w:fill="CCEEFF"/>
            <w:hideMark/>
          </w:tcPr>
          <w:p w:rsidR="00000000" w:rsidRDefault="00150086">
            <w:pPr>
              <w:pStyle w:val="NormalWeb"/>
              <w:spacing w:before="0" w:beforeAutospacing="0" w:after="0" w:afterAutospacing="0"/>
              <w:jc w:val="both"/>
              <w:rPr>
                <w:sz w:val="20"/>
                <w:szCs w:val="20"/>
              </w:rPr>
            </w:pPr>
            <w:r>
              <w:rPr>
                <w:sz w:val="20"/>
                <w:szCs w:val="20"/>
              </w:rPr>
              <w:t>Female sexual dysfunction (HSDD) (hypoactive sexual desire disorder)</w:t>
            </w:r>
          </w:p>
        </w:tc>
        <w:tc>
          <w:tcPr>
            <w:tcW w:w="0" w:type="auto"/>
            <w:tcBorders>
              <w:top w:val="single" w:sz="6" w:space="0" w:color="000000"/>
              <w:left w:val="single" w:sz="6" w:space="0" w:color="000000"/>
            </w:tcBorders>
            <w:shd w:val="clear" w:color="auto" w:fill="CCEEFF"/>
            <w:hideMark/>
          </w:tcPr>
          <w:p w:rsidR="00000000" w:rsidRDefault="00150086">
            <w:pPr>
              <w:pStyle w:val="NormalWeb"/>
              <w:spacing w:before="0" w:beforeAutospacing="0" w:after="0" w:afterAutospacing="0"/>
              <w:jc w:val="center"/>
              <w:rPr>
                <w:sz w:val="20"/>
                <w:szCs w:val="20"/>
              </w:rPr>
            </w:pPr>
            <w:r>
              <w:rPr>
                <w:sz w:val="20"/>
                <w:szCs w:val="20"/>
              </w:rPr>
              <w:t>&gt;$6B</w:t>
            </w:r>
          </w:p>
        </w:tc>
        <w:tc>
          <w:tcPr>
            <w:tcW w:w="0" w:type="auto"/>
            <w:tcBorders>
              <w:top w:val="single" w:sz="6" w:space="0" w:color="000000"/>
              <w:left w:val="single" w:sz="6" w:space="0" w:color="000000"/>
            </w:tcBorders>
            <w:shd w:val="clear" w:color="auto" w:fill="CCEEFF"/>
            <w:hideMark/>
          </w:tcPr>
          <w:p w:rsidR="00000000" w:rsidRDefault="00150086">
            <w:pPr>
              <w:pStyle w:val="NormalWeb"/>
              <w:spacing w:before="0" w:beforeAutospacing="0" w:after="0" w:afterAutospacing="0"/>
              <w:jc w:val="center"/>
              <w:rPr>
                <w:sz w:val="20"/>
                <w:szCs w:val="20"/>
              </w:rPr>
            </w:pPr>
            <w:r>
              <w:rPr>
                <w:sz w:val="20"/>
                <w:szCs w:val="20"/>
              </w:rPr>
              <w:t>2019</w:t>
            </w:r>
          </w:p>
        </w:tc>
      </w:tr>
      <w:tr w:rsidR="00000000">
        <w:trPr>
          <w:divId w:val="7608861"/>
          <w:trHeight w:val="225"/>
          <w:tblCellSpacing w:w="0" w:type="dxa"/>
          <w:jc w:val="center"/>
        </w:trPr>
        <w:tc>
          <w:tcPr>
            <w:tcW w:w="0" w:type="auto"/>
            <w:tcBorders>
              <w:top w:val="single" w:sz="6" w:space="0" w:color="000000"/>
              <w:left w:val="single" w:sz="6" w:space="0" w:color="000000"/>
            </w:tcBorders>
            <w:shd w:val="clear" w:color="auto" w:fill="FFFFFF"/>
            <w:hideMark/>
          </w:tcPr>
          <w:p w:rsidR="00000000" w:rsidRDefault="00150086">
            <w:pPr>
              <w:pStyle w:val="NormalWeb"/>
              <w:spacing w:before="0" w:beforeAutospacing="0" w:after="0" w:afterAutospacing="0"/>
              <w:jc w:val="both"/>
              <w:rPr>
                <w:sz w:val="20"/>
                <w:szCs w:val="20"/>
              </w:rPr>
            </w:pPr>
            <w:r>
              <w:rPr>
                <w:sz w:val="20"/>
                <w:szCs w:val="20"/>
              </w:rPr>
              <w:t>PGS-N006</w:t>
            </w:r>
          </w:p>
        </w:tc>
        <w:tc>
          <w:tcPr>
            <w:tcW w:w="0" w:type="auto"/>
            <w:tcBorders>
              <w:top w:val="single" w:sz="6" w:space="0" w:color="000000"/>
              <w:left w:val="single" w:sz="6" w:space="0" w:color="000000"/>
            </w:tcBorders>
            <w:shd w:val="clear" w:color="auto" w:fill="FFFFFF"/>
            <w:hideMark/>
          </w:tcPr>
          <w:p w:rsidR="00000000" w:rsidRDefault="00150086">
            <w:pPr>
              <w:pStyle w:val="NormalWeb"/>
              <w:spacing w:before="0" w:beforeAutospacing="0" w:after="0" w:afterAutospacing="0"/>
              <w:jc w:val="both"/>
              <w:rPr>
                <w:sz w:val="20"/>
                <w:szCs w:val="20"/>
              </w:rPr>
            </w:pPr>
            <w:r>
              <w:rPr>
                <w:sz w:val="20"/>
                <w:szCs w:val="20"/>
              </w:rPr>
              <w:t>BiPhasix / Topical</w:t>
            </w:r>
          </w:p>
        </w:tc>
        <w:tc>
          <w:tcPr>
            <w:tcW w:w="0" w:type="auto"/>
            <w:tcBorders>
              <w:top w:val="single" w:sz="6" w:space="0" w:color="000000"/>
              <w:left w:val="single" w:sz="6" w:space="0" w:color="000000"/>
            </w:tcBorders>
            <w:shd w:val="clear" w:color="auto" w:fill="FFFFFF"/>
            <w:hideMark/>
          </w:tcPr>
          <w:p w:rsidR="00000000" w:rsidRDefault="00150086">
            <w:pPr>
              <w:pStyle w:val="NormalWeb"/>
              <w:spacing w:before="0" w:beforeAutospacing="0" w:after="0" w:afterAutospacing="0"/>
              <w:jc w:val="both"/>
              <w:rPr>
                <w:sz w:val="20"/>
                <w:szCs w:val="20"/>
              </w:rPr>
            </w:pPr>
            <w:r>
              <w:rPr>
                <w:sz w:val="20"/>
                <w:szCs w:val="20"/>
              </w:rPr>
              <w:t>Pain and inflammation (joints/opioid withdrawal)</w:t>
            </w:r>
          </w:p>
        </w:tc>
        <w:tc>
          <w:tcPr>
            <w:tcW w:w="0" w:type="auto"/>
            <w:tcBorders>
              <w:top w:val="single" w:sz="6" w:space="0" w:color="000000"/>
              <w:left w:val="single" w:sz="6" w:space="0" w:color="000000"/>
            </w:tcBorders>
            <w:shd w:val="clear" w:color="auto" w:fill="FFFFFF"/>
            <w:hideMark/>
          </w:tcPr>
          <w:p w:rsidR="00000000" w:rsidRDefault="00150086">
            <w:pPr>
              <w:pStyle w:val="NormalWeb"/>
              <w:spacing w:before="0" w:beforeAutospacing="0" w:after="0" w:afterAutospacing="0"/>
              <w:jc w:val="center"/>
              <w:rPr>
                <w:sz w:val="20"/>
                <w:szCs w:val="20"/>
              </w:rPr>
            </w:pPr>
            <w:r>
              <w:rPr>
                <w:sz w:val="20"/>
                <w:szCs w:val="20"/>
              </w:rPr>
              <w:t>&gt;$20B</w:t>
            </w:r>
          </w:p>
        </w:tc>
        <w:tc>
          <w:tcPr>
            <w:tcW w:w="0" w:type="auto"/>
            <w:tcBorders>
              <w:top w:val="single" w:sz="6" w:space="0" w:color="000000"/>
              <w:left w:val="single" w:sz="6" w:space="0" w:color="000000"/>
            </w:tcBorders>
            <w:shd w:val="clear" w:color="auto" w:fill="FFFFFF"/>
            <w:hideMark/>
          </w:tcPr>
          <w:p w:rsidR="00000000" w:rsidRDefault="00150086">
            <w:pPr>
              <w:pStyle w:val="NormalWeb"/>
              <w:spacing w:before="0" w:beforeAutospacing="0" w:after="0" w:afterAutospacing="0"/>
              <w:jc w:val="center"/>
              <w:rPr>
                <w:sz w:val="20"/>
                <w:szCs w:val="20"/>
              </w:rPr>
            </w:pPr>
            <w:r>
              <w:rPr>
                <w:sz w:val="20"/>
                <w:szCs w:val="20"/>
              </w:rPr>
              <w:t>2019</w:t>
            </w:r>
          </w:p>
        </w:tc>
      </w:tr>
      <w:tr w:rsidR="00000000">
        <w:trPr>
          <w:divId w:val="7608861"/>
          <w:trHeight w:val="225"/>
          <w:tblCellSpacing w:w="0" w:type="dxa"/>
          <w:jc w:val="center"/>
        </w:trPr>
        <w:tc>
          <w:tcPr>
            <w:tcW w:w="0" w:type="auto"/>
            <w:tcBorders>
              <w:top w:val="single" w:sz="6" w:space="0" w:color="000000"/>
              <w:left w:val="single" w:sz="6" w:space="0" w:color="000000"/>
            </w:tcBorders>
            <w:shd w:val="clear" w:color="auto" w:fill="CCEEFF"/>
            <w:hideMark/>
          </w:tcPr>
          <w:p w:rsidR="00000000" w:rsidRDefault="00150086">
            <w:pPr>
              <w:pStyle w:val="NormalWeb"/>
              <w:spacing w:before="0" w:beforeAutospacing="0" w:after="0" w:afterAutospacing="0"/>
              <w:jc w:val="both"/>
              <w:rPr>
                <w:sz w:val="20"/>
                <w:szCs w:val="20"/>
              </w:rPr>
            </w:pPr>
            <w:r>
              <w:rPr>
                <w:sz w:val="20"/>
                <w:szCs w:val="20"/>
              </w:rPr>
              <w:t>PGS-N007</w:t>
            </w:r>
          </w:p>
        </w:tc>
        <w:tc>
          <w:tcPr>
            <w:tcW w:w="0" w:type="auto"/>
            <w:tcBorders>
              <w:top w:val="single" w:sz="6" w:space="0" w:color="000000"/>
              <w:left w:val="single" w:sz="6" w:space="0" w:color="000000"/>
            </w:tcBorders>
            <w:shd w:val="clear" w:color="auto" w:fill="CCEEFF"/>
            <w:hideMark/>
          </w:tcPr>
          <w:p w:rsidR="00000000" w:rsidRDefault="00150086">
            <w:pPr>
              <w:pStyle w:val="NormalWeb"/>
              <w:spacing w:before="0" w:beforeAutospacing="0" w:after="0" w:afterAutospacing="0"/>
              <w:jc w:val="both"/>
              <w:rPr>
                <w:sz w:val="20"/>
                <w:szCs w:val="20"/>
              </w:rPr>
            </w:pPr>
            <w:r>
              <w:rPr>
                <w:sz w:val="20"/>
                <w:szCs w:val="20"/>
              </w:rPr>
              <w:t>BiPhasix / Topical</w:t>
            </w:r>
          </w:p>
        </w:tc>
        <w:tc>
          <w:tcPr>
            <w:tcW w:w="0" w:type="auto"/>
            <w:tcBorders>
              <w:top w:val="single" w:sz="6" w:space="0" w:color="000000"/>
              <w:left w:val="single" w:sz="6" w:space="0" w:color="000000"/>
            </w:tcBorders>
            <w:shd w:val="clear" w:color="auto" w:fill="CCEEFF"/>
            <w:hideMark/>
          </w:tcPr>
          <w:p w:rsidR="00000000" w:rsidRDefault="00150086">
            <w:pPr>
              <w:pStyle w:val="NormalWeb"/>
              <w:spacing w:before="0" w:beforeAutospacing="0" w:after="0" w:afterAutospacing="0"/>
              <w:jc w:val="both"/>
              <w:rPr>
                <w:sz w:val="20"/>
                <w:szCs w:val="20"/>
              </w:rPr>
            </w:pPr>
            <w:r>
              <w:rPr>
                <w:sz w:val="20"/>
                <w:szCs w:val="20"/>
              </w:rPr>
              <w:t>Dermatology (skin irritation/redness/ itching)</w:t>
            </w:r>
          </w:p>
        </w:tc>
        <w:tc>
          <w:tcPr>
            <w:tcW w:w="0" w:type="auto"/>
            <w:tcBorders>
              <w:top w:val="single" w:sz="6" w:space="0" w:color="000000"/>
              <w:left w:val="single" w:sz="6" w:space="0" w:color="000000"/>
            </w:tcBorders>
            <w:shd w:val="clear" w:color="auto" w:fill="CCEEFF"/>
            <w:hideMark/>
          </w:tcPr>
          <w:p w:rsidR="00000000" w:rsidRDefault="00150086">
            <w:pPr>
              <w:pStyle w:val="NormalWeb"/>
              <w:spacing w:before="0" w:beforeAutospacing="0" w:after="0" w:afterAutospacing="0"/>
              <w:jc w:val="center"/>
              <w:rPr>
                <w:sz w:val="20"/>
                <w:szCs w:val="20"/>
              </w:rPr>
            </w:pPr>
            <w:r>
              <w:rPr>
                <w:sz w:val="20"/>
                <w:szCs w:val="20"/>
              </w:rPr>
              <w:t>&gt;$13B</w:t>
            </w:r>
          </w:p>
        </w:tc>
        <w:tc>
          <w:tcPr>
            <w:tcW w:w="0" w:type="auto"/>
            <w:tcBorders>
              <w:top w:val="single" w:sz="6" w:space="0" w:color="000000"/>
              <w:left w:val="single" w:sz="6" w:space="0" w:color="000000"/>
            </w:tcBorders>
            <w:shd w:val="clear" w:color="auto" w:fill="CCEEFF"/>
            <w:hideMark/>
          </w:tcPr>
          <w:p w:rsidR="00000000" w:rsidRDefault="00150086">
            <w:pPr>
              <w:pStyle w:val="NormalWeb"/>
              <w:spacing w:before="0" w:beforeAutospacing="0" w:after="0" w:afterAutospacing="0"/>
              <w:jc w:val="center"/>
              <w:rPr>
                <w:sz w:val="20"/>
                <w:szCs w:val="20"/>
              </w:rPr>
            </w:pPr>
            <w:r>
              <w:rPr>
                <w:sz w:val="20"/>
                <w:szCs w:val="20"/>
              </w:rPr>
              <w:t>2019</w:t>
            </w:r>
          </w:p>
        </w:tc>
      </w:tr>
      <w:tr w:rsidR="00000000">
        <w:trPr>
          <w:divId w:val="7608861"/>
          <w:trHeight w:val="225"/>
          <w:tblCellSpacing w:w="0" w:type="dxa"/>
          <w:jc w:val="center"/>
        </w:trPr>
        <w:tc>
          <w:tcPr>
            <w:tcW w:w="0" w:type="auto"/>
            <w:tcBorders>
              <w:top w:val="single" w:sz="6" w:space="0" w:color="000000"/>
              <w:left w:val="single" w:sz="6" w:space="0" w:color="000000"/>
            </w:tcBorders>
            <w:shd w:val="clear" w:color="auto" w:fill="FFFFFF"/>
            <w:hideMark/>
          </w:tcPr>
          <w:p w:rsidR="00000000" w:rsidRDefault="00150086">
            <w:pPr>
              <w:pStyle w:val="NormalWeb"/>
              <w:spacing w:before="0" w:beforeAutospacing="0" w:after="0" w:afterAutospacing="0"/>
              <w:jc w:val="both"/>
              <w:rPr>
                <w:sz w:val="20"/>
                <w:szCs w:val="20"/>
              </w:rPr>
            </w:pPr>
            <w:r>
              <w:rPr>
                <w:sz w:val="20"/>
                <w:szCs w:val="20"/>
              </w:rPr>
              <w:t>PGS-N008</w:t>
            </w:r>
          </w:p>
        </w:tc>
        <w:tc>
          <w:tcPr>
            <w:tcW w:w="0" w:type="auto"/>
            <w:tcBorders>
              <w:top w:val="single" w:sz="6" w:space="0" w:color="000000"/>
              <w:left w:val="single" w:sz="6" w:space="0" w:color="000000"/>
            </w:tcBorders>
            <w:shd w:val="clear" w:color="auto" w:fill="FFFFFF"/>
            <w:hideMark/>
          </w:tcPr>
          <w:p w:rsidR="00000000" w:rsidRDefault="00150086">
            <w:pPr>
              <w:pStyle w:val="NormalWeb"/>
              <w:spacing w:before="0" w:beforeAutospacing="0" w:after="0" w:afterAutospacing="0"/>
              <w:jc w:val="both"/>
              <w:rPr>
                <w:sz w:val="20"/>
                <w:szCs w:val="20"/>
              </w:rPr>
            </w:pPr>
            <w:r>
              <w:rPr>
                <w:sz w:val="20"/>
                <w:szCs w:val="20"/>
              </w:rPr>
              <w:t>BiPhasix / Topical</w:t>
            </w:r>
          </w:p>
        </w:tc>
        <w:tc>
          <w:tcPr>
            <w:tcW w:w="0" w:type="auto"/>
            <w:tcBorders>
              <w:top w:val="single" w:sz="6" w:space="0" w:color="000000"/>
              <w:left w:val="single" w:sz="6" w:space="0" w:color="000000"/>
            </w:tcBorders>
            <w:shd w:val="clear" w:color="auto" w:fill="FFFFFF"/>
            <w:hideMark/>
          </w:tcPr>
          <w:p w:rsidR="00000000" w:rsidRDefault="00150086">
            <w:pPr>
              <w:pStyle w:val="NormalWeb"/>
              <w:spacing w:before="0" w:beforeAutospacing="0" w:after="0" w:afterAutospacing="0"/>
              <w:jc w:val="both"/>
              <w:rPr>
                <w:sz w:val="20"/>
                <w:szCs w:val="20"/>
              </w:rPr>
            </w:pPr>
            <w:r>
              <w:rPr>
                <w:sz w:val="20"/>
                <w:szCs w:val="20"/>
              </w:rPr>
              <w:t>Eye disease (glaucoma, intra-ocular pressure)</w:t>
            </w:r>
          </w:p>
        </w:tc>
        <w:tc>
          <w:tcPr>
            <w:tcW w:w="0" w:type="auto"/>
            <w:tcBorders>
              <w:top w:val="single" w:sz="6" w:space="0" w:color="000000"/>
              <w:left w:val="single" w:sz="6" w:space="0" w:color="000000"/>
            </w:tcBorders>
            <w:shd w:val="clear" w:color="auto" w:fill="FFFFFF"/>
            <w:hideMark/>
          </w:tcPr>
          <w:p w:rsidR="00000000" w:rsidRDefault="00150086">
            <w:pPr>
              <w:pStyle w:val="NormalWeb"/>
              <w:spacing w:before="0" w:beforeAutospacing="0" w:after="0" w:afterAutospacing="0"/>
              <w:jc w:val="center"/>
              <w:rPr>
                <w:sz w:val="20"/>
                <w:szCs w:val="20"/>
              </w:rPr>
            </w:pPr>
            <w:r>
              <w:rPr>
                <w:sz w:val="20"/>
                <w:szCs w:val="20"/>
              </w:rPr>
              <w:t>&gt;$3B</w:t>
            </w:r>
          </w:p>
        </w:tc>
        <w:tc>
          <w:tcPr>
            <w:tcW w:w="0" w:type="auto"/>
            <w:tcBorders>
              <w:top w:val="single" w:sz="6" w:space="0" w:color="000000"/>
              <w:left w:val="single" w:sz="6" w:space="0" w:color="000000"/>
            </w:tcBorders>
            <w:shd w:val="clear" w:color="auto" w:fill="FFFFFF"/>
            <w:hideMark/>
          </w:tcPr>
          <w:p w:rsidR="00000000" w:rsidRDefault="00150086">
            <w:pPr>
              <w:pStyle w:val="NormalWeb"/>
              <w:spacing w:before="0" w:beforeAutospacing="0" w:after="0" w:afterAutospacing="0"/>
              <w:jc w:val="center"/>
              <w:rPr>
                <w:sz w:val="20"/>
                <w:szCs w:val="20"/>
              </w:rPr>
            </w:pPr>
            <w:r>
              <w:rPr>
                <w:sz w:val="20"/>
                <w:szCs w:val="20"/>
              </w:rPr>
              <w:t>2019</w:t>
            </w:r>
          </w:p>
        </w:tc>
      </w:tr>
      <w:tr w:rsidR="00000000">
        <w:trPr>
          <w:divId w:val="7608861"/>
          <w:trHeight w:val="225"/>
          <w:tblCellSpacing w:w="0" w:type="dxa"/>
          <w:jc w:val="center"/>
        </w:trPr>
        <w:tc>
          <w:tcPr>
            <w:tcW w:w="0" w:type="auto"/>
            <w:tcBorders>
              <w:top w:val="single" w:sz="6" w:space="0" w:color="000000"/>
              <w:left w:val="single" w:sz="6" w:space="0" w:color="000000"/>
            </w:tcBorders>
            <w:shd w:val="clear" w:color="auto" w:fill="CCEEFF"/>
            <w:hideMark/>
          </w:tcPr>
          <w:p w:rsidR="00000000" w:rsidRDefault="00150086">
            <w:pPr>
              <w:pStyle w:val="NormalWeb"/>
              <w:spacing w:before="0" w:beforeAutospacing="0" w:after="0" w:afterAutospacing="0"/>
              <w:jc w:val="both"/>
              <w:rPr>
                <w:sz w:val="20"/>
                <w:szCs w:val="20"/>
              </w:rPr>
            </w:pPr>
            <w:r>
              <w:rPr>
                <w:sz w:val="20"/>
                <w:szCs w:val="20"/>
              </w:rPr>
              <w:t>PGS-N009</w:t>
            </w:r>
          </w:p>
        </w:tc>
        <w:tc>
          <w:tcPr>
            <w:tcW w:w="0" w:type="auto"/>
            <w:tcBorders>
              <w:top w:val="single" w:sz="6" w:space="0" w:color="000000"/>
              <w:left w:val="single" w:sz="6" w:space="0" w:color="000000"/>
            </w:tcBorders>
            <w:shd w:val="clear" w:color="auto" w:fill="CCEEFF"/>
            <w:hideMark/>
          </w:tcPr>
          <w:p w:rsidR="00000000" w:rsidRDefault="00150086">
            <w:pPr>
              <w:pStyle w:val="NormalWeb"/>
              <w:spacing w:before="0" w:beforeAutospacing="0" w:after="0" w:afterAutospacing="0"/>
              <w:jc w:val="both"/>
              <w:rPr>
                <w:sz w:val="20"/>
                <w:szCs w:val="20"/>
              </w:rPr>
            </w:pPr>
            <w:r>
              <w:rPr>
                <w:sz w:val="20"/>
                <w:szCs w:val="20"/>
              </w:rPr>
              <w:t>Thrudermic / Topical</w:t>
            </w:r>
          </w:p>
        </w:tc>
        <w:tc>
          <w:tcPr>
            <w:tcW w:w="0" w:type="auto"/>
            <w:tcBorders>
              <w:top w:val="single" w:sz="6" w:space="0" w:color="000000"/>
              <w:left w:val="single" w:sz="6" w:space="0" w:color="000000"/>
            </w:tcBorders>
            <w:shd w:val="clear" w:color="auto" w:fill="CCEEFF"/>
            <w:hideMark/>
          </w:tcPr>
          <w:p w:rsidR="00000000" w:rsidRDefault="00150086">
            <w:pPr>
              <w:pStyle w:val="NormalWeb"/>
              <w:spacing w:before="0" w:beforeAutospacing="0" w:after="0" w:afterAutospacing="0"/>
              <w:jc w:val="both"/>
              <w:rPr>
                <w:sz w:val="20"/>
                <w:szCs w:val="20"/>
              </w:rPr>
            </w:pPr>
            <w:r>
              <w:rPr>
                <w:sz w:val="20"/>
                <w:szCs w:val="20"/>
              </w:rPr>
              <w:t>Pain and inflammation (opioid withdrawal)</w:t>
            </w:r>
          </w:p>
        </w:tc>
        <w:tc>
          <w:tcPr>
            <w:tcW w:w="0" w:type="auto"/>
            <w:tcBorders>
              <w:top w:val="single" w:sz="6" w:space="0" w:color="000000"/>
              <w:left w:val="single" w:sz="6" w:space="0" w:color="000000"/>
            </w:tcBorders>
            <w:shd w:val="clear" w:color="auto" w:fill="CCEEFF"/>
            <w:hideMark/>
          </w:tcPr>
          <w:p w:rsidR="00000000" w:rsidRDefault="00150086">
            <w:pPr>
              <w:pStyle w:val="NormalWeb"/>
              <w:spacing w:before="0" w:beforeAutospacing="0" w:after="0" w:afterAutospacing="0"/>
              <w:jc w:val="center"/>
              <w:rPr>
                <w:sz w:val="20"/>
                <w:szCs w:val="20"/>
              </w:rPr>
            </w:pPr>
            <w:r>
              <w:rPr>
                <w:sz w:val="20"/>
                <w:szCs w:val="20"/>
              </w:rPr>
              <w:t>&gt;$15B</w:t>
            </w:r>
          </w:p>
        </w:tc>
        <w:tc>
          <w:tcPr>
            <w:tcW w:w="0" w:type="auto"/>
            <w:tcBorders>
              <w:top w:val="single" w:sz="6" w:space="0" w:color="000000"/>
              <w:left w:val="single" w:sz="6" w:space="0" w:color="000000"/>
            </w:tcBorders>
            <w:shd w:val="clear" w:color="auto" w:fill="CCEEFF"/>
            <w:hideMark/>
          </w:tcPr>
          <w:p w:rsidR="00000000" w:rsidRDefault="00150086">
            <w:pPr>
              <w:pStyle w:val="NormalWeb"/>
              <w:spacing w:before="0" w:beforeAutospacing="0" w:after="0" w:afterAutospacing="0"/>
              <w:jc w:val="center"/>
              <w:rPr>
                <w:sz w:val="20"/>
                <w:szCs w:val="20"/>
              </w:rPr>
            </w:pPr>
            <w:r>
              <w:rPr>
                <w:sz w:val="20"/>
                <w:szCs w:val="20"/>
              </w:rPr>
              <w:t>2019</w:t>
            </w:r>
          </w:p>
        </w:tc>
      </w:tr>
      <w:tr w:rsidR="00000000">
        <w:trPr>
          <w:divId w:val="7608861"/>
          <w:trHeight w:val="225"/>
          <w:tblCellSpacing w:w="0" w:type="dxa"/>
          <w:jc w:val="center"/>
        </w:trPr>
        <w:tc>
          <w:tcPr>
            <w:tcW w:w="0" w:type="auto"/>
            <w:tcBorders>
              <w:top w:val="single" w:sz="6" w:space="0" w:color="000000"/>
              <w:left w:val="single" w:sz="6" w:space="0" w:color="000000"/>
            </w:tcBorders>
            <w:shd w:val="clear" w:color="auto" w:fill="FFFFFF"/>
            <w:hideMark/>
          </w:tcPr>
          <w:p w:rsidR="00000000" w:rsidRDefault="00150086">
            <w:pPr>
              <w:pStyle w:val="NormalWeb"/>
              <w:spacing w:before="0" w:beforeAutospacing="0" w:after="0" w:afterAutospacing="0"/>
              <w:jc w:val="both"/>
              <w:rPr>
                <w:sz w:val="20"/>
                <w:szCs w:val="20"/>
              </w:rPr>
            </w:pPr>
            <w:r>
              <w:rPr>
                <w:sz w:val="20"/>
                <w:szCs w:val="20"/>
              </w:rPr>
              <w:t>PGS-N010</w:t>
            </w:r>
          </w:p>
        </w:tc>
        <w:tc>
          <w:tcPr>
            <w:tcW w:w="0" w:type="auto"/>
            <w:tcBorders>
              <w:top w:val="single" w:sz="6" w:space="0" w:color="000000"/>
              <w:left w:val="single" w:sz="6" w:space="0" w:color="000000"/>
            </w:tcBorders>
            <w:shd w:val="clear" w:color="auto" w:fill="FFFFFF"/>
            <w:hideMark/>
          </w:tcPr>
          <w:p w:rsidR="00000000" w:rsidRDefault="00150086">
            <w:pPr>
              <w:pStyle w:val="NormalWeb"/>
              <w:spacing w:before="0" w:beforeAutospacing="0" w:after="0" w:afterAutospacing="0"/>
              <w:jc w:val="both"/>
              <w:rPr>
                <w:sz w:val="20"/>
                <w:szCs w:val="20"/>
              </w:rPr>
            </w:pPr>
            <w:r>
              <w:rPr>
                <w:sz w:val="20"/>
                <w:szCs w:val="20"/>
              </w:rPr>
              <w:t>Solmic Solubilisate / Oral</w:t>
            </w:r>
          </w:p>
        </w:tc>
        <w:tc>
          <w:tcPr>
            <w:tcW w:w="0" w:type="auto"/>
            <w:tcBorders>
              <w:top w:val="single" w:sz="6" w:space="0" w:color="000000"/>
              <w:left w:val="single" w:sz="6" w:space="0" w:color="000000"/>
            </w:tcBorders>
            <w:shd w:val="clear" w:color="auto" w:fill="FFFFFF"/>
            <w:hideMark/>
          </w:tcPr>
          <w:p w:rsidR="00000000" w:rsidRDefault="00150086">
            <w:pPr>
              <w:pStyle w:val="NormalWeb"/>
              <w:spacing w:before="0" w:beforeAutospacing="0" w:after="0" w:afterAutospacing="0"/>
              <w:jc w:val="both"/>
              <w:rPr>
                <w:sz w:val="20"/>
                <w:szCs w:val="20"/>
              </w:rPr>
            </w:pPr>
            <w:r>
              <w:rPr>
                <w:sz w:val="20"/>
                <w:szCs w:val="20"/>
              </w:rPr>
              <w:t>Migraine (nausea, vomiting, dizziness, sensitivity to light, sounds and smells)</w:t>
            </w:r>
          </w:p>
        </w:tc>
        <w:tc>
          <w:tcPr>
            <w:tcW w:w="0" w:type="auto"/>
            <w:tcBorders>
              <w:top w:val="single" w:sz="6" w:space="0" w:color="000000"/>
              <w:left w:val="single" w:sz="6" w:space="0" w:color="000000"/>
            </w:tcBorders>
            <w:shd w:val="clear" w:color="auto" w:fill="FFFFFF"/>
            <w:hideMark/>
          </w:tcPr>
          <w:p w:rsidR="00000000" w:rsidRDefault="00150086">
            <w:pPr>
              <w:pStyle w:val="NormalWeb"/>
              <w:spacing w:before="0" w:beforeAutospacing="0" w:after="0" w:afterAutospacing="0"/>
              <w:jc w:val="center"/>
              <w:rPr>
                <w:sz w:val="20"/>
                <w:szCs w:val="20"/>
              </w:rPr>
            </w:pPr>
            <w:r>
              <w:rPr>
                <w:sz w:val="20"/>
                <w:szCs w:val="20"/>
              </w:rPr>
              <w:t>&gt;$10B</w:t>
            </w:r>
          </w:p>
        </w:tc>
        <w:tc>
          <w:tcPr>
            <w:tcW w:w="0" w:type="auto"/>
            <w:tcBorders>
              <w:top w:val="single" w:sz="6" w:space="0" w:color="000000"/>
              <w:left w:val="single" w:sz="6" w:space="0" w:color="000000"/>
            </w:tcBorders>
            <w:shd w:val="clear" w:color="auto" w:fill="FFFFFF"/>
            <w:hideMark/>
          </w:tcPr>
          <w:p w:rsidR="00000000" w:rsidRDefault="00150086">
            <w:pPr>
              <w:pStyle w:val="NormalWeb"/>
              <w:spacing w:before="0" w:beforeAutospacing="0" w:after="0" w:afterAutospacing="0"/>
              <w:jc w:val="center"/>
              <w:rPr>
                <w:sz w:val="20"/>
                <w:szCs w:val="20"/>
              </w:rPr>
            </w:pPr>
            <w:r>
              <w:rPr>
                <w:sz w:val="20"/>
                <w:szCs w:val="20"/>
              </w:rPr>
              <w:t>2019</w:t>
            </w:r>
          </w:p>
        </w:tc>
      </w:tr>
    </w:tbl>
    <w:p w:rsidR="00000000" w:rsidRDefault="00150086">
      <w:pPr>
        <w:pStyle w:val="NormalWeb"/>
        <w:spacing w:before="0" w:beforeAutospacing="0" w:after="0" w:afterAutospacing="0"/>
        <w:jc w:val="both"/>
        <w:divId w:val="7608861"/>
        <w:rPr>
          <w:sz w:val="20"/>
          <w:szCs w:val="20"/>
        </w:rPr>
      </w:pPr>
      <w:r>
        <w:rPr>
          <w:sz w:val="20"/>
          <w:szCs w:val="20"/>
        </w:rPr>
        <w:t>____________</w:t>
      </w:r>
    </w:p>
    <w:tbl>
      <w:tblPr>
        <w:tblW w:w="5000" w:type="pct"/>
        <w:tblCellSpacing w:w="0" w:type="dxa"/>
        <w:tblCellMar>
          <w:left w:w="0" w:type="dxa"/>
          <w:right w:w="0" w:type="dxa"/>
        </w:tblCellMar>
        <w:tblLook w:val="04A0"/>
      </w:tblPr>
      <w:tblGrid>
        <w:gridCol w:w="281"/>
        <w:gridCol w:w="9079"/>
      </w:tblGrid>
      <w:tr w:rsidR="00000000">
        <w:trPr>
          <w:divId w:val="7608861"/>
          <w:tblCellSpacing w:w="0" w:type="dxa"/>
        </w:trPr>
        <w:tc>
          <w:tcPr>
            <w:tcW w:w="150" w:type="pct"/>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(1)</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Derived from IMS data</w:t>
            </w:r>
          </w:p>
        </w:tc>
      </w:tr>
    </w:tbl>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b/>
          <w:bCs/>
          <w:i/>
          <w:iCs/>
          <w:sz w:val="20"/>
          <w:szCs w:val="20"/>
        </w:rPr>
        <w:t>Results of Operations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The following summary of our results of operations should be read in conjunction with our financial statements for the period ended October 31, 2018, which are included herein.</w:t>
      </w:r>
    </w:p>
    <w:p w:rsidR="00000000" w:rsidRDefault="00150086">
      <w:pPr>
        <w:pStyle w:val="NormalWeb"/>
        <w:spacing w:before="0" w:beforeAutospacing="0" w:after="0" w:afterAutospacing="0"/>
        <w:jc w:val="both"/>
        <w:divId w:val="7608861"/>
        <w:rPr>
          <w:sz w:val="20"/>
          <w:szCs w:val="20"/>
        </w:rPr>
      </w:pPr>
      <w:r>
        <w:rPr>
          <w:sz w:val="20"/>
          <w:szCs w:val="20"/>
        </w:rPr>
        <w:t xml:space="preserve">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tcBorders>
              <w:bottom w:val="single" w:sz="6" w:space="0" w:color="000000"/>
            </w:tcBorders>
            <w:vAlign w:val="center"/>
            <w:hideMark/>
          </w:tcPr>
          <w:p w:rsidR="00000000" w:rsidRDefault="00150086">
            <w:pPr>
              <w:spacing w:before="0" w:beforeAutospacing="0" w:after="0" w:afterAutospacing="0"/>
              <w:jc w:val="center"/>
              <w:rPr>
                <w:rFonts w:eastAsia="Times New Roman"/>
                <w:sz w:val="20"/>
                <w:szCs w:val="20"/>
              </w:rPr>
            </w:pPr>
            <w:r>
              <w:rPr>
                <w:rFonts w:eastAsia="Times New Roman"/>
                <w:sz w:val="20"/>
                <w:szCs w:val="20"/>
              </w:rPr>
              <w:t>23</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50086">
      <w:pPr>
        <w:pStyle w:val="NormalWeb"/>
        <w:spacing w:before="0" w:beforeAutospacing="0" w:after="0" w:afterAutospacing="0"/>
        <w:jc w:val="both"/>
        <w:divId w:val="7608861"/>
        <w:rPr>
          <w:sz w:val="20"/>
          <w:szCs w:val="20"/>
        </w:rPr>
      </w:pPr>
      <w:r>
        <w:rPr>
          <w:sz w:val="20"/>
          <w:szCs w:val="20"/>
        </w:rPr>
        <w:t xml:space="preserve">   </w:t>
      </w:r>
    </w:p>
    <w:p w:rsidR="00000000" w:rsidRDefault="00150086">
      <w:pPr>
        <w:pStyle w:val="NormalWeb"/>
        <w:spacing w:before="0" w:beforeAutospacing="0" w:after="0" w:afterAutospacing="0"/>
        <w:jc w:val="both"/>
        <w:divId w:val="7608861"/>
        <w:rPr>
          <w:sz w:val="20"/>
          <w:szCs w:val="20"/>
        </w:rPr>
      </w:pPr>
      <w:r>
        <w:rPr>
          <w:sz w:val="20"/>
          <w:szCs w:val="20"/>
        </w:rPr>
        <w:t>Our operating results for the three and nine months ended October 31, 2018 and 2017 are summarized as follows:</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5000" w:type="pct"/>
        <w:tblCellSpacing w:w="0" w:type="dxa"/>
        <w:tblCellMar>
          <w:left w:w="0" w:type="dxa"/>
          <w:right w:w="0" w:type="dxa"/>
        </w:tblCellMar>
        <w:tblLook w:val="04A0"/>
      </w:tblPr>
      <w:tblGrid>
        <w:gridCol w:w="4860"/>
        <w:gridCol w:w="87"/>
        <w:gridCol w:w="100"/>
        <w:gridCol w:w="867"/>
        <w:gridCol w:w="87"/>
        <w:gridCol w:w="87"/>
        <w:gridCol w:w="100"/>
        <w:gridCol w:w="835"/>
        <w:gridCol w:w="87"/>
        <w:gridCol w:w="87"/>
        <w:gridCol w:w="100"/>
        <w:gridCol w:w="867"/>
        <w:gridCol w:w="87"/>
        <w:gridCol w:w="87"/>
        <w:gridCol w:w="100"/>
        <w:gridCol w:w="835"/>
        <w:gridCol w:w="87"/>
      </w:tblGrid>
      <w:tr w:rsidR="00000000">
        <w:trPr>
          <w:divId w:val="7608861"/>
          <w:tblCellSpacing w:w="0" w:type="dxa"/>
        </w:trPr>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6"/>
            <w:vAlign w:val="bottom"/>
            <w:hideMark/>
          </w:tcPr>
          <w:p w:rsidR="00000000" w:rsidRDefault="00150086">
            <w:pPr>
              <w:pStyle w:val="NormalWeb"/>
              <w:spacing w:before="0" w:beforeAutospacing="0" w:after="0" w:afterAutospacing="0"/>
              <w:jc w:val="center"/>
              <w:rPr>
                <w:sz w:val="20"/>
                <w:szCs w:val="20"/>
              </w:rPr>
            </w:pPr>
            <w:r>
              <w:rPr>
                <w:b/>
                <w:bCs/>
                <w:sz w:val="20"/>
                <w:szCs w:val="20"/>
              </w:rPr>
              <w:t>Three Months Ended</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6"/>
            <w:vAlign w:val="bottom"/>
            <w:hideMark/>
          </w:tcPr>
          <w:p w:rsidR="00000000" w:rsidRDefault="00150086">
            <w:pPr>
              <w:pStyle w:val="NormalWeb"/>
              <w:spacing w:before="0" w:beforeAutospacing="0" w:after="0" w:afterAutospacing="0"/>
              <w:jc w:val="center"/>
              <w:rPr>
                <w:sz w:val="20"/>
                <w:szCs w:val="20"/>
              </w:rPr>
            </w:pPr>
            <w:r>
              <w:rPr>
                <w:b/>
                <w:bCs/>
                <w:sz w:val="20"/>
                <w:szCs w:val="20"/>
              </w:rPr>
              <w:t>Nine Months Ended</w:t>
            </w:r>
            <w:r>
              <w:rPr>
                <w:sz w:val="20"/>
                <w:szCs w:val="20"/>
              </w:rPr>
              <w:t xml:space="preserve">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October 31,</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October 31,</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2017</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2017</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xml:space="preserve">Revenue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center"/>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450" w:type="pct"/>
            <w:vAlign w:val="center"/>
            <w:hideMark/>
          </w:tcPr>
          <w:p w:rsidR="00000000" w:rsidRDefault="00150086">
            <w:pPr>
              <w:pStyle w:val="NormalWeb"/>
              <w:spacing w:before="0" w:beforeAutospacing="0" w:after="0" w:afterAutospacing="0"/>
              <w:jc w:val="right"/>
              <w:rPr>
                <w:sz w:val="20"/>
                <w:szCs w:val="20"/>
              </w:rPr>
            </w:pPr>
            <w:r>
              <w:rPr>
                <w:sz w:val="20"/>
                <w:szCs w:val="20"/>
              </w:rPr>
              <w:t>Nil</w:t>
            </w:r>
          </w:p>
        </w:tc>
        <w:tc>
          <w:tcPr>
            <w:tcW w:w="50" w:type="pct"/>
            <w:vAlign w:val="bottom"/>
            <w:hideMark/>
          </w:tcPr>
          <w:p w:rsidR="00000000" w:rsidRDefault="00150086">
            <w:pPr>
              <w:spacing w:before="0" w:beforeAutospacing="0" w:after="0" w:afterAutospacing="0"/>
              <w:jc w:val="center"/>
              <w:rPr>
                <w:rFonts w:eastAsia="Times New Roman"/>
                <w:sz w:val="20"/>
                <w:szCs w:val="20"/>
              </w:rPr>
            </w:pP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center"/>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450" w:type="pct"/>
            <w:vAlign w:val="bottom"/>
            <w:hideMark/>
          </w:tcPr>
          <w:p w:rsidR="00000000" w:rsidRDefault="00150086">
            <w:pPr>
              <w:pStyle w:val="NormalWeb"/>
              <w:spacing w:before="0" w:beforeAutospacing="0" w:after="0" w:afterAutospacing="0"/>
              <w:jc w:val="right"/>
              <w:rPr>
                <w:sz w:val="20"/>
                <w:szCs w:val="20"/>
              </w:rPr>
            </w:pPr>
            <w:r>
              <w:rPr>
                <w:sz w:val="20"/>
                <w:szCs w:val="20"/>
              </w:rPr>
              <w:t>Nil</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center"/>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450" w:type="pct"/>
            <w:vAlign w:val="bottom"/>
            <w:hideMark/>
          </w:tcPr>
          <w:p w:rsidR="00000000" w:rsidRDefault="00150086">
            <w:pPr>
              <w:pStyle w:val="NormalWeb"/>
              <w:spacing w:before="0" w:beforeAutospacing="0" w:after="0" w:afterAutospacing="0"/>
              <w:jc w:val="right"/>
              <w:rPr>
                <w:sz w:val="20"/>
                <w:szCs w:val="20"/>
              </w:rPr>
            </w:pPr>
            <w:r>
              <w:rPr>
                <w:sz w:val="20"/>
                <w:szCs w:val="20"/>
              </w:rPr>
              <w:t>Nil</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vAlign w:val="center"/>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450" w:type="pct"/>
            <w:vAlign w:val="bottom"/>
            <w:hideMark/>
          </w:tcPr>
          <w:p w:rsidR="00000000" w:rsidRDefault="00150086">
            <w:pPr>
              <w:pStyle w:val="NormalWeb"/>
              <w:spacing w:before="0" w:beforeAutospacing="0" w:after="0" w:afterAutospacing="0"/>
              <w:jc w:val="right"/>
              <w:rPr>
                <w:sz w:val="20"/>
                <w:szCs w:val="20"/>
              </w:rPr>
            </w:pPr>
            <w:r>
              <w:rPr>
                <w:sz w:val="20"/>
                <w:szCs w:val="20"/>
              </w:rPr>
              <w:t>Nil</w:t>
            </w:r>
          </w:p>
        </w:tc>
        <w:tc>
          <w:tcPr>
            <w:tcW w:w="5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 xml:space="preserve">Amortization </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(187,309</w:t>
            </w:r>
          </w:p>
        </w:tc>
        <w:tc>
          <w:tcPr>
            <w:tcW w:w="0" w:type="auto"/>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(8,309</w:t>
            </w:r>
          </w:p>
        </w:tc>
        <w:tc>
          <w:tcPr>
            <w:tcW w:w="0" w:type="auto"/>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(504,346</w:t>
            </w:r>
          </w:p>
        </w:tc>
        <w:tc>
          <w:tcPr>
            <w:tcW w:w="0" w:type="auto"/>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(8,309</w:t>
            </w:r>
          </w:p>
        </w:tc>
        <w:tc>
          <w:tcPr>
            <w:tcW w:w="0" w:type="auto"/>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lastRenderedPageBreak/>
              <w:t>Due diligence costs</w:t>
            </w:r>
          </w:p>
        </w:tc>
        <w:tc>
          <w:tcPr>
            <w:tcW w:w="0" w:type="auto"/>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(52,188</w:t>
            </w:r>
          </w:p>
        </w:tc>
        <w:tc>
          <w:tcPr>
            <w:tcW w:w="0" w:type="auto"/>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center"/>
            <w:hideMark/>
          </w:tcPr>
          <w:p w:rsidR="00000000" w:rsidRDefault="00150086">
            <w:pPr>
              <w:pStyle w:val="NormalWeb"/>
              <w:spacing w:before="0" w:beforeAutospacing="0" w:after="0" w:afterAutospacing="0"/>
              <w:jc w:val="right"/>
              <w:rPr>
                <w:sz w:val="20"/>
                <w:szCs w:val="20"/>
              </w:rPr>
            </w:pPr>
            <w:r>
              <w:rPr>
                <w:sz w:val="20"/>
                <w:szCs w:val="20"/>
              </w:rPr>
              <w:t>Nil</w:t>
            </w:r>
          </w:p>
        </w:tc>
        <w:tc>
          <w:tcPr>
            <w:tcW w:w="0" w:type="auto"/>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(181,091</w:t>
            </w:r>
          </w:p>
        </w:tc>
        <w:tc>
          <w:tcPr>
            <w:tcW w:w="0" w:type="auto"/>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center"/>
            <w:hideMark/>
          </w:tcPr>
          <w:p w:rsidR="00000000" w:rsidRDefault="00150086">
            <w:pPr>
              <w:pStyle w:val="NormalWeb"/>
              <w:spacing w:before="0" w:beforeAutospacing="0" w:after="0" w:afterAutospacing="0"/>
              <w:jc w:val="right"/>
              <w:rPr>
                <w:sz w:val="20"/>
                <w:szCs w:val="20"/>
              </w:rPr>
            </w:pPr>
            <w:r>
              <w:rPr>
                <w:sz w:val="20"/>
                <w:szCs w:val="20"/>
              </w:rPr>
              <w:t>Nil</w:t>
            </w:r>
          </w:p>
        </w:tc>
        <w:tc>
          <w:tcPr>
            <w:tcW w:w="0" w:type="auto"/>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 xml:space="preserve">Foreign exchange gain (loss) </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(30,702</w:t>
            </w:r>
          </w:p>
        </w:tc>
        <w:tc>
          <w:tcPr>
            <w:tcW w:w="0" w:type="auto"/>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(38,762</w:t>
            </w:r>
          </w:p>
        </w:tc>
        <w:tc>
          <w:tcPr>
            <w:tcW w:w="0" w:type="auto"/>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(64,789</w:t>
            </w:r>
          </w:p>
        </w:tc>
        <w:tc>
          <w:tcPr>
            <w:tcW w:w="0" w:type="auto"/>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(101,324</w:t>
            </w:r>
          </w:p>
        </w:tc>
        <w:tc>
          <w:tcPr>
            <w:tcW w:w="0" w:type="auto"/>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 xml:space="preserve">General and administrative </w:t>
            </w:r>
          </w:p>
        </w:tc>
        <w:tc>
          <w:tcPr>
            <w:tcW w:w="0" w:type="auto"/>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(432,112</w:t>
            </w:r>
          </w:p>
        </w:tc>
        <w:tc>
          <w:tcPr>
            <w:tcW w:w="0" w:type="auto"/>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(50,480</w:t>
            </w:r>
          </w:p>
        </w:tc>
        <w:tc>
          <w:tcPr>
            <w:tcW w:w="0" w:type="auto"/>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(1,609,280</w:t>
            </w:r>
          </w:p>
        </w:tc>
        <w:tc>
          <w:tcPr>
            <w:tcW w:w="0" w:type="auto"/>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(179,410</w:t>
            </w:r>
          </w:p>
        </w:tc>
        <w:tc>
          <w:tcPr>
            <w:tcW w:w="0" w:type="auto"/>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Licensing fees</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(23,181</w:t>
            </w:r>
          </w:p>
        </w:tc>
        <w:tc>
          <w:tcPr>
            <w:tcW w:w="0" w:type="auto"/>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center"/>
            <w:hideMark/>
          </w:tcPr>
          <w:p w:rsidR="00000000" w:rsidRDefault="00150086">
            <w:pPr>
              <w:pStyle w:val="NormalWeb"/>
              <w:spacing w:before="0" w:beforeAutospacing="0" w:after="0" w:afterAutospacing="0"/>
              <w:jc w:val="right"/>
              <w:rPr>
                <w:sz w:val="20"/>
                <w:szCs w:val="20"/>
              </w:rPr>
            </w:pPr>
            <w:r>
              <w:rPr>
                <w:sz w:val="20"/>
                <w:szCs w:val="20"/>
              </w:rPr>
              <w:t>Nil</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(23,181</w:t>
            </w:r>
          </w:p>
        </w:tc>
        <w:tc>
          <w:tcPr>
            <w:tcW w:w="0" w:type="auto"/>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center"/>
            <w:hideMark/>
          </w:tcPr>
          <w:p w:rsidR="00000000" w:rsidRDefault="00150086">
            <w:pPr>
              <w:pStyle w:val="NormalWeb"/>
              <w:spacing w:before="0" w:beforeAutospacing="0" w:after="0" w:afterAutospacing="0"/>
              <w:jc w:val="right"/>
              <w:rPr>
                <w:sz w:val="20"/>
                <w:szCs w:val="20"/>
              </w:rPr>
            </w:pPr>
            <w:r>
              <w:rPr>
                <w:sz w:val="20"/>
                <w:szCs w:val="20"/>
              </w:rPr>
              <w:t>Nil</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 xml:space="preserve">Professional fees </w:t>
            </w:r>
          </w:p>
        </w:tc>
        <w:tc>
          <w:tcPr>
            <w:tcW w:w="0" w:type="auto"/>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(214,450</w:t>
            </w:r>
          </w:p>
        </w:tc>
        <w:tc>
          <w:tcPr>
            <w:tcW w:w="0" w:type="auto"/>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(55,166</w:t>
            </w:r>
          </w:p>
        </w:tc>
        <w:tc>
          <w:tcPr>
            <w:tcW w:w="0" w:type="auto"/>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(468,048</w:t>
            </w:r>
          </w:p>
        </w:tc>
        <w:tc>
          <w:tcPr>
            <w:tcW w:w="0" w:type="auto"/>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(128,174</w:t>
            </w:r>
          </w:p>
        </w:tc>
        <w:tc>
          <w:tcPr>
            <w:tcW w:w="0" w:type="auto"/>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Rent</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(93,067</w:t>
            </w:r>
          </w:p>
        </w:tc>
        <w:tc>
          <w:tcPr>
            <w:tcW w:w="0" w:type="auto"/>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center"/>
            <w:hideMark/>
          </w:tcPr>
          <w:p w:rsidR="00000000" w:rsidRDefault="00150086">
            <w:pPr>
              <w:pStyle w:val="NormalWeb"/>
              <w:spacing w:before="0" w:beforeAutospacing="0" w:after="0" w:afterAutospacing="0"/>
              <w:jc w:val="right"/>
              <w:rPr>
                <w:sz w:val="20"/>
                <w:szCs w:val="20"/>
              </w:rPr>
            </w:pPr>
            <w:r>
              <w:rPr>
                <w:sz w:val="20"/>
                <w:szCs w:val="20"/>
              </w:rPr>
              <w:t>Nil</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(126,690</w:t>
            </w:r>
          </w:p>
        </w:tc>
        <w:tc>
          <w:tcPr>
            <w:tcW w:w="0" w:type="auto"/>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center"/>
            <w:hideMark/>
          </w:tcPr>
          <w:p w:rsidR="00000000" w:rsidRDefault="00150086">
            <w:pPr>
              <w:pStyle w:val="NormalWeb"/>
              <w:spacing w:before="0" w:beforeAutospacing="0" w:after="0" w:afterAutospacing="0"/>
              <w:jc w:val="right"/>
              <w:rPr>
                <w:sz w:val="20"/>
                <w:szCs w:val="20"/>
              </w:rPr>
            </w:pPr>
            <w:r>
              <w:rPr>
                <w:sz w:val="20"/>
                <w:szCs w:val="20"/>
              </w:rPr>
              <w:t>Nil</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Research and development</w:t>
            </w:r>
          </w:p>
        </w:tc>
        <w:tc>
          <w:tcPr>
            <w:tcW w:w="0" w:type="auto"/>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(65,029</w:t>
            </w:r>
          </w:p>
        </w:tc>
        <w:tc>
          <w:tcPr>
            <w:tcW w:w="0" w:type="auto"/>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center"/>
            <w:hideMark/>
          </w:tcPr>
          <w:p w:rsidR="00000000" w:rsidRDefault="00150086">
            <w:pPr>
              <w:pStyle w:val="NormalWeb"/>
              <w:spacing w:before="0" w:beforeAutospacing="0" w:after="0" w:afterAutospacing="0"/>
              <w:jc w:val="right"/>
              <w:rPr>
                <w:sz w:val="20"/>
                <w:szCs w:val="20"/>
              </w:rPr>
            </w:pPr>
            <w:r>
              <w:rPr>
                <w:sz w:val="20"/>
                <w:szCs w:val="20"/>
              </w:rPr>
              <w:t>Nil</w:t>
            </w:r>
          </w:p>
        </w:tc>
        <w:tc>
          <w:tcPr>
            <w:tcW w:w="0" w:type="auto"/>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(237,103</w:t>
            </w:r>
          </w:p>
        </w:tc>
        <w:tc>
          <w:tcPr>
            <w:tcW w:w="0" w:type="auto"/>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center"/>
            <w:hideMark/>
          </w:tcPr>
          <w:p w:rsidR="00000000" w:rsidRDefault="00150086">
            <w:pPr>
              <w:pStyle w:val="NormalWeb"/>
              <w:spacing w:before="0" w:beforeAutospacing="0" w:after="0" w:afterAutospacing="0"/>
              <w:jc w:val="right"/>
              <w:rPr>
                <w:sz w:val="20"/>
                <w:szCs w:val="20"/>
              </w:rPr>
            </w:pPr>
            <w:r>
              <w:rPr>
                <w:sz w:val="20"/>
                <w:szCs w:val="20"/>
              </w:rPr>
              <w:t>Nil</w:t>
            </w:r>
          </w:p>
        </w:tc>
        <w:tc>
          <w:tcPr>
            <w:tcW w:w="0" w:type="auto"/>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Salaries and wages</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(313,463</w:t>
            </w:r>
          </w:p>
        </w:tc>
        <w:tc>
          <w:tcPr>
            <w:tcW w:w="0" w:type="auto"/>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(31,941</w:t>
            </w:r>
          </w:p>
        </w:tc>
        <w:tc>
          <w:tcPr>
            <w:tcW w:w="0" w:type="auto"/>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(817,494</w:t>
            </w:r>
          </w:p>
        </w:tc>
        <w:tc>
          <w:tcPr>
            <w:tcW w:w="0" w:type="auto"/>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(301,714</w:t>
            </w:r>
          </w:p>
        </w:tc>
        <w:tc>
          <w:tcPr>
            <w:tcW w:w="0" w:type="auto"/>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Sales and marketing</w:t>
            </w:r>
          </w:p>
        </w:tc>
        <w:tc>
          <w:tcPr>
            <w:tcW w:w="0" w:type="auto"/>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(309</w:t>
            </w:r>
          </w:p>
        </w:tc>
        <w:tc>
          <w:tcPr>
            <w:tcW w:w="0" w:type="auto"/>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center"/>
            <w:hideMark/>
          </w:tcPr>
          <w:p w:rsidR="00000000" w:rsidRDefault="00150086">
            <w:pPr>
              <w:pStyle w:val="NormalWeb"/>
              <w:spacing w:before="0" w:beforeAutospacing="0" w:after="0" w:afterAutospacing="0"/>
              <w:jc w:val="right"/>
              <w:rPr>
                <w:sz w:val="20"/>
                <w:szCs w:val="20"/>
              </w:rPr>
            </w:pPr>
            <w:r>
              <w:rPr>
                <w:sz w:val="20"/>
                <w:szCs w:val="20"/>
              </w:rPr>
              <w:t>Nil</w:t>
            </w:r>
          </w:p>
        </w:tc>
        <w:tc>
          <w:tcPr>
            <w:tcW w:w="0" w:type="auto"/>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(7,309</w:t>
            </w:r>
          </w:p>
        </w:tc>
        <w:tc>
          <w:tcPr>
            <w:tcW w:w="0" w:type="auto"/>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center"/>
            <w:hideMark/>
          </w:tcPr>
          <w:p w:rsidR="00000000" w:rsidRDefault="00150086">
            <w:pPr>
              <w:pStyle w:val="NormalWeb"/>
              <w:spacing w:before="0" w:beforeAutospacing="0" w:after="0" w:afterAutospacing="0"/>
              <w:jc w:val="right"/>
              <w:rPr>
                <w:sz w:val="20"/>
                <w:szCs w:val="20"/>
              </w:rPr>
            </w:pPr>
            <w:r>
              <w:rPr>
                <w:sz w:val="20"/>
                <w:szCs w:val="20"/>
              </w:rPr>
              <w:t>Nil</w:t>
            </w:r>
          </w:p>
        </w:tc>
        <w:tc>
          <w:tcPr>
            <w:tcW w:w="0" w:type="auto"/>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Total Other Income (Expenses)</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(1,965,711</w:t>
            </w:r>
          </w:p>
        </w:tc>
        <w:tc>
          <w:tcPr>
            <w:tcW w:w="0" w:type="auto"/>
            <w:shd w:val="clear" w:color="auto" w:fill="CCEEFF"/>
            <w:tcMar>
              <w:top w:w="0" w:type="dxa"/>
              <w:left w:w="0" w:type="dxa"/>
              <w:bottom w:w="1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715,384</w:t>
            </w:r>
          </w:p>
        </w:tc>
        <w:tc>
          <w:tcPr>
            <w:tcW w:w="0" w:type="auto"/>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(2,377,031</w:t>
            </w:r>
          </w:p>
        </w:tc>
        <w:tc>
          <w:tcPr>
            <w:tcW w:w="0" w:type="auto"/>
            <w:shd w:val="clear" w:color="auto" w:fill="CCEEFF"/>
            <w:tcMar>
              <w:top w:w="0" w:type="dxa"/>
              <w:left w:w="0" w:type="dxa"/>
              <w:bottom w:w="1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tcBorders>
              <w:bottom w:val="single" w:sz="6" w:space="0" w:color="000000"/>
            </w:tcBorders>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924,293</w:t>
            </w:r>
          </w:p>
        </w:tc>
        <w:tc>
          <w:tcPr>
            <w:tcW w:w="0" w:type="auto"/>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 xml:space="preserve">Net Income (Loss) </w:t>
            </w:r>
          </w:p>
        </w:tc>
        <w:tc>
          <w:tcPr>
            <w:tcW w:w="0" w:type="auto"/>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tcBorders>
              <w:bottom w:val="double" w:sz="6" w:space="0" w:color="000000"/>
            </w:tcBorders>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(3,377,521</w:t>
            </w:r>
          </w:p>
        </w:tc>
        <w:tc>
          <w:tcPr>
            <w:tcW w:w="0" w:type="auto"/>
            <w:shd w:val="clear" w:color="auto" w:fill="FFFFFF"/>
            <w:tcMar>
              <w:top w:w="0" w:type="dxa"/>
              <w:left w:w="0" w:type="dxa"/>
              <w:bottom w:w="4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tcBorders>
              <w:bottom w:val="double" w:sz="6" w:space="0" w:color="000000"/>
            </w:tcBorders>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530,726</w:t>
            </w:r>
          </w:p>
        </w:tc>
        <w:tc>
          <w:tcPr>
            <w:tcW w:w="0" w:type="auto"/>
            <w:shd w:val="clear" w:color="auto" w:fill="FFFF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tcBorders>
              <w:bottom w:val="double" w:sz="6" w:space="0" w:color="000000"/>
            </w:tcBorders>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(6,416,362</w:t>
            </w:r>
          </w:p>
        </w:tc>
        <w:tc>
          <w:tcPr>
            <w:tcW w:w="0" w:type="auto"/>
            <w:shd w:val="clear" w:color="auto" w:fill="FFFFFF"/>
            <w:tcMar>
              <w:top w:w="0" w:type="dxa"/>
              <w:left w:w="0" w:type="dxa"/>
              <w:bottom w:w="45" w:type="dxa"/>
              <w:right w:w="0" w:type="dxa"/>
            </w:tcMar>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tcBorders>
              <w:bottom w:val="double" w:sz="6" w:space="0" w:color="000000"/>
            </w:tcBorders>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205,362</w:t>
            </w:r>
          </w:p>
        </w:tc>
        <w:tc>
          <w:tcPr>
            <w:tcW w:w="0" w:type="auto"/>
            <w:shd w:val="clear" w:color="auto" w:fill="FFFFFF"/>
            <w:tcMar>
              <w:top w:w="0" w:type="dxa"/>
              <w:left w:w="0" w:type="dxa"/>
              <w:bottom w:w="4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bl>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For the nine months ended October 31, 2018, our net loss increased by $6,621,724 from a net income of $205,362 during the prior period to a net loss of $6,416,362 in the current period. For the three months ended October 31, 2018, our net loss increased by</w:t>
      </w:r>
      <w:r>
        <w:rPr>
          <w:sz w:val="20"/>
          <w:szCs w:val="20"/>
        </w:rPr>
        <w:t xml:space="preserve"> $3,908,247 from a net income of $530,726 during the prior period to a net loss of $3,377,521 in the current period. Net incomes during the three and nine months ended October 31, 2017 resulted primarily from the recognition of gain on settlements of debts</w:t>
      </w:r>
      <w:r>
        <w:rPr>
          <w:sz w:val="20"/>
          <w:szCs w:val="20"/>
        </w:rPr>
        <w:t xml:space="preserve"> related to accrued consulting fees forgiven, debts converted into shares of our common stock, as well as conversion of accrued liabilities related to our past Chief Executive Officer into a promissory note. Net loss increased during the three and nine mon</w:t>
      </w:r>
      <w:r>
        <w:rPr>
          <w:sz w:val="20"/>
          <w:szCs w:val="20"/>
        </w:rPr>
        <w:t>ths ended October 31, 2018 due to the following. In March 2018, our company secured convertible debentures totaling $3,926,804 ($5,000,000 Canadian Dollars), which allowed our company to pursue development of our platform technologies and to secure and dev</w:t>
      </w:r>
      <w:r>
        <w:rPr>
          <w:sz w:val="20"/>
          <w:szCs w:val="20"/>
        </w:rPr>
        <w:t>elop further intellectual property. During the nine months ended October 31, 2018, we completed the acquisitions of the Thrudermic Transdermal Nanotechnology and Pivot Naturals, LLC and its RTIC patents and performed due diligence on other potential transa</w:t>
      </w:r>
      <w:r>
        <w:rPr>
          <w:sz w:val="20"/>
          <w:szCs w:val="20"/>
        </w:rPr>
        <w:t>ctions, which resulted in increases to amortization, due diligence costs, consulting fees within general and administrative costs, professional fees and research and development for both the three and nine months ended October 31, 2018. Pursuant to these a</w:t>
      </w:r>
      <w:r>
        <w:rPr>
          <w:sz w:val="20"/>
          <w:szCs w:val="20"/>
        </w:rPr>
        <w:t>cquisition, we entered into employment contracts which increased our salaries and wages expense. Should our company be successful in securing continued financing for the development of our platform technologies, we expect our future expenses to be consiste</w:t>
      </w:r>
      <w:r>
        <w:rPr>
          <w:sz w:val="20"/>
          <w:szCs w:val="20"/>
        </w:rPr>
        <w:t>nt with our expenses for the nine months ended October 31, 2018. In addition to the above increased expenses, we settled convertible debentures totaling $1,144,601 ($1,500,000 Canadian Dollars) through the issuance of 3,750,000 units, with each unit consis</w:t>
      </w:r>
      <w:r>
        <w:rPr>
          <w:sz w:val="20"/>
          <w:szCs w:val="20"/>
        </w:rPr>
        <w:t>ting of one common stock and one share purchase warrant, which resulted in a loss on extinguishment of convertible debentures of $1,508,836 being included in other income (expenses).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u w:val="single"/>
        </w:rPr>
        <w:t>Revenue</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We have not earned any revenues since our inception and we do</w:t>
      </w:r>
      <w:r>
        <w:rPr>
          <w:sz w:val="20"/>
          <w:szCs w:val="20"/>
        </w:rPr>
        <w:t xml:space="preserve"> not anticipate earning revenues in the upcoming quarter. </w:t>
      </w:r>
    </w:p>
    <w:p w:rsidR="00000000" w:rsidRDefault="00150086">
      <w:pPr>
        <w:pStyle w:val="NormalWeb"/>
        <w:spacing w:before="0" w:beforeAutospacing="0" w:after="0" w:afterAutospacing="0"/>
        <w:jc w:val="both"/>
        <w:divId w:val="7608861"/>
        <w:rPr>
          <w:sz w:val="20"/>
          <w:szCs w:val="20"/>
        </w:rPr>
      </w:pPr>
      <w:r>
        <w:rPr>
          <w:sz w:val="20"/>
          <w:szCs w:val="20"/>
        </w:rPr>
        <w:t xml:space="preserve">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tcBorders>
              <w:bottom w:val="single" w:sz="6" w:space="0" w:color="000000"/>
            </w:tcBorders>
            <w:vAlign w:val="center"/>
            <w:hideMark/>
          </w:tcPr>
          <w:p w:rsidR="00000000" w:rsidRDefault="00150086">
            <w:pPr>
              <w:spacing w:before="0" w:beforeAutospacing="0" w:after="0" w:afterAutospacing="0"/>
              <w:jc w:val="center"/>
              <w:rPr>
                <w:rFonts w:eastAsia="Times New Roman"/>
                <w:sz w:val="20"/>
                <w:szCs w:val="20"/>
              </w:rPr>
            </w:pPr>
            <w:r>
              <w:rPr>
                <w:rFonts w:eastAsia="Times New Roman"/>
                <w:sz w:val="20"/>
                <w:szCs w:val="20"/>
              </w:rPr>
              <w:t>24</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50086">
      <w:pPr>
        <w:pStyle w:val="NormalWeb"/>
        <w:spacing w:before="0" w:beforeAutospacing="0" w:after="0" w:afterAutospacing="0"/>
        <w:jc w:val="both"/>
        <w:divId w:val="7608861"/>
        <w:rPr>
          <w:sz w:val="20"/>
          <w:szCs w:val="20"/>
        </w:rPr>
      </w:pPr>
      <w:r>
        <w:rPr>
          <w:sz w:val="20"/>
          <w:szCs w:val="20"/>
        </w:rPr>
        <w:t xml:space="preserve">   </w:t>
      </w:r>
    </w:p>
    <w:p w:rsidR="00000000" w:rsidRDefault="00150086">
      <w:pPr>
        <w:pStyle w:val="NormalWeb"/>
        <w:spacing w:before="0" w:beforeAutospacing="0" w:after="0" w:afterAutospacing="0"/>
        <w:jc w:val="both"/>
        <w:divId w:val="7608861"/>
        <w:rPr>
          <w:sz w:val="20"/>
          <w:szCs w:val="20"/>
        </w:rPr>
      </w:pPr>
      <w:r>
        <w:rPr>
          <w:b/>
          <w:bCs/>
          <w:i/>
          <w:iCs/>
          <w:sz w:val="20"/>
          <w:szCs w:val="20"/>
        </w:rPr>
        <w:t>Liquidity and Financial Condition</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u w:val="single"/>
        </w:rPr>
        <w:t>Working Capital</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5000" w:type="pct"/>
        <w:tblCellSpacing w:w="0" w:type="dxa"/>
        <w:tblCellMar>
          <w:left w:w="0" w:type="dxa"/>
          <w:right w:w="0" w:type="dxa"/>
        </w:tblCellMar>
        <w:tblLook w:val="04A0"/>
      </w:tblPr>
      <w:tblGrid>
        <w:gridCol w:w="7107"/>
        <w:gridCol w:w="87"/>
        <w:gridCol w:w="100"/>
        <w:gridCol w:w="867"/>
        <w:gridCol w:w="87"/>
        <w:gridCol w:w="88"/>
        <w:gridCol w:w="100"/>
        <w:gridCol w:w="836"/>
        <w:gridCol w:w="88"/>
      </w:tblGrid>
      <w:tr w:rsidR="00000000">
        <w:trPr>
          <w:divId w:val="7608861"/>
          <w:tblCellSpacing w:w="0" w:type="dxa"/>
        </w:trPr>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vAlign w:val="bottom"/>
            <w:hideMark/>
          </w:tcPr>
          <w:p w:rsidR="00000000" w:rsidRDefault="00150086">
            <w:pPr>
              <w:pStyle w:val="NormalWeb"/>
              <w:spacing w:before="0" w:beforeAutospacing="0" w:after="0" w:afterAutospacing="0"/>
              <w:jc w:val="center"/>
              <w:rPr>
                <w:sz w:val="20"/>
                <w:szCs w:val="20"/>
              </w:rPr>
            </w:pPr>
            <w:r>
              <w:rPr>
                <w:b/>
                <w:bCs/>
                <w:sz w:val="20"/>
                <w:szCs w:val="20"/>
              </w:rPr>
              <w:t>At</w:t>
            </w:r>
            <w:r>
              <w:rPr>
                <w:sz w:val="20"/>
                <w:szCs w:val="20"/>
              </w:rPr>
              <w:t xml:space="preserve">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vAlign w:val="bottom"/>
            <w:hideMark/>
          </w:tcPr>
          <w:p w:rsidR="00000000" w:rsidRDefault="00150086">
            <w:pPr>
              <w:pStyle w:val="NormalWeb"/>
              <w:spacing w:before="0" w:beforeAutospacing="0" w:after="0" w:afterAutospacing="0"/>
              <w:jc w:val="center"/>
              <w:rPr>
                <w:sz w:val="20"/>
                <w:szCs w:val="20"/>
              </w:rPr>
            </w:pPr>
            <w:r>
              <w:rPr>
                <w:b/>
                <w:bCs/>
                <w:sz w:val="20"/>
                <w:szCs w:val="20"/>
              </w:rPr>
              <w:t>At</w:t>
            </w:r>
            <w:r>
              <w:rPr>
                <w:sz w:val="20"/>
                <w:szCs w:val="20"/>
              </w:rPr>
              <w:t xml:space="preserve">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vAlign w:val="bottom"/>
            <w:hideMark/>
          </w:tcPr>
          <w:p w:rsidR="00000000" w:rsidRDefault="00150086">
            <w:pPr>
              <w:pStyle w:val="NormalWeb"/>
              <w:spacing w:before="0" w:beforeAutospacing="0" w:after="0" w:afterAutospacing="0"/>
              <w:jc w:val="center"/>
              <w:rPr>
                <w:sz w:val="20"/>
                <w:szCs w:val="20"/>
              </w:rPr>
            </w:pPr>
            <w:r>
              <w:rPr>
                <w:b/>
                <w:bCs/>
                <w:sz w:val="20"/>
                <w:szCs w:val="20"/>
              </w:rPr>
              <w:t>October 31,</w:t>
            </w:r>
            <w:r>
              <w:rPr>
                <w:sz w:val="20"/>
                <w:szCs w:val="20"/>
              </w:rPr>
              <w:t xml:space="preserve">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vAlign w:val="bottom"/>
            <w:hideMark/>
          </w:tcPr>
          <w:p w:rsidR="00000000" w:rsidRDefault="00150086">
            <w:pPr>
              <w:pStyle w:val="NormalWeb"/>
              <w:spacing w:before="0" w:beforeAutospacing="0" w:after="0" w:afterAutospacing="0"/>
              <w:jc w:val="center"/>
              <w:rPr>
                <w:sz w:val="20"/>
                <w:szCs w:val="20"/>
              </w:rPr>
            </w:pPr>
            <w:r>
              <w:rPr>
                <w:b/>
                <w:bCs/>
                <w:sz w:val="20"/>
                <w:szCs w:val="20"/>
              </w:rPr>
              <w:t>January 31,</w:t>
            </w:r>
            <w:r>
              <w:rPr>
                <w:sz w:val="20"/>
                <w:szCs w:val="20"/>
              </w:rPr>
              <w:t xml:space="preserve">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 xml:space="preserve">Current Assets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center"/>
            <w:hideMark/>
          </w:tcPr>
          <w:p w:rsidR="00000000" w:rsidRDefault="00150086">
            <w:pPr>
              <w:pStyle w:val="NormalWeb"/>
              <w:spacing w:before="0" w:beforeAutospacing="0" w:after="0" w:afterAutospacing="0"/>
              <w:jc w:val="right"/>
              <w:rPr>
                <w:sz w:val="20"/>
                <w:szCs w:val="20"/>
              </w:rPr>
            </w:pPr>
            <w:r>
              <w:rPr>
                <w:sz w:val="20"/>
                <w:szCs w:val="20"/>
              </w:rPr>
              <w:t> 556,024</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center"/>
            <w:hideMark/>
          </w:tcPr>
          <w:p w:rsidR="00000000" w:rsidRDefault="00150086">
            <w:pPr>
              <w:pStyle w:val="NormalWeb"/>
              <w:spacing w:before="0" w:beforeAutospacing="0" w:after="0" w:afterAutospacing="0"/>
              <w:jc w:val="right"/>
              <w:rPr>
                <w:sz w:val="20"/>
                <w:szCs w:val="20"/>
              </w:rPr>
            </w:pPr>
            <w:r>
              <w:rPr>
                <w:sz w:val="20"/>
                <w:szCs w:val="20"/>
              </w:rPr>
              <w:t>149,253</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 xml:space="preserve">Current Liabilities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3,650,935</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429,200</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 xml:space="preserve">Working Capital (Deficit)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(3,094,911</w:t>
            </w:r>
          </w:p>
        </w:tc>
        <w:tc>
          <w:tcPr>
            <w:tcW w:w="50" w:type="pct"/>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(279,947</w:t>
            </w:r>
          </w:p>
        </w:tc>
        <w:tc>
          <w:tcPr>
            <w:tcW w:w="50" w:type="pct"/>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r>
    </w:tbl>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lastRenderedPageBreak/>
        <w:t xml:space="preserve">Our total current assets as of October 31, 2018 were $556,024 as compared to total current assets of $149,253 as of January 31, 2018. The increase was primarily due to cash received upon issuance </w:t>
      </w:r>
      <w:r>
        <w:rPr>
          <w:sz w:val="20"/>
          <w:szCs w:val="20"/>
        </w:rPr>
        <w:t>of convertible debentures of $3,817,119 ($5,000,000 Canadian Dollars) and issuance of units, consisting of a common stock and a share purchase warrant per unit, of $976,164 (net of share issuance costs), offset with cash used for the payments of past oblig</w:t>
      </w:r>
      <w:r>
        <w:rPr>
          <w:sz w:val="20"/>
          <w:szCs w:val="20"/>
        </w:rPr>
        <w:t>ations, working capital and business acquisitions. Our total current liabilities as of October 31, 2018 were $3,650,935 as compared to total current liabilities of $429,200 as of January 31, 2018. The increase in current liabilities was primarily attribute</w:t>
      </w:r>
      <w:r>
        <w:rPr>
          <w:sz w:val="20"/>
          <w:szCs w:val="20"/>
        </w:rPr>
        <w:t>d to convertible debentures of $3,817,119 ($5,000,000 Canadian Dollars) issued during the period and amounts remaining to be paid on the acquisition of Pivot Naturals of $329,419 ($423,923 Canadian Dollars), net of convertible debentures of $1,144,601 ($1,</w:t>
      </w:r>
      <w:r>
        <w:rPr>
          <w:sz w:val="20"/>
          <w:szCs w:val="20"/>
        </w:rPr>
        <w:t xml:space="preserve">500,000 Canadian Dollars) settled. </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u w:val="single"/>
        </w:rPr>
        <w:t>Cash Flows</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5000" w:type="pct"/>
        <w:tblCellSpacing w:w="0" w:type="dxa"/>
        <w:tblCellMar>
          <w:left w:w="0" w:type="dxa"/>
          <w:right w:w="0" w:type="dxa"/>
        </w:tblCellMar>
        <w:tblLook w:val="04A0"/>
      </w:tblPr>
      <w:tblGrid>
        <w:gridCol w:w="7107"/>
        <w:gridCol w:w="87"/>
        <w:gridCol w:w="100"/>
        <w:gridCol w:w="867"/>
        <w:gridCol w:w="87"/>
        <w:gridCol w:w="88"/>
        <w:gridCol w:w="100"/>
        <w:gridCol w:w="836"/>
        <w:gridCol w:w="88"/>
      </w:tblGrid>
      <w:tr w:rsidR="00000000">
        <w:trPr>
          <w:divId w:val="7608861"/>
          <w:tblCellSpacing w:w="0" w:type="dxa"/>
        </w:trPr>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6"/>
            <w:vAlign w:val="bottom"/>
            <w:hideMark/>
          </w:tcPr>
          <w:p w:rsidR="00000000" w:rsidRDefault="00150086">
            <w:pPr>
              <w:pStyle w:val="NormalWeb"/>
              <w:spacing w:before="0" w:beforeAutospacing="0" w:after="0" w:afterAutospacing="0"/>
              <w:jc w:val="center"/>
              <w:rPr>
                <w:sz w:val="20"/>
                <w:szCs w:val="20"/>
              </w:rPr>
            </w:pPr>
            <w:r>
              <w:rPr>
                <w:b/>
                <w:bCs/>
                <w:sz w:val="20"/>
                <w:szCs w:val="20"/>
              </w:rPr>
              <w:t>Nine Months Ended</w:t>
            </w:r>
            <w:r>
              <w:rPr>
                <w:sz w:val="20"/>
                <w:szCs w:val="20"/>
              </w:rPr>
              <w:t xml:space="preserve">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October 31,</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2017</w:t>
            </w:r>
          </w:p>
        </w:tc>
        <w:tc>
          <w:tcPr>
            <w:tcW w:w="0" w:type="auto"/>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 xml:space="preserve">Net Cash Used In Operating Activities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(3,560,374</w:t>
            </w:r>
          </w:p>
        </w:tc>
        <w:tc>
          <w:tcPr>
            <w:tcW w:w="50" w:type="pct"/>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(199,711</w:t>
            </w:r>
          </w:p>
        </w:tc>
        <w:tc>
          <w:tcPr>
            <w:tcW w:w="50" w:type="pct"/>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Net Cash Used In Investing Activities</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(659,999</w:t>
            </w:r>
          </w:p>
        </w:tc>
        <w:tc>
          <w:tcPr>
            <w:tcW w:w="50" w:type="pct"/>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center"/>
            <w:hideMark/>
          </w:tcPr>
          <w:p w:rsidR="00000000" w:rsidRDefault="00150086">
            <w:pPr>
              <w:pStyle w:val="NormalWeb"/>
              <w:spacing w:before="0" w:beforeAutospacing="0" w:after="0" w:afterAutospacing="0"/>
              <w:jc w:val="right"/>
              <w:rPr>
                <w:sz w:val="20"/>
                <w:szCs w:val="20"/>
              </w:rPr>
            </w:pPr>
            <w:r>
              <w:rPr>
                <w:sz w:val="20"/>
                <w:szCs w:val="20"/>
              </w:rPr>
              <w:t>Nil</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sz w:val="20"/>
                <w:szCs w:val="20"/>
              </w:rPr>
              <w:t xml:space="preserve">Net Cash Provided By Financing Activities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4,583,134</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332,625</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Effects of Exchange Rate Changes on Cash</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(20,371</w:t>
            </w:r>
          </w:p>
        </w:tc>
        <w:tc>
          <w:tcPr>
            <w:tcW w:w="50" w:type="pct"/>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5,051</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b/>
                <w:bCs/>
                <w:sz w:val="20"/>
                <w:szCs w:val="20"/>
              </w:rPr>
              <w:t xml:space="preserve">Increase (Decrease) in Cash During the Period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b/>
                <w:bCs/>
                <w:sz w:val="20"/>
                <w:szCs w:val="20"/>
              </w:rPr>
              <w:t>$</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b/>
                <w:bCs/>
                <w:sz w:val="20"/>
                <w:szCs w:val="20"/>
              </w:rPr>
              <w:t>342,390</w:t>
            </w:r>
          </w:p>
        </w:tc>
        <w:tc>
          <w:tcPr>
            <w:tcW w:w="50" w:type="pct"/>
            <w:shd w:val="clear" w:color="auto" w:fill="CCEEFF"/>
            <w:vAlign w:val="bottom"/>
            <w:hideMark/>
          </w:tcPr>
          <w:p w:rsidR="00000000" w:rsidRDefault="00150086">
            <w:pPr>
              <w:pStyle w:val="NormalWeb"/>
              <w:spacing w:before="0" w:beforeAutospacing="0" w:after="0" w:afterAutospacing="0"/>
              <w:jc w:val="both"/>
              <w:rPr>
                <w:b/>
                <w:bCs/>
                <w:sz w:val="20"/>
                <w:szCs w:val="20"/>
              </w:rPr>
            </w:pPr>
            <w:r>
              <w:rPr>
                <w:b/>
                <w:bCs/>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b/>
                <w:bCs/>
                <w:sz w:val="20"/>
                <w:szCs w:val="20"/>
              </w:rPr>
              <w:t>$</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b/>
                <w:bCs/>
                <w:sz w:val="20"/>
                <w:szCs w:val="20"/>
              </w:rPr>
              <w:t>137,965</w:t>
            </w:r>
          </w:p>
        </w:tc>
        <w:tc>
          <w:tcPr>
            <w:tcW w:w="50" w:type="pct"/>
            <w:shd w:val="clear" w:color="auto" w:fill="CCEEFF"/>
            <w:vAlign w:val="bottom"/>
            <w:hideMark/>
          </w:tcPr>
          <w:p w:rsidR="00000000" w:rsidRDefault="00150086">
            <w:pPr>
              <w:pStyle w:val="NormalWeb"/>
              <w:spacing w:before="0" w:beforeAutospacing="0" w:after="0" w:afterAutospacing="0"/>
              <w:jc w:val="both"/>
              <w:rPr>
                <w:b/>
                <w:bCs/>
                <w:sz w:val="20"/>
                <w:szCs w:val="20"/>
              </w:rPr>
            </w:pPr>
            <w:r>
              <w:rPr>
                <w:b/>
                <w:bCs/>
                <w:sz w:val="20"/>
                <w:szCs w:val="20"/>
              </w:rPr>
              <w:t> </w:t>
            </w:r>
          </w:p>
        </w:tc>
      </w:tr>
    </w:tbl>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i/>
          <w:iCs/>
          <w:sz w:val="20"/>
          <w:szCs w:val="20"/>
        </w:rPr>
        <w:t>Operating Activities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During the nine months ended October 31, 2018, our cash used by operating activities increased by $3,360,663 when compared to cash used in operating activities during the nine months ended October 31, 2017. During the period, we acquired Pivot Naturals and</w:t>
      </w:r>
      <w:r>
        <w:rPr>
          <w:sz w:val="20"/>
          <w:szCs w:val="20"/>
        </w:rPr>
        <w:t xml:space="preserve"> the Thrudermic Transdermal Nanotechnology, which resulted in increase in due diligence costs, general and administration, professional fees and salaries and wages. In addition, proceeds from convertible debentures issued during the period allowed our comp</w:t>
      </w:r>
      <w:r>
        <w:rPr>
          <w:sz w:val="20"/>
          <w:szCs w:val="20"/>
        </w:rPr>
        <w:t>any to pursue our business strategy, including development of our oral and transdermal drug delivery platforms and preparation of our RTIC products for production and commercialization, which resulted in increased research and development costs and rent fr</w:t>
      </w:r>
      <w:r>
        <w:rPr>
          <w:sz w:val="20"/>
          <w:szCs w:val="20"/>
        </w:rPr>
        <w:t>om securing manufacturing facilities.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i/>
          <w:iCs/>
          <w:sz w:val="20"/>
          <w:szCs w:val="20"/>
        </w:rPr>
        <w:t>Investing Activities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During the nine months ended October 31, 2018, we acquired Pivot Naturals through the issuance of 5,000,000 shares of our common stock and a payment of $659,999. We did not have any investing a</w:t>
      </w:r>
      <w:r>
        <w:rPr>
          <w:sz w:val="20"/>
          <w:szCs w:val="20"/>
        </w:rPr>
        <w:t>ctivities during the nine months ended October 31, 2017.</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i/>
          <w:iCs/>
          <w:sz w:val="20"/>
          <w:szCs w:val="20"/>
        </w:rPr>
        <w:t>Financing Activities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During the nine months ended October 31, 2018, we received net proceeds of $3,817,119 from convertible debentures, $394,616 from promissory note and $976,164 from issuance of</w:t>
      </w:r>
      <w:r>
        <w:rPr>
          <w:sz w:val="20"/>
          <w:szCs w:val="20"/>
        </w:rPr>
        <w:t xml:space="preserve"> units of our company. We repaid loan payable and promissory notes of $15,925 and $588,839, respectively. </w:t>
      </w:r>
    </w:p>
    <w:p w:rsidR="00000000" w:rsidRDefault="00150086">
      <w:pPr>
        <w:pStyle w:val="NormalWeb"/>
        <w:spacing w:before="0" w:beforeAutospacing="0" w:after="0" w:afterAutospacing="0"/>
        <w:jc w:val="both"/>
        <w:divId w:val="7608861"/>
        <w:rPr>
          <w:sz w:val="20"/>
          <w:szCs w:val="20"/>
        </w:rPr>
      </w:pPr>
      <w:r>
        <w:rPr>
          <w:sz w:val="20"/>
          <w:szCs w:val="20"/>
        </w:rPr>
        <w:t xml:space="preserve">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tcBorders>
              <w:bottom w:val="single" w:sz="6" w:space="0" w:color="000000"/>
            </w:tcBorders>
            <w:vAlign w:val="center"/>
            <w:hideMark/>
          </w:tcPr>
          <w:p w:rsidR="00000000" w:rsidRDefault="00150086">
            <w:pPr>
              <w:spacing w:before="0" w:beforeAutospacing="0" w:after="0" w:afterAutospacing="0"/>
              <w:jc w:val="center"/>
              <w:rPr>
                <w:rFonts w:eastAsia="Times New Roman"/>
                <w:sz w:val="20"/>
                <w:szCs w:val="20"/>
              </w:rPr>
            </w:pPr>
            <w:r>
              <w:rPr>
                <w:rFonts w:eastAsia="Times New Roman"/>
                <w:sz w:val="20"/>
                <w:szCs w:val="20"/>
              </w:rPr>
              <w:t>25</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50086">
      <w:pPr>
        <w:pStyle w:val="NormalWeb"/>
        <w:spacing w:before="0" w:beforeAutospacing="0" w:after="0" w:afterAutospacing="0"/>
        <w:jc w:val="both"/>
        <w:divId w:val="7608861"/>
        <w:rPr>
          <w:sz w:val="20"/>
          <w:szCs w:val="20"/>
        </w:rPr>
      </w:pPr>
      <w:r>
        <w:rPr>
          <w:sz w:val="20"/>
          <w:szCs w:val="20"/>
        </w:rPr>
        <w:t xml:space="preserve">   </w:t>
      </w:r>
    </w:p>
    <w:p w:rsidR="00000000" w:rsidRDefault="00150086">
      <w:pPr>
        <w:pStyle w:val="NormalWeb"/>
        <w:spacing w:before="0" w:beforeAutospacing="0" w:after="0" w:afterAutospacing="0"/>
        <w:jc w:val="both"/>
        <w:divId w:val="7608861"/>
        <w:rPr>
          <w:sz w:val="20"/>
          <w:szCs w:val="20"/>
        </w:rPr>
      </w:pPr>
      <w:r>
        <w:rPr>
          <w:sz w:val="20"/>
          <w:szCs w:val="20"/>
        </w:rPr>
        <w:t xml:space="preserve">We will require additional funds to fund our budgeted expenses over the next 12 months. These funds may be raised through equity financing, debt financing, or other sources, which may result in further dilution in the equity ownership of our shares. There </w:t>
      </w:r>
      <w:r>
        <w:rPr>
          <w:sz w:val="20"/>
          <w:szCs w:val="20"/>
        </w:rPr>
        <w:t>is still no assurance that we will be able to maintain operations at a level sufficient for an investor to obtain a return on his investment in our common stock. Further, we may continue to be unprofitable. We need to raise additional funds in the immediat</w:t>
      </w:r>
      <w:r>
        <w:rPr>
          <w:sz w:val="20"/>
          <w:szCs w:val="20"/>
        </w:rPr>
        <w:t>e future in order to proceed with our budgeted expenses.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lastRenderedPageBreak/>
        <w:t xml:space="preserve">Specifically, we estimate our expenses and working capital requirements for the next 12 months to be as follows: </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5000" w:type="pct"/>
        <w:tblCellSpacing w:w="0" w:type="dxa"/>
        <w:tblCellMar>
          <w:left w:w="0" w:type="dxa"/>
          <w:right w:w="0" w:type="dxa"/>
        </w:tblCellMar>
        <w:tblLook w:val="04A0"/>
      </w:tblPr>
      <w:tblGrid>
        <w:gridCol w:w="8215"/>
        <w:gridCol w:w="72"/>
        <w:gridCol w:w="100"/>
        <w:gridCol w:w="900"/>
        <w:gridCol w:w="73"/>
      </w:tblGrid>
      <w:tr w:rsidR="00000000">
        <w:trPr>
          <w:divId w:val="7608861"/>
          <w:tblCellSpacing w:w="0" w:type="dxa"/>
        </w:trPr>
        <w:tc>
          <w:tcPr>
            <w:tcW w:w="0" w:type="auto"/>
            <w:tcBorders>
              <w:bottom w:val="single" w:sz="6" w:space="0" w:color="000000"/>
            </w:tcBorders>
            <w:vAlign w:val="bottom"/>
            <w:hideMark/>
          </w:tcPr>
          <w:p w:rsidR="00000000" w:rsidRDefault="00150086">
            <w:pPr>
              <w:pStyle w:val="NormalWeb"/>
              <w:spacing w:before="0" w:beforeAutospacing="0" w:after="0" w:afterAutospacing="0"/>
              <w:jc w:val="both"/>
              <w:rPr>
                <w:sz w:val="20"/>
                <w:szCs w:val="20"/>
              </w:rPr>
            </w:pPr>
            <w:r>
              <w:rPr>
                <w:b/>
                <w:bCs/>
                <w:sz w:val="20"/>
                <w:szCs w:val="20"/>
              </w:rPr>
              <w:t>Product Development</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50086">
            <w:pPr>
              <w:pStyle w:val="NormalWeb"/>
              <w:spacing w:before="0" w:beforeAutospacing="0" w:after="0" w:afterAutospacing="0"/>
              <w:jc w:val="center"/>
              <w:rPr>
                <w:sz w:val="20"/>
                <w:szCs w:val="20"/>
              </w:rPr>
            </w:pPr>
            <w:r>
              <w:rPr>
                <w:b/>
                <w:bCs/>
                <w:sz w:val="20"/>
                <w:szCs w:val="20"/>
              </w:rPr>
              <w:t>Estimated Expenses</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225"/>
              <w:jc w:val="both"/>
              <w:rPr>
                <w:sz w:val="20"/>
                <w:szCs w:val="20"/>
              </w:rPr>
            </w:pPr>
            <w:r>
              <w:rPr>
                <w:sz w:val="20"/>
                <w:szCs w:val="20"/>
              </w:rPr>
              <w:t>Development of BiPhasix Topical Cream (20g)</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1,430,000</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ind w:left="225"/>
              <w:jc w:val="both"/>
              <w:rPr>
                <w:sz w:val="20"/>
                <w:szCs w:val="20"/>
              </w:rPr>
            </w:pPr>
            <w:r>
              <w:rPr>
                <w:sz w:val="20"/>
                <w:szCs w:val="20"/>
              </w:rPr>
              <w:t>Development of Thrudermic Topical Tube (20g)</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1,590,000</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225"/>
              <w:jc w:val="both"/>
              <w:rPr>
                <w:sz w:val="20"/>
                <w:szCs w:val="20"/>
              </w:rPr>
            </w:pPr>
            <w:r>
              <w:rPr>
                <w:sz w:val="20"/>
                <w:szCs w:val="20"/>
              </w:rPr>
              <w:t>Development of Solmic Oral Dropper Bottle (30ml)</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1,040,000</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ind w:left="225"/>
              <w:jc w:val="both"/>
              <w:rPr>
                <w:sz w:val="20"/>
                <w:szCs w:val="20"/>
              </w:rPr>
            </w:pPr>
            <w:r>
              <w:rPr>
                <w:sz w:val="20"/>
                <w:szCs w:val="20"/>
              </w:rPr>
              <w:t>Development of Ready-to-infuse Powderized Products</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2,310,000</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225"/>
              <w:jc w:val="both"/>
              <w:rPr>
                <w:sz w:val="20"/>
                <w:szCs w:val="20"/>
              </w:rPr>
            </w:pPr>
            <w:r>
              <w:rPr>
                <w:sz w:val="20"/>
                <w:szCs w:val="20"/>
              </w:rPr>
              <w:t>Product Registration and Regulatory</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1,590,000</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ind w:left="225"/>
              <w:jc w:val="both"/>
              <w:rPr>
                <w:sz w:val="20"/>
                <w:szCs w:val="20"/>
              </w:rPr>
            </w:pPr>
            <w:r>
              <w:rPr>
                <w:sz w:val="20"/>
                <w:szCs w:val="20"/>
              </w:rPr>
              <w:t>Data Generation to Claim Indications</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3,180,000</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ind w:left="225"/>
              <w:jc w:val="both"/>
              <w:rPr>
                <w:sz w:val="20"/>
                <w:szCs w:val="20"/>
              </w:rPr>
            </w:pPr>
            <w:r>
              <w:rPr>
                <w:sz w:val="20"/>
                <w:szCs w:val="20"/>
              </w:rPr>
              <w:t>Manufacturing and Supply</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sz w:val="20"/>
                <w:szCs w:val="20"/>
              </w:rPr>
              <w:t>7,150,000</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b/>
                <w:bCs/>
                <w:sz w:val="20"/>
                <w:szCs w:val="20"/>
              </w:rPr>
              <w:t xml:space="preserve">Sales and Marketing Costs </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b/>
                <w:bCs/>
                <w:sz w:val="20"/>
                <w:szCs w:val="20"/>
              </w:rPr>
              <w:t>3,970,000</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b/>
                <w:bCs/>
                <w:sz w:val="20"/>
                <w:szCs w:val="20"/>
              </w:rPr>
            </w:pPr>
            <w:r>
              <w:rPr>
                <w:b/>
                <w:bCs/>
                <w:sz w:val="20"/>
                <w:szCs w:val="20"/>
              </w:rPr>
              <w:t> </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both"/>
              <w:rPr>
                <w:sz w:val="20"/>
                <w:szCs w:val="20"/>
              </w:rPr>
            </w:pPr>
            <w:r>
              <w:rPr>
                <w:b/>
                <w:bCs/>
                <w:sz w:val="20"/>
                <w:szCs w:val="20"/>
              </w:rPr>
              <w:t xml:space="preserve">General and Administrative </w:t>
            </w:r>
          </w:p>
        </w:tc>
        <w:tc>
          <w:tcPr>
            <w:tcW w:w="50" w:type="pct"/>
            <w:shd w:val="clear" w:color="auto" w:fill="CCEE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50086">
            <w:pPr>
              <w:pStyle w:val="NormalWeb"/>
              <w:spacing w:before="0" w:beforeAutospacing="0" w:after="0" w:afterAutospacing="0"/>
              <w:jc w:val="both"/>
              <w:rPr>
                <w:b/>
                <w:bCs/>
                <w:sz w:val="20"/>
                <w:szCs w:val="20"/>
              </w:rPr>
            </w:pPr>
            <w:r>
              <w:rPr>
                <w:b/>
                <w:bCs/>
                <w:sz w:val="20"/>
                <w:szCs w:val="20"/>
              </w:rPr>
              <w:t> </w:t>
            </w:r>
          </w:p>
        </w:tc>
        <w:tc>
          <w:tcPr>
            <w:tcW w:w="450" w:type="pct"/>
            <w:shd w:val="clear" w:color="auto" w:fill="CCEEFF"/>
            <w:vAlign w:val="bottom"/>
            <w:hideMark/>
          </w:tcPr>
          <w:p w:rsidR="00000000" w:rsidRDefault="00150086">
            <w:pPr>
              <w:spacing w:before="0" w:beforeAutospacing="0" w:after="0" w:afterAutospacing="0"/>
              <w:jc w:val="right"/>
              <w:rPr>
                <w:rFonts w:eastAsia="Times New Roman"/>
                <w:sz w:val="20"/>
                <w:szCs w:val="20"/>
              </w:rPr>
            </w:pPr>
            <w:r>
              <w:rPr>
                <w:rFonts w:eastAsia="Times New Roman"/>
                <w:b/>
                <w:bCs/>
                <w:sz w:val="20"/>
                <w:szCs w:val="20"/>
              </w:rPr>
              <w:t>1,990,000</w:t>
            </w:r>
          </w:p>
        </w:tc>
        <w:tc>
          <w:tcPr>
            <w:tcW w:w="50" w:type="pct"/>
            <w:shd w:val="clear" w:color="auto" w:fill="CCEE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b/>
                <w:bCs/>
                <w:sz w:val="20"/>
                <w:szCs w:val="20"/>
              </w:rPr>
            </w:pPr>
            <w:r>
              <w:rPr>
                <w:b/>
                <w:bCs/>
                <w:sz w:val="20"/>
                <w:szCs w:val="20"/>
              </w:rPr>
              <w:t> </w:t>
            </w: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both"/>
              <w:rPr>
                <w:sz w:val="20"/>
                <w:szCs w:val="20"/>
              </w:rPr>
            </w:pPr>
            <w:r>
              <w:rPr>
                <w:b/>
                <w:bCs/>
                <w:sz w:val="20"/>
                <w:szCs w:val="20"/>
              </w:rPr>
              <w:t>Total:</w:t>
            </w:r>
          </w:p>
        </w:tc>
        <w:tc>
          <w:tcPr>
            <w:tcW w:w="50" w:type="pct"/>
            <w:shd w:val="clear" w:color="auto" w:fill="FFFFFF"/>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50086">
            <w:pPr>
              <w:spacing w:before="0" w:beforeAutospacing="0" w:after="0" w:afterAutospacing="0"/>
              <w:jc w:val="both"/>
              <w:rPr>
                <w:rFonts w:eastAsia="Times New Roman"/>
                <w:sz w:val="20"/>
                <w:szCs w:val="20"/>
              </w:rPr>
            </w:pPr>
            <w:r>
              <w:rPr>
                <w:rFonts w:eastAsia="Times New Roman"/>
                <w:b/>
                <w:bCs/>
                <w:sz w:val="20"/>
                <w:szCs w:val="20"/>
              </w:rPr>
              <w:t>$</w:t>
            </w:r>
          </w:p>
        </w:tc>
        <w:tc>
          <w:tcPr>
            <w:tcW w:w="450" w:type="pct"/>
            <w:shd w:val="clear" w:color="auto" w:fill="FFFFFF"/>
            <w:vAlign w:val="bottom"/>
            <w:hideMark/>
          </w:tcPr>
          <w:p w:rsidR="00000000" w:rsidRDefault="00150086">
            <w:pPr>
              <w:spacing w:before="0" w:beforeAutospacing="0" w:after="0" w:afterAutospacing="0"/>
              <w:jc w:val="right"/>
              <w:rPr>
                <w:rFonts w:eastAsia="Times New Roman"/>
                <w:sz w:val="20"/>
                <w:szCs w:val="20"/>
              </w:rPr>
            </w:pPr>
            <w:r>
              <w:rPr>
                <w:rFonts w:eastAsia="Times New Roman"/>
                <w:b/>
                <w:bCs/>
                <w:sz w:val="20"/>
                <w:szCs w:val="20"/>
              </w:rPr>
              <w:t>24,250,000</w:t>
            </w:r>
          </w:p>
        </w:tc>
        <w:tc>
          <w:tcPr>
            <w:tcW w:w="50" w:type="pct"/>
            <w:shd w:val="clear" w:color="auto" w:fill="FFFFFF"/>
            <w:tcMar>
              <w:top w:w="0" w:type="dxa"/>
              <w:left w:w="0" w:type="dxa"/>
              <w:bottom w:w="15" w:type="dxa"/>
              <w:right w:w="0" w:type="dxa"/>
            </w:tcMar>
            <w:vAlign w:val="bottom"/>
            <w:hideMark/>
          </w:tcPr>
          <w:p w:rsidR="00000000" w:rsidRDefault="00150086">
            <w:pPr>
              <w:pStyle w:val="NormalWeb"/>
              <w:spacing w:before="0" w:beforeAutospacing="0" w:after="0" w:afterAutospacing="0"/>
              <w:jc w:val="both"/>
              <w:rPr>
                <w:b/>
                <w:bCs/>
                <w:sz w:val="20"/>
                <w:szCs w:val="20"/>
              </w:rPr>
            </w:pPr>
            <w:r>
              <w:rPr>
                <w:b/>
                <w:bCs/>
                <w:sz w:val="20"/>
                <w:szCs w:val="20"/>
              </w:rPr>
              <w:t> </w:t>
            </w:r>
          </w:p>
        </w:tc>
      </w:tr>
    </w:tbl>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Based on our planned expenditures, we will require additional funds of approximately $24.25 million to proceed with our business plan over the next 12 months and the commencement of commercialization of our product initiatives. If we secure less than the f</w:t>
      </w:r>
      <w:r>
        <w:rPr>
          <w:sz w:val="20"/>
          <w:szCs w:val="20"/>
        </w:rPr>
        <w:t>ull amount of financing that we require, we will not be able to carry out our complete business plan and we will be forced to proceed with a scaled back business plan based on our available financial resources.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Funds raised will be used towards the recruitment of appropriate management and research and development (“R&amp;D”) personnel, as well as towards product development expenditures. Specifically, the funds will be used to cover R&amp;D expenses associated with 1) m</w:t>
      </w:r>
      <w:r>
        <w:rPr>
          <w:sz w:val="20"/>
          <w:szCs w:val="20"/>
        </w:rPr>
        <w:t>anufacturing scale-up of our products at a GMP-certified, high potency drug manufacturing facility; 2) development and manufacture of formulation of our products at a GMP-certified product manufacturing facility for administration of the drug candidates in</w:t>
      </w:r>
      <w:r>
        <w:rPr>
          <w:sz w:val="20"/>
          <w:szCs w:val="20"/>
        </w:rPr>
        <w:t xml:space="preserve"> animals (for safety evaluation) and subsequently to humans 3) submission to appropriate regulatory authorities for NHP registration.</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We anticipate that we will incur substantial losses for the foreseeable future. We have negative cash flows from current</w:t>
      </w:r>
      <w:r>
        <w:rPr>
          <w:sz w:val="20"/>
          <w:szCs w:val="20"/>
        </w:rPr>
        <w:t xml:space="preserve"> operating activities and may continue to be unprofitable. Even if we carry out our expanded research and development activities on our products, there is no guarantee that we will be able to market them or derive any revenues from their sale. </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tcBorders>
              <w:bottom w:val="single" w:sz="6" w:space="0" w:color="000000"/>
            </w:tcBorders>
            <w:vAlign w:val="center"/>
            <w:hideMark/>
          </w:tcPr>
          <w:p w:rsidR="00000000" w:rsidRDefault="00150086">
            <w:pPr>
              <w:spacing w:before="0" w:beforeAutospacing="0" w:after="0" w:afterAutospacing="0"/>
              <w:jc w:val="center"/>
              <w:rPr>
                <w:rFonts w:eastAsia="Times New Roman"/>
                <w:sz w:val="20"/>
                <w:szCs w:val="20"/>
              </w:rPr>
            </w:pPr>
            <w:r>
              <w:rPr>
                <w:rFonts w:eastAsia="Times New Roman"/>
                <w:sz w:val="20"/>
                <w:szCs w:val="20"/>
              </w:rPr>
              <w:t>2</w:t>
            </w:r>
            <w:r>
              <w:rPr>
                <w:rFonts w:eastAsia="Times New Roman"/>
                <w:sz w:val="20"/>
                <w:szCs w:val="20"/>
              </w:rPr>
              <w:t>6</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50086">
      <w:pPr>
        <w:pStyle w:val="NormalWeb"/>
        <w:spacing w:before="0" w:beforeAutospacing="0" w:after="0" w:afterAutospacing="0"/>
        <w:jc w:val="both"/>
        <w:divId w:val="7608861"/>
        <w:rPr>
          <w:sz w:val="20"/>
          <w:szCs w:val="20"/>
        </w:rPr>
      </w:pPr>
      <w:r>
        <w:rPr>
          <w:sz w:val="20"/>
          <w:szCs w:val="20"/>
        </w:rPr>
        <w:t xml:space="preserve">   </w:t>
      </w:r>
    </w:p>
    <w:p w:rsidR="00000000" w:rsidRDefault="00150086">
      <w:pPr>
        <w:pStyle w:val="NormalWeb"/>
        <w:spacing w:before="0" w:beforeAutospacing="0" w:after="0" w:afterAutospacing="0"/>
        <w:jc w:val="both"/>
        <w:divId w:val="7608861"/>
        <w:rPr>
          <w:sz w:val="20"/>
          <w:szCs w:val="20"/>
        </w:rPr>
      </w:pPr>
      <w:r>
        <w:rPr>
          <w:sz w:val="20"/>
          <w:szCs w:val="20"/>
        </w:rPr>
        <w:t>Although we are anticipating commercialization to commence on some of our product initiatives over the next 12 months, anticipated revenues will not be sufficient to finance our business plan. We intend to raise capital through equity and, if necessary, de</w:t>
      </w:r>
      <w:r>
        <w:rPr>
          <w:sz w:val="20"/>
          <w:szCs w:val="20"/>
        </w:rPr>
        <w:t>bt financing. We anticipate that the bulk of any additional funding we receive will be in the form of equity financing from the sale of our common stock. However, we do not have any financing arranged and we cannot provide any assurance that we will be abl</w:t>
      </w:r>
      <w:r>
        <w:rPr>
          <w:sz w:val="20"/>
          <w:szCs w:val="20"/>
        </w:rPr>
        <w:t>e to raise sufficient funds from the sale of our common stock to fund our operations or planned research and development activities. In the absence of such financing, we will not be able to carry out our planned research and development activities. Even if</w:t>
      </w:r>
      <w:r>
        <w:rPr>
          <w:sz w:val="20"/>
          <w:szCs w:val="20"/>
        </w:rPr>
        <w:t xml:space="preserve"> we are successful in obtaining equity financing to fund our operations and research and development activities, there is no assurance that we will obtain the funding necessary to pursue any advanced research and development following the completion of our</w:t>
      </w:r>
      <w:r>
        <w:rPr>
          <w:sz w:val="20"/>
          <w:szCs w:val="20"/>
        </w:rPr>
        <w:t xml:space="preserve"> planned clinical trials. If we do not continue to obtain additional financing, we may be forced to abandon our business plan. There is no assurance that we will be able to maintain operations at a level sufficient for an investor to obtain a return on his</w:t>
      </w:r>
      <w:r>
        <w:rPr>
          <w:sz w:val="20"/>
          <w:szCs w:val="20"/>
        </w:rPr>
        <w:t xml:space="preserve"> investment in our common stock. </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Any modifications to our plans will be based on many factors, including the results of our R&amp;D and the amount of available capital. Further, the extent to which we carry out our development of planned products is depende</w:t>
      </w:r>
      <w:r>
        <w:rPr>
          <w:sz w:val="20"/>
          <w:szCs w:val="20"/>
        </w:rPr>
        <w:t>nt upon the amount of financing available to us.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b/>
          <w:bCs/>
          <w:sz w:val="20"/>
          <w:szCs w:val="20"/>
        </w:rPr>
        <w:lastRenderedPageBreak/>
        <w:t>Future Financings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 xml:space="preserve">We will require additional financing in order to enable us to proceed with our plan of operations, as discussed above, including approximately $24.25 million over the next 12 months to </w:t>
      </w:r>
      <w:r>
        <w:rPr>
          <w:sz w:val="20"/>
          <w:szCs w:val="20"/>
        </w:rPr>
        <w:t>pay for product development, sales and marketing and general and administrative expenses. These cash requirements are in excess of our current cash and working capital resources. Accordingly, we will require additional financing in order to continue operat</w:t>
      </w:r>
      <w:r>
        <w:rPr>
          <w:sz w:val="20"/>
          <w:szCs w:val="20"/>
        </w:rPr>
        <w:t xml:space="preserve">ions and to repay our liabilities. There is no assurance that any party will advance additional funds to us in order to enable us to sustain our plan of operations or to repay our liabilities. </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We anticipate continuing to rely on equity sales of our comm</w:t>
      </w:r>
      <w:r>
        <w:rPr>
          <w:sz w:val="20"/>
          <w:szCs w:val="20"/>
        </w:rPr>
        <w:t>on stock in order to continue to fund our business operations. Issuances of additional shares will result in dilution to our existing stockholders. There is no assurance that we will achieve any additional sales of our equity securities or arrange for debt</w:t>
      </w:r>
      <w:r>
        <w:rPr>
          <w:sz w:val="20"/>
          <w:szCs w:val="20"/>
        </w:rPr>
        <w:t xml:space="preserve"> or other financing to fund our planned business activities.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 xml:space="preserve">We presently do not have any arrangements for additional financing for the expansion of our operations, and no potential lines of credit or sources of financing are currently available for the </w:t>
      </w:r>
      <w:r>
        <w:rPr>
          <w:sz w:val="20"/>
          <w:szCs w:val="20"/>
        </w:rPr>
        <w:t>purpose of proceeding with our plan of operations.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b/>
          <w:bCs/>
          <w:sz w:val="20"/>
          <w:szCs w:val="20"/>
        </w:rPr>
        <w:t>Inflation</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The amounts presented in the consolidated financial statements do not provide for the effect of inflation on our operations or financial position. The net operating losses shown would be grea</w:t>
      </w:r>
      <w:r>
        <w:rPr>
          <w:sz w:val="20"/>
          <w:szCs w:val="20"/>
        </w:rPr>
        <w:t>ter than reported if the effects of inflation were reflected either by charging operations with amounts that represent replacement costs or by using other inflation adjustments.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b/>
          <w:bCs/>
          <w:sz w:val="20"/>
          <w:szCs w:val="20"/>
        </w:rPr>
        <w:t>Off-Balance Sheet Arrangements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We have no off-balance sheet arrangements that have or are reasonably likely to have a current or future effect on our consolidated financial condition, changes in financial condition, revenues or expenses, results of operations, liquidity, capital expendi</w:t>
      </w:r>
      <w:r>
        <w:rPr>
          <w:sz w:val="20"/>
          <w:szCs w:val="20"/>
        </w:rPr>
        <w:t>tures or capital resources that is material to stockholders.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b/>
          <w:bCs/>
          <w:sz w:val="20"/>
          <w:szCs w:val="20"/>
        </w:rPr>
        <w:t xml:space="preserve">Critical Accounting Policies </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The discussion and analysis of our consolidated financial condition and results of operations are based upon our consolidated financial statements, which have be</w:t>
      </w:r>
      <w:r>
        <w:rPr>
          <w:sz w:val="20"/>
          <w:szCs w:val="20"/>
        </w:rPr>
        <w:t>en prepared in accordance with the accounting principles generally accepted in the United States of America. Preparing consolidated financial statements requires management to make estimates and assumptions that affect the reported amounts of assets, liabi</w:t>
      </w:r>
      <w:r>
        <w:rPr>
          <w:sz w:val="20"/>
          <w:szCs w:val="20"/>
        </w:rPr>
        <w:t>lities, revenue, and expenses. These estimates and assumptions are affected by management’s application of accounting policies. We believe that understanding the basis and nature of the estimates and assumptions involved with the following aspects of our c</w:t>
      </w:r>
      <w:r>
        <w:rPr>
          <w:sz w:val="20"/>
          <w:szCs w:val="20"/>
        </w:rPr>
        <w:t>onsolidated financial statements is critical to an understanding of our consolidated financial statements.</w:t>
      </w:r>
    </w:p>
    <w:p w:rsidR="00000000" w:rsidRDefault="00150086">
      <w:pPr>
        <w:pStyle w:val="NormalWeb"/>
        <w:spacing w:before="0" w:beforeAutospacing="0" w:after="0" w:afterAutospacing="0"/>
        <w:jc w:val="both"/>
        <w:divId w:val="7608861"/>
        <w:rPr>
          <w:sz w:val="20"/>
          <w:szCs w:val="20"/>
        </w:rPr>
      </w:pPr>
      <w:r>
        <w:rPr>
          <w:sz w:val="20"/>
          <w:szCs w:val="20"/>
        </w:rPr>
        <w:t xml:space="preserve">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tcBorders>
              <w:bottom w:val="single" w:sz="6" w:space="0" w:color="000000"/>
            </w:tcBorders>
            <w:vAlign w:val="center"/>
            <w:hideMark/>
          </w:tcPr>
          <w:p w:rsidR="00000000" w:rsidRDefault="00150086">
            <w:pPr>
              <w:spacing w:before="0" w:beforeAutospacing="0" w:after="0" w:afterAutospacing="0"/>
              <w:jc w:val="center"/>
              <w:rPr>
                <w:rFonts w:eastAsia="Times New Roman"/>
                <w:sz w:val="20"/>
                <w:szCs w:val="20"/>
              </w:rPr>
            </w:pPr>
            <w:r>
              <w:rPr>
                <w:rFonts w:eastAsia="Times New Roman"/>
                <w:sz w:val="20"/>
                <w:szCs w:val="20"/>
              </w:rPr>
              <w:t>27</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50086">
      <w:pPr>
        <w:pStyle w:val="NormalWeb"/>
        <w:spacing w:before="0" w:beforeAutospacing="0" w:after="0" w:afterAutospacing="0"/>
        <w:jc w:val="both"/>
        <w:divId w:val="7608861"/>
        <w:rPr>
          <w:sz w:val="20"/>
          <w:szCs w:val="20"/>
        </w:rPr>
      </w:pPr>
      <w:r>
        <w:rPr>
          <w:sz w:val="20"/>
          <w:szCs w:val="20"/>
        </w:rPr>
        <w:t xml:space="preserve">    </w:t>
      </w:r>
    </w:p>
    <w:p w:rsidR="00000000" w:rsidRDefault="00150086">
      <w:pPr>
        <w:pStyle w:val="NormalWeb"/>
        <w:spacing w:before="0" w:beforeAutospacing="0" w:after="0" w:afterAutospacing="0"/>
        <w:jc w:val="both"/>
        <w:divId w:val="7608861"/>
        <w:rPr>
          <w:sz w:val="20"/>
          <w:szCs w:val="20"/>
        </w:rPr>
      </w:pPr>
      <w:r>
        <w:rPr>
          <w:i/>
          <w:iCs/>
          <w:sz w:val="20"/>
          <w:szCs w:val="20"/>
        </w:rPr>
        <w:t>Use of Estimates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The preparation of these consolidated financial statements in conformity with generally accepted accounting principles in the United States requires management to make estimates and assumptions that affect the reported amounts of assets and liabilities and</w:t>
      </w:r>
      <w:r>
        <w:rPr>
          <w:sz w:val="20"/>
          <w:szCs w:val="20"/>
        </w:rPr>
        <w:t xml:space="preserve"> disclosure of contingent assets and liabilities at the date of the consolidated financial statements and the reported amounts of revenues and expenses during the reporting period. Our company regularly evaluates estimates and assumptions related to the us</w:t>
      </w:r>
      <w:r>
        <w:rPr>
          <w:sz w:val="20"/>
          <w:szCs w:val="20"/>
        </w:rPr>
        <w:t xml:space="preserve">eful life and recoverability of long-lived assets, assumptions used to determine the fair values of stock-based compensation and derivative liabilities, and deferred income tax asset valuation allowances. Our company bases its estimates and assumptions on </w:t>
      </w:r>
      <w:r>
        <w:rPr>
          <w:sz w:val="20"/>
          <w:szCs w:val="20"/>
        </w:rPr>
        <w:t xml:space="preserve">current facts, historical experience and various other factors that it believes to be reasonable under the circumstances, the results of which </w:t>
      </w:r>
      <w:r>
        <w:rPr>
          <w:sz w:val="20"/>
          <w:szCs w:val="20"/>
        </w:rPr>
        <w:lastRenderedPageBreak/>
        <w:t xml:space="preserve">form the basis for making judgments about the carrying values of assets and liabilities and the accrual of costs </w:t>
      </w:r>
      <w:r>
        <w:rPr>
          <w:sz w:val="20"/>
          <w:szCs w:val="20"/>
        </w:rPr>
        <w:t>and expenses that are not readily apparent from other sources. The actual results experienced by our company may differ materially and adversely from our company’s estimates. To the extent there are material differences between the estimates and the actual</w:t>
      </w:r>
      <w:r>
        <w:rPr>
          <w:sz w:val="20"/>
          <w:szCs w:val="20"/>
        </w:rPr>
        <w:t xml:space="preserve"> results, future results of operations will be affected.</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i/>
          <w:iCs/>
          <w:sz w:val="20"/>
          <w:szCs w:val="20"/>
        </w:rPr>
        <w:t>Long-lived Assets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In accordance with ASC 360, “Property, Plant and Equipment”, our company tests long-lived assets or asset groups for recoverability when events or changes in circumstances indic</w:t>
      </w:r>
      <w:r>
        <w:rPr>
          <w:sz w:val="20"/>
          <w:szCs w:val="20"/>
        </w:rPr>
        <w:t>ate that their carrying amount may not be recoverable. Circumstances which could trigger a review include, but are not limited to: significant decreases in the market price of the asset; significant adverse changes in the business climate or legal factors;</w:t>
      </w:r>
      <w:r>
        <w:rPr>
          <w:sz w:val="20"/>
          <w:szCs w:val="20"/>
        </w:rPr>
        <w:t xml:space="preserve"> accumulation of costs significantly in excess of the amount originally expected for the acquisition or construction of the asset; current period cash flow or operating losses combined with a history of losses or a forecast of continuing losses associated </w:t>
      </w:r>
      <w:r>
        <w:rPr>
          <w:sz w:val="20"/>
          <w:szCs w:val="20"/>
        </w:rPr>
        <w:t>with the use of the asset; and current expectation that the asset will more likely than not be sold or disposed significantly before the end of its estimated useful life. Recoverability is assessed based on the carrying amount of the asset and its fair val</w:t>
      </w:r>
      <w:r>
        <w:rPr>
          <w:sz w:val="20"/>
          <w:szCs w:val="20"/>
        </w:rPr>
        <w:t>ue, which is generally determined based on the sum of the undiscounted cash flows expected to result from the use and the eventual disposal of the asset, as well as specific appraisal in certain instances. An impairment loss is recognized when the carrying</w:t>
      </w:r>
      <w:r>
        <w:rPr>
          <w:sz w:val="20"/>
          <w:szCs w:val="20"/>
        </w:rPr>
        <w:t xml:space="preserve"> amount is not recoverable and exceeds fair value.</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i/>
          <w:iCs/>
          <w:sz w:val="20"/>
          <w:szCs w:val="20"/>
        </w:rPr>
        <w:t>Stock-Based Compensation</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 xml:space="preserve">Our company records stock-based compensation in accordance with ASC 718, </w:t>
      </w:r>
      <w:r>
        <w:rPr>
          <w:i/>
          <w:iCs/>
          <w:sz w:val="20"/>
          <w:szCs w:val="20"/>
        </w:rPr>
        <w:t>Compensation – Stock-Based Compensation</w:t>
      </w:r>
      <w:r>
        <w:rPr>
          <w:sz w:val="20"/>
          <w:szCs w:val="20"/>
        </w:rPr>
        <w:t>, using the fair value method. All transactions in which goods o</w:t>
      </w:r>
      <w:r>
        <w:rPr>
          <w:sz w:val="20"/>
          <w:szCs w:val="20"/>
        </w:rPr>
        <w:t>r services are the consideration received for the issuance of equity instruments are accounted for based on the fair value of the consideration received or the fair value of the equity instrument issued, whichever is more reliably measurable.</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i/>
          <w:iCs/>
          <w:sz w:val="20"/>
          <w:szCs w:val="20"/>
        </w:rPr>
        <w:t>Financial I</w:t>
      </w:r>
      <w:r>
        <w:rPr>
          <w:i/>
          <w:iCs/>
          <w:sz w:val="20"/>
          <w:szCs w:val="20"/>
        </w:rPr>
        <w:t>nstruments and Fair Value Measures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 xml:space="preserve">ASC 820, </w:t>
      </w:r>
      <w:r>
        <w:rPr>
          <w:i/>
          <w:iCs/>
          <w:sz w:val="20"/>
          <w:szCs w:val="20"/>
        </w:rPr>
        <w:t>Fair Value Measurements</w:t>
      </w:r>
      <w:r>
        <w:rPr>
          <w:sz w:val="20"/>
          <w:szCs w:val="20"/>
        </w:rPr>
        <w:t>, requires an entity to maximize the use of observable inputs and minimize the use of unobservable inputs when measuring fair value. ASC 820 establishes a fair value hierarchy based on th</w:t>
      </w:r>
      <w:r>
        <w:rPr>
          <w:sz w:val="20"/>
          <w:szCs w:val="20"/>
        </w:rPr>
        <w:t>e level of independent, objective evidence surrounding the inputs used to measure fair value. A financial instrument’s categorization within the fair value hierarchy is based upon the lowest level of input that is significant to the fair value measurement.</w:t>
      </w:r>
      <w:r>
        <w:rPr>
          <w:sz w:val="20"/>
          <w:szCs w:val="20"/>
        </w:rPr>
        <w:t xml:space="preserve"> ASC 820 prioritizes the inputs into three levels that may be used to measure fair value:</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i/>
          <w:iCs/>
          <w:sz w:val="20"/>
          <w:szCs w:val="20"/>
        </w:rPr>
        <w:t xml:space="preserve">Level 1 - </w:t>
      </w:r>
      <w:r>
        <w:rPr>
          <w:sz w:val="20"/>
          <w:szCs w:val="20"/>
        </w:rPr>
        <w:t>Level 1 applies to assets or liabilities for which there are quoted prices in active markets for identical assets or liabilities.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i/>
          <w:iCs/>
          <w:sz w:val="20"/>
          <w:szCs w:val="20"/>
        </w:rPr>
        <w:t xml:space="preserve">Level 2 - </w:t>
      </w:r>
      <w:r>
        <w:rPr>
          <w:sz w:val="20"/>
          <w:szCs w:val="20"/>
        </w:rPr>
        <w:t>Level 2 applies to assets or liabilities for which there are inputs other than quoted prices that are observable for the asset or liability such as quoted prices for similar assets or liabilities in active markets; quoted prices for identical assets or lia</w:t>
      </w:r>
      <w:r>
        <w:rPr>
          <w:sz w:val="20"/>
          <w:szCs w:val="20"/>
        </w:rPr>
        <w:t>bilities in markets with insufficient volume or infrequent transactions (less active markets); or model-derived valuations in which significant inputs are observable or can be derived principally from, or corroborated by, observable market data.</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i/>
          <w:iCs/>
          <w:sz w:val="20"/>
          <w:szCs w:val="20"/>
        </w:rPr>
        <w:t xml:space="preserve">Level 3 </w:t>
      </w:r>
      <w:r>
        <w:rPr>
          <w:i/>
          <w:iCs/>
          <w:sz w:val="20"/>
          <w:szCs w:val="20"/>
        </w:rPr>
        <w:t xml:space="preserve">- </w:t>
      </w:r>
      <w:r>
        <w:rPr>
          <w:sz w:val="20"/>
          <w:szCs w:val="20"/>
        </w:rPr>
        <w:t>Level 3 applies to assets or liabilities for which there are unobservable inputs to the valuation methodology that are significant to the measurement of the fair value of the assets or liabilities.</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tcBorders>
              <w:bottom w:val="single" w:sz="6" w:space="0" w:color="000000"/>
            </w:tcBorders>
            <w:vAlign w:val="center"/>
            <w:hideMark/>
          </w:tcPr>
          <w:p w:rsidR="00000000" w:rsidRDefault="00150086">
            <w:pPr>
              <w:spacing w:before="0" w:beforeAutospacing="0" w:after="0" w:afterAutospacing="0"/>
              <w:jc w:val="center"/>
              <w:rPr>
                <w:rFonts w:eastAsia="Times New Roman"/>
                <w:sz w:val="20"/>
                <w:szCs w:val="20"/>
              </w:rPr>
            </w:pPr>
            <w:r>
              <w:rPr>
                <w:rFonts w:eastAsia="Times New Roman"/>
                <w:sz w:val="20"/>
                <w:szCs w:val="20"/>
              </w:rPr>
              <w:t>28</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50086">
      <w:pPr>
        <w:pStyle w:val="NormalWeb"/>
        <w:spacing w:before="0" w:beforeAutospacing="0" w:after="0" w:afterAutospacing="0"/>
        <w:jc w:val="both"/>
        <w:divId w:val="7608861"/>
        <w:rPr>
          <w:sz w:val="20"/>
          <w:szCs w:val="20"/>
        </w:rPr>
      </w:pPr>
      <w:r>
        <w:rPr>
          <w:sz w:val="20"/>
          <w:szCs w:val="20"/>
        </w:rPr>
        <w:t xml:space="preserve">   </w:t>
      </w:r>
    </w:p>
    <w:p w:rsidR="00000000" w:rsidRDefault="00150086">
      <w:pPr>
        <w:pStyle w:val="NormalWeb"/>
        <w:spacing w:before="0" w:beforeAutospacing="0" w:after="0" w:afterAutospacing="0"/>
        <w:jc w:val="both"/>
        <w:divId w:val="7608861"/>
        <w:rPr>
          <w:sz w:val="20"/>
          <w:szCs w:val="20"/>
        </w:rPr>
      </w:pPr>
      <w:r>
        <w:rPr>
          <w:sz w:val="20"/>
          <w:szCs w:val="20"/>
        </w:rPr>
        <w:t>Our company’s financial instruments consist principally of cash, accounts payable and accrued liabilities and amounts due to related parties. Pursuant to ASC 820, the fair value of cash is determined based on “Level 1” inputs, wh</w:t>
      </w:r>
      <w:r>
        <w:rPr>
          <w:sz w:val="20"/>
          <w:szCs w:val="20"/>
        </w:rPr>
        <w:t xml:space="preserve">ich consist of quoted prices in active markets for identical assets and derivative liabilities is determined based on “Level 2” inputs, as determined by observable market data. We believe that the recorded values of all of our other </w:t>
      </w:r>
      <w:r>
        <w:rPr>
          <w:sz w:val="20"/>
          <w:szCs w:val="20"/>
        </w:rPr>
        <w:lastRenderedPageBreak/>
        <w:t>financial instruments a</w:t>
      </w:r>
      <w:r>
        <w:rPr>
          <w:sz w:val="20"/>
          <w:szCs w:val="20"/>
        </w:rPr>
        <w:t>pproximate their current fair values because of their nature and respective maturity dates or durations.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i/>
          <w:iCs/>
          <w:sz w:val="20"/>
          <w:szCs w:val="20"/>
        </w:rPr>
        <w:t>Foreign Currency Translation</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The functional currency of our parent entity, Pivot Pharmaceuticals Inc., and our wholly-owned subsidiary, Pivot Green</w:t>
      </w:r>
      <w:r>
        <w:rPr>
          <w:sz w:val="20"/>
          <w:szCs w:val="20"/>
        </w:rPr>
        <w:t xml:space="preserve"> Stream Health Solutions Inc., is the Canadian dollar. The functional currency of our wholly-owned subsidiary, Pivot Naturals, LLC, is the US dollar. Our company’s presentation currency is the US dollar. </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Monetary assets and liabilities are translated us</w:t>
      </w:r>
      <w:r>
        <w:rPr>
          <w:sz w:val="20"/>
          <w:szCs w:val="20"/>
        </w:rPr>
        <w:t xml:space="preserve">ing the exchange rate prevailing at the consolidated balance sheet date. Non-monetary assets and liabilities denominated in foreign currencies are translated at rates of exchange in effect at the date of the transaction. Expenses are translated at average </w:t>
      </w:r>
      <w:r>
        <w:rPr>
          <w:sz w:val="20"/>
          <w:szCs w:val="20"/>
        </w:rPr>
        <w:t xml:space="preserve">rates for the period. Gains and losses arising on translation or settlement of foreign currency denominated transactions or balances are included in the determination of income. </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Results of operations are translated into our company’s presentation curren</w:t>
      </w:r>
      <w:r>
        <w:rPr>
          <w:sz w:val="20"/>
          <w:szCs w:val="20"/>
        </w:rPr>
        <w:t>cy, US dollars, at an appropriate average rate of exchange during the year. Net assets and liabilities are translated to US dollars for presentation purposes at rates of exchange in effect at the end of the period. Gains or losses arising on translation ar</w:t>
      </w:r>
      <w:r>
        <w:rPr>
          <w:sz w:val="20"/>
          <w:szCs w:val="20"/>
        </w:rPr>
        <w:t>e recognized in other comprehensive income (loss) as foreign currency translation adjustments.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i/>
          <w:iCs/>
          <w:sz w:val="20"/>
          <w:szCs w:val="20"/>
        </w:rPr>
        <w:t>Recent Accounting Pronouncements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Our company has implemented all new accounting pronouncements that are in effect and that may impact our consolidated financ</w:t>
      </w:r>
      <w:r>
        <w:rPr>
          <w:sz w:val="20"/>
          <w:szCs w:val="20"/>
        </w:rPr>
        <w:t>ial statements and we do not believe that there are any other new accounting pronouncements that have been issued that might have a material impact on our consolidated financial position or results of operations.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bookmarkStart w:id="4" w:name="Item_3._Quantitative_and_Qualitative_Dis"/>
      <w:r>
        <w:rPr>
          <w:b/>
          <w:bCs/>
          <w:sz w:val="20"/>
          <w:szCs w:val="20"/>
        </w:rPr>
        <w:t>Item 3. Quantitative and Qualitative Disc</w:t>
      </w:r>
      <w:r>
        <w:rPr>
          <w:b/>
          <w:bCs/>
          <w:sz w:val="20"/>
          <w:szCs w:val="20"/>
        </w:rPr>
        <w:t>losure About Market Risk</w:t>
      </w:r>
      <w:bookmarkEnd w:id="4"/>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As a “smaller reporting company”, we are not required to provide the information required by this Item.</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bookmarkStart w:id="5" w:name="Item_4._Controls_and_Procedures"/>
      <w:r>
        <w:rPr>
          <w:b/>
          <w:bCs/>
          <w:sz w:val="20"/>
          <w:szCs w:val="20"/>
        </w:rPr>
        <w:t>Item 4. Controls and Procedures</w:t>
      </w:r>
      <w:bookmarkEnd w:id="5"/>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i/>
          <w:iCs/>
          <w:sz w:val="20"/>
          <w:szCs w:val="20"/>
        </w:rPr>
        <w:t>Evaluation of Disclosure Controls and Procedures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We maintain disclosure controls and procedures, as defined in Rule 13a-15(e) promulgated under the Securities Exchange Act of 1934 (the “Exchange Act”), that are designed to ensure that information required to be disclosed by us in the reports that we file</w:t>
      </w:r>
      <w:r>
        <w:rPr>
          <w:sz w:val="20"/>
          <w:szCs w:val="20"/>
        </w:rPr>
        <w:t xml:space="preserve"> or submit under the Exchange Act is recorded, processed, summarized and reported within the time periods specified in the Securities and Exchange Commission’s rules and forms and that such information is accumulated and communicated to our management, inc</w:t>
      </w:r>
      <w:r>
        <w:rPr>
          <w:sz w:val="20"/>
          <w:szCs w:val="20"/>
        </w:rPr>
        <w:t>luding our chief executive officer (our principal executive officer) and our chief financial officer (principal financial officer and principal accounting officer), as appropriate to allow timely decisions regarding required disclosure.</w:t>
      </w:r>
    </w:p>
    <w:p w:rsidR="00000000" w:rsidRDefault="00150086">
      <w:pPr>
        <w:pStyle w:val="NormalWeb"/>
        <w:spacing w:before="0" w:beforeAutospacing="0" w:after="0" w:afterAutospacing="0"/>
        <w:jc w:val="both"/>
        <w:divId w:val="7608861"/>
        <w:rPr>
          <w:sz w:val="20"/>
          <w:szCs w:val="20"/>
        </w:rPr>
      </w:pPr>
      <w:r>
        <w:rPr>
          <w:sz w:val="20"/>
          <w:szCs w:val="20"/>
        </w:rPr>
        <w:t xml:space="preserve">   </w:t>
      </w:r>
    </w:p>
    <w:p w:rsidR="00000000" w:rsidRDefault="00150086">
      <w:pPr>
        <w:pStyle w:val="NormalWeb"/>
        <w:spacing w:before="0" w:beforeAutospacing="0" w:after="0" w:afterAutospacing="0"/>
        <w:jc w:val="both"/>
        <w:divId w:val="7608861"/>
        <w:rPr>
          <w:sz w:val="20"/>
          <w:szCs w:val="20"/>
        </w:rPr>
      </w:pPr>
      <w:r>
        <w:rPr>
          <w:sz w:val="20"/>
          <w:szCs w:val="20"/>
        </w:rPr>
        <w:t xml:space="preserve">We carried out </w:t>
      </w:r>
      <w:r>
        <w:rPr>
          <w:sz w:val="20"/>
          <w:szCs w:val="20"/>
        </w:rPr>
        <w:t>an evaluation, under the supervision and with the participation of our management, including our chief executive officer (our principal executive officer) and our chief financial officer (principal financial officer and principal accounting officer), of th</w:t>
      </w:r>
      <w:r>
        <w:rPr>
          <w:sz w:val="20"/>
          <w:szCs w:val="20"/>
        </w:rPr>
        <w:t>e effectiveness of the design and operation of our disclosure controls and procedures as of quarter covered by this report. Based on the evaluation of these disclosure controls and procedures our chief executive officer (our principal executive officer) an</w:t>
      </w:r>
      <w:r>
        <w:rPr>
          <w:sz w:val="20"/>
          <w:szCs w:val="20"/>
        </w:rPr>
        <w:t>d our chief financial officer (principal financial officer and principal accounting officer) concluded that our disclosure controls and procedures were not effective.</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i/>
          <w:iCs/>
          <w:sz w:val="20"/>
          <w:szCs w:val="20"/>
        </w:rPr>
        <w:t>Changes in Internal Controls</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 xml:space="preserve">During the quarter covered by this report there were no </w:t>
      </w:r>
      <w:r>
        <w:rPr>
          <w:sz w:val="20"/>
          <w:szCs w:val="20"/>
        </w:rPr>
        <w:t>changes in our internal control over financial reporting that materially affected, or are reasonably likely to materially affect, our internal control over financial reporting.</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tcBorders>
              <w:bottom w:val="single" w:sz="6" w:space="0" w:color="000000"/>
            </w:tcBorders>
            <w:vAlign w:val="center"/>
            <w:hideMark/>
          </w:tcPr>
          <w:p w:rsidR="00000000" w:rsidRDefault="00150086">
            <w:pPr>
              <w:spacing w:before="0" w:beforeAutospacing="0" w:after="0" w:afterAutospacing="0"/>
              <w:jc w:val="center"/>
              <w:rPr>
                <w:rFonts w:eastAsia="Times New Roman"/>
                <w:sz w:val="20"/>
                <w:szCs w:val="20"/>
              </w:rPr>
            </w:pPr>
            <w:r>
              <w:rPr>
                <w:rFonts w:eastAsia="Times New Roman"/>
                <w:sz w:val="20"/>
                <w:szCs w:val="20"/>
              </w:rPr>
              <w:lastRenderedPageBreak/>
              <w:t>29</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center"/>
        <w:divId w:val="7608861"/>
        <w:rPr>
          <w:sz w:val="20"/>
          <w:szCs w:val="20"/>
        </w:rPr>
      </w:pPr>
      <w:bookmarkStart w:id="6" w:name="PART_II_–_OTHER_INFORMATION"/>
      <w:r>
        <w:rPr>
          <w:b/>
          <w:bCs/>
          <w:sz w:val="20"/>
          <w:szCs w:val="20"/>
        </w:rPr>
        <w:t>PART II – OTHER INFORMATION</w:t>
      </w:r>
      <w:bookmarkEnd w:id="6"/>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bookmarkStart w:id="7" w:name="Item_1._Legal_Proceedings"/>
      <w:r>
        <w:rPr>
          <w:b/>
          <w:bCs/>
          <w:sz w:val="20"/>
          <w:szCs w:val="20"/>
        </w:rPr>
        <w:t>Item 1. Legal Proceedings</w:t>
      </w:r>
      <w:bookmarkEnd w:id="7"/>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We know of no material, existing or pending legal proceedings against us. On April 24, 2018, we submitted an originating application to the Superior Court in the province of Quebec, Canada seeking</w:t>
      </w:r>
      <w:r>
        <w:rPr>
          <w:sz w:val="20"/>
          <w:szCs w:val="20"/>
        </w:rPr>
        <w:t xml:space="preserve"> to recover losses arising from the lack of cooperation by Agro-Biotech Inc. in negotiating a contemplated acquisition. There are no proceedings in which any of our directors, officers or affiliates, or any registered or beneficial shareholder, is an adver</w:t>
      </w:r>
      <w:r>
        <w:rPr>
          <w:sz w:val="20"/>
          <w:szCs w:val="20"/>
        </w:rPr>
        <w:t>se party or has a material interest adverse to our company.</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bookmarkStart w:id="8" w:name="Item_1A._Risk_Factors"/>
      <w:r>
        <w:rPr>
          <w:b/>
          <w:bCs/>
          <w:sz w:val="20"/>
          <w:szCs w:val="20"/>
        </w:rPr>
        <w:t>Item 1A. Risk Factors</w:t>
      </w:r>
      <w:bookmarkEnd w:id="8"/>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As a “small reporting company”, we are not required to provide the information required by this Item.</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bookmarkStart w:id="9" w:name="Item_2._Unregistered_Sales_of_Equity_Sec"/>
      <w:r>
        <w:rPr>
          <w:b/>
          <w:bCs/>
          <w:sz w:val="20"/>
          <w:szCs w:val="20"/>
        </w:rPr>
        <w:t>Item 2. Unregistered Sales of Equity Securities and Use of Proceeds</w:t>
      </w:r>
      <w:bookmarkEnd w:id="9"/>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 xml:space="preserve">None. </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bookmarkStart w:id="10" w:name="Item_3._Defaults_Upon_Senior_Securities"/>
      <w:r>
        <w:rPr>
          <w:b/>
          <w:bCs/>
          <w:sz w:val="20"/>
          <w:szCs w:val="20"/>
        </w:rPr>
        <w:t>Item 3. Defaults Upon Senior Securities</w:t>
      </w:r>
      <w:bookmarkEnd w:id="10"/>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None.</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bookmarkStart w:id="11" w:name="Item_4._Mine_Safety_Disclosures"/>
      <w:r>
        <w:rPr>
          <w:b/>
          <w:bCs/>
          <w:sz w:val="20"/>
          <w:szCs w:val="20"/>
        </w:rPr>
        <w:t>Item 4. Mine Safety Disclosures</w:t>
      </w:r>
      <w:bookmarkEnd w:id="11"/>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Not applicable.</w:t>
      </w:r>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bookmarkStart w:id="12" w:name="Item_5._Other_Information"/>
      <w:r>
        <w:rPr>
          <w:b/>
          <w:bCs/>
          <w:sz w:val="20"/>
          <w:szCs w:val="20"/>
        </w:rPr>
        <w:t>Item 5. Other Information</w:t>
      </w:r>
      <w:bookmarkEnd w:id="12"/>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None.</w:t>
      </w:r>
    </w:p>
    <w:p w:rsidR="00000000" w:rsidRDefault="00150086">
      <w:pPr>
        <w:pStyle w:val="NormalWeb"/>
        <w:spacing w:before="0" w:beforeAutospacing="0" w:after="0" w:afterAutospacing="0"/>
        <w:jc w:val="both"/>
        <w:divId w:val="7608861"/>
        <w:rPr>
          <w:sz w:val="20"/>
          <w:szCs w:val="20"/>
        </w:rPr>
      </w:pPr>
      <w:r>
        <w:rPr>
          <w:sz w:val="20"/>
          <w:szCs w:val="20"/>
        </w:rPr>
        <w:t xml:space="preserve">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tcBorders>
              <w:bottom w:val="single" w:sz="6" w:space="0" w:color="000000"/>
            </w:tcBorders>
            <w:vAlign w:val="center"/>
            <w:hideMark/>
          </w:tcPr>
          <w:p w:rsidR="00000000" w:rsidRDefault="00150086">
            <w:pPr>
              <w:spacing w:before="0" w:beforeAutospacing="0" w:after="0" w:afterAutospacing="0"/>
              <w:jc w:val="center"/>
              <w:rPr>
                <w:rFonts w:eastAsia="Times New Roman"/>
                <w:sz w:val="20"/>
                <w:szCs w:val="20"/>
              </w:rPr>
            </w:pPr>
            <w:r>
              <w:rPr>
                <w:rFonts w:eastAsia="Times New Roman"/>
                <w:sz w:val="20"/>
                <w:szCs w:val="20"/>
              </w:rPr>
              <w:t>30</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50086">
      <w:pPr>
        <w:pStyle w:val="NormalWeb"/>
        <w:spacing w:before="0" w:beforeAutospacing="0" w:after="0" w:afterAutospacing="0"/>
        <w:jc w:val="both"/>
        <w:divId w:val="7608861"/>
        <w:rPr>
          <w:sz w:val="20"/>
          <w:szCs w:val="20"/>
        </w:rPr>
      </w:pPr>
      <w:r>
        <w:rPr>
          <w:sz w:val="20"/>
          <w:szCs w:val="20"/>
        </w:rPr>
        <w:t xml:space="preserve">   </w:t>
      </w:r>
    </w:p>
    <w:p w:rsidR="00000000" w:rsidRDefault="00150086">
      <w:pPr>
        <w:pStyle w:val="NormalWeb"/>
        <w:spacing w:before="0" w:beforeAutospacing="0" w:after="0" w:afterAutospacing="0"/>
        <w:jc w:val="both"/>
        <w:divId w:val="7608861"/>
        <w:rPr>
          <w:sz w:val="20"/>
          <w:szCs w:val="20"/>
        </w:rPr>
      </w:pPr>
      <w:bookmarkStart w:id="13" w:name="Item_6._Exhibits"/>
      <w:r>
        <w:rPr>
          <w:b/>
          <w:bCs/>
          <w:sz w:val="20"/>
          <w:szCs w:val="20"/>
        </w:rPr>
        <w:t>Item 6. Exhibits</w:t>
      </w:r>
      <w:bookmarkEnd w:id="13"/>
    </w:p>
    <w:p w:rsidR="00000000" w:rsidRDefault="00150086">
      <w:pPr>
        <w:pStyle w:val="NormalWeb"/>
        <w:spacing w:before="0" w:beforeAutospacing="0" w:after="0" w:afterAutospacing="0"/>
        <w:jc w:val="both"/>
        <w:divId w:val="7608861"/>
        <w:rPr>
          <w:sz w:val="20"/>
          <w:szCs w:val="20"/>
        </w:rPr>
      </w:pPr>
      <w:r>
        <w:rPr>
          <w:sz w:val="20"/>
          <w:szCs w:val="20"/>
        </w:rPr>
        <w:t> </w:t>
      </w:r>
    </w:p>
    <w:tbl>
      <w:tblPr>
        <w:tblW w:w="5000" w:type="pct"/>
        <w:tblCellSpacing w:w="0" w:type="dxa"/>
        <w:tblCellMar>
          <w:left w:w="0" w:type="dxa"/>
          <w:right w:w="0" w:type="dxa"/>
        </w:tblCellMar>
        <w:tblLook w:val="04A0"/>
      </w:tblPr>
      <w:tblGrid>
        <w:gridCol w:w="936"/>
        <w:gridCol w:w="187"/>
        <w:gridCol w:w="2997"/>
        <w:gridCol w:w="5233"/>
        <w:gridCol w:w="7"/>
      </w:tblGrid>
      <w:tr w:rsidR="00000000">
        <w:trPr>
          <w:gridAfter w:val="1"/>
          <w:divId w:val="7608861"/>
          <w:tblCellSpacing w:w="0" w:type="dxa"/>
        </w:trPr>
        <w:tc>
          <w:tcPr>
            <w:tcW w:w="500" w:type="pct"/>
            <w:tcBorders>
              <w:bottom w:val="single" w:sz="6" w:space="0" w:color="000000"/>
            </w:tcBorders>
            <w:hideMark/>
          </w:tcPr>
          <w:p w:rsidR="00000000" w:rsidRDefault="00150086">
            <w:pPr>
              <w:pStyle w:val="NormalWeb"/>
              <w:spacing w:before="0" w:beforeAutospacing="0" w:after="0" w:afterAutospacing="0"/>
              <w:jc w:val="both"/>
              <w:rPr>
                <w:sz w:val="20"/>
                <w:szCs w:val="20"/>
              </w:rPr>
            </w:pPr>
            <w:r>
              <w:rPr>
                <w:sz w:val="20"/>
                <w:szCs w:val="20"/>
              </w:rPr>
              <w:t> </w:t>
            </w:r>
          </w:p>
          <w:p w:rsidR="00000000" w:rsidRDefault="00150086">
            <w:pPr>
              <w:pStyle w:val="NormalWeb"/>
              <w:spacing w:before="0" w:beforeAutospacing="0" w:after="0" w:afterAutospacing="0"/>
              <w:jc w:val="center"/>
              <w:rPr>
                <w:sz w:val="20"/>
                <w:szCs w:val="20"/>
              </w:rPr>
            </w:pPr>
            <w:r>
              <w:rPr>
                <w:b/>
                <w:bCs/>
                <w:sz w:val="20"/>
                <w:szCs w:val="20"/>
              </w:rPr>
              <w:t>Exhibit Number</w:t>
            </w:r>
          </w:p>
        </w:tc>
        <w:tc>
          <w:tcPr>
            <w:tcW w:w="100" w:type="pct"/>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000000"/>
            </w:tcBorders>
            <w:hideMark/>
          </w:tcPr>
          <w:p w:rsidR="00000000" w:rsidRDefault="00150086">
            <w:pPr>
              <w:pStyle w:val="NormalWeb"/>
              <w:spacing w:before="0" w:beforeAutospacing="0" w:after="0" w:afterAutospacing="0"/>
              <w:jc w:val="both"/>
              <w:rPr>
                <w:sz w:val="20"/>
                <w:szCs w:val="20"/>
              </w:rPr>
            </w:pPr>
            <w:r>
              <w:rPr>
                <w:sz w:val="20"/>
                <w:szCs w:val="20"/>
              </w:rPr>
              <w:t> </w:t>
            </w:r>
          </w:p>
          <w:p w:rsidR="00000000" w:rsidRDefault="00150086">
            <w:pPr>
              <w:pStyle w:val="NormalWeb"/>
              <w:spacing w:before="0" w:beforeAutospacing="0" w:after="0" w:afterAutospacing="0"/>
              <w:jc w:val="both"/>
              <w:rPr>
                <w:sz w:val="20"/>
                <w:szCs w:val="20"/>
              </w:rPr>
            </w:pPr>
            <w:r>
              <w:rPr>
                <w:b/>
                <w:bCs/>
                <w:sz w:val="20"/>
                <w:szCs w:val="20"/>
              </w:rPr>
              <w:t>Description</w:t>
            </w:r>
          </w:p>
        </w:tc>
      </w:tr>
      <w:tr w:rsidR="00000000">
        <w:trPr>
          <w:gridAfter w:val="1"/>
          <w:divId w:val="7608861"/>
          <w:tblCellSpacing w:w="0" w:type="dxa"/>
        </w:trPr>
        <w:tc>
          <w:tcPr>
            <w:tcW w:w="0" w:type="auto"/>
            <w:shd w:val="clear" w:color="auto" w:fill="CCEEFF"/>
            <w:hideMark/>
          </w:tcPr>
          <w:p w:rsidR="00000000" w:rsidRDefault="00150086">
            <w:pPr>
              <w:pStyle w:val="NormalWeb"/>
              <w:spacing w:before="0" w:beforeAutospacing="0" w:after="0" w:afterAutospacing="0"/>
              <w:jc w:val="center"/>
              <w:rPr>
                <w:sz w:val="20"/>
                <w:szCs w:val="20"/>
              </w:rPr>
            </w:pPr>
            <w:r>
              <w:rPr>
                <w:b/>
                <w:bCs/>
                <w:sz w:val="20"/>
                <w:szCs w:val="20"/>
              </w:rPr>
              <w:t>(3)</w:t>
            </w:r>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hideMark/>
          </w:tcPr>
          <w:p w:rsidR="00000000" w:rsidRDefault="00150086">
            <w:pPr>
              <w:pStyle w:val="NormalWeb"/>
              <w:spacing w:before="0" w:beforeAutospacing="0" w:after="0" w:afterAutospacing="0"/>
              <w:jc w:val="both"/>
              <w:rPr>
                <w:sz w:val="20"/>
                <w:szCs w:val="20"/>
              </w:rPr>
            </w:pPr>
            <w:r>
              <w:rPr>
                <w:b/>
                <w:bCs/>
                <w:sz w:val="20"/>
                <w:szCs w:val="20"/>
              </w:rPr>
              <w:t>Articles of Incorporation and Bylaws</w:t>
            </w:r>
            <w:r>
              <w:rPr>
                <w:sz w:val="20"/>
                <w:szCs w:val="20"/>
              </w:rPr>
              <w:t xml:space="preserve"> </w:t>
            </w:r>
          </w:p>
        </w:tc>
      </w:tr>
      <w:tr w:rsidR="00000000">
        <w:trPr>
          <w:gridAfter w:val="1"/>
          <w:divId w:val="7608861"/>
          <w:tblCellSpacing w:w="0" w:type="dxa"/>
        </w:trPr>
        <w:tc>
          <w:tcPr>
            <w:tcW w:w="0" w:type="auto"/>
            <w:shd w:val="clear" w:color="auto" w:fill="FFFFFF"/>
            <w:hideMark/>
          </w:tcPr>
          <w:p w:rsidR="00000000" w:rsidRDefault="00150086">
            <w:pPr>
              <w:pStyle w:val="NormalWeb"/>
              <w:spacing w:before="0" w:beforeAutospacing="0" w:after="0" w:afterAutospacing="0"/>
              <w:jc w:val="center"/>
              <w:rPr>
                <w:sz w:val="20"/>
                <w:szCs w:val="20"/>
              </w:rPr>
            </w:pPr>
            <w:hyperlink r:id="rId4" w:history="1">
              <w:r>
                <w:rPr>
                  <w:rStyle w:val="Hyperlink"/>
                  <w:sz w:val="20"/>
                  <w:szCs w:val="20"/>
                </w:rPr>
                <w:t>3.1</w:t>
              </w:r>
            </w:hyperlink>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hideMark/>
          </w:tcPr>
          <w:p w:rsidR="00000000" w:rsidRDefault="00150086">
            <w:pPr>
              <w:pStyle w:val="NormalWeb"/>
              <w:spacing w:before="0" w:beforeAutospacing="0" w:after="0" w:afterAutospacing="0"/>
              <w:jc w:val="both"/>
              <w:rPr>
                <w:sz w:val="20"/>
                <w:szCs w:val="20"/>
              </w:rPr>
            </w:pPr>
            <w:hyperlink r:id="rId5" w:history="1">
              <w:r>
                <w:rPr>
                  <w:rStyle w:val="Hyperlink"/>
                  <w:sz w:val="20"/>
                  <w:szCs w:val="20"/>
                </w:rPr>
                <w:t xml:space="preserve">Articles of Incorporation 649186 B.C. Ltd. (incorporated by reference from our Registration Statement on Form S-1 filed on August 7, 2009) </w:t>
              </w:r>
            </w:hyperlink>
          </w:p>
        </w:tc>
      </w:tr>
      <w:tr w:rsidR="00000000">
        <w:trPr>
          <w:gridAfter w:val="1"/>
          <w:divId w:val="7608861"/>
          <w:tblCellSpacing w:w="0" w:type="dxa"/>
        </w:trPr>
        <w:tc>
          <w:tcPr>
            <w:tcW w:w="0" w:type="auto"/>
            <w:shd w:val="clear" w:color="auto" w:fill="CCEEFF"/>
            <w:hideMark/>
          </w:tcPr>
          <w:p w:rsidR="00000000" w:rsidRDefault="00150086">
            <w:pPr>
              <w:pStyle w:val="NormalWeb"/>
              <w:spacing w:before="0" w:beforeAutospacing="0" w:after="0" w:afterAutospacing="0"/>
              <w:jc w:val="center"/>
              <w:rPr>
                <w:sz w:val="20"/>
                <w:szCs w:val="20"/>
              </w:rPr>
            </w:pPr>
            <w:hyperlink r:id="rId6" w:history="1">
              <w:r>
                <w:rPr>
                  <w:rStyle w:val="Hyperlink"/>
                  <w:sz w:val="20"/>
                  <w:szCs w:val="20"/>
                </w:rPr>
                <w:t>3.2</w:t>
              </w:r>
            </w:hyperlink>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hideMark/>
          </w:tcPr>
          <w:p w:rsidR="00000000" w:rsidRDefault="00150086">
            <w:pPr>
              <w:pStyle w:val="NormalWeb"/>
              <w:spacing w:before="0" w:beforeAutospacing="0" w:after="0" w:afterAutospacing="0"/>
              <w:jc w:val="both"/>
              <w:rPr>
                <w:sz w:val="20"/>
                <w:szCs w:val="20"/>
              </w:rPr>
            </w:pPr>
            <w:hyperlink r:id="rId7" w:history="1">
              <w:r>
                <w:rPr>
                  <w:rStyle w:val="Hyperlink"/>
                  <w:sz w:val="20"/>
                  <w:szCs w:val="20"/>
                </w:rPr>
                <w:t xml:space="preserve">“Company Act” Memorandum of 649186 B.C. Ltd. Certificate of Amendment (incorporated by reference from our Registration Statement on Form S-1 filed on August 7, 2009) </w:t>
              </w:r>
            </w:hyperlink>
          </w:p>
        </w:tc>
      </w:tr>
      <w:tr w:rsidR="00000000">
        <w:trPr>
          <w:gridAfter w:val="1"/>
          <w:divId w:val="7608861"/>
          <w:tblCellSpacing w:w="0" w:type="dxa"/>
        </w:trPr>
        <w:tc>
          <w:tcPr>
            <w:tcW w:w="0" w:type="auto"/>
            <w:shd w:val="clear" w:color="auto" w:fill="FFFFFF"/>
            <w:hideMark/>
          </w:tcPr>
          <w:p w:rsidR="00000000" w:rsidRDefault="00150086">
            <w:pPr>
              <w:pStyle w:val="NormalWeb"/>
              <w:spacing w:before="0" w:beforeAutospacing="0" w:after="0" w:afterAutospacing="0"/>
              <w:jc w:val="center"/>
              <w:rPr>
                <w:sz w:val="20"/>
                <w:szCs w:val="20"/>
              </w:rPr>
            </w:pPr>
            <w:hyperlink r:id="rId8" w:history="1">
              <w:r>
                <w:rPr>
                  <w:rStyle w:val="Hyperlink"/>
                  <w:sz w:val="20"/>
                  <w:szCs w:val="20"/>
                </w:rPr>
                <w:t>3.3</w:t>
              </w:r>
            </w:hyperlink>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hideMark/>
          </w:tcPr>
          <w:p w:rsidR="00000000" w:rsidRDefault="00150086">
            <w:pPr>
              <w:pStyle w:val="NormalWeb"/>
              <w:spacing w:before="0" w:beforeAutospacing="0" w:after="0" w:afterAutospacing="0"/>
              <w:jc w:val="both"/>
              <w:rPr>
                <w:sz w:val="20"/>
                <w:szCs w:val="20"/>
              </w:rPr>
            </w:pPr>
            <w:hyperlink r:id="rId9" w:history="1">
              <w:r>
                <w:rPr>
                  <w:rStyle w:val="Hyperlink"/>
                  <w:sz w:val="20"/>
                  <w:szCs w:val="20"/>
                </w:rPr>
                <w:t xml:space="preserve">Certificate of Filing of 649186 B.C. Ltd. (incorporated by reference from our Registration Statement on Form S-1 filed on August 7, 2009) </w:t>
              </w:r>
            </w:hyperlink>
          </w:p>
        </w:tc>
      </w:tr>
      <w:tr w:rsidR="00000000">
        <w:trPr>
          <w:gridAfter w:val="1"/>
          <w:divId w:val="7608861"/>
          <w:tblCellSpacing w:w="0" w:type="dxa"/>
        </w:trPr>
        <w:tc>
          <w:tcPr>
            <w:tcW w:w="0" w:type="auto"/>
            <w:shd w:val="clear" w:color="auto" w:fill="CCEEFF"/>
            <w:hideMark/>
          </w:tcPr>
          <w:p w:rsidR="00000000" w:rsidRDefault="00150086">
            <w:pPr>
              <w:pStyle w:val="NormalWeb"/>
              <w:spacing w:before="0" w:beforeAutospacing="0" w:after="0" w:afterAutospacing="0"/>
              <w:jc w:val="center"/>
              <w:rPr>
                <w:sz w:val="20"/>
                <w:szCs w:val="20"/>
              </w:rPr>
            </w:pPr>
            <w:hyperlink r:id="rId10" w:history="1">
              <w:r>
                <w:rPr>
                  <w:rStyle w:val="Hyperlink"/>
                  <w:sz w:val="20"/>
                  <w:szCs w:val="20"/>
                </w:rPr>
                <w:t>3.4</w:t>
              </w:r>
            </w:hyperlink>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hideMark/>
          </w:tcPr>
          <w:p w:rsidR="00000000" w:rsidRDefault="00150086">
            <w:pPr>
              <w:pStyle w:val="NormalWeb"/>
              <w:spacing w:before="0" w:beforeAutospacing="0" w:after="0" w:afterAutospacing="0"/>
              <w:jc w:val="both"/>
              <w:rPr>
                <w:sz w:val="20"/>
                <w:szCs w:val="20"/>
              </w:rPr>
            </w:pPr>
            <w:hyperlink r:id="rId11" w:history="1">
              <w:r>
                <w:rPr>
                  <w:rStyle w:val="Hyperlink"/>
                  <w:sz w:val="20"/>
                  <w:szCs w:val="20"/>
                </w:rPr>
                <w:t xml:space="preserve">Certificate of Incorporation of 649186 B.C. Ltd. (incorporated by reference from our Registration Statement on Form S-1 filed on August 7, 2009) </w:t>
              </w:r>
            </w:hyperlink>
          </w:p>
        </w:tc>
      </w:tr>
      <w:tr w:rsidR="00000000">
        <w:trPr>
          <w:gridAfter w:val="1"/>
          <w:divId w:val="7608861"/>
          <w:tblCellSpacing w:w="0" w:type="dxa"/>
        </w:trPr>
        <w:tc>
          <w:tcPr>
            <w:tcW w:w="0" w:type="auto"/>
            <w:shd w:val="clear" w:color="auto" w:fill="FFFFFF"/>
            <w:hideMark/>
          </w:tcPr>
          <w:p w:rsidR="00000000" w:rsidRDefault="00150086">
            <w:pPr>
              <w:pStyle w:val="NormalWeb"/>
              <w:spacing w:before="0" w:beforeAutospacing="0" w:after="0" w:afterAutospacing="0"/>
              <w:jc w:val="center"/>
              <w:rPr>
                <w:sz w:val="20"/>
                <w:szCs w:val="20"/>
              </w:rPr>
            </w:pPr>
            <w:hyperlink r:id="rId12" w:history="1">
              <w:r>
                <w:rPr>
                  <w:rStyle w:val="Hyperlink"/>
                  <w:sz w:val="20"/>
                  <w:szCs w:val="20"/>
                </w:rPr>
                <w:t>3.5</w:t>
              </w:r>
            </w:hyperlink>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hideMark/>
          </w:tcPr>
          <w:p w:rsidR="00000000" w:rsidRDefault="00150086">
            <w:pPr>
              <w:pStyle w:val="NormalWeb"/>
              <w:spacing w:before="0" w:beforeAutospacing="0" w:after="0" w:afterAutospacing="0"/>
              <w:jc w:val="both"/>
              <w:rPr>
                <w:sz w:val="20"/>
                <w:szCs w:val="20"/>
              </w:rPr>
            </w:pPr>
            <w:hyperlink r:id="rId13" w:history="1">
              <w:r>
                <w:rPr>
                  <w:rStyle w:val="Hyperlink"/>
                  <w:sz w:val="20"/>
                  <w:szCs w:val="20"/>
                </w:rPr>
                <w:t xml:space="preserve">Certificate of Name Change of 649186 B.C. Ltd. to Xerxes Health Corp. (incorporated by reference from our Registration Statement on Form S-1 filed on August 7, 2009) </w:t>
              </w:r>
            </w:hyperlink>
          </w:p>
        </w:tc>
      </w:tr>
      <w:tr w:rsidR="00000000">
        <w:trPr>
          <w:gridAfter w:val="1"/>
          <w:divId w:val="7608861"/>
          <w:tblCellSpacing w:w="0" w:type="dxa"/>
        </w:trPr>
        <w:tc>
          <w:tcPr>
            <w:tcW w:w="0" w:type="auto"/>
            <w:shd w:val="clear" w:color="auto" w:fill="CCEEFF"/>
            <w:hideMark/>
          </w:tcPr>
          <w:p w:rsidR="00000000" w:rsidRDefault="00150086">
            <w:pPr>
              <w:pStyle w:val="NormalWeb"/>
              <w:spacing w:before="0" w:beforeAutospacing="0" w:after="0" w:afterAutospacing="0"/>
              <w:jc w:val="center"/>
              <w:rPr>
                <w:sz w:val="20"/>
                <w:szCs w:val="20"/>
              </w:rPr>
            </w:pPr>
            <w:hyperlink r:id="rId14" w:history="1">
              <w:r>
                <w:rPr>
                  <w:rStyle w:val="Hyperlink"/>
                  <w:sz w:val="20"/>
                  <w:szCs w:val="20"/>
                </w:rPr>
                <w:t>3.6</w:t>
              </w:r>
            </w:hyperlink>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hideMark/>
          </w:tcPr>
          <w:p w:rsidR="00000000" w:rsidRDefault="00150086">
            <w:pPr>
              <w:pStyle w:val="NormalWeb"/>
              <w:spacing w:before="0" w:beforeAutospacing="0" w:after="0" w:afterAutospacing="0"/>
              <w:jc w:val="both"/>
              <w:rPr>
                <w:sz w:val="20"/>
                <w:szCs w:val="20"/>
              </w:rPr>
            </w:pPr>
            <w:hyperlink r:id="rId15" w:history="1">
              <w:r>
                <w:rPr>
                  <w:rStyle w:val="Hyperlink"/>
                  <w:sz w:val="20"/>
                  <w:szCs w:val="20"/>
                </w:rPr>
                <w:t xml:space="preserve">Transition Application of Xerxes Health Corp. (incorporated by reference from our Registration </w:t>
              </w:r>
              <w:r>
                <w:rPr>
                  <w:rStyle w:val="Hyperlink"/>
                  <w:sz w:val="20"/>
                  <w:szCs w:val="20"/>
                </w:rPr>
                <w:lastRenderedPageBreak/>
                <w:t xml:space="preserve">Statement on Form S-1 filed on August 7, 2009) </w:t>
              </w:r>
            </w:hyperlink>
          </w:p>
        </w:tc>
      </w:tr>
      <w:tr w:rsidR="00000000">
        <w:trPr>
          <w:gridAfter w:val="1"/>
          <w:divId w:val="7608861"/>
          <w:tblCellSpacing w:w="0" w:type="dxa"/>
        </w:trPr>
        <w:tc>
          <w:tcPr>
            <w:tcW w:w="0" w:type="auto"/>
            <w:shd w:val="clear" w:color="auto" w:fill="FFFFFF"/>
            <w:hideMark/>
          </w:tcPr>
          <w:p w:rsidR="00000000" w:rsidRDefault="00150086">
            <w:pPr>
              <w:pStyle w:val="NormalWeb"/>
              <w:spacing w:before="0" w:beforeAutospacing="0" w:after="0" w:afterAutospacing="0"/>
              <w:jc w:val="center"/>
              <w:rPr>
                <w:sz w:val="20"/>
                <w:szCs w:val="20"/>
              </w:rPr>
            </w:pPr>
            <w:hyperlink r:id="rId16" w:history="1">
              <w:r>
                <w:rPr>
                  <w:rStyle w:val="Hyperlink"/>
                  <w:sz w:val="20"/>
                  <w:szCs w:val="20"/>
                </w:rPr>
                <w:t>3.7</w:t>
              </w:r>
            </w:hyperlink>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hideMark/>
          </w:tcPr>
          <w:p w:rsidR="00000000" w:rsidRDefault="00150086">
            <w:pPr>
              <w:pStyle w:val="NormalWeb"/>
              <w:spacing w:before="0" w:beforeAutospacing="0" w:after="0" w:afterAutospacing="0"/>
              <w:jc w:val="both"/>
              <w:rPr>
                <w:sz w:val="20"/>
                <w:szCs w:val="20"/>
              </w:rPr>
            </w:pPr>
            <w:hyperlink r:id="rId17" w:history="1">
              <w:r>
                <w:rPr>
                  <w:rStyle w:val="Hyperlink"/>
                  <w:sz w:val="20"/>
                  <w:szCs w:val="20"/>
                </w:rPr>
                <w:t>Certificate of Name Change of Xerxes Health Corp. to Neuroki</w:t>
              </w:r>
              <w:r>
                <w:rPr>
                  <w:rStyle w:val="Hyperlink"/>
                  <w:sz w:val="20"/>
                  <w:szCs w:val="20"/>
                </w:rPr>
                <w:t xml:space="preserve">ne Pharmaceuticals Inc. (incorporated by reference from our Registration Statement on Form S-1 filed on August 7, 2009) </w:t>
              </w:r>
            </w:hyperlink>
          </w:p>
        </w:tc>
      </w:tr>
      <w:tr w:rsidR="00000000">
        <w:trPr>
          <w:gridAfter w:val="1"/>
          <w:divId w:val="7608861"/>
          <w:tblCellSpacing w:w="0" w:type="dxa"/>
        </w:trPr>
        <w:tc>
          <w:tcPr>
            <w:tcW w:w="0" w:type="auto"/>
            <w:shd w:val="clear" w:color="auto" w:fill="CCEEFF"/>
            <w:hideMark/>
          </w:tcPr>
          <w:p w:rsidR="00000000" w:rsidRDefault="00150086">
            <w:pPr>
              <w:pStyle w:val="NormalWeb"/>
              <w:spacing w:before="0" w:beforeAutospacing="0" w:after="0" w:afterAutospacing="0"/>
              <w:jc w:val="center"/>
              <w:rPr>
                <w:sz w:val="20"/>
                <w:szCs w:val="20"/>
              </w:rPr>
            </w:pPr>
            <w:hyperlink r:id="rId18" w:history="1">
              <w:r>
                <w:rPr>
                  <w:rStyle w:val="Hyperlink"/>
                  <w:sz w:val="20"/>
                  <w:szCs w:val="20"/>
                </w:rPr>
                <w:t>3.8</w:t>
              </w:r>
            </w:hyperlink>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hideMark/>
          </w:tcPr>
          <w:p w:rsidR="00000000" w:rsidRDefault="00150086">
            <w:pPr>
              <w:pStyle w:val="NormalWeb"/>
              <w:spacing w:before="0" w:beforeAutospacing="0" w:after="0" w:afterAutospacing="0"/>
              <w:jc w:val="both"/>
              <w:rPr>
                <w:sz w:val="20"/>
                <w:szCs w:val="20"/>
              </w:rPr>
            </w:pPr>
            <w:hyperlink r:id="rId19" w:history="1">
              <w:r>
                <w:rPr>
                  <w:rStyle w:val="Hyperlink"/>
                  <w:sz w:val="20"/>
                  <w:szCs w:val="20"/>
                </w:rPr>
                <w:t xml:space="preserve">Notice of Alteration to Authorized Share Structure (incorporated by reference from our Registration Statement on Form S-1 filed on August 7, 2009) </w:t>
              </w:r>
            </w:hyperlink>
          </w:p>
        </w:tc>
      </w:tr>
      <w:tr w:rsidR="00000000">
        <w:trPr>
          <w:gridAfter w:val="1"/>
          <w:divId w:val="7608861"/>
          <w:tblCellSpacing w:w="0" w:type="dxa"/>
        </w:trPr>
        <w:tc>
          <w:tcPr>
            <w:tcW w:w="0" w:type="auto"/>
            <w:shd w:val="clear" w:color="auto" w:fill="FFFFFF"/>
            <w:hideMark/>
          </w:tcPr>
          <w:p w:rsidR="00000000" w:rsidRDefault="00150086">
            <w:pPr>
              <w:pStyle w:val="NormalWeb"/>
              <w:spacing w:before="0" w:beforeAutospacing="0" w:after="0" w:afterAutospacing="0"/>
              <w:jc w:val="center"/>
              <w:rPr>
                <w:sz w:val="20"/>
                <w:szCs w:val="20"/>
              </w:rPr>
            </w:pPr>
            <w:hyperlink r:id="rId20" w:history="1">
              <w:r>
                <w:rPr>
                  <w:rStyle w:val="Hyperlink"/>
                  <w:sz w:val="20"/>
                  <w:szCs w:val="20"/>
                </w:rPr>
                <w:t>3.9</w:t>
              </w:r>
            </w:hyperlink>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hideMark/>
          </w:tcPr>
          <w:p w:rsidR="00000000" w:rsidRDefault="00150086">
            <w:pPr>
              <w:pStyle w:val="NormalWeb"/>
              <w:spacing w:before="0" w:beforeAutospacing="0" w:after="0" w:afterAutospacing="0"/>
              <w:jc w:val="both"/>
              <w:rPr>
                <w:sz w:val="20"/>
                <w:szCs w:val="20"/>
              </w:rPr>
            </w:pPr>
            <w:hyperlink r:id="rId21" w:history="1">
              <w:r>
                <w:rPr>
                  <w:rStyle w:val="Hyperlink"/>
                  <w:sz w:val="20"/>
                  <w:szCs w:val="20"/>
                </w:rPr>
                <w:t>Notice of Alteration to Author</w:t>
              </w:r>
              <w:r>
                <w:rPr>
                  <w:rStyle w:val="Hyperlink"/>
                  <w:sz w:val="20"/>
                  <w:szCs w:val="20"/>
                </w:rPr>
                <w:t>ized Share Structure (incorporated by reference from our Current Report on Form 8-K filed on June 4, 2014)</w:t>
              </w:r>
            </w:hyperlink>
          </w:p>
        </w:tc>
      </w:tr>
      <w:tr w:rsidR="00000000">
        <w:trPr>
          <w:gridAfter w:val="1"/>
          <w:divId w:val="7608861"/>
          <w:tblCellSpacing w:w="0" w:type="dxa"/>
        </w:trPr>
        <w:tc>
          <w:tcPr>
            <w:tcW w:w="0" w:type="auto"/>
            <w:shd w:val="clear" w:color="auto" w:fill="CCEEFF"/>
            <w:hideMark/>
          </w:tcPr>
          <w:p w:rsidR="00000000" w:rsidRDefault="00150086">
            <w:pPr>
              <w:pStyle w:val="NormalWeb"/>
              <w:spacing w:before="0" w:beforeAutospacing="0" w:after="0" w:afterAutospacing="0"/>
              <w:jc w:val="center"/>
              <w:rPr>
                <w:sz w:val="20"/>
                <w:szCs w:val="20"/>
              </w:rPr>
            </w:pPr>
            <w:hyperlink r:id="rId22" w:history="1">
              <w:r>
                <w:rPr>
                  <w:rStyle w:val="Hyperlink"/>
                  <w:sz w:val="20"/>
                  <w:szCs w:val="20"/>
                </w:rPr>
                <w:t>3.10</w:t>
              </w:r>
            </w:hyperlink>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hideMark/>
          </w:tcPr>
          <w:p w:rsidR="00000000" w:rsidRDefault="00150086">
            <w:pPr>
              <w:pStyle w:val="NormalWeb"/>
              <w:spacing w:before="0" w:beforeAutospacing="0" w:after="0" w:afterAutospacing="0"/>
              <w:jc w:val="both"/>
              <w:rPr>
                <w:sz w:val="20"/>
                <w:szCs w:val="20"/>
              </w:rPr>
            </w:pPr>
            <w:hyperlink r:id="rId23" w:history="1">
              <w:r>
                <w:rPr>
                  <w:rStyle w:val="Hyperlink"/>
                  <w:sz w:val="20"/>
                  <w:szCs w:val="20"/>
                </w:rPr>
                <w:t>Form 11 Notice of Alteration (incorporated by reference from our Current Report on Form 8-K filed on October 9, 2014)</w:t>
              </w:r>
            </w:hyperlink>
          </w:p>
        </w:tc>
      </w:tr>
      <w:tr w:rsidR="00000000">
        <w:trPr>
          <w:gridAfter w:val="1"/>
          <w:divId w:val="7608861"/>
          <w:tblCellSpacing w:w="0" w:type="dxa"/>
        </w:trPr>
        <w:tc>
          <w:tcPr>
            <w:tcW w:w="0" w:type="auto"/>
            <w:shd w:val="clear" w:color="auto" w:fill="FFFFFF"/>
            <w:hideMark/>
          </w:tcPr>
          <w:p w:rsidR="00000000" w:rsidRDefault="00150086">
            <w:pPr>
              <w:pStyle w:val="NormalWeb"/>
              <w:spacing w:before="0" w:beforeAutospacing="0" w:after="0" w:afterAutospacing="0"/>
              <w:jc w:val="center"/>
              <w:rPr>
                <w:sz w:val="20"/>
                <w:szCs w:val="20"/>
              </w:rPr>
            </w:pPr>
            <w:hyperlink r:id="rId24" w:history="1">
              <w:r>
                <w:rPr>
                  <w:rStyle w:val="Hyperlink"/>
                  <w:sz w:val="20"/>
                  <w:szCs w:val="20"/>
                </w:rPr>
                <w:t>3.11</w:t>
              </w:r>
            </w:hyperlink>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hideMark/>
          </w:tcPr>
          <w:p w:rsidR="00000000" w:rsidRDefault="00150086">
            <w:pPr>
              <w:pStyle w:val="NormalWeb"/>
              <w:spacing w:before="0" w:beforeAutospacing="0" w:after="0" w:afterAutospacing="0"/>
              <w:jc w:val="both"/>
              <w:rPr>
                <w:sz w:val="20"/>
                <w:szCs w:val="20"/>
              </w:rPr>
            </w:pPr>
            <w:hyperlink r:id="rId25" w:history="1">
              <w:r>
                <w:rPr>
                  <w:rStyle w:val="Hyperlink"/>
                  <w:sz w:val="20"/>
                  <w:szCs w:val="20"/>
                </w:rPr>
                <w:t>Articles (incorporated by reference from our Current Report on Form 8-K filed on October 9, 2014)</w:t>
              </w:r>
            </w:hyperlink>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center"/>
              <w:rPr>
                <w:sz w:val="20"/>
                <w:szCs w:val="20"/>
              </w:rPr>
            </w:pPr>
            <w:hyperlink r:id="rId26" w:history="1">
              <w:r>
                <w:rPr>
                  <w:rStyle w:val="Hyperlink"/>
                  <w:sz w:val="20"/>
                  <w:szCs w:val="20"/>
                </w:rPr>
                <w:t>3.12</w:t>
              </w:r>
            </w:hyperlink>
          </w:p>
        </w:tc>
        <w:tc>
          <w:tcPr>
            <w:tcW w:w="0" w:type="auto"/>
            <w:gridSpan w:val="2"/>
            <w:shd w:val="clear" w:color="auto" w:fill="CCEEFF"/>
            <w:hideMark/>
          </w:tcPr>
          <w:p w:rsidR="00000000" w:rsidRDefault="00150086">
            <w:pPr>
              <w:spacing w:before="0" w:beforeAutospacing="0" w:after="0" w:afterAutospacing="0"/>
              <w:jc w:val="both"/>
              <w:rPr>
                <w:rFonts w:eastAsia="Times New Roman"/>
                <w:sz w:val="20"/>
                <w:szCs w:val="20"/>
              </w:rPr>
            </w:pPr>
          </w:p>
        </w:tc>
        <w:tc>
          <w:tcPr>
            <w:tcW w:w="0" w:type="auto"/>
            <w:gridSpan w:val="2"/>
            <w:shd w:val="clear" w:color="auto" w:fill="CCEEFF"/>
            <w:hideMark/>
          </w:tcPr>
          <w:p w:rsidR="00000000" w:rsidRDefault="00150086">
            <w:pPr>
              <w:pStyle w:val="NormalWeb"/>
              <w:spacing w:before="0" w:beforeAutospacing="0" w:after="0" w:afterAutospacing="0"/>
              <w:jc w:val="both"/>
              <w:rPr>
                <w:sz w:val="20"/>
                <w:szCs w:val="20"/>
              </w:rPr>
            </w:pPr>
            <w:hyperlink r:id="rId27" w:history="1">
              <w:r>
                <w:rPr>
                  <w:rStyle w:val="Hyperlink"/>
                  <w:sz w:val="20"/>
                  <w:szCs w:val="20"/>
                </w:rPr>
                <w:t>Notice of Alteration changing name to Pivot Pharmaceuticals Inc. (incorporated by reference to our Current Report on Form 8-K filed on April 17, 2015)</w:t>
              </w:r>
            </w:hyperlink>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center"/>
              <w:rPr>
                <w:sz w:val="20"/>
                <w:szCs w:val="20"/>
              </w:rPr>
            </w:pPr>
            <w:hyperlink r:id="rId28" w:history="1">
              <w:r>
                <w:rPr>
                  <w:rStyle w:val="Hyperlink"/>
                  <w:sz w:val="20"/>
                  <w:szCs w:val="20"/>
                </w:rPr>
                <w:t>3.13</w:t>
              </w:r>
            </w:hyperlink>
          </w:p>
        </w:tc>
        <w:tc>
          <w:tcPr>
            <w:tcW w:w="0" w:type="auto"/>
            <w:gridSpan w:val="2"/>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gridSpan w:val="2"/>
            <w:shd w:val="clear" w:color="auto" w:fill="FFFFFF"/>
            <w:hideMark/>
          </w:tcPr>
          <w:p w:rsidR="00000000" w:rsidRDefault="00150086">
            <w:pPr>
              <w:pStyle w:val="NormalWeb"/>
              <w:spacing w:before="0" w:beforeAutospacing="0" w:after="0" w:afterAutospacing="0"/>
              <w:jc w:val="both"/>
              <w:rPr>
                <w:sz w:val="20"/>
                <w:szCs w:val="20"/>
              </w:rPr>
            </w:pPr>
            <w:hyperlink r:id="rId29" w:history="1">
              <w:r>
                <w:rPr>
                  <w:rStyle w:val="Hyperlink"/>
                  <w:sz w:val="20"/>
                  <w:szCs w:val="20"/>
                </w:rPr>
                <w:t>Certificate of Name Change of Neurokine Pharmaceutica</w:t>
              </w:r>
              <w:r>
                <w:rPr>
                  <w:rStyle w:val="Hyperlink"/>
                  <w:sz w:val="20"/>
                  <w:szCs w:val="20"/>
                </w:rPr>
                <w:t>ls Inc. to Pivot Pharmaceuticals Inc. (filed on June 17, 2015 with our Annual Report on Form 10K/A)</w:t>
              </w:r>
            </w:hyperlink>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center"/>
              <w:rPr>
                <w:sz w:val="20"/>
                <w:szCs w:val="20"/>
              </w:rPr>
            </w:pPr>
            <w:r>
              <w:rPr>
                <w:b/>
                <w:bCs/>
                <w:sz w:val="20"/>
                <w:szCs w:val="20"/>
              </w:rPr>
              <w:t>(10)</w:t>
            </w:r>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hideMark/>
          </w:tcPr>
          <w:p w:rsidR="00000000" w:rsidRDefault="00150086">
            <w:pPr>
              <w:pStyle w:val="NormalWeb"/>
              <w:spacing w:before="0" w:beforeAutospacing="0" w:after="0" w:afterAutospacing="0"/>
              <w:jc w:val="both"/>
              <w:rPr>
                <w:sz w:val="20"/>
                <w:szCs w:val="20"/>
              </w:rPr>
            </w:pPr>
            <w:r>
              <w:rPr>
                <w:b/>
                <w:bCs/>
                <w:sz w:val="20"/>
                <w:szCs w:val="20"/>
              </w:rPr>
              <w:t>Material Contracts</w:t>
            </w:r>
            <w:r>
              <w:rPr>
                <w:sz w:val="20"/>
                <w:szCs w:val="20"/>
              </w:rPr>
              <w:t xml:space="preserve"> </w:t>
            </w:r>
          </w:p>
        </w:tc>
        <w:tc>
          <w:tcPr>
            <w:tcW w:w="0" w:type="auto"/>
            <w:shd w:val="clear" w:color="auto" w:fill="CCEEFF"/>
            <w:vAlign w:val="center"/>
            <w:hideMark/>
          </w:tcPr>
          <w:p w:rsidR="00000000" w:rsidRDefault="00150086">
            <w:pPr>
              <w:spacing w:before="0" w:beforeAutospacing="0" w:after="0" w:afterAutospacing="0"/>
              <w:rPr>
                <w:rFonts w:eastAsia="Times New Roman"/>
                <w:sz w:val="20"/>
                <w:szCs w:val="20"/>
              </w:rPr>
            </w:pP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center"/>
              <w:rPr>
                <w:sz w:val="20"/>
                <w:szCs w:val="20"/>
              </w:rPr>
            </w:pPr>
            <w:hyperlink r:id="rId30" w:history="1">
              <w:r>
                <w:rPr>
                  <w:rStyle w:val="Hyperlink"/>
                  <w:sz w:val="20"/>
                  <w:szCs w:val="20"/>
                </w:rPr>
                <w:t>10.1</w:t>
              </w:r>
            </w:hyperlink>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hideMark/>
          </w:tcPr>
          <w:p w:rsidR="00000000" w:rsidRDefault="00150086">
            <w:pPr>
              <w:pStyle w:val="NormalWeb"/>
              <w:spacing w:before="0" w:beforeAutospacing="0" w:after="0" w:afterAutospacing="0"/>
              <w:jc w:val="both"/>
              <w:rPr>
                <w:sz w:val="20"/>
                <w:szCs w:val="20"/>
              </w:rPr>
            </w:pPr>
            <w:hyperlink r:id="rId31" w:history="1">
              <w:r>
                <w:rPr>
                  <w:rStyle w:val="Hyperlink"/>
                  <w:sz w:val="20"/>
                  <w:szCs w:val="20"/>
                </w:rPr>
                <w:t>Non-Exclusive License Agreement with Globe Laboratories Inc. dated June 17, 2008 (incorporated by reference to our Registration Statement on Form S-1/A filed on De</w:t>
              </w:r>
              <w:r>
                <w:rPr>
                  <w:rStyle w:val="Hyperlink"/>
                  <w:sz w:val="20"/>
                  <w:szCs w:val="20"/>
                </w:rPr>
                <w:t xml:space="preserve">cember 3, 2009) </w:t>
              </w:r>
            </w:hyperlink>
          </w:p>
        </w:tc>
        <w:tc>
          <w:tcPr>
            <w:tcW w:w="0" w:type="auto"/>
            <w:shd w:val="clear" w:color="auto" w:fill="FFFFFF"/>
            <w:vAlign w:val="center"/>
            <w:hideMark/>
          </w:tcPr>
          <w:p w:rsidR="00000000" w:rsidRDefault="00150086">
            <w:pPr>
              <w:spacing w:before="0" w:beforeAutospacing="0" w:after="0" w:afterAutospacing="0"/>
              <w:rPr>
                <w:rFonts w:eastAsia="Times New Roman"/>
                <w:sz w:val="20"/>
                <w:szCs w:val="20"/>
              </w:rPr>
            </w:pP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center"/>
              <w:rPr>
                <w:sz w:val="20"/>
                <w:szCs w:val="20"/>
              </w:rPr>
            </w:pPr>
            <w:hyperlink r:id="rId32" w:history="1">
              <w:r>
                <w:rPr>
                  <w:rStyle w:val="Hyperlink"/>
                  <w:sz w:val="20"/>
                  <w:szCs w:val="20"/>
                </w:rPr>
                <w:t>10.2</w:t>
              </w:r>
            </w:hyperlink>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hideMark/>
          </w:tcPr>
          <w:p w:rsidR="00000000" w:rsidRDefault="00150086">
            <w:pPr>
              <w:pStyle w:val="NormalWeb"/>
              <w:spacing w:before="0" w:beforeAutospacing="0" w:after="0" w:afterAutospacing="0"/>
              <w:jc w:val="both"/>
              <w:rPr>
                <w:sz w:val="20"/>
                <w:szCs w:val="20"/>
              </w:rPr>
            </w:pPr>
            <w:hyperlink r:id="rId33" w:history="1">
              <w:r>
                <w:rPr>
                  <w:rStyle w:val="Hyperlink"/>
                  <w:sz w:val="20"/>
                  <w:szCs w:val="20"/>
                </w:rPr>
                <w:t>Clinical Trial Services Agreement wit</w:t>
              </w:r>
              <w:r>
                <w:rPr>
                  <w:rStyle w:val="Hyperlink"/>
                  <w:sz w:val="20"/>
                  <w:szCs w:val="20"/>
                </w:rPr>
                <w:t>h Virtus Clinical Development (Pty) Limited dated March 1, 2009 (incorporated by reference to our Registration Statement on Form S-1/A filed on March 4, 2010)</w:t>
              </w:r>
            </w:hyperlink>
            <w:r>
              <w:rPr>
                <w:sz w:val="20"/>
                <w:szCs w:val="20"/>
              </w:rPr>
              <w:t xml:space="preserve"> </w:t>
            </w:r>
          </w:p>
        </w:tc>
        <w:tc>
          <w:tcPr>
            <w:tcW w:w="0" w:type="auto"/>
            <w:shd w:val="clear" w:color="auto" w:fill="CCEEFF"/>
            <w:vAlign w:val="center"/>
            <w:hideMark/>
          </w:tcPr>
          <w:p w:rsidR="00000000" w:rsidRDefault="00150086">
            <w:pPr>
              <w:spacing w:before="0" w:beforeAutospacing="0" w:after="0" w:afterAutospacing="0"/>
              <w:rPr>
                <w:rFonts w:eastAsia="Times New Roman"/>
                <w:sz w:val="20"/>
                <w:szCs w:val="20"/>
              </w:rPr>
            </w:pP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center"/>
              <w:rPr>
                <w:sz w:val="20"/>
                <w:szCs w:val="20"/>
              </w:rPr>
            </w:pPr>
            <w:hyperlink r:id="rId34" w:history="1">
              <w:r>
                <w:rPr>
                  <w:rStyle w:val="Hyperlink"/>
                  <w:sz w:val="20"/>
                  <w:szCs w:val="20"/>
                </w:rPr>
                <w:t>10.3</w:t>
              </w:r>
            </w:hyperlink>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hideMark/>
          </w:tcPr>
          <w:p w:rsidR="00000000" w:rsidRDefault="00150086">
            <w:pPr>
              <w:pStyle w:val="NormalWeb"/>
              <w:spacing w:before="0" w:beforeAutospacing="0" w:after="0" w:afterAutospacing="0"/>
              <w:jc w:val="both"/>
              <w:rPr>
                <w:sz w:val="20"/>
                <w:szCs w:val="20"/>
              </w:rPr>
            </w:pPr>
            <w:hyperlink r:id="rId35" w:history="1">
              <w:r>
                <w:rPr>
                  <w:rStyle w:val="Hyperlink"/>
                  <w:sz w:val="20"/>
                  <w:szCs w:val="20"/>
                </w:rPr>
                <w:t xml:space="preserve">Master Service Agreement with Northern Lipids Inc. dated October 2, 2007 (incorporated by reference to our Registration Statement on Form S-1/A filed on December 3, 2009) </w:t>
              </w:r>
            </w:hyperlink>
          </w:p>
        </w:tc>
        <w:tc>
          <w:tcPr>
            <w:tcW w:w="0" w:type="auto"/>
            <w:shd w:val="clear" w:color="auto" w:fill="FFFFFF"/>
            <w:vAlign w:val="center"/>
            <w:hideMark/>
          </w:tcPr>
          <w:p w:rsidR="00000000" w:rsidRDefault="00150086">
            <w:pPr>
              <w:spacing w:before="0" w:beforeAutospacing="0" w:after="0" w:afterAutospacing="0"/>
              <w:rPr>
                <w:rFonts w:eastAsia="Times New Roman"/>
                <w:sz w:val="20"/>
                <w:szCs w:val="20"/>
              </w:rPr>
            </w:pP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center"/>
              <w:rPr>
                <w:sz w:val="20"/>
                <w:szCs w:val="20"/>
              </w:rPr>
            </w:pPr>
            <w:hyperlink r:id="rId36" w:history="1">
              <w:r>
                <w:rPr>
                  <w:rStyle w:val="Hyperlink"/>
                  <w:sz w:val="20"/>
                  <w:szCs w:val="20"/>
                </w:rPr>
                <w:t>10.4</w:t>
              </w:r>
            </w:hyperlink>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hideMark/>
          </w:tcPr>
          <w:p w:rsidR="00000000" w:rsidRDefault="00150086">
            <w:pPr>
              <w:pStyle w:val="NormalWeb"/>
              <w:spacing w:before="0" w:beforeAutospacing="0" w:after="0" w:afterAutospacing="0"/>
              <w:jc w:val="both"/>
              <w:rPr>
                <w:sz w:val="20"/>
                <w:szCs w:val="20"/>
              </w:rPr>
            </w:pPr>
            <w:hyperlink r:id="rId37" w:history="1">
              <w:r>
                <w:rPr>
                  <w:rStyle w:val="Hyperlink"/>
                  <w:sz w:val="20"/>
                  <w:szCs w:val="20"/>
                </w:rPr>
                <w:t xml:space="preserve">Assignment of Invention (NK-001) dated January 30, 2008 (incorporated by reference to our Registration Statement on Form S-1/A filed on December 3, 2009) </w:t>
              </w:r>
            </w:hyperlink>
          </w:p>
        </w:tc>
        <w:tc>
          <w:tcPr>
            <w:tcW w:w="0" w:type="auto"/>
            <w:shd w:val="clear" w:color="auto" w:fill="CCEEFF"/>
            <w:vAlign w:val="center"/>
            <w:hideMark/>
          </w:tcPr>
          <w:p w:rsidR="00000000" w:rsidRDefault="00150086">
            <w:pPr>
              <w:spacing w:before="0" w:beforeAutospacing="0" w:after="0" w:afterAutospacing="0"/>
              <w:rPr>
                <w:rFonts w:eastAsia="Times New Roman"/>
                <w:sz w:val="20"/>
                <w:szCs w:val="20"/>
              </w:rPr>
            </w:pP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center"/>
              <w:rPr>
                <w:sz w:val="20"/>
                <w:szCs w:val="20"/>
              </w:rPr>
            </w:pPr>
            <w:hyperlink r:id="rId38" w:history="1">
              <w:r>
                <w:rPr>
                  <w:rStyle w:val="Hyperlink"/>
                  <w:sz w:val="20"/>
                  <w:szCs w:val="20"/>
                </w:rPr>
                <w:t>10.5</w:t>
              </w:r>
            </w:hyperlink>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hideMark/>
          </w:tcPr>
          <w:p w:rsidR="00000000" w:rsidRDefault="00150086">
            <w:pPr>
              <w:pStyle w:val="NormalWeb"/>
              <w:spacing w:before="0" w:beforeAutospacing="0" w:after="0" w:afterAutospacing="0"/>
              <w:jc w:val="both"/>
              <w:rPr>
                <w:sz w:val="20"/>
                <w:szCs w:val="20"/>
              </w:rPr>
            </w:pPr>
            <w:hyperlink r:id="rId39" w:history="1">
              <w:r>
                <w:rPr>
                  <w:rStyle w:val="Hyperlink"/>
                  <w:sz w:val="20"/>
                  <w:szCs w:val="20"/>
                </w:rPr>
                <w:t>Assignment of Invention (NK-002) dated April 18, 2008 (incorporated by reference to our Registration Statement on Form S-1/A filed on December 3, 2009)</w:t>
              </w:r>
            </w:hyperlink>
            <w:r>
              <w:rPr>
                <w:sz w:val="20"/>
                <w:szCs w:val="20"/>
              </w:rPr>
              <w:t xml:space="preserve"> </w:t>
            </w:r>
          </w:p>
        </w:tc>
        <w:tc>
          <w:tcPr>
            <w:tcW w:w="0" w:type="auto"/>
            <w:shd w:val="clear" w:color="auto" w:fill="FFFFFF"/>
            <w:vAlign w:val="center"/>
            <w:hideMark/>
          </w:tcPr>
          <w:p w:rsidR="00000000" w:rsidRDefault="00150086">
            <w:pPr>
              <w:spacing w:before="0" w:beforeAutospacing="0" w:after="0" w:afterAutospacing="0"/>
              <w:rPr>
                <w:rFonts w:eastAsia="Times New Roman"/>
                <w:sz w:val="20"/>
                <w:szCs w:val="20"/>
              </w:rPr>
            </w:pPr>
          </w:p>
        </w:tc>
      </w:tr>
    </w:tbl>
    <w:p w:rsidR="00000000" w:rsidRDefault="00150086">
      <w:pPr>
        <w:pStyle w:val="NormalWeb"/>
        <w:spacing w:before="0" w:beforeAutospacing="0" w:after="0" w:afterAutospacing="0"/>
        <w:jc w:val="both"/>
        <w:divId w:val="7608861"/>
        <w:rPr>
          <w:i/>
          <w:iCs/>
          <w:sz w:val="20"/>
          <w:szCs w:val="20"/>
        </w:rPr>
      </w:pPr>
      <w:r>
        <w:rPr>
          <w:i/>
          <w:iCs/>
          <w:sz w:val="20"/>
          <w:szCs w:val="20"/>
        </w:rPr>
        <w:t xml:space="preserve">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tcBorders>
              <w:bottom w:val="single" w:sz="6" w:space="0" w:color="000000"/>
            </w:tcBorders>
            <w:vAlign w:val="center"/>
            <w:hideMark/>
          </w:tcPr>
          <w:p w:rsidR="00000000" w:rsidRDefault="00150086">
            <w:pPr>
              <w:spacing w:before="0" w:beforeAutospacing="0" w:after="0" w:afterAutospacing="0"/>
              <w:jc w:val="center"/>
              <w:rPr>
                <w:rFonts w:eastAsia="Times New Roman"/>
                <w:sz w:val="20"/>
                <w:szCs w:val="20"/>
              </w:rPr>
            </w:pPr>
            <w:r>
              <w:rPr>
                <w:rFonts w:eastAsia="Times New Roman"/>
                <w:sz w:val="20"/>
                <w:szCs w:val="20"/>
              </w:rPr>
              <w:t>31</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50086">
      <w:pPr>
        <w:pStyle w:val="NormalWeb"/>
        <w:spacing w:before="0" w:beforeAutospacing="0" w:after="0" w:afterAutospacing="0"/>
        <w:jc w:val="both"/>
        <w:divId w:val="7608861"/>
        <w:rPr>
          <w:i/>
          <w:iCs/>
          <w:sz w:val="20"/>
          <w:szCs w:val="20"/>
        </w:rPr>
      </w:pPr>
      <w:r>
        <w:rPr>
          <w:i/>
          <w:iCs/>
          <w:sz w:val="20"/>
          <w:szCs w:val="20"/>
        </w:rPr>
        <w:t xml:space="preserve">      </w:t>
      </w:r>
    </w:p>
    <w:tbl>
      <w:tblPr>
        <w:tblW w:w="5000" w:type="pct"/>
        <w:tblCellSpacing w:w="0" w:type="dxa"/>
        <w:tblCellMar>
          <w:left w:w="0" w:type="dxa"/>
          <w:right w:w="0" w:type="dxa"/>
        </w:tblCellMar>
        <w:tblLook w:val="04A0"/>
      </w:tblPr>
      <w:tblGrid>
        <w:gridCol w:w="936"/>
        <w:gridCol w:w="187"/>
        <w:gridCol w:w="2098"/>
        <w:gridCol w:w="6139"/>
      </w:tblGrid>
      <w:tr w:rsidR="00000000">
        <w:trPr>
          <w:divId w:val="7608861"/>
          <w:tblCellSpacing w:w="0" w:type="dxa"/>
        </w:trPr>
        <w:tc>
          <w:tcPr>
            <w:tcW w:w="500" w:type="pct"/>
            <w:shd w:val="clear" w:color="auto" w:fill="CCEEFF"/>
            <w:hideMark/>
          </w:tcPr>
          <w:p w:rsidR="00000000" w:rsidRDefault="00150086">
            <w:pPr>
              <w:pStyle w:val="NormalWeb"/>
              <w:spacing w:before="0" w:beforeAutospacing="0" w:after="0" w:afterAutospacing="0"/>
              <w:jc w:val="center"/>
              <w:rPr>
                <w:sz w:val="20"/>
                <w:szCs w:val="20"/>
              </w:rPr>
            </w:pPr>
            <w:hyperlink r:id="rId40" w:history="1">
              <w:r>
                <w:rPr>
                  <w:rStyle w:val="Hyperlink"/>
                  <w:sz w:val="20"/>
                  <w:szCs w:val="20"/>
                </w:rPr>
                <w:t>10.6</w:t>
              </w:r>
            </w:hyperlink>
          </w:p>
        </w:tc>
        <w:tc>
          <w:tcPr>
            <w:tcW w:w="100" w:type="pct"/>
            <w:shd w:val="clear" w:color="auto" w:fill="CCEEFF"/>
            <w:hideMark/>
          </w:tcPr>
          <w:p w:rsidR="00000000" w:rsidRDefault="00150086">
            <w:pPr>
              <w:spacing w:before="0" w:beforeAutospacing="0" w:after="0" w:afterAutospacing="0"/>
              <w:jc w:val="both"/>
              <w:rPr>
                <w:rFonts w:eastAsia="Times New Roman"/>
                <w:sz w:val="20"/>
                <w:szCs w:val="20"/>
              </w:rPr>
            </w:pPr>
          </w:p>
        </w:tc>
        <w:tc>
          <w:tcPr>
            <w:tcW w:w="0" w:type="auto"/>
            <w:gridSpan w:val="2"/>
            <w:shd w:val="clear" w:color="auto" w:fill="CCEEFF"/>
            <w:hideMark/>
          </w:tcPr>
          <w:p w:rsidR="00000000" w:rsidRDefault="00150086">
            <w:pPr>
              <w:pStyle w:val="NormalWeb"/>
              <w:spacing w:before="0" w:beforeAutospacing="0" w:after="0" w:afterAutospacing="0"/>
              <w:jc w:val="both"/>
              <w:rPr>
                <w:sz w:val="20"/>
                <w:szCs w:val="20"/>
              </w:rPr>
            </w:pPr>
            <w:hyperlink r:id="rId41" w:history="1">
              <w:r>
                <w:rPr>
                  <w:rStyle w:val="Hyperlink"/>
                  <w:sz w:val="20"/>
                  <w:szCs w:val="20"/>
                </w:rPr>
                <w:t xml:space="preserve">Subscription Agreement with Ahmad Doroudian (incorporated by reference to our Form 8-K filed on August 12, 2010) </w:t>
              </w:r>
            </w:hyperlink>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center"/>
              <w:rPr>
                <w:sz w:val="20"/>
                <w:szCs w:val="20"/>
              </w:rPr>
            </w:pPr>
            <w:hyperlink r:id="rId42" w:history="1">
              <w:r>
                <w:rPr>
                  <w:rStyle w:val="Hyperlink"/>
                  <w:sz w:val="20"/>
                  <w:szCs w:val="20"/>
                </w:rPr>
                <w:t>10.7</w:t>
              </w:r>
            </w:hyperlink>
          </w:p>
        </w:tc>
        <w:tc>
          <w:tcPr>
            <w:tcW w:w="0" w:type="auto"/>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gridSpan w:val="2"/>
            <w:shd w:val="clear" w:color="auto" w:fill="FFFFFF"/>
            <w:hideMark/>
          </w:tcPr>
          <w:p w:rsidR="00000000" w:rsidRDefault="00150086">
            <w:pPr>
              <w:pStyle w:val="NormalWeb"/>
              <w:spacing w:before="0" w:beforeAutospacing="0" w:after="0" w:afterAutospacing="0"/>
              <w:jc w:val="both"/>
              <w:rPr>
                <w:sz w:val="20"/>
                <w:szCs w:val="20"/>
              </w:rPr>
            </w:pPr>
            <w:hyperlink r:id="rId43" w:history="1">
              <w:r>
                <w:rPr>
                  <w:rStyle w:val="Hyperlink"/>
                  <w:sz w:val="20"/>
                  <w:szCs w:val="20"/>
                </w:rPr>
                <w:t>Debt Settlement Subscription Agreement dated September 26, 2013 with Ahmad Doroudian (incorporated by reference to our Quarterly Report on Form 10-Q filed on December 16, 2013)</w:t>
              </w:r>
            </w:hyperlink>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center"/>
              <w:rPr>
                <w:sz w:val="20"/>
                <w:szCs w:val="20"/>
              </w:rPr>
            </w:pPr>
            <w:hyperlink r:id="rId44" w:history="1">
              <w:r>
                <w:rPr>
                  <w:rStyle w:val="Hyperlink"/>
                  <w:sz w:val="20"/>
                  <w:szCs w:val="20"/>
                </w:rPr>
                <w:t>10.8</w:t>
              </w:r>
            </w:hyperlink>
          </w:p>
        </w:tc>
        <w:tc>
          <w:tcPr>
            <w:tcW w:w="0" w:type="auto"/>
            <w:gridSpan w:val="2"/>
            <w:shd w:val="clear" w:color="auto" w:fill="CCEE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CCEEFF"/>
            <w:hideMark/>
          </w:tcPr>
          <w:p w:rsidR="00000000" w:rsidRDefault="00150086">
            <w:pPr>
              <w:pStyle w:val="NormalWeb"/>
              <w:spacing w:before="0" w:beforeAutospacing="0" w:after="0" w:afterAutospacing="0"/>
              <w:jc w:val="both"/>
              <w:rPr>
                <w:sz w:val="20"/>
                <w:szCs w:val="20"/>
              </w:rPr>
            </w:pPr>
            <w:hyperlink r:id="rId45" w:history="1">
              <w:r>
                <w:rPr>
                  <w:rStyle w:val="Hyperlink"/>
                  <w:sz w:val="20"/>
                  <w:szCs w:val="20"/>
                </w:rPr>
                <w:t>Director Services Agreement dated February 25, 2015 with Barbara-Jean Bormann-Kennedy (incorporated by reference to our Current Re</w:t>
              </w:r>
              <w:r>
                <w:rPr>
                  <w:rStyle w:val="Hyperlink"/>
                  <w:sz w:val="20"/>
                  <w:szCs w:val="20"/>
                </w:rPr>
                <w:t>port on Form 8-K filed on March 26, 2015)</w:t>
              </w:r>
            </w:hyperlink>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center"/>
              <w:rPr>
                <w:sz w:val="20"/>
                <w:szCs w:val="20"/>
              </w:rPr>
            </w:pPr>
            <w:hyperlink r:id="rId46" w:history="1">
              <w:r>
                <w:rPr>
                  <w:rStyle w:val="Hyperlink"/>
                  <w:sz w:val="20"/>
                  <w:szCs w:val="20"/>
                </w:rPr>
                <w:t>10.9</w:t>
              </w:r>
            </w:hyperlink>
          </w:p>
        </w:tc>
        <w:tc>
          <w:tcPr>
            <w:tcW w:w="0" w:type="auto"/>
            <w:gridSpan w:val="2"/>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pStyle w:val="NormalWeb"/>
              <w:spacing w:before="0" w:beforeAutospacing="0" w:after="0" w:afterAutospacing="0"/>
              <w:jc w:val="both"/>
              <w:rPr>
                <w:sz w:val="20"/>
                <w:szCs w:val="20"/>
              </w:rPr>
            </w:pPr>
            <w:hyperlink r:id="rId47" w:history="1">
              <w:r>
                <w:rPr>
                  <w:rStyle w:val="Hyperlink"/>
                  <w:sz w:val="20"/>
                  <w:szCs w:val="20"/>
                </w:rPr>
                <w:t>Director Services Agreement dated February 25, 2015 with Dr. Patrick Frankham (incorporated by reference to our Current Report on Form 8-K filed on March 26, 2015)</w:t>
              </w:r>
            </w:hyperlink>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center"/>
              <w:rPr>
                <w:sz w:val="20"/>
                <w:szCs w:val="20"/>
              </w:rPr>
            </w:pPr>
            <w:hyperlink r:id="rId48" w:history="1">
              <w:r>
                <w:rPr>
                  <w:rStyle w:val="Hyperlink"/>
                  <w:sz w:val="20"/>
                  <w:szCs w:val="20"/>
                </w:rPr>
                <w:t>10.10</w:t>
              </w:r>
            </w:hyperlink>
          </w:p>
        </w:tc>
        <w:tc>
          <w:tcPr>
            <w:tcW w:w="0" w:type="auto"/>
            <w:gridSpan w:val="2"/>
            <w:shd w:val="clear" w:color="auto" w:fill="CCEE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CCEEFF"/>
            <w:hideMark/>
          </w:tcPr>
          <w:p w:rsidR="00000000" w:rsidRDefault="00150086">
            <w:pPr>
              <w:pStyle w:val="NormalWeb"/>
              <w:spacing w:before="0" w:beforeAutospacing="0" w:after="0" w:afterAutospacing="0"/>
              <w:jc w:val="both"/>
              <w:rPr>
                <w:sz w:val="20"/>
                <w:szCs w:val="20"/>
              </w:rPr>
            </w:pPr>
            <w:hyperlink r:id="rId49" w:history="1">
              <w:r>
                <w:rPr>
                  <w:rStyle w:val="Hyperlink"/>
                  <w:sz w:val="20"/>
                  <w:szCs w:val="20"/>
                </w:rPr>
                <w:t>Director Services Agreement dated February 26, 2015 with Dr. Wolfgang Renz (incorporated by reference to our Current Report on Form 8-K filed on March 26, 2015)</w:t>
              </w:r>
            </w:hyperlink>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center"/>
              <w:rPr>
                <w:sz w:val="20"/>
                <w:szCs w:val="20"/>
              </w:rPr>
            </w:pPr>
            <w:hyperlink r:id="rId50" w:history="1">
              <w:r>
                <w:rPr>
                  <w:rStyle w:val="Hyperlink"/>
                  <w:sz w:val="20"/>
                  <w:szCs w:val="20"/>
                </w:rPr>
                <w:t>10.11</w:t>
              </w:r>
            </w:hyperlink>
          </w:p>
        </w:tc>
        <w:tc>
          <w:tcPr>
            <w:tcW w:w="0" w:type="auto"/>
            <w:gridSpan w:val="2"/>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pStyle w:val="NormalWeb"/>
              <w:spacing w:before="0" w:beforeAutospacing="0" w:after="0" w:afterAutospacing="0"/>
              <w:jc w:val="both"/>
              <w:rPr>
                <w:sz w:val="20"/>
                <w:szCs w:val="20"/>
              </w:rPr>
            </w:pPr>
            <w:hyperlink r:id="rId51" w:history="1">
              <w:r>
                <w:rPr>
                  <w:rStyle w:val="Hyperlink"/>
                  <w:sz w:val="20"/>
                  <w:szCs w:val="20"/>
                </w:rPr>
                <w:t xml:space="preserve">Consulting Services Agreement dated February 25, 2015 with Dr. Giora Davidai (incorporated by reference to our Current Report on Form 8-K filed </w:t>
              </w:r>
              <w:r>
                <w:rPr>
                  <w:rStyle w:val="Hyperlink"/>
                  <w:sz w:val="20"/>
                  <w:szCs w:val="20"/>
                </w:rPr>
                <w:t>on March 26, 2015)</w:t>
              </w:r>
            </w:hyperlink>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center"/>
              <w:rPr>
                <w:sz w:val="20"/>
                <w:szCs w:val="20"/>
              </w:rPr>
            </w:pPr>
            <w:hyperlink r:id="rId52" w:history="1">
              <w:r>
                <w:rPr>
                  <w:rStyle w:val="Hyperlink"/>
                  <w:sz w:val="20"/>
                  <w:szCs w:val="20"/>
                </w:rPr>
                <w:t>10.12</w:t>
              </w:r>
            </w:hyperlink>
          </w:p>
        </w:tc>
        <w:tc>
          <w:tcPr>
            <w:tcW w:w="0" w:type="auto"/>
            <w:gridSpan w:val="2"/>
            <w:shd w:val="clear" w:color="auto" w:fill="CCEE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CCEEFF"/>
            <w:hideMark/>
          </w:tcPr>
          <w:p w:rsidR="00000000" w:rsidRDefault="00150086">
            <w:pPr>
              <w:pStyle w:val="NormalWeb"/>
              <w:spacing w:before="0" w:beforeAutospacing="0" w:after="0" w:afterAutospacing="0"/>
              <w:jc w:val="both"/>
              <w:rPr>
                <w:sz w:val="20"/>
                <w:szCs w:val="20"/>
              </w:rPr>
            </w:pPr>
            <w:hyperlink r:id="rId53" w:history="1">
              <w:r>
                <w:rPr>
                  <w:rStyle w:val="Hyperlink"/>
                  <w:sz w:val="20"/>
                  <w:szCs w:val="20"/>
                </w:rPr>
                <w:t>Director Services Agreement dated November 19, 2015 with Dr. Patrick Frankham (incorporated by reference to our Quarterly Report on Form 10 Q filed on December 15, 2015)</w:t>
              </w:r>
            </w:hyperlink>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center"/>
              <w:rPr>
                <w:sz w:val="20"/>
                <w:szCs w:val="20"/>
              </w:rPr>
            </w:pPr>
            <w:hyperlink r:id="rId54" w:history="1">
              <w:r>
                <w:rPr>
                  <w:rStyle w:val="Hyperlink"/>
                  <w:sz w:val="20"/>
                  <w:szCs w:val="20"/>
                </w:rPr>
                <w:t>10.13</w:t>
              </w:r>
            </w:hyperlink>
          </w:p>
        </w:tc>
        <w:tc>
          <w:tcPr>
            <w:tcW w:w="0" w:type="auto"/>
            <w:gridSpan w:val="2"/>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pStyle w:val="NormalWeb"/>
              <w:spacing w:before="0" w:beforeAutospacing="0" w:after="0" w:afterAutospacing="0"/>
              <w:jc w:val="both"/>
              <w:rPr>
                <w:sz w:val="20"/>
                <w:szCs w:val="20"/>
              </w:rPr>
            </w:pPr>
            <w:hyperlink r:id="rId55" w:history="1">
              <w:r>
                <w:rPr>
                  <w:rStyle w:val="Hyperlink"/>
                  <w:sz w:val="20"/>
                  <w:szCs w:val="20"/>
                </w:rPr>
                <w:t xml:space="preserve">Director Services Agreement dated November 19, 2015 with Dr. Wolfgang Renz (incorporated by reference to our Quarterly Report on </w:t>
              </w:r>
              <w:r>
                <w:rPr>
                  <w:rStyle w:val="Hyperlink"/>
                  <w:sz w:val="20"/>
                  <w:szCs w:val="20"/>
                </w:rPr>
                <w:t>Form 10 Q filed on December 15, 2015)</w:t>
              </w:r>
            </w:hyperlink>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center"/>
              <w:rPr>
                <w:sz w:val="20"/>
                <w:szCs w:val="20"/>
              </w:rPr>
            </w:pPr>
            <w:hyperlink r:id="rId56" w:history="1">
              <w:r>
                <w:rPr>
                  <w:rStyle w:val="Hyperlink"/>
                  <w:sz w:val="20"/>
                  <w:szCs w:val="20"/>
                </w:rPr>
                <w:t>10.14</w:t>
              </w:r>
            </w:hyperlink>
          </w:p>
        </w:tc>
        <w:tc>
          <w:tcPr>
            <w:tcW w:w="0" w:type="auto"/>
            <w:gridSpan w:val="2"/>
            <w:shd w:val="clear" w:color="auto" w:fill="CCEE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CCEEFF"/>
            <w:hideMark/>
          </w:tcPr>
          <w:p w:rsidR="00000000" w:rsidRDefault="00150086">
            <w:pPr>
              <w:pStyle w:val="NormalWeb"/>
              <w:spacing w:before="0" w:beforeAutospacing="0" w:after="0" w:afterAutospacing="0"/>
              <w:jc w:val="both"/>
              <w:rPr>
                <w:sz w:val="20"/>
                <w:szCs w:val="20"/>
              </w:rPr>
            </w:pPr>
            <w:hyperlink r:id="rId57" w:history="1">
              <w:r>
                <w:rPr>
                  <w:rStyle w:val="Hyperlink"/>
                  <w:sz w:val="20"/>
                  <w:szCs w:val="20"/>
                </w:rPr>
                <w:t xml:space="preserve">Consulting Services Agreement dated November 19, 2015 with Dr. Giora </w:t>
              </w:r>
              <w:r>
                <w:rPr>
                  <w:rStyle w:val="Hyperlink"/>
                  <w:sz w:val="20"/>
                  <w:szCs w:val="20"/>
                </w:rPr>
                <w:lastRenderedPageBreak/>
                <w:t>Davidai (incorporated by reference to our Quarterly Report on Form 10</w:t>
              </w:r>
              <w:r>
                <w:rPr>
                  <w:rStyle w:val="Hyperlink"/>
                  <w:sz w:val="20"/>
                  <w:szCs w:val="20"/>
                </w:rPr>
                <w:noBreakHyphen/>
                <w:t>Q filed on December 15, 2015)</w:t>
              </w:r>
            </w:hyperlink>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center"/>
              <w:rPr>
                <w:sz w:val="20"/>
                <w:szCs w:val="20"/>
              </w:rPr>
            </w:pPr>
            <w:hyperlink r:id="rId58" w:history="1">
              <w:r>
                <w:rPr>
                  <w:rStyle w:val="Hyperlink"/>
                  <w:sz w:val="20"/>
                  <w:szCs w:val="20"/>
                </w:rPr>
                <w:t>10.15</w:t>
              </w:r>
            </w:hyperlink>
          </w:p>
        </w:tc>
        <w:tc>
          <w:tcPr>
            <w:tcW w:w="0" w:type="auto"/>
            <w:gridSpan w:val="2"/>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pStyle w:val="NormalWeb"/>
              <w:spacing w:before="0" w:beforeAutospacing="0" w:after="0" w:afterAutospacing="0"/>
              <w:jc w:val="both"/>
              <w:rPr>
                <w:sz w:val="20"/>
                <w:szCs w:val="20"/>
              </w:rPr>
            </w:pPr>
            <w:hyperlink r:id="rId59" w:history="1">
              <w:r>
                <w:rPr>
                  <w:rStyle w:val="Hyperlink"/>
                  <w:sz w:val="20"/>
                  <w:szCs w:val="20"/>
                </w:rPr>
                <w:t>Plan of Merger and Acquisition Agreement between our company and IndUS Pharmaceuticals, Inc., dated November 4, 2015 (incorporated by reference to our Current Report on Form 8</w:t>
              </w:r>
              <w:r>
                <w:rPr>
                  <w:rStyle w:val="Hyperlink"/>
                  <w:sz w:val="20"/>
                  <w:szCs w:val="20"/>
                </w:rPr>
                <w:noBreakHyphen/>
                <w:t>K filed on November 23, 2015 and our Current Report on Form 8</w:t>
              </w:r>
              <w:r>
                <w:rPr>
                  <w:rStyle w:val="Hyperlink"/>
                  <w:sz w:val="20"/>
                  <w:szCs w:val="20"/>
                </w:rPr>
                <w:noBreakHyphen/>
                <w:t>K/A filed on Febru</w:t>
              </w:r>
              <w:r>
                <w:rPr>
                  <w:rStyle w:val="Hyperlink"/>
                  <w:sz w:val="20"/>
                  <w:szCs w:val="20"/>
                </w:rPr>
                <w:t>ary 3, 2016)</w:t>
              </w:r>
            </w:hyperlink>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center"/>
              <w:rPr>
                <w:sz w:val="20"/>
                <w:szCs w:val="20"/>
              </w:rPr>
            </w:pPr>
            <w:hyperlink r:id="rId60" w:history="1">
              <w:r>
                <w:rPr>
                  <w:rStyle w:val="Hyperlink"/>
                  <w:sz w:val="20"/>
                  <w:szCs w:val="20"/>
                </w:rPr>
                <w:t>10.16</w:t>
              </w:r>
            </w:hyperlink>
          </w:p>
        </w:tc>
        <w:tc>
          <w:tcPr>
            <w:tcW w:w="0" w:type="auto"/>
            <w:gridSpan w:val="2"/>
            <w:shd w:val="clear" w:color="auto" w:fill="CCEE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CCEEFF"/>
            <w:hideMark/>
          </w:tcPr>
          <w:p w:rsidR="00000000" w:rsidRDefault="00150086">
            <w:pPr>
              <w:pStyle w:val="NormalWeb"/>
              <w:spacing w:before="0" w:beforeAutospacing="0" w:after="0" w:afterAutospacing="0"/>
              <w:jc w:val="both"/>
              <w:rPr>
                <w:sz w:val="20"/>
                <w:szCs w:val="20"/>
              </w:rPr>
            </w:pPr>
            <w:hyperlink r:id="rId61" w:history="1">
              <w:r>
                <w:rPr>
                  <w:rStyle w:val="Hyperlink"/>
                  <w:sz w:val="20"/>
                  <w:szCs w:val="20"/>
                </w:rPr>
                <w:t>Employment Agreement dated Nov</w:t>
              </w:r>
              <w:r>
                <w:rPr>
                  <w:rStyle w:val="Hyperlink"/>
                  <w:sz w:val="20"/>
                  <w:szCs w:val="20"/>
                </w:rPr>
                <w:t>ember 20, 2015 with Dr. Pravin Chaturvedi (incorporated by reference to our Quarterly Report on Form 10</w:t>
              </w:r>
              <w:r>
                <w:rPr>
                  <w:rStyle w:val="Hyperlink"/>
                  <w:sz w:val="20"/>
                  <w:szCs w:val="20"/>
                </w:rPr>
                <w:noBreakHyphen/>
                <w:t>Q filed on December 15, 2015)</w:t>
              </w:r>
            </w:hyperlink>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center"/>
              <w:rPr>
                <w:sz w:val="20"/>
                <w:szCs w:val="20"/>
              </w:rPr>
            </w:pPr>
            <w:hyperlink r:id="rId62" w:history="1">
              <w:r>
                <w:rPr>
                  <w:rStyle w:val="Hyperlink"/>
                  <w:sz w:val="20"/>
                  <w:szCs w:val="20"/>
                </w:rPr>
                <w:t>10.17</w:t>
              </w:r>
            </w:hyperlink>
          </w:p>
        </w:tc>
        <w:tc>
          <w:tcPr>
            <w:tcW w:w="0" w:type="auto"/>
            <w:gridSpan w:val="2"/>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pStyle w:val="NormalWeb"/>
              <w:spacing w:before="0" w:beforeAutospacing="0" w:after="0" w:afterAutospacing="0"/>
              <w:jc w:val="both"/>
              <w:rPr>
                <w:sz w:val="20"/>
                <w:szCs w:val="20"/>
              </w:rPr>
            </w:pPr>
            <w:hyperlink r:id="rId63" w:history="1">
              <w:r>
                <w:rPr>
                  <w:rStyle w:val="Hyperlink"/>
                  <w:sz w:val="20"/>
                  <w:szCs w:val="20"/>
                </w:rPr>
                <w:t>Employment Agreement dated February 1, 2016 with Dr. Ahmad Doroudian (filed on April 29, 2016 with our Annual Report on Form 10-K)</w:t>
              </w:r>
            </w:hyperlink>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center"/>
              <w:rPr>
                <w:sz w:val="20"/>
                <w:szCs w:val="20"/>
              </w:rPr>
            </w:pPr>
            <w:hyperlink r:id="rId64" w:history="1">
              <w:r>
                <w:rPr>
                  <w:rStyle w:val="Hyperlink"/>
                  <w:sz w:val="20"/>
                  <w:szCs w:val="20"/>
                </w:rPr>
                <w:t>10.18</w:t>
              </w:r>
            </w:hyperlink>
          </w:p>
        </w:tc>
        <w:tc>
          <w:tcPr>
            <w:tcW w:w="0" w:type="auto"/>
            <w:gridSpan w:val="2"/>
            <w:shd w:val="clear" w:color="auto" w:fill="CCEE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CCEEFF"/>
            <w:hideMark/>
          </w:tcPr>
          <w:p w:rsidR="00000000" w:rsidRDefault="00150086">
            <w:pPr>
              <w:pStyle w:val="NormalWeb"/>
              <w:spacing w:before="0" w:beforeAutospacing="0" w:after="0" w:afterAutospacing="0"/>
              <w:jc w:val="both"/>
              <w:rPr>
                <w:sz w:val="20"/>
                <w:szCs w:val="20"/>
              </w:rPr>
            </w:pPr>
            <w:hyperlink r:id="rId65" w:history="1">
              <w:r>
                <w:rPr>
                  <w:rStyle w:val="Hyperlink"/>
                  <w:sz w:val="20"/>
                  <w:szCs w:val="20"/>
                </w:rPr>
                <w:t xml:space="preserve">Employment Agreement dated February 1, 2016 with Moira Ong (filed on </w:t>
              </w:r>
              <w:r>
                <w:rPr>
                  <w:rStyle w:val="Hyperlink"/>
                  <w:sz w:val="20"/>
                  <w:szCs w:val="20"/>
                </w:rPr>
                <w:t>April 29, 2016 with our Annual Report on Form 10-K)</w:t>
              </w:r>
            </w:hyperlink>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center"/>
              <w:rPr>
                <w:sz w:val="20"/>
                <w:szCs w:val="20"/>
              </w:rPr>
            </w:pPr>
            <w:hyperlink r:id="rId66" w:history="1">
              <w:r>
                <w:rPr>
                  <w:rStyle w:val="Hyperlink"/>
                  <w:sz w:val="20"/>
                  <w:szCs w:val="20"/>
                </w:rPr>
                <w:t>10.19</w:t>
              </w:r>
            </w:hyperlink>
          </w:p>
        </w:tc>
        <w:tc>
          <w:tcPr>
            <w:tcW w:w="0" w:type="auto"/>
            <w:gridSpan w:val="2"/>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pStyle w:val="NormalWeb"/>
              <w:spacing w:before="0" w:beforeAutospacing="0" w:after="0" w:afterAutospacing="0"/>
              <w:jc w:val="both"/>
              <w:rPr>
                <w:sz w:val="20"/>
                <w:szCs w:val="20"/>
              </w:rPr>
            </w:pPr>
            <w:hyperlink r:id="rId67" w:history="1">
              <w:r>
                <w:rPr>
                  <w:rStyle w:val="Hyperlink"/>
                  <w:sz w:val="20"/>
                  <w:szCs w:val="20"/>
                </w:rPr>
                <w:t>Consulting Services Agreement dated February 1, 2016 with Soho Capital Inc. (filed on April 29, 2016 with our Annual Report on Form 10-K)</w:t>
              </w:r>
            </w:hyperlink>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center"/>
              <w:rPr>
                <w:sz w:val="20"/>
                <w:szCs w:val="20"/>
              </w:rPr>
            </w:pPr>
            <w:hyperlink r:id="rId68" w:history="1">
              <w:r>
                <w:rPr>
                  <w:rStyle w:val="Hyperlink"/>
                  <w:sz w:val="20"/>
                  <w:szCs w:val="20"/>
                </w:rPr>
                <w:t>10.20</w:t>
              </w:r>
            </w:hyperlink>
          </w:p>
        </w:tc>
        <w:tc>
          <w:tcPr>
            <w:tcW w:w="0" w:type="auto"/>
            <w:gridSpan w:val="2"/>
            <w:shd w:val="clear" w:color="auto" w:fill="CCEE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CCEEFF"/>
            <w:hideMark/>
          </w:tcPr>
          <w:p w:rsidR="00000000" w:rsidRDefault="00150086">
            <w:pPr>
              <w:pStyle w:val="NormalWeb"/>
              <w:spacing w:before="0" w:beforeAutospacing="0" w:after="0" w:afterAutospacing="0"/>
              <w:jc w:val="both"/>
              <w:rPr>
                <w:sz w:val="20"/>
                <w:szCs w:val="20"/>
              </w:rPr>
            </w:pPr>
            <w:hyperlink r:id="rId69" w:history="1">
              <w:r>
                <w:rPr>
                  <w:rStyle w:val="Hyperlink"/>
                  <w:sz w:val="20"/>
                  <w:szCs w:val="20"/>
                </w:rPr>
                <w:t>Convertible debenture agreement dated September 29, 2016 with Avro Capital Partners Inc. (incorporated by reference to our Quarterly Report on Form 10-Q filed on September 14, 2017)</w:t>
              </w:r>
            </w:hyperlink>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center"/>
              <w:rPr>
                <w:sz w:val="20"/>
                <w:szCs w:val="20"/>
              </w:rPr>
            </w:pPr>
            <w:hyperlink r:id="rId70" w:history="1">
              <w:r>
                <w:rPr>
                  <w:rStyle w:val="Hyperlink"/>
                  <w:sz w:val="20"/>
                  <w:szCs w:val="20"/>
                </w:rPr>
                <w:t>10.21</w:t>
              </w:r>
            </w:hyperlink>
          </w:p>
        </w:tc>
        <w:tc>
          <w:tcPr>
            <w:tcW w:w="0" w:type="auto"/>
            <w:gridSpan w:val="2"/>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pStyle w:val="NormalWeb"/>
              <w:spacing w:before="0" w:beforeAutospacing="0" w:after="0" w:afterAutospacing="0"/>
              <w:jc w:val="both"/>
              <w:rPr>
                <w:sz w:val="20"/>
                <w:szCs w:val="20"/>
              </w:rPr>
            </w:pPr>
            <w:hyperlink r:id="rId71" w:history="1">
              <w:r>
                <w:rPr>
                  <w:rStyle w:val="Hyperlink"/>
                  <w:sz w:val="20"/>
                  <w:szCs w:val="20"/>
                </w:rPr>
                <w:t>Exchange Agreement between our company, IndUS Phar</w:t>
              </w:r>
              <w:r>
                <w:rPr>
                  <w:rStyle w:val="Hyperlink"/>
                  <w:sz w:val="20"/>
                  <w:szCs w:val="20"/>
                </w:rPr>
                <w:t>maceuticals, Inc. and Pravin Chaturvedi, dated September 11, 2017 (incorporated by reference to our Current Report on Form 8-K filed on September 12, 2017)</w:t>
              </w:r>
            </w:hyperlink>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center"/>
              <w:rPr>
                <w:sz w:val="20"/>
                <w:szCs w:val="20"/>
              </w:rPr>
            </w:pPr>
            <w:hyperlink r:id="rId72" w:history="1">
              <w:r>
                <w:rPr>
                  <w:rStyle w:val="Hyperlink"/>
                  <w:sz w:val="20"/>
                  <w:szCs w:val="20"/>
                </w:rPr>
                <w:t>10.22</w:t>
              </w:r>
            </w:hyperlink>
          </w:p>
        </w:tc>
        <w:tc>
          <w:tcPr>
            <w:tcW w:w="0" w:type="auto"/>
            <w:gridSpan w:val="2"/>
            <w:shd w:val="clear" w:color="auto" w:fill="CCEE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CCEEFF"/>
            <w:hideMark/>
          </w:tcPr>
          <w:p w:rsidR="00000000" w:rsidRDefault="00150086">
            <w:pPr>
              <w:pStyle w:val="NormalWeb"/>
              <w:spacing w:before="0" w:beforeAutospacing="0" w:after="0" w:afterAutospacing="0"/>
              <w:jc w:val="both"/>
              <w:rPr>
                <w:sz w:val="20"/>
                <w:szCs w:val="20"/>
              </w:rPr>
            </w:pPr>
            <w:hyperlink r:id="rId73" w:history="1">
              <w:r>
                <w:rPr>
                  <w:rStyle w:val="Hyperlink"/>
                  <w:sz w:val="20"/>
                  <w:szCs w:val="20"/>
                </w:rPr>
                <w:t>Licensing Agreement between our company and Altum Pharmaceuticals Inc. dated September 12, 2017 (incorporated by reference to our Current Report on Form 8-K filed on September 12, 2017)</w:t>
              </w:r>
            </w:hyperlink>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center"/>
              <w:rPr>
                <w:sz w:val="20"/>
                <w:szCs w:val="20"/>
              </w:rPr>
            </w:pPr>
            <w:hyperlink r:id="rId74" w:history="1">
              <w:r>
                <w:rPr>
                  <w:rStyle w:val="Hyperlink"/>
                  <w:sz w:val="20"/>
                  <w:szCs w:val="20"/>
                </w:rPr>
                <w:t>10.23</w:t>
              </w:r>
            </w:hyperlink>
          </w:p>
        </w:tc>
        <w:tc>
          <w:tcPr>
            <w:tcW w:w="0" w:type="auto"/>
            <w:gridSpan w:val="2"/>
            <w:shd w:val="clear" w:color="auto" w:fill="FFFF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50086">
            <w:pPr>
              <w:pStyle w:val="NormalWeb"/>
              <w:spacing w:before="0" w:beforeAutospacing="0" w:after="0" w:afterAutospacing="0"/>
              <w:jc w:val="both"/>
              <w:rPr>
                <w:sz w:val="20"/>
                <w:szCs w:val="20"/>
              </w:rPr>
            </w:pPr>
            <w:hyperlink r:id="rId75" w:history="1">
              <w:r>
                <w:rPr>
                  <w:rStyle w:val="Hyperlink"/>
                  <w:sz w:val="20"/>
                  <w:szCs w:val="20"/>
                </w:rPr>
                <w:t>Debt Forgiveness Agreement dated July 31, 2017 between our company and Dr. Ahmad Doroudian (filed on September 15</w:t>
              </w:r>
              <w:r>
                <w:rPr>
                  <w:rStyle w:val="Hyperlink"/>
                  <w:sz w:val="20"/>
                  <w:szCs w:val="20"/>
                </w:rPr>
                <w:t>, 2017 with our Quarterly Report on Form 10-Q)</w:t>
              </w:r>
            </w:hyperlink>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center"/>
              <w:rPr>
                <w:sz w:val="20"/>
                <w:szCs w:val="20"/>
              </w:rPr>
            </w:pPr>
            <w:hyperlink r:id="rId76" w:history="1">
              <w:r>
                <w:rPr>
                  <w:rStyle w:val="Hyperlink"/>
                  <w:sz w:val="20"/>
                  <w:szCs w:val="20"/>
                </w:rPr>
                <w:t>10.24</w:t>
              </w:r>
            </w:hyperlink>
          </w:p>
        </w:tc>
        <w:tc>
          <w:tcPr>
            <w:tcW w:w="0" w:type="auto"/>
            <w:gridSpan w:val="2"/>
            <w:shd w:val="clear" w:color="auto" w:fill="CCEEFF"/>
            <w:hideMark/>
          </w:tcPr>
          <w:p w:rsidR="00000000" w:rsidRDefault="00150086">
            <w:pPr>
              <w:spacing w:before="0" w:beforeAutospacing="0" w:after="0" w:afterAutospacing="0"/>
              <w:jc w:val="both"/>
              <w:rPr>
                <w:rFonts w:eastAsia="Times New Roman"/>
                <w:sz w:val="20"/>
                <w:szCs w:val="20"/>
              </w:rPr>
            </w:pPr>
          </w:p>
        </w:tc>
        <w:tc>
          <w:tcPr>
            <w:tcW w:w="0" w:type="auto"/>
            <w:shd w:val="clear" w:color="auto" w:fill="CCEEFF"/>
            <w:hideMark/>
          </w:tcPr>
          <w:p w:rsidR="00000000" w:rsidRDefault="00150086">
            <w:pPr>
              <w:pStyle w:val="NormalWeb"/>
              <w:spacing w:before="0" w:beforeAutospacing="0" w:after="0" w:afterAutospacing="0"/>
              <w:jc w:val="both"/>
              <w:rPr>
                <w:sz w:val="20"/>
                <w:szCs w:val="20"/>
              </w:rPr>
            </w:pPr>
            <w:hyperlink r:id="rId77" w:history="1">
              <w:r>
                <w:rPr>
                  <w:rStyle w:val="Hyperlink"/>
                  <w:sz w:val="20"/>
                  <w:szCs w:val="20"/>
                </w:rPr>
                <w:t>Debt Forgiveness Agreement dated July 31, 2017 between our company and Moira Ong (filed on September 15, 2017 with our Quarterly Report on Form 10-Q)</w:t>
              </w:r>
            </w:hyperlink>
          </w:p>
        </w:tc>
      </w:tr>
    </w:tbl>
    <w:p w:rsidR="00000000" w:rsidRDefault="00150086">
      <w:pPr>
        <w:pStyle w:val="NormalWeb"/>
        <w:spacing w:before="0" w:beforeAutospacing="0" w:after="0" w:afterAutospacing="0"/>
        <w:jc w:val="both"/>
        <w:divId w:val="7608861"/>
        <w:rPr>
          <w:i/>
          <w:iCs/>
          <w:sz w:val="20"/>
          <w:szCs w:val="20"/>
        </w:rPr>
      </w:pPr>
      <w:r>
        <w:rPr>
          <w:i/>
          <w:iCs/>
          <w:sz w:val="20"/>
          <w:szCs w:val="20"/>
        </w:rPr>
        <w:t xml:space="preserve">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tcBorders>
              <w:bottom w:val="single" w:sz="6" w:space="0" w:color="000000"/>
            </w:tcBorders>
            <w:vAlign w:val="center"/>
            <w:hideMark/>
          </w:tcPr>
          <w:p w:rsidR="00000000" w:rsidRDefault="00150086">
            <w:pPr>
              <w:spacing w:before="0" w:beforeAutospacing="0" w:after="0" w:afterAutospacing="0"/>
              <w:jc w:val="center"/>
              <w:rPr>
                <w:rFonts w:eastAsia="Times New Roman"/>
                <w:sz w:val="20"/>
                <w:szCs w:val="20"/>
              </w:rPr>
            </w:pPr>
            <w:r>
              <w:rPr>
                <w:rFonts w:eastAsia="Times New Roman"/>
                <w:sz w:val="20"/>
                <w:szCs w:val="20"/>
              </w:rPr>
              <w:t>32</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50086">
      <w:pPr>
        <w:pStyle w:val="NormalWeb"/>
        <w:spacing w:before="0" w:beforeAutospacing="0" w:after="0" w:afterAutospacing="0"/>
        <w:jc w:val="both"/>
        <w:divId w:val="7608861"/>
        <w:rPr>
          <w:i/>
          <w:iCs/>
          <w:sz w:val="20"/>
          <w:szCs w:val="20"/>
        </w:rPr>
      </w:pPr>
      <w:r>
        <w:rPr>
          <w:i/>
          <w:iCs/>
          <w:sz w:val="20"/>
          <w:szCs w:val="20"/>
        </w:rPr>
        <w:t xml:space="preserve">    </w:t>
      </w:r>
    </w:p>
    <w:tbl>
      <w:tblPr>
        <w:tblW w:w="5000" w:type="pct"/>
        <w:tblCellSpacing w:w="0" w:type="dxa"/>
        <w:tblCellMar>
          <w:left w:w="0" w:type="dxa"/>
          <w:right w:w="0" w:type="dxa"/>
        </w:tblCellMar>
        <w:tblLook w:val="04A0"/>
      </w:tblPr>
      <w:tblGrid>
        <w:gridCol w:w="936"/>
        <w:gridCol w:w="187"/>
        <w:gridCol w:w="8217"/>
        <w:gridCol w:w="7"/>
        <w:gridCol w:w="7"/>
        <w:gridCol w:w="6"/>
      </w:tblGrid>
      <w:tr w:rsidR="00000000">
        <w:trPr>
          <w:gridAfter w:val="1"/>
          <w:divId w:val="7608861"/>
          <w:tblCellSpacing w:w="0" w:type="dxa"/>
        </w:trPr>
        <w:tc>
          <w:tcPr>
            <w:tcW w:w="500" w:type="pct"/>
            <w:shd w:val="clear" w:color="auto" w:fill="CCEEFF"/>
            <w:hideMark/>
          </w:tcPr>
          <w:p w:rsidR="00000000" w:rsidRDefault="00150086">
            <w:pPr>
              <w:pStyle w:val="NormalWeb"/>
              <w:spacing w:before="0" w:beforeAutospacing="0" w:after="0" w:afterAutospacing="0"/>
              <w:jc w:val="center"/>
              <w:rPr>
                <w:sz w:val="20"/>
                <w:szCs w:val="20"/>
              </w:rPr>
            </w:pPr>
            <w:hyperlink r:id="rId78" w:history="1">
              <w:r>
                <w:rPr>
                  <w:rStyle w:val="Hyperlink"/>
                  <w:sz w:val="20"/>
                  <w:szCs w:val="20"/>
                </w:rPr>
                <w:t>10.25</w:t>
              </w:r>
            </w:hyperlink>
          </w:p>
        </w:tc>
        <w:tc>
          <w:tcPr>
            <w:tcW w:w="100" w:type="pct"/>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3"/>
            <w:shd w:val="clear" w:color="auto" w:fill="CCEEFF"/>
            <w:hideMark/>
          </w:tcPr>
          <w:p w:rsidR="00000000" w:rsidRDefault="00150086">
            <w:pPr>
              <w:pStyle w:val="NormalWeb"/>
              <w:spacing w:before="0" w:beforeAutospacing="0" w:after="0" w:afterAutospacing="0"/>
              <w:jc w:val="both"/>
              <w:rPr>
                <w:sz w:val="20"/>
                <w:szCs w:val="20"/>
              </w:rPr>
            </w:pPr>
            <w:hyperlink r:id="rId79" w:history="1">
              <w:r>
                <w:rPr>
                  <w:rStyle w:val="Hyperlink"/>
                  <w:sz w:val="20"/>
                  <w:szCs w:val="20"/>
                </w:rPr>
                <w:t>Debt Forgiveness Agreement dated July 31, 2017 between our company and Soho Capital Inc. (filed on September 15, 2017 with our Quarterly Report on Form 10-Q)</w:t>
              </w:r>
            </w:hyperlink>
          </w:p>
        </w:tc>
      </w:tr>
      <w:tr w:rsidR="00000000">
        <w:trPr>
          <w:gridAfter w:val="1"/>
          <w:divId w:val="7608861"/>
          <w:tblCellSpacing w:w="0" w:type="dxa"/>
        </w:trPr>
        <w:tc>
          <w:tcPr>
            <w:tcW w:w="0" w:type="auto"/>
            <w:shd w:val="clear" w:color="auto" w:fill="FFFFFF"/>
            <w:hideMark/>
          </w:tcPr>
          <w:p w:rsidR="00000000" w:rsidRDefault="00150086">
            <w:pPr>
              <w:pStyle w:val="NormalWeb"/>
              <w:spacing w:before="0" w:beforeAutospacing="0" w:after="0" w:afterAutospacing="0"/>
              <w:jc w:val="center"/>
              <w:rPr>
                <w:sz w:val="20"/>
                <w:szCs w:val="20"/>
              </w:rPr>
            </w:pPr>
            <w:hyperlink r:id="rId80" w:history="1">
              <w:r>
                <w:rPr>
                  <w:rStyle w:val="Hyperlink"/>
                  <w:sz w:val="20"/>
                  <w:szCs w:val="20"/>
                </w:rPr>
                <w:t>10.26</w:t>
              </w:r>
            </w:hyperlink>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3"/>
            <w:shd w:val="clear" w:color="auto" w:fill="FFFFFF"/>
            <w:hideMark/>
          </w:tcPr>
          <w:p w:rsidR="00000000" w:rsidRDefault="00150086">
            <w:pPr>
              <w:pStyle w:val="NormalWeb"/>
              <w:spacing w:before="0" w:beforeAutospacing="0" w:after="0" w:afterAutospacing="0"/>
              <w:jc w:val="both"/>
              <w:rPr>
                <w:sz w:val="20"/>
                <w:szCs w:val="20"/>
              </w:rPr>
            </w:pPr>
            <w:hyperlink r:id="rId81" w:history="1">
              <w:r>
                <w:rPr>
                  <w:rStyle w:val="Hyperlink"/>
                  <w:sz w:val="20"/>
                  <w:szCs w:val="20"/>
                </w:rPr>
                <w:t>Debt Settlement Agreement dated September 18, 20</w:t>
              </w:r>
              <w:r>
                <w:rPr>
                  <w:rStyle w:val="Hyperlink"/>
                  <w:sz w:val="20"/>
                  <w:szCs w:val="20"/>
                </w:rPr>
                <w:t>17 between our company and Avro Capital Partners, Inc. (filed on December 15, 2017 with our Quarterly Report on Form 10-Q)</w:t>
              </w:r>
            </w:hyperlink>
          </w:p>
        </w:tc>
      </w:tr>
      <w:tr w:rsidR="00000000">
        <w:trPr>
          <w:gridAfter w:val="1"/>
          <w:divId w:val="7608861"/>
          <w:tblCellSpacing w:w="0" w:type="dxa"/>
        </w:trPr>
        <w:tc>
          <w:tcPr>
            <w:tcW w:w="0" w:type="auto"/>
            <w:shd w:val="clear" w:color="auto" w:fill="CCEEFF"/>
            <w:hideMark/>
          </w:tcPr>
          <w:p w:rsidR="00000000" w:rsidRDefault="00150086">
            <w:pPr>
              <w:pStyle w:val="NormalWeb"/>
              <w:spacing w:before="0" w:beforeAutospacing="0" w:after="0" w:afterAutospacing="0"/>
              <w:jc w:val="center"/>
              <w:rPr>
                <w:sz w:val="20"/>
                <w:szCs w:val="20"/>
              </w:rPr>
            </w:pPr>
            <w:hyperlink r:id="rId82" w:history="1">
              <w:r>
                <w:rPr>
                  <w:rStyle w:val="Hyperlink"/>
                  <w:sz w:val="20"/>
                  <w:szCs w:val="20"/>
                </w:rPr>
                <w:t>10.27</w:t>
              </w:r>
            </w:hyperlink>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3"/>
            <w:shd w:val="clear" w:color="auto" w:fill="CCEEFF"/>
            <w:hideMark/>
          </w:tcPr>
          <w:p w:rsidR="00000000" w:rsidRDefault="00150086">
            <w:pPr>
              <w:pStyle w:val="NormalWeb"/>
              <w:spacing w:before="0" w:beforeAutospacing="0" w:after="0" w:afterAutospacing="0"/>
              <w:jc w:val="both"/>
              <w:rPr>
                <w:sz w:val="20"/>
                <w:szCs w:val="20"/>
              </w:rPr>
            </w:pPr>
            <w:hyperlink r:id="rId83" w:history="1">
              <w:r>
                <w:rPr>
                  <w:rStyle w:val="Hyperlink"/>
                  <w:sz w:val="20"/>
                  <w:szCs w:val="20"/>
                </w:rPr>
                <w:t>Collaboration and License Agreement dated September 23, 2017 between our company and SolMic GmbH (filed on December 15, 2017 with our Quarterly Report on For</w:t>
              </w:r>
              <w:r>
                <w:rPr>
                  <w:rStyle w:val="Hyperlink"/>
                  <w:sz w:val="20"/>
                  <w:szCs w:val="20"/>
                </w:rPr>
                <w:t>m 10-Q)</w:t>
              </w:r>
            </w:hyperlink>
          </w:p>
        </w:tc>
      </w:tr>
      <w:tr w:rsidR="00000000">
        <w:trPr>
          <w:gridAfter w:val="1"/>
          <w:divId w:val="7608861"/>
          <w:tblCellSpacing w:w="0" w:type="dxa"/>
        </w:trPr>
        <w:tc>
          <w:tcPr>
            <w:tcW w:w="0" w:type="auto"/>
            <w:shd w:val="clear" w:color="auto" w:fill="FFFFFF"/>
            <w:hideMark/>
          </w:tcPr>
          <w:p w:rsidR="00000000" w:rsidRDefault="00150086">
            <w:pPr>
              <w:pStyle w:val="NormalWeb"/>
              <w:spacing w:before="0" w:beforeAutospacing="0" w:after="0" w:afterAutospacing="0"/>
              <w:jc w:val="center"/>
              <w:rPr>
                <w:sz w:val="20"/>
                <w:szCs w:val="20"/>
              </w:rPr>
            </w:pPr>
            <w:hyperlink r:id="rId84" w:history="1">
              <w:r>
                <w:rPr>
                  <w:rStyle w:val="Hyperlink"/>
                  <w:sz w:val="20"/>
                  <w:szCs w:val="20"/>
                </w:rPr>
                <w:t>10.28</w:t>
              </w:r>
            </w:hyperlink>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3"/>
            <w:shd w:val="clear" w:color="auto" w:fill="FFFFFF"/>
            <w:hideMark/>
          </w:tcPr>
          <w:p w:rsidR="00000000" w:rsidRDefault="00150086">
            <w:pPr>
              <w:pStyle w:val="NormalWeb"/>
              <w:spacing w:before="0" w:beforeAutospacing="0" w:after="0" w:afterAutospacing="0"/>
              <w:jc w:val="both"/>
              <w:rPr>
                <w:sz w:val="20"/>
                <w:szCs w:val="20"/>
              </w:rPr>
            </w:pPr>
            <w:hyperlink r:id="rId85" w:history="1">
              <w:r>
                <w:rPr>
                  <w:rStyle w:val="Hyperlink"/>
                  <w:sz w:val="20"/>
                  <w:szCs w:val="20"/>
                </w:rPr>
                <w:t>Letter of Intent dated November 7</w:t>
              </w:r>
              <w:r>
                <w:rPr>
                  <w:rStyle w:val="Hyperlink"/>
                  <w:sz w:val="20"/>
                  <w:szCs w:val="20"/>
                </w:rPr>
                <w:t>, 2017 between our company and Thrudermic LLC (filed on December 15, 2017 with our Quarterly Report on Form 10-Q)</w:t>
              </w:r>
            </w:hyperlink>
          </w:p>
        </w:tc>
      </w:tr>
      <w:tr w:rsidR="00000000">
        <w:trPr>
          <w:gridAfter w:val="1"/>
          <w:divId w:val="7608861"/>
          <w:tblCellSpacing w:w="0" w:type="dxa"/>
        </w:trPr>
        <w:tc>
          <w:tcPr>
            <w:tcW w:w="0" w:type="auto"/>
            <w:shd w:val="clear" w:color="auto" w:fill="CCEEFF"/>
            <w:hideMark/>
          </w:tcPr>
          <w:p w:rsidR="00000000" w:rsidRDefault="00150086">
            <w:pPr>
              <w:pStyle w:val="NormalWeb"/>
              <w:spacing w:before="0" w:beforeAutospacing="0" w:after="0" w:afterAutospacing="0"/>
              <w:jc w:val="center"/>
              <w:rPr>
                <w:sz w:val="20"/>
                <w:szCs w:val="20"/>
              </w:rPr>
            </w:pPr>
            <w:hyperlink r:id="rId86" w:history="1">
              <w:r>
                <w:rPr>
                  <w:rStyle w:val="Hyperlink"/>
                  <w:sz w:val="20"/>
                  <w:szCs w:val="20"/>
                </w:rPr>
                <w:t>10.29</w:t>
              </w:r>
            </w:hyperlink>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3"/>
            <w:shd w:val="clear" w:color="auto" w:fill="CCEEFF"/>
            <w:hideMark/>
          </w:tcPr>
          <w:p w:rsidR="00000000" w:rsidRDefault="00150086">
            <w:pPr>
              <w:pStyle w:val="NormalWeb"/>
              <w:spacing w:before="0" w:beforeAutospacing="0" w:after="0" w:afterAutospacing="0"/>
              <w:jc w:val="both"/>
              <w:rPr>
                <w:sz w:val="20"/>
                <w:szCs w:val="20"/>
              </w:rPr>
            </w:pPr>
            <w:hyperlink r:id="rId87" w:history="1">
              <w:r>
                <w:rPr>
                  <w:rStyle w:val="Hyperlink"/>
                  <w:sz w:val="20"/>
                  <w:szCs w:val="20"/>
                </w:rPr>
                <w:t>Share Exchange Agreement between our company, ERS Holdings, LLC and the members of ERS Holdings, LLC dated February 10, 2018 (incorporated by reference to ou</w:t>
              </w:r>
              <w:r>
                <w:rPr>
                  <w:rStyle w:val="Hyperlink"/>
                  <w:sz w:val="20"/>
                  <w:szCs w:val="20"/>
                </w:rPr>
                <w:t>r Current Report on Form 8-K filed on March 12, 2018)</w:t>
              </w:r>
            </w:hyperlink>
          </w:p>
        </w:tc>
      </w:tr>
      <w:tr w:rsidR="00000000">
        <w:trPr>
          <w:gridAfter w:val="1"/>
          <w:divId w:val="7608861"/>
          <w:tblCellSpacing w:w="0" w:type="dxa"/>
        </w:trPr>
        <w:tc>
          <w:tcPr>
            <w:tcW w:w="0" w:type="auto"/>
            <w:shd w:val="clear" w:color="auto" w:fill="FFFFFF"/>
            <w:hideMark/>
          </w:tcPr>
          <w:p w:rsidR="00000000" w:rsidRDefault="00150086">
            <w:pPr>
              <w:pStyle w:val="NormalWeb"/>
              <w:spacing w:before="0" w:beforeAutospacing="0" w:after="0" w:afterAutospacing="0"/>
              <w:jc w:val="center"/>
              <w:rPr>
                <w:sz w:val="20"/>
                <w:szCs w:val="20"/>
              </w:rPr>
            </w:pPr>
            <w:hyperlink r:id="rId88" w:history="1">
              <w:r>
                <w:rPr>
                  <w:rStyle w:val="Hyperlink"/>
                  <w:sz w:val="20"/>
                  <w:szCs w:val="20"/>
                </w:rPr>
                <w:t>10.30</w:t>
              </w:r>
            </w:hyperlink>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3"/>
            <w:shd w:val="clear" w:color="auto" w:fill="FFFFFF"/>
            <w:hideMark/>
          </w:tcPr>
          <w:p w:rsidR="00000000" w:rsidRDefault="00150086">
            <w:pPr>
              <w:pStyle w:val="NormalWeb"/>
              <w:spacing w:before="0" w:beforeAutospacing="0" w:after="0" w:afterAutospacing="0"/>
              <w:jc w:val="both"/>
              <w:rPr>
                <w:sz w:val="20"/>
                <w:szCs w:val="20"/>
              </w:rPr>
            </w:pPr>
            <w:hyperlink r:id="rId89" w:history="1">
              <w:r>
                <w:rPr>
                  <w:rStyle w:val="Hyperlink"/>
                  <w:sz w:val="20"/>
                  <w:szCs w:val="20"/>
                </w:rPr>
                <w:t>Royalty Agreement between our company and AquaBrew Inc. dated March 1, 2018 (incorporated by reference to our Current Report on Form 8-K filed on March 12, 2</w:t>
              </w:r>
              <w:r>
                <w:rPr>
                  <w:rStyle w:val="Hyperlink"/>
                  <w:sz w:val="20"/>
                  <w:szCs w:val="20"/>
                </w:rPr>
                <w:t>018)</w:t>
              </w:r>
            </w:hyperlink>
          </w:p>
        </w:tc>
      </w:tr>
      <w:tr w:rsidR="00000000">
        <w:trPr>
          <w:gridAfter w:val="1"/>
          <w:divId w:val="7608861"/>
          <w:tblCellSpacing w:w="0" w:type="dxa"/>
        </w:trPr>
        <w:tc>
          <w:tcPr>
            <w:tcW w:w="0" w:type="auto"/>
            <w:shd w:val="clear" w:color="auto" w:fill="CCEEFF"/>
            <w:hideMark/>
          </w:tcPr>
          <w:p w:rsidR="00000000" w:rsidRDefault="00150086">
            <w:pPr>
              <w:pStyle w:val="NormalWeb"/>
              <w:spacing w:before="0" w:beforeAutospacing="0" w:after="0" w:afterAutospacing="0"/>
              <w:jc w:val="center"/>
              <w:rPr>
                <w:sz w:val="20"/>
                <w:szCs w:val="20"/>
              </w:rPr>
            </w:pPr>
            <w:hyperlink r:id="rId90" w:history="1">
              <w:r>
                <w:rPr>
                  <w:rStyle w:val="Hyperlink"/>
                  <w:sz w:val="20"/>
                  <w:szCs w:val="20"/>
                </w:rPr>
                <w:t>10.31</w:t>
              </w:r>
            </w:hyperlink>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3"/>
            <w:shd w:val="clear" w:color="auto" w:fill="CCEEFF"/>
            <w:hideMark/>
          </w:tcPr>
          <w:p w:rsidR="00000000" w:rsidRDefault="00150086">
            <w:pPr>
              <w:pStyle w:val="NormalWeb"/>
              <w:spacing w:before="0" w:beforeAutospacing="0" w:after="0" w:afterAutospacing="0"/>
              <w:jc w:val="both"/>
              <w:rPr>
                <w:sz w:val="20"/>
                <w:szCs w:val="20"/>
              </w:rPr>
            </w:pPr>
            <w:hyperlink r:id="rId91" w:history="1">
              <w:r>
                <w:rPr>
                  <w:rStyle w:val="Hyperlink"/>
                  <w:sz w:val="20"/>
                  <w:szCs w:val="20"/>
                </w:rPr>
                <w:t>Employment Agreement between our com</w:t>
              </w:r>
              <w:r>
                <w:rPr>
                  <w:rStyle w:val="Hyperlink"/>
                  <w:sz w:val="20"/>
                  <w:szCs w:val="20"/>
                </w:rPr>
                <w:t>pany and Patrick Rolfes dated March 1, 2018 (incorporated by reference to our Current Report on Form 8-K filed on March 12, 2018)</w:t>
              </w:r>
            </w:hyperlink>
          </w:p>
        </w:tc>
      </w:tr>
      <w:tr w:rsidR="00000000">
        <w:trPr>
          <w:gridAfter w:val="1"/>
          <w:divId w:val="7608861"/>
          <w:tblCellSpacing w:w="0" w:type="dxa"/>
        </w:trPr>
        <w:tc>
          <w:tcPr>
            <w:tcW w:w="0" w:type="auto"/>
            <w:shd w:val="clear" w:color="auto" w:fill="FFFFFF"/>
            <w:hideMark/>
          </w:tcPr>
          <w:p w:rsidR="00000000" w:rsidRDefault="00150086">
            <w:pPr>
              <w:pStyle w:val="NormalWeb"/>
              <w:spacing w:before="0" w:beforeAutospacing="0" w:after="0" w:afterAutospacing="0"/>
              <w:jc w:val="center"/>
              <w:rPr>
                <w:sz w:val="20"/>
                <w:szCs w:val="20"/>
              </w:rPr>
            </w:pPr>
            <w:hyperlink r:id="rId92" w:history="1">
              <w:r>
                <w:rPr>
                  <w:rStyle w:val="Hyperlink"/>
                  <w:sz w:val="20"/>
                  <w:szCs w:val="20"/>
                </w:rPr>
                <w:t>10.32</w:t>
              </w:r>
            </w:hyperlink>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3"/>
            <w:shd w:val="clear" w:color="auto" w:fill="FFFFFF"/>
            <w:hideMark/>
          </w:tcPr>
          <w:p w:rsidR="00000000" w:rsidRDefault="00150086">
            <w:pPr>
              <w:pStyle w:val="NormalWeb"/>
              <w:spacing w:before="0" w:beforeAutospacing="0" w:after="0" w:afterAutospacing="0"/>
              <w:jc w:val="both"/>
              <w:rPr>
                <w:sz w:val="20"/>
                <w:szCs w:val="20"/>
              </w:rPr>
            </w:pPr>
            <w:hyperlink r:id="rId93" w:history="1">
              <w:r>
                <w:rPr>
                  <w:rStyle w:val="Hyperlink"/>
                  <w:sz w:val="20"/>
                  <w:szCs w:val="20"/>
                </w:rPr>
                <w:t>Share Exchange Agreement between our company, Thrudermic, LLC, Dr. Joseph Borovsky and Dr. Leonid Lurya dated March 2, 3018 (incorporated by reference to our</w:t>
              </w:r>
              <w:r>
                <w:rPr>
                  <w:rStyle w:val="Hyperlink"/>
                  <w:sz w:val="20"/>
                  <w:szCs w:val="20"/>
                </w:rPr>
                <w:t xml:space="preserve"> Current Report on Form 8-K filed on March 12, 2018)</w:t>
              </w:r>
            </w:hyperlink>
          </w:p>
        </w:tc>
      </w:tr>
      <w:tr w:rsidR="00000000">
        <w:trPr>
          <w:gridAfter w:val="1"/>
          <w:divId w:val="7608861"/>
          <w:tblCellSpacing w:w="0" w:type="dxa"/>
        </w:trPr>
        <w:tc>
          <w:tcPr>
            <w:tcW w:w="0" w:type="auto"/>
            <w:shd w:val="clear" w:color="auto" w:fill="CCEEFF"/>
            <w:hideMark/>
          </w:tcPr>
          <w:p w:rsidR="00000000" w:rsidRDefault="00150086">
            <w:pPr>
              <w:pStyle w:val="NormalWeb"/>
              <w:spacing w:before="0" w:beforeAutospacing="0" w:after="0" w:afterAutospacing="0"/>
              <w:jc w:val="center"/>
              <w:rPr>
                <w:sz w:val="20"/>
                <w:szCs w:val="20"/>
              </w:rPr>
            </w:pPr>
            <w:hyperlink r:id="rId94" w:history="1">
              <w:r>
                <w:rPr>
                  <w:rStyle w:val="Hyperlink"/>
                  <w:sz w:val="20"/>
                  <w:szCs w:val="20"/>
                </w:rPr>
                <w:t>10.33</w:t>
              </w:r>
            </w:hyperlink>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3"/>
            <w:shd w:val="clear" w:color="auto" w:fill="CCEEFF"/>
            <w:hideMark/>
          </w:tcPr>
          <w:p w:rsidR="00000000" w:rsidRDefault="00150086">
            <w:pPr>
              <w:pStyle w:val="NormalWeb"/>
              <w:spacing w:before="0" w:beforeAutospacing="0" w:after="0" w:afterAutospacing="0"/>
              <w:jc w:val="both"/>
              <w:rPr>
                <w:sz w:val="20"/>
                <w:szCs w:val="20"/>
              </w:rPr>
            </w:pPr>
            <w:hyperlink r:id="rId95" w:history="1">
              <w:r>
                <w:rPr>
                  <w:rStyle w:val="Hyperlink"/>
                  <w:sz w:val="20"/>
                  <w:szCs w:val="20"/>
                </w:rPr>
                <w:t>Employment Agreement between our company and Joseph Borovsky dated March 1, 2018 (incorporated by reference to our Current Report on Form 8-K filed on March 12, 2018)</w:t>
              </w:r>
            </w:hyperlink>
          </w:p>
        </w:tc>
      </w:tr>
      <w:tr w:rsidR="00000000">
        <w:trPr>
          <w:gridAfter w:val="1"/>
          <w:divId w:val="7608861"/>
          <w:tblCellSpacing w:w="0" w:type="dxa"/>
        </w:trPr>
        <w:tc>
          <w:tcPr>
            <w:tcW w:w="0" w:type="auto"/>
            <w:shd w:val="clear" w:color="auto" w:fill="FFFFFF"/>
            <w:hideMark/>
          </w:tcPr>
          <w:p w:rsidR="00000000" w:rsidRDefault="00150086">
            <w:pPr>
              <w:pStyle w:val="NormalWeb"/>
              <w:spacing w:before="0" w:beforeAutospacing="0" w:after="0" w:afterAutospacing="0"/>
              <w:jc w:val="center"/>
              <w:rPr>
                <w:sz w:val="20"/>
                <w:szCs w:val="20"/>
              </w:rPr>
            </w:pPr>
            <w:hyperlink r:id="rId96" w:history="1">
              <w:r>
                <w:rPr>
                  <w:rStyle w:val="Hyperlink"/>
                  <w:sz w:val="20"/>
                  <w:szCs w:val="20"/>
                </w:rPr>
                <w:t>10.34</w:t>
              </w:r>
            </w:hyperlink>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3"/>
            <w:shd w:val="clear" w:color="auto" w:fill="FFFFFF"/>
            <w:hideMark/>
          </w:tcPr>
          <w:p w:rsidR="00000000" w:rsidRDefault="00150086">
            <w:pPr>
              <w:pStyle w:val="NormalWeb"/>
              <w:spacing w:before="0" w:beforeAutospacing="0" w:after="0" w:afterAutospacing="0"/>
              <w:jc w:val="both"/>
              <w:rPr>
                <w:sz w:val="20"/>
                <w:szCs w:val="20"/>
              </w:rPr>
            </w:pPr>
            <w:hyperlink r:id="rId97" w:history="1">
              <w:r>
                <w:rPr>
                  <w:rStyle w:val="Hyperlink"/>
                  <w:sz w:val="20"/>
                  <w:szCs w:val="20"/>
                </w:rPr>
                <w:t>10% Senior Secured Convertible Debenture (CDN$2,</w:t>
              </w:r>
              <w:r>
                <w:rPr>
                  <w:rStyle w:val="Hyperlink"/>
                  <w:sz w:val="20"/>
                  <w:szCs w:val="20"/>
                </w:rPr>
                <w:t>500,000) due March 2, 2019 (CD-1) (incorporated by reference to our Current Report on Form 8-K filed on March 12, 2018)</w:t>
              </w:r>
            </w:hyperlink>
          </w:p>
        </w:tc>
      </w:tr>
      <w:tr w:rsidR="00000000">
        <w:trPr>
          <w:gridAfter w:val="1"/>
          <w:divId w:val="7608861"/>
          <w:tblCellSpacing w:w="0" w:type="dxa"/>
        </w:trPr>
        <w:tc>
          <w:tcPr>
            <w:tcW w:w="0" w:type="auto"/>
            <w:shd w:val="clear" w:color="auto" w:fill="CCEEFF"/>
            <w:hideMark/>
          </w:tcPr>
          <w:p w:rsidR="00000000" w:rsidRDefault="00150086">
            <w:pPr>
              <w:pStyle w:val="NormalWeb"/>
              <w:spacing w:before="0" w:beforeAutospacing="0" w:after="0" w:afterAutospacing="0"/>
              <w:jc w:val="center"/>
              <w:rPr>
                <w:sz w:val="20"/>
                <w:szCs w:val="20"/>
              </w:rPr>
            </w:pPr>
            <w:hyperlink r:id="rId98" w:history="1">
              <w:r>
                <w:rPr>
                  <w:rStyle w:val="Hyperlink"/>
                  <w:sz w:val="20"/>
                  <w:szCs w:val="20"/>
                </w:rPr>
                <w:t>10.35</w:t>
              </w:r>
            </w:hyperlink>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gridSpan w:val="3"/>
            <w:shd w:val="clear" w:color="auto" w:fill="CCEEFF"/>
            <w:hideMark/>
          </w:tcPr>
          <w:p w:rsidR="00000000" w:rsidRDefault="00150086">
            <w:pPr>
              <w:pStyle w:val="NormalWeb"/>
              <w:spacing w:before="0" w:beforeAutospacing="0" w:after="0" w:afterAutospacing="0"/>
              <w:jc w:val="both"/>
              <w:rPr>
                <w:sz w:val="20"/>
                <w:szCs w:val="20"/>
              </w:rPr>
            </w:pPr>
            <w:hyperlink r:id="rId99" w:history="1">
              <w:r>
                <w:rPr>
                  <w:rStyle w:val="Hyperlink"/>
                  <w:sz w:val="20"/>
                  <w:szCs w:val="20"/>
                </w:rPr>
                <w:t>10% Senior Secured Convertible Debenture (CDN$2,500,000) due March 2, 2019 (CD-2) (incorporated by reference to our Current Report on Form 8-K filed on March</w:t>
              </w:r>
              <w:r>
                <w:rPr>
                  <w:rStyle w:val="Hyperlink"/>
                  <w:sz w:val="20"/>
                  <w:szCs w:val="20"/>
                </w:rPr>
                <w:t xml:space="preserve"> 12, 2018)</w:t>
              </w:r>
            </w:hyperlink>
          </w:p>
        </w:tc>
      </w:tr>
      <w:tr w:rsidR="00000000">
        <w:trPr>
          <w:gridAfter w:val="1"/>
          <w:divId w:val="7608861"/>
          <w:tblCellSpacing w:w="0" w:type="dxa"/>
        </w:trPr>
        <w:tc>
          <w:tcPr>
            <w:tcW w:w="0" w:type="auto"/>
            <w:shd w:val="clear" w:color="auto" w:fill="FFFFFF"/>
            <w:hideMark/>
          </w:tcPr>
          <w:p w:rsidR="00000000" w:rsidRDefault="00150086">
            <w:pPr>
              <w:pStyle w:val="NormalWeb"/>
              <w:spacing w:before="0" w:beforeAutospacing="0" w:after="0" w:afterAutospacing="0"/>
              <w:jc w:val="center"/>
              <w:rPr>
                <w:sz w:val="20"/>
                <w:szCs w:val="20"/>
              </w:rPr>
            </w:pPr>
            <w:hyperlink r:id="rId100" w:history="1">
              <w:r>
                <w:rPr>
                  <w:rStyle w:val="Hyperlink"/>
                  <w:sz w:val="20"/>
                  <w:szCs w:val="20"/>
                </w:rPr>
                <w:t>10.36</w:t>
              </w:r>
            </w:hyperlink>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rsidR="00000000" w:rsidRDefault="00150086">
            <w:pPr>
              <w:pStyle w:val="NormalWeb"/>
              <w:spacing w:before="0" w:beforeAutospacing="0" w:after="0" w:afterAutospacing="0"/>
              <w:jc w:val="both"/>
              <w:rPr>
                <w:sz w:val="20"/>
                <w:szCs w:val="20"/>
              </w:rPr>
            </w:pPr>
            <w:hyperlink r:id="rId101" w:history="1">
              <w:r>
                <w:rPr>
                  <w:rStyle w:val="Hyperlink"/>
                  <w:sz w:val="20"/>
                  <w:szCs w:val="20"/>
                </w:rPr>
                <w:t>10% Senior Secured Convertible Debenture (CDN$1,750,000) due March 2, 2019 (CD-3) (incorporated by reference to our Current report on Form 8-K filed on November 6, 2018)</w:t>
              </w:r>
            </w:hyperlink>
          </w:p>
        </w:tc>
        <w:tc>
          <w:tcPr>
            <w:tcW w:w="0" w:type="auto"/>
            <w:shd w:val="clear" w:color="auto" w:fill="FFFFFF"/>
            <w:vAlign w:val="center"/>
            <w:hideMark/>
          </w:tcPr>
          <w:p w:rsidR="00000000" w:rsidRDefault="00150086">
            <w:pPr>
              <w:spacing w:before="0" w:beforeAutospacing="0" w:after="0" w:afterAutospacing="0"/>
              <w:rPr>
                <w:rFonts w:eastAsia="Times New Roman"/>
                <w:sz w:val="20"/>
                <w:szCs w:val="20"/>
              </w:rPr>
            </w:pPr>
          </w:p>
        </w:tc>
        <w:tc>
          <w:tcPr>
            <w:tcW w:w="0" w:type="auto"/>
            <w:shd w:val="clear" w:color="auto" w:fill="FFFFFF"/>
            <w:vAlign w:val="center"/>
            <w:hideMark/>
          </w:tcPr>
          <w:p w:rsidR="00000000" w:rsidRDefault="00150086">
            <w:pPr>
              <w:spacing w:before="0" w:beforeAutospacing="0" w:after="0" w:afterAutospacing="0"/>
              <w:rPr>
                <w:rFonts w:eastAsia="Times New Roman"/>
                <w:sz w:val="20"/>
                <w:szCs w:val="20"/>
              </w:rPr>
            </w:pPr>
          </w:p>
        </w:tc>
      </w:tr>
      <w:tr w:rsidR="00000000">
        <w:trPr>
          <w:gridAfter w:val="1"/>
          <w:divId w:val="7608861"/>
          <w:tblCellSpacing w:w="0" w:type="dxa"/>
        </w:trPr>
        <w:tc>
          <w:tcPr>
            <w:tcW w:w="0" w:type="auto"/>
            <w:shd w:val="clear" w:color="auto" w:fill="CCEEFF"/>
            <w:hideMark/>
          </w:tcPr>
          <w:p w:rsidR="00000000" w:rsidRDefault="00150086">
            <w:pPr>
              <w:pStyle w:val="NormalWeb"/>
              <w:spacing w:before="0" w:beforeAutospacing="0" w:after="0" w:afterAutospacing="0"/>
              <w:jc w:val="center"/>
              <w:rPr>
                <w:sz w:val="20"/>
                <w:szCs w:val="20"/>
              </w:rPr>
            </w:pPr>
            <w:hyperlink r:id="rId102" w:history="1">
              <w:r>
                <w:rPr>
                  <w:rStyle w:val="Hyperlink"/>
                  <w:sz w:val="20"/>
                  <w:szCs w:val="20"/>
                </w:rPr>
                <w:t>10.37</w:t>
              </w:r>
            </w:hyperlink>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150086">
            <w:pPr>
              <w:pStyle w:val="NormalWeb"/>
              <w:spacing w:before="0" w:beforeAutospacing="0" w:after="0" w:afterAutospacing="0"/>
              <w:jc w:val="both"/>
              <w:rPr>
                <w:sz w:val="20"/>
                <w:szCs w:val="20"/>
              </w:rPr>
            </w:pPr>
            <w:hyperlink r:id="rId103" w:history="1">
              <w:r>
                <w:rPr>
                  <w:rStyle w:val="Hyperlink"/>
                  <w:sz w:val="20"/>
                  <w:szCs w:val="20"/>
                </w:rPr>
                <w:t>10% Senior Secured Convertible Debenture (CDN$1,</w:t>
              </w:r>
              <w:r>
                <w:rPr>
                  <w:rStyle w:val="Hyperlink"/>
                  <w:sz w:val="20"/>
                  <w:szCs w:val="20"/>
                </w:rPr>
                <w:t>750,000) due March 2, 2019 (CD-4) (incorporated by reference to our Current report on Form 8-K filed on November 6, 2018)</w:t>
              </w:r>
            </w:hyperlink>
          </w:p>
        </w:tc>
        <w:tc>
          <w:tcPr>
            <w:tcW w:w="0" w:type="auto"/>
            <w:shd w:val="clear" w:color="auto" w:fill="CCEEFF"/>
            <w:vAlign w:val="center"/>
            <w:hideMark/>
          </w:tcPr>
          <w:p w:rsidR="00000000" w:rsidRDefault="00150086">
            <w:pPr>
              <w:spacing w:before="0" w:beforeAutospacing="0" w:after="0" w:afterAutospacing="0"/>
              <w:rPr>
                <w:rFonts w:eastAsia="Times New Roman"/>
                <w:sz w:val="20"/>
                <w:szCs w:val="20"/>
              </w:rPr>
            </w:pPr>
          </w:p>
        </w:tc>
        <w:tc>
          <w:tcPr>
            <w:tcW w:w="0" w:type="auto"/>
            <w:shd w:val="clear" w:color="auto" w:fill="CCEEFF"/>
            <w:vAlign w:val="center"/>
            <w:hideMark/>
          </w:tcPr>
          <w:p w:rsidR="00000000" w:rsidRDefault="00150086">
            <w:pPr>
              <w:spacing w:before="0" w:beforeAutospacing="0" w:after="0" w:afterAutospacing="0"/>
              <w:rPr>
                <w:rFonts w:eastAsia="Times New Roman"/>
                <w:sz w:val="20"/>
                <w:szCs w:val="20"/>
              </w:rPr>
            </w:pPr>
          </w:p>
        </w:tc>
      </w:tr>
      <w:tr w:rsidR="00000000">
        <w:trPr>
          <w:gridAfter w:val="1"/>
          <w:divId w:val="7608861"/>
          <w:tblCellSpacing w:w="0" w:type="dxa"/>
        </w:trPr>
        <w:tc>
          <w:tcPr>
            <w:tcW w:w="0" w:type="auto"/>
            <w:shd w:val="clear" w:color="auto" w:fill="FFFFFF"/>
            <w:hideMark/>
          </w:tcPr>
          <w:p w:rsidR="00000000" w:rsidRDefault="00150086">
            <w:pPr>
              <w:pStyle w:val="NormalWeb"/>
              <w:spacing w:before="0" w:beforeAutospacing="0" w:after="0" w:afterAutospacing="0"/>
              <w:jc w:val="center"/>
              <w:rPr>
                <w:sz w:val="20"/>
                <w:szCs w:val="20"/>
              </w:rPr>
            </w:pPr>
            <w:r>
              <w:rPr>
                <w:b/>
                <w:bCs/>
                <w:sz w:val="20"/>
                <w:szCs w:val="20"/>
              </w:rPr>
              <w:t>(31)</w:t>
            </w:r>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rsidR="00000000" w:rsidRDefault="00150086">
            <w:pPr>
              <w:pStyle w:val="NormalWeb"/>
              <w:spacing w:before="0" w:beforeAutospacing="0" w:after="0" w:afterAutospacing="0"/>
              <w:jc w:val="both"/>
              <w:rPr>
                <w:sz w:val="20"/>
                <w:szCs w:val="20"/>
              </w:rPr>
            </w:pPr>
            <w:r>
              <w:rPr>
                <w:b/>
                <w:bCs/>
                <w:sz w:val="20"/>
                <w:szCs w:val="20"/>
              </w:rPr>
              <w:t>Rule 13a-14(d)/15d-14(d) Certifications</w:t>
            </w:r>
            <w:r>
              <w:rPr>
                <w:sz w:val="20"/>
                <w:szCs w:val="20"/>
              </w:rPr>
              <w:t xml:space="preserve"> </w:t>
            </w:r>
          </w:p>
        </w:tc>
        <w:tc>
          <w:tcPr>
            <w:tcW w:w="0" w:type="auto"/>
            <w:shd w:val="clear" w:color="auto" w:fill="FFFFFF"/>
            <w:vAlign w:val="center"/>
            <w:hideMark/>
          </w:tcPr>
          <w:p w:rsidR="00000000" w:rsidRDefault="00150086">
            <w:pPr>
              <w:spacing w:before="0" w:beforeAutospacing="0" w:after="0" w:afterAutospacing="0"/>
              <w:rPr>
                <w:rFonts w:eastAsia="Times New Roman"/>
                <w:sz w:val="20"/>
                <w:szCs w:val="20"/>
              </w:rPr>
            </w:pPr>
          </w:p>
        </w:tc>
        <w:tc>
          <w:tcPr>
            <w:tcW w:w="0" w:type="auto"/>
            <w:shd w:val="clear" w:color="auto" w:fill="FFFFFF"/>
            <w:vAlign w:val="center"/>
            <w:hideMark/>
          </w:tcPr>
          <w:p w:rsidR="00000000" w:rsidRDefault="00150086">
            <w:pPr>
              <w:spacing w:before="0" w:beforeAutospacing="0" w:after="0" w:afterAutospacing="0"/>
              <w:rPr>
                <w:rFonts w:eastAsia="Times New Roman"/>
                <w:sz w:val="20"/>
                <w:szCs w:val="20"/>
              </w:rPr>
            </w:pPr>
          </w:p>
        </w:tc>
      </w:tr>
      <w:tr w:rsidR="00000000">
        <w:trPr>
          <w:gridAfter w:val="1"/>
          <w:divId w:val="7608861"/>
          <w:tblCellSpacing w:w="0" w:type="dxa"/>
        </w:trPr>
        <w:tc>
          <w:tcPr>
            <w:tcW w:w="0" w:type="auto"/>
            <w:shd w:val="clear" w:color="auto" w:fill="CCEEFF"/>
            <w:hideMark/>
          </w:tcPr>
          <w:p w:rsidR="00000000" w:rsidRDefault="00150086">
            <w:pPr>
              <w:pStyle w:val="NormalWeb"/>
              <w:spacing w:before="0" w:beforeAutospacing="0" w:after="0" w:afterAutospacing="0"/>
              <w:jc w:val="center"/>
              <w:rPr>
                <w:sz w:val="20"/>
                <w:szCs w:val="20"/>
              </w:rPr>
            </w:pPr>
            <w:hyperlink r:id="rId104" w:history="1">
              <w:r>
                <w:rPr>
                  <w:rStyle w:val="Hyperlink"/>
                  <w:sz w:val="20"/>
                  <w:szCs w:val="20"/>
                </w:rPr>
                <w:t>31.1*</w:t>
              </w:r>
            </w:hyperlink>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150086">
            <w:pPr>
              <w:pStyle w:val="NormalWeb"/>
              <w:spacing w:before="0" w:beforeAutospacing="0" w:after="0" w:afterAutospacing="0"/>
              <w:jc w:val="both"/>
              <w:rPr>
                <w:sz w:val="20"/>
                <w:szCs w:val="20"/>
              </w:rPr>
            </w:pPr>
            <w:hyperlink r:id="rId105" w:history="1">
              <w:r>
                <w:rPr>
                  <w:rStyle w:val="Hyperlink"/>
                  <w:sz w:val="20"/>
                  <w:szCs w:val="20"/>
                </w:rPr>
                <w:t>Section 302 Certification under the Sarbanes-Oxley Act of 2002 of Principal Executive Officer</w:t>
              </w:r>
            </w:hyperlink>
          </w:p>
        </w:tc>
        <w:tc>
          <w:tcPr>
            <w:tcW w:w="0" w:type="auto"/>
            <w:shd w:val="clear" w:color="auto" w:fill="CCEEFF"/>
            <w:vAlign w:val="center"/>
            <w:hideMark/>
          </w:tcPr>
          <w:p w:rsidR="00000000" w:rsidRDefault="00150086">
            <w:pPr>
              <w:spacing w:before="0" w:beforeAutospacing="0" w:after="0" w:afterAutospacing="0"/>
              <w:rPr>
                <w:rFonts w:eastAsia="Times New Roman"/>
                <w:sz w:val="20"/>
                <w:szCs w:val="20"/>
              </w:rPr>
            </w:pPr>
          </w:p>
        </w:tc>
        <w:tc>
          <w:tcPr>
            <w:tcW w:w="0" w:type="auto"/>
            <w:shd w:val="clear" w:color="auto" w:fill="CCEEFF"/>
            <w:vAlign w:val="center"/>
            <w:hideMark/>
          </w:tcPr>
          <w:p w:rsidR="00000000" w:rsidRDefault="00150086">
            <w:pPr>
              <w:spacing w:before="0" w:beforeAutospacing="0" w:after="0" w:afterAutospacing="0"/>
              <w:rPr>
                <w:rFonts w:eastAsia="Times New Roman"/>
                <w:sz w:val="20"/>
                <w:szCs w:val="20"/>
              </w:rPr>
            </w:pPr>
          </w:p>
        </w:tc>
      </w:tr>
      <w:tr w:rsidR="00000000">
        <w:trPr>
          <w:gridAfter w:val="1"/>
          <w:divId w:val="7608861"/>
          <w:tblCellSpacing w:w="0" w:type="dxa"/>
        </w:trPr>
        <w:tc>
          <w:tcPr>
            <w:tcW w:w="0" w:type="auto"/>
            <w:shd w:val="clear" w:color="auto" w:fill="FFFFFF"/>
            <w:hideMark/>
          </w:tcPr>
          <w:p w:rsidR="00000000" w:rsidRDefault="00150086">
            <w:pPr>
              <w:pStyle w:val="NormalWeb"/>
              <w:spacing w:before="0" w:beforeAutospacing="0" w:after="0" w:afterAutospacing="0"/>
              <w:jc w:val="center"/>
              <w:rPr>
                <w:sz w:val="20"/>
                <w:szCs w:val="20"/>
              </w:rPr>
            </w:pPr>
            <w:hyperlink r:id="rId106" w:history="1">
              <w:r>
                <w:rPr>
                  <w:rStyle w:val="Hyperlink"/>
                  <w:sz w:val="20"/>
                  <w:szCs w:val="20"/>
                </w:rPr>
                <w:t>31.2*</w:t>
              </w:r>
            </w:hyperlink>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rsidR="00000000" w:rsidRDefault="00150086">
            <w:pPr>
              <w:pStyle w:val="NormalWeb"/>
              <w:spacing w:before="0" w:beforeAutospacing="0" w:after="0" w:afterAutospacing="0"/>
              <w:jc w:val="both"/>
              <w:rPr>
                <w:sz w:val="20"/>
                <w:szCs w:val="20"/>
              </w:rPr>
            </w:pPr>
            <w:hyperlink r:id="rId107" w:history="1">
              <w:r>
                <w:rPr>
                  <w:rStyle w:val="Hyperlink"/>
                  <w:sz w:val="20"/>
                  <w:szCs w:val="20"/>
                </w:rPr>
                <w:t>Section 302 Certification under the Sarbanes-Oxley Act of 2002 of Principal Financial Officer</w:t>
              </w:r>
            </w:hyperlink>
          </w:p>
        </w:tc>
        <w:tc>
          <w:tcPr>
            <w:tcW w:w="0" w:type="auto"/>
            <w:shd w:val="clear" w:color="auto" w:fill="FFFFFF"/>
            <w:vAlign w:val="center"/>
            <w:hideMark/>
          </w:tcPr>
          <w:p w:rsidR="00000000" w:rsidRDefault="00150086">
            <w:pPr>
              <w:spacing w:before="0" w:beforeAutospacing="0" w:after="0" w:afterAutospacing="0"/>
              <w:rPr>
                <w:rFonts w:eastAsia="Times New Roman"/>
                <w:sz w:val="20"/>
                <w:szCs w:val="20"/>
              </w:rPr>
            </w:pPr>
          </w:p>
        </w:tc>
        <w:tc>
          <w:tcPr>
            <w:tcW w:w="0" w:type="auto"/>
            <w:shd w:val="clear" w:color="auto" w:fill="FFFFFF"/>
            <w:vAlign w:val="center"/>
            <w:hideMark/>
          </w:tcPr>
          <w:p w:rsidR="00000000" w:rsidRDefault="00150086">
            <w:pPr>
              <w:spacing w:before="0" w:beforeAutospacing="0" w:after="0" w:afterAutospacing="0"/>
              <w:rPr>
                <w:rFonts w:eastAsia="Times New Roman"/>
                <w:sz w:val="20"/>
                <w:szCs w:val="20"/>
              </w:rPr>
            </w:pPr>
          </w:p>
        </w:tc>
      </w:tr>
      <w:tr w:rsidR="00000000">
        <w:trPr>
          <w:gridAfter w:val="1"/>
          <w:divId w:val="7608861"/>
          <w:tblCellSpacing w:w="0" w:type="dxa"/>
        </w:trPr>
        <w:tc>
          <w:tcPr>
            <w:tcW w:w="0" w:type="auto"/>
            <w:shd w:val="clear" w:color="auto" w:fill="CCEEFF"/>
            <w:hideMark/>
          </w:tcPr>
          <w:p w:rsidR="00000000" w:rsidRDefault="00150086">
            <w:pPr>
              <w:pStyle w:val="NormalWeb"/>
              <w:spacing w:before="0" w:beforeAutospacing="0" w:after="0" w:afterAutospacing="0"/>
              <w:jc w:val="center"/>
              <w:rPr>
                <w:sz w:val="20"/>
                <w:szCs w:val="20"/>
              </w:rPr>
            </w:pPr>
            <w:r>
              <w:rPr>
                <w:b/>
                <w:bCs/>
                <w:sz w:val="20"/>
                <w:szCs w:val="20"/>
              </w:rPr>
              <w:t>(32)</w:t>
            </w:r>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150086">
            <w:pPr>
              <w:pStyle w:val="NormalWeb"/>
              <w:spacing w:before="0" w:beforeAutospacing="0" w:after="0" w:afterAutospacing="0"/>
              <w:jc w:val="both"/>
              <w:rPr>
                <w:sz w:val="20"/>
                <w:szCs w:val="20"/>
              </w:rPr>
            </w:pPr>
            <w:r>
              <w:rPr>
                <w:b/>
                <w:bCs/>
                <w:sz w:val="20"/>
                <w:szCs w:val="20"/>
              </w:rPr>
              <w:t>Section 1350 Certifications</w:t>
            </w:r>
            <w:r>
              <w:rPr>
                <w:sz w:val="20"/>
                <w:szCs w:val="20"/>
              </w:rPr>
              <w:t xml:space="preserve"> </w:t>
            </w:r>
          </w:p>
        </w:tc>
        <w:tc>
          <w:tcPr>
            <w:tcW w:w="0" w:type="auto"/>
            <w:shd w:val="clear" w:color="auto" w:fill="CCEEFF"/>
            <w:vAlign w:val="center"/>
            <w:hideMark/>
          </w:tcPr>
          <w:p w:rsidR="00000000" w:rsidRDefault="00150086">
            <w:pPr>
              <w:spacing w:before="0" w:beforeAutospacing="0" w:after="0" w:afterAutospacing="0"/>
              <w:rPr>
                <w:rFonts w:eastAsia="Times New Roman"/>
                <w:sz w:val="20"/>
                <w:szCs w:val="20"/>
              </w:rPr>
            </w:pPr>
          </w:p>
        </w:tc>
        <w:tc>
          <w:tcPr>
            <w:tcW w:w="0" w:type="auto"/>
            <w:shd w:val="clear" w:color="auto" w:fill="CCEEFF"/>
            <w:vAlign w:val="center"/>
            <w:hideMark/>
          </w:tcPr>
          <w:p w:rsidR="00000000" w:rsidRDefault="00150086">
            <w:pPr>
              <w:spacing w:before="0" w:beforeAutospacing="0" w:after="0" w:afterAutospacing="0"/>
              <w:rPr>
                <w:rFonts w:eastAsia="Times New Roman"/>
                <w:sz w:val="20"/>
                <w:szCs w:val="20"/>
              </w:rPr>
            </w:pPr>
          </w:p>
        </w:tc>
      </w:tr>
      <w:tr w:rsidR="00000000">
        <w:trPr>
          <w:gridAfter w:val="1"/>
          <w:divId w:val="7608861"/>
          <w:tblCellSpacing w:w="0" w:type="dxa"/>
        </w:trPr>
        <w:tc>
          <w:tcPr>
            <w:tcW w:w="0" w:type="auto"/>
            <w:shd w:val="clear" w:color="auto" w:fill="FFFFFF"/>
            <w:hideMark/>
          </w:tcPr>
          <w:p w:rsidR="00000000" w:rsidRDefault="00150086">
            <w:pPr>
              <w:pStyle w:val="NormalWeb"/>
              <w:spacing w:before="0" w:beforeAutospacing="0" w:after="0" w:afterAutospacing="0"/>
              <w:jc w:val="center"/>
              <w:rPr>
                <w:sz w:val="20"/>
                <w:szCs w:val="20"/>
              </w:rPr>
            </w:pPr>
            <w:hyperlink r:id="rId108" w:history="1">
              <w:r>
                <w:rPr>
                  <w:rStyle w:val="Hyperlink"/>
                  <w:sz w:val="20"/>
                  <w:szCs w:val="20"/>
                </w:rPr>
                <w:t>32.1*</w:t>
              </w:r>
            </w:hyperlink>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rsidR="00000000" w:rsidRDefault="00150086">
            <w:pPr>
              <w:pStyle w:val="NormalWeb"/>
              <w:spacing w:before="0" w:beforeAutospacing="0" w:after="0" w:afterAutospacing="0"/>
              <w:jc w:val="both"/>
              <w:rPr>
                <w:sz w:val="20"/>
                <w:szCs w:val="20"/>
              </w:rPr>
            </w:pPr>
            <w:hyperlink r:id="rId109" w:history="1">
              <w:r>
                <w:rPr>
                  <w:rStyle w:val="Hyperlink"/>
                  <w:sz w:val="20"/>
                  <w:szCs w:val="20"/>
                </w:rPr>
                <w:t>Section 906 Certification under the Sarbanes-Oxley Act of 2002 of Principal Executive Officer</w:t>
              </w:r>
            </w:hyperlink>
          </w:p>
        </w:tc>
        <w:tc>
          <w:tcPr>
            <w:tcW w:w="0" w:type="auto"/>
            <w:shd w:val="clear" w:color="auto" w:fill="FFFFFF"/>
            <w:vAlign w:val="center"/>
            <w:hideMark/>
          </w:tcPr>
          <w:p w:rsidR="00000000" w:rsidRDefault="00150086">
            <w:pPr>
              <w:spacing w:before="0" w:beforeAutospacing="0" w:after="0" w:afterAutospacing="0"/>
              <w:rPr>
                <w:rFonts w:eastAsia="Times New Roman"/>
                <w:sz w:val="20"/>
                <w:szCs w:val="20"/>
              </w:rPr>
            </w:pPr>
          </w:p>
        </w:tc>
        <w:tc>
          <w:tcPr>
            <w:tcW w:w="0" w:type="auto"/>
            <w:shd w:val="clear" w:color="auto" w:fill="FFFFFF"/>
            <w:vAlign w:val="center"/>
            <w:hideMark/>
          </w:tcPr>
          <w:p w:rsidR="00000000" w:rsidRDefault="00150086">
            <w:pPr>
              <w:spacing w:before="0" w:beforeAutospacing="0" w:after="0" w:afterAutospacing="0"/>
              <w:rPr>
                <w:rFonts w:eastAsia="Times New Roman"/>
                <w:sz w:val="20"/>
                <w:szCs w:val="20"/>
              </w:rPr>
            </w:pPr>
          </w:p>
        </w:tc>
      </w:tr>
      <w:tr w:rsidR="00000000">
        <w:trPr>
          <w:gridAfter w:val="1"/>
          <w:divId w:val="7608861"/>
          <w:tblCellSpacing w:w="0" w:type="dxa"/>
        </w:trPr>
        <w:tc>
          <w:tcPr>
            <w:tcW w:w="0" w:type="auto"/>
            <w:shd w:val="clear" w:color="auto" w:fill="CCEEFF"/>
            <w:hideMark/>
          </w:tcPr>
          <w:p w:rsidR="00000000" w:rsidRDefault="00150086">
            <w:pPr>
              <w:pStyle w:val="NormalWeb"/>
              <w:spacing w:before="0" w:beforeAutospacing="0" w:after="0" w:afterAutospacing="0"/>
              <w:jc w:val="center"/>
              <w:rPr>
                <w:sz w:val="20"/>
                <w:szCs w:val="20"/>
              </w:rPr>
            </w:pPr>
            <w:hyperlink r:id="rId110" w:history="1">
              <w:r>
                <w:rPr>
                  <w:rStyle w:val="Hyperlink"/>
                  <w:sz w:val="20"/>
                  <w:szCs w:val="20"/>
                </w:rPr>
                <w:t>32.2*</w:t>
              </w:r>
            </w:hyperlink>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150086">
            <w:pPr>
              <w:pStyle w:val="NormalWeb"/>
              <w:spacing w:before="0" w:beforeAutospacing="0" w:after="0" w:afterAutospacing="0"/>
              <w:jc w:val="both"/>
              <w:rPr>
                <w:sz w:val="20"/>
                <w:szCs w:val="20"/>
              </w:rPr>
            </w:pPr>
            <w:hyperlink r:id="rId111" w:history="1">
              <w:r>
                <w:rPr>
                  <w:rStyle w:val="Hyperlink"/>
                  <w:sz w:val="20"/>
                  <w:szCs w:val="20"/>
                </w:rPr>
                <w:t>Section 906 Certification under the Sarbanes-Oxley Act of 2002 of Principal Financial Officer</w:t>
              </w:r>
            </w:hyperlink>
          </w:p>
        </w:tc>
        <w:tc>
          <w:tcPr>
            <w:tcW w:w="0" w:type="auto"/>
            <w:shd w:val="clear" w:color="auto" w:fill="CCEEFF"/>
            <w:vAlign w:val="center"/>
            <w:hideMark/>
          </w:tcPr>
          <w:p w:rsidR="00000000" w:rsidRDefault="00150086">
            <w:pPr>
              <w:spacing w:before="0" w:beforeAutospacing="0" w:after="0" w:afterAutospacing="0"/>
              <w:rPr>
                <w:rFonts w:eastAsia="Times New Roman"/>
                <w:sz w:val="20"/>
                <w:szCs w:val="20"/>
              </w:rPr>
            </w:pPr>
          </w:p>
        </w:tc>
        <w:tc>
          <w:tcPr>
            <w:tcW w:w="0" w:type="auto"/>
            <w:shd w:val="clear" w:color="auto" w:fill="CCEEFF"/>
            <w:vAlign w:val="center"/>
            <w:hideMark/>
          </w:tcPr>
          <w:p w:rsidR="00000000" w:rsidRDefault="00150086">
            <w:pPr>
              <w:spacing w:before="0" w:beforeAutospacing="0" w:after="0" w:afterAutospacing="0"/>
              <w:rPr>
                <w:rFonts w:eastAsia="Times New Roman"/>
                <w:sz w:val="20"/>
                <w:szCs w:val="20"/>
              </w:rPr>
            </w:pP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center"/>
              <w:rPr>
                <w:sz w:val="20"/>
                <w:szCs w:val="20"/>
              </w:rPr>
            </w:pPr>
            <w:r>
              <w:rPr>
                <w:b/>
                <w:bCs/>
                <w:sz w:val="20"/>
                <w:szCs w:val="20"/>
              </w:rPr>
              <w:t>99</w:t>
            </w:r>
          </w:p>
        </w:tc>
        <w:tc>
          <w:tcPr>
            <w:tcW w:w="0" w:type="auto"/>
            <w:shd w:val="clear" w:color="auto" w:fill="FFFFFF"/>
            <w:vAlign w:val="center"/>
            <w:hideMark/>
          </w:tcPr>
          <w:p w:rsidR="00000000" w:rsidRDefault="00150086">
            <w:pPr>
              <w:spacing w:before="0" w:beforeAutospacing="0" w:after="0" w:afterAutospacing="0"/>
              <w:jc w:val="both"/>
              <w:rPr>
                <w:rFonts w:eastAsia="Times New Roman"/>
                <w:sz w:val="20"/>
                <w:szCs w:val="20"/>
              </w:rPr>
            </w:pPr>
          </w:p>
        </w:tc>
        <w:tc>
          <w:tcPr>
            <w:tcW w:w="0" w:type="auto"/>
            <w:gridSpan w:val="4"/>
            <w:shd w:val="clear" w:color="auto" w:fill="FFFFFF"/>
            <w:hideMark/>
          </w:tcPr>
          <w:p w:rsidR="00000000" w:rsidRDefault="00150086">
            <w:pPr>
              <w:pStyle w:val="NormalWeb"/>
              <w:spacing w:before="0" w:beforeAutospacing="0" w:after="0" w:afterAutospacing="0"/>
              <w:jc w:val="both"/>
              <w:rPr>
                <w:sz w:val="20"/>
                <w:szCs w:val="20"/>
              </w:rPr>
            </w:pPr>
            <w:r>
              <w:rPr>
                <w:b/>
                <w:bCs/>
                <w:sz w:val="20"/>
                <w:szCs w:val="20"/>
              </w:rPr>
              <w:t>Additional Exhibits</w:t>
            </w: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center"/>
              <w:rPr>
                <w:sz w:val="20"/>
                <w:szCs w:val="20"/>
              </w:rPr>
            </w:pPr>
            <w:hyperlink r:id="rId112" w:history="1">
              <w:r>
                <w:rPr>
                  <w:rStyle w:val="Hyperlink"/>
                  <w:sz w:val="20"/>
                  <w:szCs w:val="20"/>
                </w:rPr>
                <w:t>99.1</w:t>
              </w:r>
            </w:hyperlink>
          </w:p>
        </w:tc>
        <w:tc>
          <w:tcPr>
            <w:tcW w:w="0" w:type="auto"/>
            <w:shd w:val="clear" w:color="auto" w:fill="CCEEFF"/>
            <w:vAlign w:val="center"/>
            <w:hideMark/>
          </w:tcPr>
          <w:p w:rsidR="00000000" w:rsidRDefault="00150086">
            <w:pPr>
              <w:spacing w:before="0" w:beforeAutospacing="0" w:after="0" w:afterAutospacing="0"/>
              <w:jc w:val="both"/>
              <w:rPr>
                <w:rFonts w:eastAsia="Times New Roman"/>
                <w:sz w:val="20"/>
                <w:szCs w:val="20"/>
              </w:rPr>
            </w:pPr>
          </w:p>
        </w:tc>
        <w:tc>
          <w:tcPr>
            <w:tcW w:w="0" w:type="auto"/>
            <w:gridSpan w:val="3"/>
            <w:shd w:val="clear" w:color="auto" w:fill="CCEEFF"/>
            <w:hideMark/>
          </w:tcPr>
          <w:p w:rsidR="00000000" w:rsidRDefault="00150086">
            <w:pPr>
              <w:pStyle w:val="NormalWeb"/>
              <w:spacing w:before="0" w:beforeAutospacing="0" w:after="0" w:afterAutospacing="0"/>
              <w:jc w:val="both"/>
              <w:rPr>
                <w:sz w:val="20"/>
                <w:szCs w:val="20"/>
              </w:rPr>
            </w:pPr>
            <w:hyperlink r:id="rId113" w:history="1">
              <w:r>
                <w:rPr>
                  <w:rStyle w:val="Hyperlink"/>
                  <w:sz w:val="20"/>
                  <w:szCs w:val="20"/>
                </w:rPr>
                <w:t>Audit Committee Charter (filed on June 17, 2015 with our Annual Report on Form 10K/A)</w:t>
              </w:r>
            </w:hyperlink>
          </w:p>
        </w:tc>
        <w:tc>
          <w:tcPr>
            <w:tcW w:w="0" w:type="auto"/>
            <w:shd w:val="clear" w:color="auto" w:fill="CCEEFF"/>
            <w:vAlign w:val="center"/>
            <w:hideMark/>
          </w:tcPr>
          <w:p w:rsidR="00000000" w:rsidRDefault="00150086">
            <w:pPr>
              <w:spacing w:before="0" w:beforeAutospacing="0" w:after="0" w:afterAutospacing="0"/>
              <w:rPr>
                <w:rFonts w:eastAsia="Times New Roman"/>
                <w:sz w:val="20"/>
                <w:szCs w:val="20"/>
              </w:rPr>
            </w:pPr>
          </w:p>
        </w:tc>
      </w:tr>
      <w:tr w:rsidR="00000000">
        <w:trPr>
          <w:divId w:val="7608861"/>
          <w:tblCellSpacing w:w="0" w:type="dxa"/>
        </w:trPr>
        <w:tc>
          <w:tcPr>
            <w:tcW w:w="0" w:type="auto"/>
            <w:shd w:val="clear" w:color="auto" w:fill="FFFFFF"/>
            <w:vAlign w:val="center"/>
            <w:hideMark/>
          </w:tcPr>
          <w:p w:rsidR="00000000" w:rsidRDefault="00150086">
            <w:pPr>
              <w:pStyle w:val="NormalWeb"/>
              <w:spacing w:before="0" w:beforeAutospacing="0" w:after="0" w:afterAutospacing="0"/>
              <w:jc w:val="center"/>
              <w:rPr>
                <w:sz w:val="20"/>
                <w:szCs w:val="20"/>
              </w:rPr>
            </w:pPr>
            <w:hyperlink r:id="rId114" w:history="1">
              <w:r>
                <w:rPr>
                  <w:rStyle w:val="Hyperlink"/>
                  <w:sz w:val="20"/>
                  <w:szCs w:val="20"/>
                </w:rPr>
                <w:t>99.2</w:t>
              </w:r>
            </w:hyperlink>
          </w:p>
        </w:tc>
        <w:tc>
          <w:tcPr>
            <w:tcW w:w="0" w:type="auto"/>
            <w:shd w:val="clear" w:color="auto" w:fill="FFFFFF"/>
            <w:vAlign w:val="center"/>
            <w:hideMark/>
          </w:tcPr>
          <w:p w:rsidR="00000000" w:rsidRDefault="00150086">
            <w:pPr>
              <w:spacing w:before="0" w:beforeAutospacing="0" w:after="0" w:afterAutospacing="0"/>
              <w:jc w:val="both"/>
              <w:rPr>
                <w:rFonts w:eastAsia="Times New Roman"/>
                <w:sz w:val="20"/>
                <w:szCs w:val="20"/>
              </w:rPr>
            </w:pPr>
          </w:p>
        </w:tc>
        <w:tc>
          <w:tcPr>
            <w:tcW w:w="0" w:type="auto"/>
            <w:gridSpan w:val="3"/>
            <w:shd w:val="clear" w:color="auto" w:fill="FFFFFF"/>
            <w:hideMark/>
          </w:tcPr>
          <w:p w:rsidR="00000000" w:rsidRDefault="00150086">
            <w:pPr>
              <w:pStyle w:val="NormalWeb"/>
              <w:spacing w:before="0" w:beforeAutospacing="0" w:after="0" w:afterAutospacing="0"/>
              <w:jc w:val="both"/>
              <w:rPr>
                <w:sz w:val="20"/>
                <w:szCs w:val="20"/>
              </w:rPr>
            </w:pPr>
            <w:hyperlink r:id="rId115" w:history="1">
              <w:r>
                <w:rPr>
                  <w:rStyle w:val="Hyperlink"/>
                  <w:sz w:val="20"/>
                  <w:szCs w:val="20"/>
                </w:rPr>
                <w:t>Stock Option Plan (filed on November 25, 2015 with our Definitive Proxy Statement on Schedule 14A)</w:t>
              </w:r>
            </w:hyperlink>
          </w:p>
        </w:tc>
        <w:tc>
          <w:tcPr>
            <w:tcW w:w="0" w:type="auto"/>
            <w:shd w:val="clear" w:color="auto" w:fill="FFFFFF"/>
            <w:vAlign w:val="center"/>
            <w:hideMark/>
          </w:tcPr>
          <w:p w:rsidR="00000000" w:rsidRDefault="00150086">
            <w:pPr>
              <w:spacing w:before="0" w:beforeAutospacing="0" w:after="0" w:afterAutospacing="0"/>
              <w:rPr>
                <w:rFonts w:eastAsia="Times New Roman"/>
                <w:sz w:val="20"/>
                <w:szCs w:val="20"/>
              </w:rPr>
            </w:pPr>
          </w:p>
        </w:tc>
      </w:tr>
      <w:tr w:rsidR="00000000">
        <w:trPr>
          <w:divId w:val="7608861"/>
          <w:tblCellSpacing w:w="0" w:type="dxa"/>
        </w:trPr>
        <w:tc>
          <w:tcPr>
            <w:tcW w:w="0" w:type="auto"/>
            <w:shd w:val="clear" w:color="auto" w:fill="CCEEFF"/>
            <w:hideMark/>
          </w:tcPr>
          <w:p w:rsidR="00000000" w:rsidRDefault="00150086">
            <w:pPr>
              <w:pStyle w:val="NormalWeb"/>
              <w:spacing w:before="0" w:beforeAutospacing="0" w:after="0" w:afterAutospacing="0"/>
              <w:jc w:val="center"/>
              <w:rPr>
                <w:sz w:val="20"/>
                <w:szCs w:val="20"/>
              </w:rPr>
            </w:pPr>
            <w:r>
              <w:rPr>
                <w:b/>
                <w:bCs/>
                <w:sz w:val="20"/>
                <w:szCs w:val="20"/>
              </w:rPr>
              <w:t>101*</w:t>
            </w:r>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rsidR="00000000" w:rsidRDefault="00150086">
            <w:pPr>
              <w:pStyle w:val="NormalWeb"/>
              <w:spacing w:before="0" w:beforeAutospacing="0" w:after="0" w:afterAutospacing="0"/>
              <w:jc w:val="both"/>
              <w:rPr>
                <w:sz w:val="20"/>
                <w:szCs w:val="20"/>
              </w:rPr>
            </w:pPr>
            <w:r>
              <w:rPr>
                <w:b/>
                <w:bCs/>
                <w:sz w:val="20"/>
                <w:szCs w:val="20"/>
              </w:rPr>
              <w:t>Interactive Data Files</w:t>
            </w:r>
          </w:p>
        </w:tc>
        <w:tc>
          <w:tcPr>
            <w:tcW w:w="0" w:type="auto"/>
            <w:shd w:val="clear" w:color="auto" w:fill="CCEEFF"/>
            <w:vAlign w:val="center"/>
            <w:hideMark/>
          </w:tcPr>
          <w:p w:rsidR="00000000" w:rsidRDefault="00150086">
            <w:pPr>
              <w:spacing w:before="0" w:beforeAutospacing="0" w:after="0" w:afterAutospacing="0"/>
              <w:rPr>
                <w:rFonts w:eastAsia="Times New Roman"/>
                <w:sz w:val="20"/>
                <w:szCs w:val="20"/>
              </w:rPr>
            </w:pPr>
          </w:p>
        </w:tc>
        <w:tc>
          <w:tcPr>
            <w:tcW w:w="0" w:type="auto"/>
            <w:shd w:val="clear" w:color="auto" w:fill="CCEEFF"/>
            <w:vAlign w:val="center"/>
            <w:hideMark/>
          </w:tcPr>
          <w:p w:rsidR="00000000" w:rsidRDefault="00150086">
            <w:pPr>
              <w:spacing w:before="0" w:beforeAutospacing="0" w:after="0" w:afterAutospacing="0"/>
              <w:rPr>
                <w:rFonts w:eastAsia="Times New Roman"/>
                <w:sz w:val="20"/>
                <w:szCs w:val="20"/>
              </w:rPr>
            </w:pPr>
          </w:p>
        </w:tc>
        <w:tc>
          <w:tcPr>
            <w:tcW w:w="0" w:type="auto"/>
            <w:shd w:val="clear" w:color="auto" w:fill="CCEEFF"/>
            <w:vAlign w:val="center"/>
            <w:hideMark/>
          </w:tcPr>
          <w:p w:rsidR="00000000" w:rsidRDefault="00150086">
            <w:pPr>
              <w:spacing w:before="0" w:beforeAutospacing="0" w:after="0" w:afterAutospacing="0"/>
              <w:rPr>
                <w:rFonts w:eastAsia="Times New Roman"/>
                <w:sz w:val="20"/>
                <w:szCs w:val="20"/>
              </w:rPr>
            </w:pPr>
          </w:p>
        </w:tc>
      </w:tr>
      <w:tr w:rsidR="00000000">
        <w:trPr>
          <w:divId w:val="7608861"/>
          <w:tblCellSpacing w:w="0" w:type="dxa"/>
        </w:trPr>
        <w:tc>
          <w:tcPr>
            <w:tcW w:w="0" w:type="auto"/>
            <w:shd w:val="clear" w:color="auto" w:fill="FFFFFF"/>
            <w:hideMark/>
          </w:tcPr>
          <w:p w:rsidR="00000000" w:rsidRDefault="00150086">
            <w:pPr>
              <w:pStyle w:val="NormalWeb"/>
              <w:spacing w:before="0" w:beforeAutospacing="0" w:after="0" w:afterAutospacing="0"/>
              <w:jc w:val="center"/>
              <w:rPr>
                <w:sz w:val="20"/>
                <w:szCs w:val="20"/>
              </w:rPr>
            </w:pPr>
            <w:r>
              <w:rPr>
                <w:sz w:val="20"/>
                <w:szCs w:val="20"/>
              </w:rPr>
              <w:t>101.INS</w:t>
            </w:r>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rsidR="00000000" w:rsidRDefault="00150086">
            <w:pPr>
              <w:pStyle w:val="NormalWeb"/>
              <w:spacing w:before="0" w:beforeAutospacing="0" w:after="0" w:afterAutospacing="0"/>
              <w:jc w:val="both"/>
              <w:rPr>
                <w:sz w:val="20"/>
                <w:szCs w:val="20"/>
              </w:rPr>
            </w:pPr>
            <w:r>
              <w:rPr>
                <w:sz w:val="20"/>
                <w:szCs w:val="20"/>
              </w:rPr>
              <w:t>XBRL Instance Document</w:t>
            </w:r>
          </w:p>
        </w:tc>
        <w:tc>
          <w:tcPr>
            <w:tcW w:w="0" w:type="auto"/>
            <w:shd w:val="clear" w:color="auto" w:fill="FFFFFF"/>
            <w:vAlign w:val="center"/>
            <w:hideMark/>
          </w:tcPr>
          <w:p w:rsidR="00000000" w:rsidRDefault="00150086">
            <w:pPr>
              <w:spacing w:before="0" w:beforeAutospacing="0" w:after="0" w:afterAutospacing="0"/>
              <w:rPr>
                <w:rFonts w:eastAsia="Times New Roman"/>
                <w:sz w:val="20"/>
                <w:szCs w:val="20"/>
              </w:rPr>
            </w:pPr>
          </w:p>
        </w:tc>
        <w:tc>
          <w:tcPr>
            <w:tcW w:w="0" w:type="auto"/>
            <w:shd w:val="clear" w:color="auto" w:fill="FFFFFF"/>
            <w:vAlign w:val="center"/>
            <w:hideMark/>
          </w:tcPr>
          <w:p w:rsidR="00000000" w:rsidRDefault="00150086">
            <w:pPr>
              <w:spacing w:before="0" w:beforeAutospacing="0" w:after="0" w:afterAutospacing="0"/>
              <w:rPr>
                <w:rFonts w:eastAsia="Times New Roman"/>
                <w:sz w:val="20"/>
                <w:szCs w:val="20"/>
              </w:rPr>
            </w:pPr>
          </w:p>
        </w:tc>
        <w:tc>
          <w:tcPr>
            <w:tcW w:w="0" w:type="auto"/>
            <w:shd w:val="clear" w:color="auto" w:fill="FFFFFF"/>
            <w:vAlign w:val="center"/>
            <w:hideMark/>
          </w:tcPr>
          <w:p w:rsidR="00000000" w:rsidRDefault="00150086">
            <w:pPr>
              <w:spacing w:before="0" w:beforeAutospacing="0" w:after="0" w:afterAutospacing="0"/>
              <w:rPr>
                <w:rFonts w:eastAsia="Times New Roman"/>
                <w:sz w:val="20"/>
                <w:szCs w:val="20"/>
              </w:rPr>
            </w:pPr>
          </w:p>
        </w:tc>
      </w:tr>
      <w:tr w:rsidR="00000000">
        <w:trPr>
          <w:divId w:val="7608861"/>
          <w:trHeight w:val="225"/>
          <w:tblCellSpacing w:w="0" w:type="dxa"/>
        </w:trPr>
        <w:tc>
          <w:tcPr>
            <w:tcW w:w="0" w:type="auto"/>
            <w:shd w:val="clear" w:color="auto" w:fill="CCEEFF"/>
            <w:vAlign w:val="center"/>
            <w:hideMark/>
          </w:tcPr>
          <w:p w:rsidR="00000000" w:rsidRDefault="00150086">
            <w:pPr>
              <w:pStyle w:val="NormalWeb"/>
              <w:spacing w:before="0" w:beforeAutospacing="0" w:after="0" w:afterAutospacing="0"/>
              <w:jc w:val="center"/>
              <w:rPr>
                <w:sz w:val="20"/>
                <w:szCs w:val="20"/>
              </w:rPr>
            </w:pPr>
            <w:r>
              <w:rPr>
                <w:sz w:val="20"/>
                <w:szCs w:val="20"/>
              </w:rPr>
              <w:t>101.SCH</w:t>
            </w:r>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XBRL Taxonomy Extension Schema Document</w:t>
            </w:r>
          </w:p>
        </w:tc>
        <w:tc>
          <w:tcPr>
            <w:tcW w:w="0" w:type="auto"/>
            <w:shd w:val="clear" w:color="auto" w:fill="CCEEFF"/>
            <w:vAlign w:val="center"/>
            <w:hideMark/>
          </w:tcPr>
          <w:p w:rsidR="00000000" w:rsidRDefault="00150086">
            <w:pPr>
              <w:spacing w:before="0" w:beforeAutospacing="0" w:after="0" w:afterAutospacing="0"/>
              <w:rPr>
                <w:rFonts w:eastAsia="Times New Roman"/>
                <w:sz w:val="20"/>
                <w:szCs w:val="20"/>
              </w:rPr>
            </w:pPr>
          </w:p>
        </w:tc>
        <w:tc>
          <w:tcPr>
            <w:tcW w:w="0" w:type="auto"/>
            <w:shd w:val="clear" w:color="auto" w:fill="CCEEFF"/>
            <w:vAlign w:val="center"/>
            <w:hideMark/>
          </w:tcPr>
          <w:p w:rsidR="00000000" w:rsidRDefault="00150086">
            <w:pPr>
              <w:spacing w:before="0" w:beforeAutospacing="0" w:after="0" w:afterAutospacing="0"/>
              <w:rPr>
                <w:rFonts w:eastAsia="Times New Roman"/>
                <w:sz w:val="20"/>
                <w:szCs w:val="20"/>
              </w:rPr>
            </w:pPr>
          </w:p>
        </w:tc>
        <w:tc>
          <w:tcPr>
            <w:tcW w:w="0" w:type="auto"/>
            <w:shd w:val="clear" w:color="auto" w:fill="CCEEFF"/>
            <w:vAlign w:val="center"/>
            <w:hideMark/>
          </w:tcPr>
          <w:p w:rsidR="00000000" w:rsidRDefault="00150086">
            <w:pPr>
              <w:spacing w:before="0" w:beforeAutospacing="0" w:after="0" w:afterAutospacing="0"/>
              <w:rPr>
                <w:rFonts w:eastAsia="Times New Roman"/>
                <w:sz w:val="20"/>
                <w:szCs w:val="20"/>
              </w:rPr>
            </w:pPr>
          </w:p>
        </w:tc>
      </w:tr>
      <w:tr w:rsidR="00000000">
        <w:trPr>
          <w:divId w:val="7608861"/>
          <w:trHeight w:val="225"/>
          <w:tblCellSpacing w:w="0" w:type="dxa"/>
        </w:trPr>
        <w:tc>
          <w:tcPr>
            <w:tcW w:w="0" w:type="auto"/>
            <w:shd w:val="clear" w:color="auto" w:fill="FFFFFF"/>
            <w:vAlign w:val="center"/>
            <w:hideMark/>
          </w:tcPr>
          <w:p w:rsidR="00000000" w:rsidRDefault="00150086">
            <w:pPr>
              <w:pStyle w:val="NormalWeb"/>
              <w:spacing w:before="0" w:beforeAutospacing="0" w:after="0" w:afterAutospacing="0"/>
              <w:jc w:val="center"/>
              <w:rPr>
                <w:sz w:val="20"/>
                <w:szCs w:val="20"/>
              </w:rPr>
            </w:pPr>
            <w:r>
              <w:rPr>
                <w:sz w:val="20"/>
                <w:szCs w:val="20"/>
              </w:rPr>
              <w:t>101.CAL</w:t>
            </w:r>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XBRL Taxonomy Extension Calculation Linkbase Document</w:t>
            </w:r>
          </w:p>
        </w:tc>
        <w:tc>
          <w:tcPr>
            <w:tcW w:w="0" w:type="auto"/>
            <w:shd w:val="clear" w:color="auto" w:fill="FFFFFF"/>
            <w:vAlign w:val="center"/>
            <w:hideMark/>
          </w:tcPr>
          <w:p w:rsidR="00000000" w:rsidRDefault="00150086">
            <w:pPr>
              <w:spacing w:before="0" w:beforeAutospacing="0" w:after="0" w:afterAutospacing="0"/>
              <w:rPr>
                <w:rFonts w:eastAsia="Times New Roman"/>
                <w:sz w:val="20"/>
                <w:szCs w:val="20"/>
              </w:rPr>
            </w:pPr>
          </w:p>
        </w:tc>
        <w:tc>
          <w:tcPr>
            <w:tcW w:w="0" w:type="auto"/>
            <w:shd w:val="clear" w:color="auto" w:fill="FFFFFF"/>
            <w:vAlign w:val="center"/>
            <w:hideMark/>
          </w:tcPr>
          <w:p w:rsidR="00000000" w:rsidRDefault="00150086">
            <w:pPr>
              <w:spacing w:before="0" w:beforeAutospacing="0" w:after="0" w:afterAutospacing="0"/>
              <w:rPr>
                <w:rFonts w:eastAsia="Times New Roman"/>
                <w:sz w:val="20"/>
                <w:szCs w:val="20"/>
              </w:rPr>
            </w:pPr>
          </w:p>
        </w:tc>
        <w:tc>
          <w:tcPr>
            <w:tcW w:w="0" w:type="auto"/>
            <w:shd w:val="clear" w:color="auto" w:fill="FFFFFF"/>
            <w:vAlign w:val="center"/>
            <w:hideMark/>
          </w:tcPr>
          <w:p w:rsidR="00000000" w:rsidRDefault="00150086">
            <w:pPr>
              <w:spacing w:before="0" w:beforeAutospacing="0" w:after="0" w:afterAutospacing="0"/>
              <w:rPr>
                <w:rFonts w:eastAsia="Times New Roman"/>
                <w:sz w:val="20"/>
                <w:szCs w:val="20"/>
              </w:rPr>
            </w:pPr>
          </w:p>
        </w:tc>
      </w:tr>
      <w:tr w:rsidR="00000000">
        <w:trPr>
          <w:divId w:val="7608861"/>
          <w:trHeight w:val="225"/>
          <w:tblCellSpacing w:w="0" w:type="dxa"/>
        </w:trPr>
        <w:tc>
          <w:tcPr>
            <w:tcW w:w="0" w:type="auto"/>
            <w:shd w:val="clear" w:color="auto" w:fill="CCEEFF"/>
            <w:vAlign w:val="center"/>
            <w:hideMark/>
          </w:tcPr>
          <w:p w:rsidR="00000000" w:rsidRDefault="00150086">
            <w:pPr>
              <w:pStyle w:val="NormalWeb"/>
              <w:spacing w:before="0" w:beforeAutospacing="0" w:after="0" w:afterAutospacing="0"/>
              <w:jc w:val="center"/>
              <w:rPr>
                <w:sz w:val="20"/>
                <w:szCs w:val="20"/>
              </w:rPr>
            </w:pPr>
            <w:r>
              <w:rPr>
                <w:sz w:val="20"/>
                <w:szCs w:val="20"/>
              </w:rPr>
              <w:t>101.DEF</w:t>
            </w:r>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XBRL Taxonomy Extension Definition Linkbase Document</w:t>
            </w:r>
          </w:p>
        </w:tc>
        <w:tc>
          <w:tcPr>
            <w:tcW w:w="0" w:type="auto"/>
            <w:shd w:val="clear" w:color="auto" w:fill="CCEEFF"/>
            <w:vAlign w:val="center"/>
            <w:hideMark/>
          </w:tcPr>
          <w:p w:rsidR="00000000" w:rsidRDefault="00150086">
            <w:pPr>
              <w:spacing w:before="0" w:beforeAutospacing="0" w:after="0" w:afterAutospacing="0"/>
              <w:rPr>
                <w:rFonts w:eastAsia="Times New Roman"/>
                <w:sz w:val="20"/>
                <w:szCs w:val="20"/>
              </w:rPr>
            </w:pPr>
          </w:p>
        </w:tc>
        <w:tc>
          <w:tcPr>
            <w:tcW w:w="0" w:type="auto"/>
            <w:shd w:val="clear" w:color="auto" w:fill="CCEEFF"/>
            <w:vAlign w:val="center"/>
            <w:hideMark/>
          </w:tcPr>
          <w:p w:rsidR="00000000" w:rsidRDefault="00150086">
            <w:pPr>
              <w:spacing w:before="0" w:beforeAutospacing="0" w:after="0" w:afterAutospacing="0"/>
              <w:rPr>
                <w:rFonts w:eastAsia="Times New Roman"/>
                <w:sz w:val="20"/>
                <w:szCs w:val="20"/>
              </w:rPr>
            </w:pPr>
          </w:p>
        </w:tc>
        <w:tc>
          <w:tcPr>
            <w:tcW w:w="0" w:type="auto"/>
            <w:shd w:val="clear" w:color="auto" w:fill="CCEEFF"/>
            <w:vAlign w:val="center"/>
            <w:hideMark/>
          </w:tcPr>
          <w:p w:rsidR="00000000" w:rsidRDefault="00150086">
            <w:pPr>
              <w:spacing w:before="0" w:beforeAutospacing="0" w:after="0" w:afterAutospacing="0"/>
              <w:rPr>
                <w:rFonts w:eastAsia="Times New Roman"/>
                <w:sz w:val="20"/>
                <w:szCs w:val="20"/>
              </w:rPr>
            </w:pPr>
          </w:p>
        </w:tc>
      </w:tr>
      <w:tr w:rsidR="00000000">
        <w:trPr>
          <w:divId w:val="7608861"/>
          <w:trHeight w:val="225"/>
          <w:tblCellSpacing w:w="0" w:type="dxa"/>
        </w:trPr>
        <w:tc>
          <w:tcPr>
            <w:tcW w:w="0" w:type="auto"/>
            <w:shd w:val="clear" w:color="auto" w:fill="FFFFFF"/>
            <w:vAlign w:val="center"/>
            <w:hideMark/>
          </w:tcPr>
          <w:p w:rsidR="00000000" w:rsidRDefault="00150086">
            <w:pPr>
              <w:pStyle w:val="NormalWeb"/>
              <w:spacing w:before="0" w:beforeAutospacing="0" w:after="0" w:afterAutospacing="0"/>
              <w:jc w:val="center"/>
              <w:rPr>
                <w:sz w:val="20"/>
                <w:szCs w:val="20"/>
              </w:rPr>
            </w:pPr>
            <w:r>
              <w:rPr>
                <w:sz w:val="20"/>
                <w:szCs w:val="20"/>
              </w:rPr>
              <w:t>101.LAB</w:t>
            </w:r>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50086">
            <w:pPr>
              <w:pStyle w:val="NormalWeb"/>
              <w:spacing w:before="0" w:beforeAutospacing="0" w:after="0" w:afterAutospacing="0"/>
              <w:jc w:val="both"/>
              <w:rPr>
                <w:sz w:val="20"/>
                <w:szCs w:val="20"/>
              </w:rPr>
            </w:pPr>
            <w:r>
              <w:rPr>
                <w:sz w:val="20"/>
                <w:szCs w:val="20"/>
              </w:rPr>
              <w:t>XBRL Taxonomy Extension Label Linkbase Document</w:t>
            </w:r>
          </w:p>
        </w:tc>
        <w:tc>
          <w:tcPr>
            <w:tcW w:w="0" w:type="auto"/>
            <w:shd w:val="clear" w:color="auto" w:fill="FFFFFF"/>
            <w:vAlign w:val="center"/>
            <w:hideMark/>
          </w:tcPr>
          <w:p w:rsidR="00000000" w:rsidRDefault="00150086">
            <w:pPr>
              <w:spacing w:before="0" w:beforeAutospacing="0" w:after="0" w:afterAutospacing="0"/>
              <w:rPr>
                <w:rFonts w:eastAsia="Times New Roman"/>
                <w:sz w:val="20"/>
                <w:szCs w:val="20"/>
              </w:rPr>
            </w:pPr>
          </w:p>
        </w:tc>
        <w:tc>
          <w:tcPr>
            <w:tcW w:w="0" w:type="auto"/>
            <w:shd w:val="clear" w:color="auto" w:fill="FFFFFF"/>
            <w:vAlign w:val="center"/>
            <w:hideMark/>
          </w:tcPr>
          <w:p w:rsidR="00000000" w:rsidRDefault="00150086">
            <w:pPr>
              <w:spacing w:before="0" w:beforeAutospacing="0" w:after="0" w:afterAutospacing="0"/>
              <w:rPr>
                <w:rFonts w:eastAsia="Times New Roman"/>
                <w:sz w:val="20"/>
                <w:szCs w:val="20"/>
              </w:rPr>
            </w:pPr>
          </w:p>
        </w:tc>
        <w:tc>
          <w:tcPr>
            <w:tcW w:w="0" w:type="auto"/>
            <w:shd w:val="clear" w:color="auto" w:fill="FFFFFF"/>
            <w:vAlign w:val="center"/>
            <w:hideMark/>
          </w:tcPr>
          <w:p w:rsidR="00000000" w:rsidRDefault="00150086">
            <w:pPr>
              <w:spacing w:before="0" w:beforeAutospacing="0" w:after="0" w:afterAutospacing="0"/>
              <w:rPr>
                <w:rFonts w:eastAsia="Times New Roman"/>
                <w:sz w:val="20"/>
                <w:szCs w:val="20"/>
              </w:rPr>
            </w:pPr>
          </w:p>
        </w:tc>
      </w:tr>
      <w:tr w:rsidR="00000000">
        <w:trPr>
          <w:divId w:val="7608861"/>
          <w:trHeight w:val="225"/>
          <w:tblCellSpacing w:w="0" w:type="dxa"/>
        </w:trPr>
        <w:tc>
          <w:tcPr>
            <w:tcW w:w="0" w:type="auto"/>
            <w:shd w:val="clear" w:color="auto" w:fill="CCEEFF"/>
            <w:vAlign w:val="center"/>
            <w:hideMark/>
          </w:tcPr>
          <w:p w:rsidR="00000000" w:rsidRDefault="00150086">
            <w:pPr>
              <w:pStyle w:val="NormalWeb"/>
              <w:spacing w:before="0" w:beforeAutospacing="0" w:after="0" w:afterAutospacing="0"/>
              <w:jc w:val="center"/>
              <w:rPr>
                <w:sz w:val="20"/>
                <w:szCs w:val="20"/>
              </w:rPr>
            </w:pPr>
            <w:r>
              <w:rPr>
                <w:sz w:val="20"/>
                <w:szCs w:val="20"/>
              </w:rPr>
              <w:t>101.PRE</w:t>
            </w:r>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150086">
            <w:pPr>
              <w:pStyle w:val="NormalWeb"/>
              <w:spacing w:before="0" w:beforeAutospacing="0" w:after="0" w:afterAutospacing="0"/>
              <w:jc w:val="both"/>
              <w:rPr>
                <w:sz w:val="20"/>
                <w:szCs w:val="20"/>
              </w:rPr>
            </w:pPr>
            <w:r>
              <w:rPr>
                <w:sz w:val="20"/>
                <w:szCs w:val="20"/>
              </w:rPr>
              <w:t>XBRL Taxonomy Extension Presentation Linkbase Document</w:t>
            </w:r>
          </w:p>
        </w:tc>
        <w:tc>
          <w:tcPr>
            <w:tcW w:w="0" w:type="auto"/>
            <w:shd w:val="clear" w:color="auto" w:fill="CCEEFF"/>
            <w:vAlign w:val="center"/>
            <w:hideMark/>
          </w:tcPr>
          <w:p w:rsidR="00000000" w:rsidRDefault="00150086">
            <w:pPr>
              <w:spacing w:before="0" w:beforeAutospacing="0" w:after="0" w:afterAutospacing="0"/>
              <w:rPr>
                <w:rFonts w:eastAsia="Times New Roman"/>
                <w:sz w:val="20"/>
                <w:szCs w:val="20"/>
              </w:rPr>
            </w:pPr>
          </w:p>
        </w:tc>
        <w:tc>
          <w:tcPr>
            <w:tcW w:w="0" w:type="auto"/>
            <w:shd w:val="clear" w:color="auto" w:fill="CCEEFF"/>
            <w:vAlign w:val="center"/>
            <w:hideMark/>
          </w:tcPr>
          <w:p w:rsidR="00000000" w:rsidRDefault="00150086">
            <w:pPr>
              <w:spacing w:before="0" w:beforeAutospacing="0" w:after="0" w:afterAutospacing="0"/>
              <w:rPr>
                <w:rFonts w:eastAsia="Times New Roman"/>
                <w:sz w:val="20"/>
                <w:szCs w:val="20"/>
              </w:rPr>
            </w:pPr>
          </w:p>
        </w:tc>
        <w:tc>
          <w:tcPr>
            <w:tcW w:w="0" w:type="auto"/>
            <w:shd w:val="clear" w:color="auto" w:fill="CCEEFF"/>
            <w:vAlign w:val="center"/>
            <w:hideMark/>
          </w:tcPr>
          <w:p w:rsidR="00000000" w:rsidRDefault="00150086">
            <w:pPr>
              <w:spacing w:before="0" w:beforeAutospacing="0" w:after="0" w:afterAutospacing="0"/>
              <w:rPr>
                <w:rFonts w:eastAsia="Times New Roman"/>
                <w:sz w:val="20"/>
                <w:szCs w:val="20"/>
              </w:rPr>
            </w:pPr>
          </w:p>
        </w:tc>
      </w:tr>
    </w:tbl>
    <w:p w:rsidR="00000000" w:rsidRDefault="00150086">
      <w:pPr>
        <w:pStyle w:val="NormalWeb"/>
        <w:spacing w:before="0" w:beforeAutospacing="0" w:after="0" w:afterAutospacing="0"/>
        <w:jc w:val="both"/>
        <w:divId w:val="7608861"/>
        <w:rPr>
          <w:i/>
          <w:iCs/>
          <w:sz w:val="20"/>
          <w:szCs w:val="20"/>
        </w:rPr>
      </w:pPr>
      <w:r>
        <w:rPr>
          <w:i/>
          <w:iCs/>
          <w:sz w:val="20"/>
          <w:szCs w:val="20"/>
        </w:rPr>
        <w:t>____________</w:t>
      </w:r>
    </w:p>
    <w:tbl>
      <w:tblPr>
        <w:tblW w:w="5000" w:type="pct"/>
        <w:tblCellSpacing w:w="0" w:type="dxa"/>
        <w:tblCellMar>
          <w:left w:w="0" w:type="dxa"/>
          <w:right w:w="0" w:type="dxa"/>
        </w:tblCellMar>
        <w:tblLook w:val="04A0"/>
      </w:tblPr>
      <w:tblGrid>
        <w:gridCol w:w="281"/>
        <w:gridCol w:w="9079"/>
      </w:tblGrid>
      <w:tr w:rsidR="00000000">
        <w:trPr>
          <w:divId w:val="7608861"/>
          <w:tblCellSpacing w:w="0" w:type="dxa"/>
        </w:trPr>
        <w:tc>
          <w:tcPr>
            <w:tcW w:w="150" w:type="pct"/>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Filed herewith</w:t>
            </w:r>
          </w:p>
        </w:tc>
      </w:tr>
    </w:tbl>
    <w:p w:rsidR="00000000" w:rsidRDefault="00150086">
      <w:pPr>
        <w:spacing w:before="0" w:beforeAutospacing="0" w:after="0" w:afterAutospacing="0"/>
        <w:jc w:val="both"/>
        <w:divId w:val="7608861"/>
        <w:rPr>
          <w:rFonts w:eastAsia="Times New Roman"/>
          <w:sz w:val="20"/>
          <w:szCs w:val="20"/>
        </w:rPr>
      </w:pPr>
      <w:r>
        <w:rPr>
          <w:rFonts w:eastAsia="Times New Roman"/>
          <w:i/>
          <w:iCs/>
          <w:sz w:val="20"/>
          <w:szCs w:val="20"/>
        </w:rPr>
        <w:t xml:space="preserve">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tcBorders>
              <w:bottom w:val="single" w:sz="6" w:space="0" w:color="000000"/>
            </w:tcBorders>
            <w:vAlign w:val="center"/>
            <w:hideMark/>
          </w:tcPr>
          <w:p w:rsidR="00000000" w:rsidRDefault="00150086">
            <w:pPr>
              <w:spacing w:before="0" w:beforeAutospacing="0" w:after="0" w:afterAutospacing="0"/>
              <w:jc w:val="center"/>
              <w:rPr>
                <w:rFonts w:eastAsia="Times New Roman"/>
                <w:sz w:val="20"/>
                <w:szCs w:val="20"/>
              </w:rPr>
            </w:pPr>
            <w:r>
              <w:rPr>
                <w:rFonts w:eastAsia="Times New Roman"/>
                <w:sz w:val="20"/>
                <w:szCs w:val="20"/>
              </w:rPr>
              <w:t>33</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r>
              <w:rPr>
                <w:rFonts w:eastAsia="Times New Roman"/>
                <w:sz w:val="20"/>
                <w:szCs w:val="20"/>
              </w:rPr>
              <w:t> </w:t>
            </w:r>
          </w:p>
        </w:tc>
      </w:tr>
      <w:tr w:rsidR="00000000">
        <w:trPr>
          <w:divId w:val="7608861"/>
          <w:tblCellSpacing w:w="0" w:type="dxa"/>
        </w:trPr>
        <w:tc>
          <w:tcPr>
            <w:tcW w:w="0" w:type="auto"/>
            <w:vAlign w:val="center"/>
            <w:hideMark/>
          </w:tcPr>
          <w:p w:rsidR="00000000" w:rsidRDefault="00150086">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center"/>
        <w:divId w:val="7608861"/>
        <w:rPr>
          <w:sz w:val="20"/>
          <w:szCs w:val="20"/>
        </w:rPr>
      </w:pPr>
      <w:bookmarkStart w:id="14" w:name="SIGNATURES"/>
      <w:r>
        <w:rPr>
          <w:b/>
          <w:bCs/>
          <w:sz w:val="20"/>
          <w:szCs w:val="20"/>
        </w:rPr>
        <w:t>SIGNATURES</w:t>
      </w:r>
      <w:bookmarkEnd w:id="14"/>
    </w:p>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Pursuant to the requirements of the Securities Exchange Act of 1934, the Registrant has duly caused this report to be signed on its behalf by the undersigned, thereunto duly authorized.</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5000" w:type="pct"/>
        <w:tblCellSpacing w:w="0" w:type="dxa"/>
        <w:tblCellMar>
          <w:left w:w="0" w:type="dxa"/>
          <w:right w:w="0" w:type="dxa"/>
        </w:tblCellMar>
        <w:tblLook w:val="04A0"/>
      </w:tblPr>
      <w:tblGrid>
        <w:gridCol w:w="4680"/>
        <w:gridCol w:w="281"/>
        <w:gridCol w:w="3276"/>
        <w:gridCol w:w="1123"/>
      </w:tblGrid>
      <w:tr w:rsidR="00000000">
        <w:trPr>
          <w:divId w:val="7608861"/>
          <w:trHeight w:val="225"/>
          <w:tblCellSpacing w:w="0" w:type="dxa"/>
        </w:trPr>
        <w:tc>
          <w:tcPr>
            <w:tcW w:w="2500" w:type="pct"/>
            <w:vAlign w:val="center"/>
            <w:hideMark/>
          </w:tcPr>
          <w:p w:rsidR="00000000" w:rsidRDefault="00150086">
            <w:pPr>
              <w:spacing w:before="0" w:beforeAutospacing="0" w:after="0" w:afterAutospacing="0"/>
              <w:jc w:val="both"/>
              <w:rPr>
                <w:rFonts w:eastAsia="Times New Roman"/>
                <w:sz w:val="20"/>
                <w:szCs w:val="20"/>
              </w:rPr>
            </w:pPr>
          </w:p>
        </w:tc>
        <w:tc>
          <w:tcPr>
            <w:tcW w:w="150" w:type="pct"/>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1750" w:type="pct"/>
            <w:vAlign w:val="center"/>
            <w:hideMark/>
          </w:tcPr>
          <w:p w:rsidR="00000000" w:rsidRDefault="00150086">
            <w:pPr>
              <w:spacing w:before="0" w:beforeAutospacing="0" w:after="0" w:afterAutospacing="0"/>
              <w:jc w:val="both"/>
              <w:rPr>
                <w:rFonts w:eastAsia="Times New Roman"/>
                <w:sz w:val="20"/>
                <w:szCs w:val="20"/>
              </w:rPr>
            </w:pPr>
          </w:p>
        </w:tc>
        <w:tc>
          <w:tcPr>
            <w:tcW w:w="600" w:type="pct"/>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hideMark/>
          </w:tcPr>
          <w:p w:rsidR="00000000" w:rsidRDefault="00150086">
            <w:pPr>
              <w:spacing w:before="0" w:beforeAutospacing="0" w:after="0" w:afterAutospacing="0"/>
              <w:jc w:val="both"/>
              <w:rPr>
                <w:rFonts w:eastAsia="Times New Roman"/>
                <w:sz w:val="20"/>
                <w:szCs w:val="20"/>
              </w:rPr>
            </w:pP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pStyle w:val="NormalWeb"/>
              <w:spacing w:before="0" w:beforeAutospacing="0" w:after="0" w:afterAutospacing="0"/>
              <w:jc w:val="center"/>
              <w:rPr>
                <w:sz w:val="20"/>
                <w:szCs w:val="20"/>
              </w:rPr>
            </w:pPr>
            <w:r>
              <w:rPr>
                <w:b/>
                <w:bCs/>
                <w:sz w:val="20"/>
                <w:szCs w:val="20"/>
              </w:rPr>
              <w:t>PIVOT PHARMACEUTICALS INC.</w:t>
            </w:r>
            <w:r>
              <w:rPr>
                <w:sz w:val="20"/>
                <w:szCs w:val="20"/>
              </w:rPr>
              <w:t xml:space="preserve">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hideMark/>
          </w:tcPr>
          <w:p w:rsidR="00000000" w:rsidRDefault="00150086">
            <w:pPr>
              <w:spacing w:before="0" w:beforeAutospacing="0" w:after="0" w:afterAutospacing="0"/>
              <w:jc w:val="both"/>
              <w:rPr>
                <w:rFonts w:eastAsia="Times New Roman"/>
                <w:sz w:val="20"/>
                <w:szCs w:val="20"/>
              </w:rPr>
            </w:pP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pStyle w:val="NormalWeb"/>
              <w:spacing w:before="0" w:beforeAutospacing="0" w:after="0" w:afterAutospacing="0"/>
              <w:jc w:val="center"/>
              <w:rPr>
                <w:sz w:val="20"/>
                <w:szCs w:val="20"/>
              </w:rPr>
            </w:pPr>
            <w:r>
              <w:rPr>
                <w:sz w:val="20"/>
                <w:szCs w:val="20"/>
              </w:rPr>
              <w:t xml:space="preserve">(Registrant)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hideMark/>
          </w:tcPr>
          <w:p w:rsidR="00000000" w:rsidRDefault="00150086">
            <w:pPr>
              <w:pStyle w:val="NormalWeb"/>
              <w:spacing w:before="0" w:beforeAutospacing="0" w:after="0" w:afterAutospacing="0"/>
              <w:jc w:val="both"/>
              <w:rPr>
                <w:sz w:val="20"/>
                <w:szCs w:val="20"/>
              </w:rPr>
            </w:pPr>
            <w:r>
              <w:rPr>
                <w:sz w:val="20"/>
                <w:szCs w:val="20"/>
              </w:rPr>
              <w:t>Dated: December 18, 2018</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hideMark/>
          </w:tcPr>
          <w:p w:rsidR="00000000" w:rsidRDefault="00150086">
            <w:pPr>
              <w:pStyle w:val="NormalWeb"/>
              <w:spacing w:before="0" w:beforeAutospacing="0" w:after="0" w:afterAutospacing="0"/>
              <w:jc w:val="both"/>
              <w:rPr>
                <w:sz w:val="20"/>
                <w:szCs w:val="20"/>
              </w:rPr>
            </w:pPr>
            <w:r>
              <w:rPr>
                <w:i/>
                <w:iCs/>
                <w:sz w:val="20"/>
                <w:szCs w:val="20"/>
              </w:rPr>
              <w:t>/s/ Patrick Frankham</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hideMark/>
          </w:tcPr>
          <w:p w:rsidR="00000000" w:rsidRDefault="00150086">
            <w:pPr>
              <w:spacing w:before="0" w:beforeAutospacing="0" w:after="0" w:afterAutospacing="0"/>
              <w:jc w:val="both"/>
              <w:rPr>
                <w:rFonts w:eastAsia="Times New Roman"/>
                <w:sz w:val="20"/>
                <w:szCs w:val="20"/>
              </w:rPr>
            </w:pP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pStyle w:val="NormalWeb"/>
              <w:spacing w:before="0" w:beforeAutospacing="0" w:after="0" w:afterAutospacing="0"/>
              <w:jc w:val="both"/>
              <w:rPr>
                <w:sz w:val="20"/>
                <w:szCs w:val="20"/>
              </w:rPr>
            </w:pPr>
            <w:r>
              <w:rPr>
                <w:b/>
                <w:bCs/>
                <w:sz w:val="20"/>
                <w:szCs w:val="20"/>
              </w:rPr>
              <w:t>Dr. Patrick Frankham</w:t>
            </w:r>
            <w:r>
              <w:rPr>
                <w:sz w:val="20"/>
                <w:szCs w:val="20"/>
              </w:rPr>
              <w:t xml:space="preserve">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hideMark/>
          </w:tcPr>
          <w:p w:rsidR="00000000" w:rsidRDefault="00150086">
            <w:pPr>
              <w:spacing w:before="0" w:beforeAutospacing="0" w:after="0" w:afterAutospacing="0"/>
              <w:jc w:val="both"/>
              <w:rPr>
                <w:rFonts w:eastAsia="Times New Roman"/>
                <w:sz w:val="20"/>
                <w:szCs w:val="20"/>
              </w:rPr>
            </w:pP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pStyle w:val="NormalWeb"/>
              <w:spacing w:before="0" w:beforeAutospacing="0" w:after="0" w:afterAutospacing="0"/>
              <w:jc w:val="both"/>
              <w:rPr>
                <w:sz w:val="20"/>
                <w:szCs w:val="20"/>
              </w:rPr>
            </w:pPr>
            <w:r>
              <w:rPr>
                <w:sz w:val="20"/>
                <w:szCs w:val="20"/>
              </w:rPr>
              <w:t>Chief Executive Officer and Director</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hideMark/>
          </w:tcPr>
          <w:p w:rsidR="00000000" w:rsidRDefault="00150086">
            <w:pPr>
              <w:spacing w:before="0" w:beforeAutospacing="0" w:after="0" w:afterAutospacing="0"/>
              <w:jc w:val="both"/>
              <w:rPr>
                <w:rFonts w:eastAsia="Times New Roman"/>
                <w:sz w:val="20"/>
                <w:szCs w:val="20"/>
              </w:rPr>
            </w:pP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pStyle w:val="NormalWeb"/>
              <w:spacing w:before="0" w:beforeAutospacing="0" w:after="0" w:afterAutospacing="0"/>
              <w:jc w:val="both"/>
              <w:rPr>
                <w:sz w:val="20"/>
                <w:szCs w:val="20"/>
              </w:rPr>
            </w:pPr>
            <w:r>
              <w:rPr>
                <w:sz w:val="20"/>
                <w:szCs w:val="20"/>
              </w:rPr>
              <w:t xml:space="preserve">(Principal Executive Officer)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hideMark/>
          </w:tcPr>
          <w:p w:rsidR="00000000" w:rsidRDefault="00150086">
            <w:pPr>
              <w:pStyle w:val="NormalWeb"/>
              <w:spacing w:before="0" w:beforeAutospacing="0" w:after="0" w:afterAutospacing="0"/>
              <w:jc w:val="both"/>
              <w:rPr>
                <w:sz w:val="20"/>
                <w:szCs w:val="20"/>
              </w:rPr>
            </w:pPr>
            <w:r>
              <w:rPr>
                <w:sz w:val="20"/>
                <w:szCs w:val="20"/>
              </w:rPr>
              <w:t>Dated: December 18, 2018</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hideMark/>
          </w:tcPr>
          <w:p w:rsidR="00000000" w:rsidRDefault="00150086">
            <w:pPr>
              <w:pStyle w:val="NormalWeb"/>
              <w:spacing w:before="0" w:beforeAutospacing="0" w:after="0" w:afterAutospacing="0"/>
              <w:jc w:val="both"/>
              <w:rPr>
                <w:sz w:val="20"/>
                <w:szCs w:val="20"/>
              </w:rPr>
            </w:pPr>
            <w:r>
              <w:rPr>
                <w:i/>
                <w:iCs/>
                <w:sz w:val="20"/>
                <w:szCs w:val="20"/>
              </w:rPr>
              <w:t>/s/ Moira Ong</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hideMark/>
          </w:tcPr>
          <w:p w:rsidR="00000000" w:rsidRDefault="00150086">
            <w:pPr>
              <w:spacing w:before="0" w:beforeAutospacing="0" w:after="0" w:afterAutospacing="0"/>
              <w:jc w:val="both"/>
              <w:rPr>
                <w:rFonts w:eastAsia="Times New Roman"/>
                <w:sz w:val="20"/>
                <w:szCs w:val="20"/>
              </w:rPr>
            </w:pP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pStyle w:val="NormalWeb"/>
              <w:spacing w:before="0" w:beforeAutospacing="0" w:after="0" w:afterAutospacing="0"/>
              <w:jc w:val="both"/>
              <w:rPr>
                <w:sz w:val="20"/>
                <w:szCs w:val="20"/>
              </w:rPr>
            </w:pPr>
            <w:r>
              <w:rPr>
                <w:b/>
                <w:bCs/>
                <w:sz w:val="20"/>
                <w:szCs w:val="20"/>
              </w:rPr>
              <w:t>Moira Ong</w:t>
            </w:r>
            <w:r>
              <w:rPr>
                <w:sz w:val="20"/>
                <w:szCs w:val="20"/>
              </w:rPr>
              <w:t xml:space="preserve">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hideMark/>
          </w:tcPr>
          <w:p w:rsidR="00000000" w:rsidRDefault="00150086">
            <w:pPr>
              <w:spacing w:before="0" w:beforeAutospacing="0" w:after="0" w:afterAutospacing="0"/>
              <w:jc w:val="both"/>
              <w:rPr>
                <w:rFonts w:eastAsia="Times New Roman"/>
                <w:sz w:val="20"/>
                <w:szCs w:val="20"/>
              </w:rPr>
            </w:pP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pStyle w:val="NormalWeb"/>
              <w:spacing w:before="0" w:beforeAutospacing="0" w:after="0" w:afterAutospacing="0"/>
              <w:jc w:val="both"/>
              <w:rPr>
                <w:sz w:val="20"/>
                <w:szCs w:val="20"/>
              </w:rPr>
            </w:pPr>
            <w:r>
              <w:rPr>
                <w:sz w:val="20"/>
                <w:szCs w:val="20"/>
              </w:rPr>
              <w:t xml:space="preserve">Chief Financial Officer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7608861"/>
          <w:trHeight w:val="225"/>
          <w:tblCellSpacing w:w="0" w:type="dxa"/>
        </w:trPr>
        <w:tc>
          <w:tcPr>
            <w:tcW w:w="0" w:type="auto"/>
            <w:hideMark/>
          </w:tcPr>
          <w:p w:rsidR="00000000" w:rsidRDefault="00150086">
            <w:pPr>
              <w:spacing w:before="0" w:beforeAutospacing="0" w:after="0" w:afterAutospacing="0"/>
              <w:jc w:val="both"/>
              <w:rPr>
                <w:rFonts w:eastAsia="Times New Roman"/>
                <w:sz w:val="20"/>
                <w:szCs w:val="20"/>
              </w:rPr>
            </w:pP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pStyle w:val="NormalWeb"/>
              <w:spacing w:before="0" w:beforeAutospacing="0" w:after="0" w:afterAutospacing="0"/>
              <w:jc w:val="both"/>
              <w:rPr>
                <w:sz w:val="20"/>
                <w:szCs w:val="20"/>
              </w:rPr>
            </w:pPr>
            <w:r>
              <w:rPr>
                <w:sz w:val="20"/>
                <w:szCs w:val="20"/>
              </w:rPr>
              <w:t>(Principal Financial Officer and Principal Accounting Officer)</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bl>
    <w:p w:rsidR="00000000" w:rsidRDefault="00150086">
      <w:pPr>
        <w:pStyle w:val="NormalWeb"/>
        <w:spacing w:before="0" w:beforeAutospacing="0" w:after="0" w:afterAutospacing="0"/>
        <w:jc w:val="both"/>
        <w:divId w:val="7608861"/>
        <w:rPr>
          <w:sz w:val="20"/>
          <w:szCs w:val="20"/>
        </w:rPr>
      </w:pPr>
      <w:r>
        <w:rPr>
          <w:sz w:val="20"/>
          <w:szCs w:val="20"/>
        </w:rPr>
        <w:t> </w:t>
      </w:r>
    </w:p>
    <w:p w:rsidR="00000000" w:rsidRDefault="00150086">
      <w:pPr>
        <w:pStyle w:val="NormalWeb"/>
        <w:spacing w:before="0" w:beforeAutospacing="0" w:after="0" w:afterAutospacing="0"/>
        <w:jc w:val="both"/>
        <w:divId w:val="7608861"/>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7608861"/>
          <w:tblCellSpacing w:w="0" w:type="dxa"/>
        </w:trPr>
        <w:tc>
          <w:tcPr>
            <w:tcW w:w="0" w:type="auto"/>
            <w:tcBorders>
              <w:bottom w:val="single" w:sz="6" w:space="0" w:color="000000"/>
            </w:tcBorders>
            <w:vAlign w:val="center"/>
            <w:hideMark/>
          </w:tcPr>
          <w:p w:rsidR="00000000" w:rsidRDefault="00150086">
            <w:pPr>
              <w:pStyle w:val="NormalWeb"/>
              <w:spacing w:before="0" w:beforeAutospacing="0" w:after="0" w:afterAutospacing="0"/>
              <w:jc w:val="center"/>
              <w:rPr>
                <w:sz w:val="20"/>
                <w:szCs w:val="20"/>
              </w:rPr>
            </w:pPr>
            <w:r>
              <w:rPr>
                <w:sz w:val="20"/>
                <w:szCs w:val="20"/>
              </w:rPr>
              <w:t>34</w:t>
            </w:r>
          </w:p>
        </w:tc>
      </w:tr>
    </w:tbl>
    <w:p w:rsidR="00000000" w:rsidRDefault="00150086">
      <w:pPr>
        <w:spacing w:before="0" w:beforeAutospacing="0" w:after="0" w:afterAutospacing="0"/>
        <w:divId w:val="1298417488"/>
        <w:rPr>
          <w:rFonts w:eastAsia="Times New Roman"/>
        </w:rPr>
      </w:pPr>
      <w:r>
        <w:rPr>
          <w:rFonts w:eastAsia="Times New Roman"/>
        </w:rPr>
        <w:lastRenderedPageBreak/>
        <w:t> </w:t>
      </w:r>
    </w:p>
    <w:p w:rsidR="00000000" w:rsidRDefault="00150086">
      <w:pPr>
        <w:spacing w:before="0" w:beforeAutospacing="0" w:after="0" w:afterAutospacing="0"/>
        <w:rPr>
          <w:rFonts w:eastAsia="Times New Roman"/>
        </w:rPr>
      </w:pPr>
    </w:p>
    <w:p w:rsidR="00000000" w:rsidRDefault="00150086">
      <w:pPr>
        <w:pStyle w:val="NormalWeb"/>
        <w:spacing w:before="0" w:beforeAutospacing="0" w:after="0" w:afterAutospacing="0"/>
        <w:jc w:val="right"/>
        <w:divId w:val="1422264887"/>
        <w:rPr>
          <w:sz w:val="20"/>
          <w:szCs w:val="20"/>
        </w:rPr>
      </w:pPr>
      <w:r>
        <w:rPr>
          <w:b/>
          <w:bCs/>
          <w:sz w:val="20"/>
          <w:szCs w:val="20"/>
        </w:rPr>
        <w:t>EXHIBIT 31.1</w:t>
      </w:r>
    </w:p>
    <w:p w:rsidR="00000000" w:rsidRDefault="00150086">
      <w:pPr>
        <w:pStyle w:val="NormalWeb"/>
        <w:spacing w:before="0" w:beforeAutospacing="0" w:after="0" w:afterAutospacing="0"/>
        <w:jc w:val="right"/>
        <w:divId w:val="1422264887"/>
        <w:rPr>
          <w:sz w:val="20"/>
          <w:szCs w:val="20"/>
        </w:rPr>
      </w:pPr>
      <w:r>
        <w:rPr>
          <w:sz w:val="20"/>
          <w:szCs w:val="20"/>
        </w:rPr>
        <w:t> </w:t>
      </w:r>
    </w:p>
    <w:p w:rsidR="00000000" w:rsidRDefault="00150086">
      <w:pPr>
        <w:pStyle w:val="NormalWeb"/>
        <w:spacing w:before="0" w:beforeAutospacing="0" w:after="0" w:afterAutospacing="0"/>
        <w:jc w:val="center"/>
        <w:divId w:val="1422264887"/>
        <w:rPr>
          <w:sz w:val="20"/>
          <w:szCs w:val="20"/>
        </w:rPr>
      </w:pPr>
      <w:r>
        <w:rPr>
          <w:b/>
          <w:bCs/>
          <w:sz w:val="20"/>
          <w:szCs w:val="20"/>
        </w:rPr>
        <w:t>CERTIFICATION PURSUANT TO</w:t>
      </w:r>
    </w:p>
    <w:p w:rsidR="00000000" w:rsidRDefault="00150086">
      <w:pPr>
        <w:pStyle w:val="NormalWeb"/>
        <w:spacing w:before="0" w:beforeAutospacing="0" w:after="0" w:afterAutospacing="0"/>
        <w:jc w:val="center"/>
        <w:divId w:val="1422264887"/>
        <w:rPr>
          <w:sz w:val="20"/>
          <w:szCs w:val="20"/>
        </w:rPr>
      </w:pPr>
      <w:r>
        <w:rPr>
          <w:b/>
          <w:bCs/>
          <w:sz w:val="20"/>
          <w:szCs w:val="20"/>
        </w:rPr>
        <w:t>18 U.S.C. ss 1350, AS ADOPTED PURSUANT TO</w:t>
      </w:r>
    </w:p>
    <w:p w:rsidR="00000000" w:rsidRDefault="00150086">
      <w:pPr>
        <w:pStyle w:val="NormalWeb"/>
        <w:spacing w:before="0" w:beforeAutospacing="0" w:after="0" w:afterAutospacing="0"/>
        <w:jc w:val="center"/>
        <w:divId w:val="1422264887"/>
        <w:rPr>
          <w:sz w:val="20"/>
          <w:szCs w:val="20"/>
        </w:rPr>
      </w:pPr>
      <w:r>
        <w:rPr>
          <w:b/>
          <w:bCs/>
          <w:sz w:val="20"/>
          <w:szCs w:val="20"/>
        </w:rPr>
        <w:t>SECTION 302 OF THE SARBANES-OXLEY ACT OF 2002</w:t>
      </w:r>
    </w:p>
    <w:p w:rsidR="00000000" w:rsidRDefault="00150086">
      <w:pPr>
        <w:pStyle w:val="NormalWeb"/>
        <w:spacing w:before="0" w:beforeAutospacing="0" w:after="0" w:afterAutospacing="0"/>
        <w:jc w:val="center"/>
        <w:divId w:val="1422264887"/>
        <w:rPr>
          <w:sz w:val="20"/>
          <w:szCs w:val="20"/>
        </w:rPr>
      </w:pPr>
      <w:r>
        <w:rPr>
          <w:sz w:val="20"/>
          <w:szCs w:val="20"/>
        </w:rPr>
        <w:t> </w:t>
      </w:r>
    </w:p>
    <w:p w:rsidR="00000000" w:rsidRDefault="00150086">
      <w:pPr>
        <w:pStyle w:val="NormalWeb"/>
        <w:spacing w:before="0" w:beforeAutospacing="0" w:after="0" w:afterAutospacing="0"/>
        <w:divId w:val="1422264887"/>
        <w:rPr>
          <w:sz w:val="20"/>
          <w:szCs w:val="20"/>
        </w:rPr>
      </w:pPr>
      <w:r>
        <w:rPr>
          <w:sz w:val="20"/>
          <w:szCs w:val="20"/>
        </w:rPr>
        <w:t>I, Patrick Frankham, certify that:</w:t>
      </w:r>
    </w:p>
    <w:p w:rsidR="00000000" w:rsidRDefault="00150086">
      <w:pPr>
        <w:pStyle w:val="NormalWeb"/>
        <w:spacing w:before="0" w:beforeAutospacing="0" w:after="0" w:afterAutospacing="0"/>
        <w:jc w:val="both"/>
        <w:divId w:val="1422264887"/>
        <w:rPr>
          <w:sz w:val="20"/>
          <w:szCs w:val="20"/>
        </w:rPr>
      </w:pPr>
      <w:r>
        <w:rPr>
          <w:sz w:val="20"/>
          <w:szCs w:val="20"/>
        </w:rPr>
        <w:t> </w:t>
      </w:r>
    </w:p>
    <w:tbl>
      <w:tblPr>
        <w:tblW w:w="5000" w:type="pct"/>
        <w:tblCellSpacing w:w="0" w:type="dxa"/>
        <w:tblCellMar>
          <w:left w:w="0" w:type="dxa"/>
          <w:right w:w="0" w:type="dxa"/>
        </w:tblCellMar>
        <w:tblLook w:val="04A0"/>
      </w:tblPr>
      <w:tblGrid>
        <w:gridCol w:w="374"/>
        <w:gridCol w:w="8986"/>
      </w:tblGrid>
      <w:tr w:rsidR="00000000">
        <w:trPr>
          <w:divId w:val="1422264887"/>
          <w:tblCellSpacing w:w="0" w:type="dxa"/>
        </w:trPr>
        <w:tc>
          <w:tcPr>
            <w:tcW w:w="200" w:type="pct"/>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1.</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I have reviewed this quarterly report on Form 10-Q of Pivot Pharmaceuticals Inc.;</w:t>
            </w:r>
          </w:p>
        </w:tc>
      </w:tr>
      <w:tr w:rsidR="00000000">
        <w:trPr>
          <w:divId w:val="1422264887"/>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1422264887"/>
          <w:tblCellSpacing w:w="0" w:type="dxa"/>
        </w:trPr>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2.</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Based on my knowledge, this report does not contain any untrue statement of a material fact or omit to state a material fact necessary to make the statements made, in light of the circumstances under which such statements were made, not misleading with res</w:t>
            </w:r>
            <w:r>
              <w:rPr>
                <w:rFonts w:eastAsia="Times New Roman"/>
                <w:sz w:val="20"/>
                <w:szCs w:val="20"/>
              </w:rPr>
              <w:t>pect to the period covered by this report;</w:t>
            </w:r>
          </w:p>
        </w:tc>
      </w:tr>
      <w:tr w:rsidR="00000000">
        <w:trPr>
          <w:divId w:val="1422264887"/>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1422264887"/>
          <w:tblCellSpacing w:w="0" w:type="dxa"/>
        </w:trPr>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3.</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Based on my knowledge, the financial statements, and other financial information included in this report, fairly present in all material respects the financial condition, results of operations and</w:t>
            </w:r>
            <w:r>
              <w:rPr>
                <w:rFonts w:eastAsia="Times New Roman"/>
                <w:sz w:val="20"/>
                <w:szCs w:val="20"/>
              </w:rPr>
              <w:t xml:space="preserve"> cash flows of the registrant as of, and for, the periods presented in this report;</w:t>
            </w:r>
          </w:p>
        </w:tc>
      </w:tr>
      <w:tr w:rsidR="00000000">
        <w:trPr>
          <w:divId w:val="1422264887"/>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1422264887"/>
          <w:tblCellSpacing w:w="0" w:type="dxa"/>
        </w:trPr>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4.</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The registrant's other certifying officer(s) and I are responsible for establishing and maintaining disclosure controls and procedures (as defined in Exchange Act Rules 13a-15(e) and 15d-15(e)) and internal control over financial reporting (as defined in E</w:t>
            </w:r>
            <w:r>
              <w:rPr>
                <w:rFonts w:eastAsia="Times New Roman"/>
                <w:sz w:val="20"/>
                <w:szCs w:val="20"/>
              </w:rPr>
              <w:t>xchange Act Rules 13a-15(f) and 15d-15(f)) for the registrant and have:</w:t>
            </w:r>
          </w:p>
        </w:tc>
      </w:tr>
    </w:tbl>
    <w:p w:rsidR="00000000" w:rsidRDefault="00150086">
      <w:pPr>
        <w:pStyle w:val="NormalWeb"/>
        <w:spacing w:before="0" w:beforeAutospacing="0" w:after="0" w:afterAutospacing="0"/>
        <w:jc w:val="both"/>
        <w:divId w:val="1422264887"/>
        <w:rPr>
          <w:sz w:val="20"/>
          <w:szCs w:val="20"/>
        </w:rPr>
      </w:pPr>
      <w:r>
        <w:rPr>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1422264887"/>
          <w:tblCellSpacing w:w="0" w:type="dxa"/>
        </w:trPr>
        <w:tc>
          <w:tcPr>
            <w:tcW w:w="200" w:type="pct"/>
            <w:hideMark/>
          </w:tcPr>
          <w:p w:rsidR="00000000" w:rsidRDefault="00150086">
            <w:pPr>
              <w:pStyle w:val="NormalWeb"/>
              <w:spacing w:before="0" w:beforeAutospacing="0" w:after="0" w:afterAutospacing="0"/>
              <w:jc w:val="both"/>
              <w:rPr>
                <w:sz w:val="20"/>
                <w:szCs w:val="20"/>
              </w:rPr>
            </w:pPr>
            <w:r>
              <w:rPr>
                <w:sz w:val="20"/>
                <w:szCs w:val="20"/>
              </w:rPr>
              <w:t> </w:t>
            </w:r>
          </w:p>
        </w:tc>
        <w:tc>
          <w:tcPr>
            <w:tcW w:w="200" w:type="pct"/>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(a)</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Designed such disclosure controls and procedures, or caused such disclosure controls and procedures to be designed under our supervision, to ensure that material information relating to the registrant, including its consolidated subsidiaries, is made known</w:t>
            </w:r>
            <w:r>
              <w:rPr>
                <w:rFonts w:eastAsia="Times New Roman"/>
                <w:sz w:val="20"/>
                <w:szCs w:val="20"/>
              </w:rPr>
              <w:t xml:space="preserve"> to us by others within those entities, particularly during the period in which this report is being prepared;</w:t>
            </w:r>
          </w:p>
        </w:tc>
      </w:tr>
      <w:tr w:rsidR="00000000">
        <w:trPr>
          <w:divId w:val="1422264887"/>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1422264887"/>
          <w:tblCellSpacing w:w="0" w:type="dxa"/>
        </w:trPr>
        <w:tc>
          <w:tcPr>
            <w:tcW w:w="0" w:type="auto"/>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(b)</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 xml:space="preserve">Designed such internal control over financial reporting, or caused such internal control over financial reporting to be designed under our supervision, to provide reasonable assurance regarding the reliability of financial reporting and the preparation of </w:t>
            </w:r>
            <w:r>
              <w:rPr>
                <w:rFonts w:eastAsia="Times New Roman"/>
                <w:sz w:val="20"/>
                <w:szCs w:val="20"/>
              </w:rPr>
              <w:t>financial statements for external purposes in accordance with generally accepted accounting principles;</w:t>
            </w:r>
          </w:p>
        </w:tc>
      </w:tr>
      <w:tr w:rsidR="00000000">
        <w:trPr>
          <w:divId w:val="1422264887"/>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1422264887"/>
          <w:tblCellSpacing w:w="0" w:type="dxa"/>
        </w:trPr>
        <w:tc>
          <w:tcPr>
            <w:tcW w:w="0" w:type="auto"/>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(c)</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Evaluated the effectiveness of the registrant's disclosure controls and procedures and presented in this report our conclusions about the effectiveness of the disclosure controls and procedures, as of the end of the period covered by this report based on s</w:t>
            </w:r>
            <w:r>
              <w:rPr>
                <w:rFonts w:eastAsia="Times New Roman"/>
                <w:sz w:val="20"/>
                <w:szCs w:val="20"/>
              </w:rPr>
              <w:t>uch evaluation; and</w:t>
            </w:r>
          </w:p>
        </w:tc>
      </w:tr>
      <w:tr w:rsidR="00000000">
        <w:trPr>
          <w:divId w:val="1422264887"/>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1422264887"/>
          <w:tblCellSpacing w:w="0" w:type="dxa"/>
        </w:trPr>
        <w:tc>
          <w:tcPr>
            <w:tcW w:w="0" w:type="auto"/>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(d)</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 xml:space="preserve">Disclosed in this report any change in the registrant's internal control over financial reporting that occurred during the registrant's most recent fiscal quarter (the registrant's fourth fiscal quarter in the case of an annual report) that has materially </w:t>
            </w:r>
            <w:r>
              <w:rPr>
                <w:rFonts w:eastAsia="Times New Roman"/>
                <w:sz w:val="20"/>
                <w:szCs w:val="20"/>
              </w:rPr>
              <w:t>affected, or is reasonably likely to materially affect, the registrant's internal control over financial reporting; and</w:t>
            </w:r>
          </w:p>
        </w:tc>
      </w:tr>
    </w:tbl>
    <w:p w:rsidR="00000000" w:rsidRDefault="00150086">
      <w:pPr>
        <w:pStyle w:val="NormalWeb"/>
        <w:spacing w:before="0" w:beforeAutospacing="0" w:after="0" w:afterAutospacing="0"/>
        <w:jc w:val="both"/>
        <w:divId w:val="1422264887"/>
        <w:rPr>
          <w:sz w:val="20"/>
          <w:szCs w:val="20"/>
        </w:rPr>
      </w:pPr>
      <w:r>
        <w:rPr>
          <w:sz w:val="20"/>
          <w:szCs w:val="20"/>
        </w:rPr>
        <w:t> </w:t>
      </w:r>
    </w:p>
    <w:tbl>
      <w:tblPr>
        <w:tblW w:w="5000" w:type="pct"/>
        <w:tblCellSpacing w:w="0" w:type="dxa"/>
        <w:tblCellMar>
          <w:left w:w="0" w:type="dxa"/>
          <w:right w:w="0" w:type="dxa"/>
        </w:tblCellMar>
        <w:tblLook w:val="04A0"/>
      </w:tblPr>
      <w:tblGrid>
        <w:gridCol w:w="374"/>
        <w:gridCol w:w="8986"/>
      </w:tblGrid>
      <w:tr w:rsidR="00000000">
        <w:trPr>
          <w:divId w:val="1422264887"/>
          <w:tblCellSpacing w:w="0" w:type="dxa"/>
        </w:trPr>
        <w:tc>
          <w:tcPr>
            <w:tcW w:w="200" w:type="pct"/>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5.</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The registrant's other certifying officer(s) and I have disclosed, based on our most recent evaluation of internal control over financial reporting, to the registrant's auditors and the audit committee of the registrant's board of directors (or persons per</w:t>
            </w:r>
            <w:r>
              <w:rPr>
                <w:rFonts w:eastAsia="Times New Roman"/>
                <w:sz w:val="20"/>
                <w:szCs w:val="20"/>
              </w:rPr>
              <w:t>forming the equivalent functions):</w:t>
            </w:r>
          </w:p>
        </w:tc>
      </w:tr>
    </w:tbl>
    <w:p w:rsidR="00000000" w:rsidRDefault="00150086">
      <w:pPr>
        <w:pStyle w:val="NormalWeb"/>
        <w:spacing w:before="0" w:beforeAutospacing="0" w:after="0" w:afterAutospacing="0"/>
        <w:jc w:val="both"/>
        <w:divId w:val="1422264887"/>
        <w:rPr>
          <w:sz w:val="20"/>
          <w:szCs w:val="20"/>
        </w:rPr>
      </w:pPr>
      <w:r>
        <w:rPr>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1422264887"/>
          <w:tblCellSpacing w:w="0" w:type="dxa"/>
        </w:trPr>
        <w:tc>
          <w:tcPr>
            <w:tcW w:w="200" w:type="pct"/>
            <w:hideMark/>
          </w:tcPr>
          <w:p w:rsidR="00000000" w:rsidRDefault="00150086">
            <w:pPr>
              <w:pStyle w:val="NormalWeb"/>
              <w:spacing w:before="0" w:beforeAutospacing="0" w:after="0" w:afterAutospacing="0"/>
              <w:jc w:val="both"/>
              <w:rPr>
                <w:sz w:val="20"/>
                <w:szCs w:val="20"/>
              </w:rPr>
            </w:pPr>
            <w:r>
              <w:rPr>
                <w:sz w:val="20"/>
                <w:szCs w:val="20"/>
              </w:rPr>
              <w:t> </w:t>
            </w:r>
          </w:p>
        </w:tc>
        <w:tc>
          <w:tcPr>
            <w:tcW w:w="200" w:type="pct"/>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(a)</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All significant deficiencies and material weaknesses in the design or operation of internal control over financial reporting which are reasonably likely to adversely affect the registrant's ability to recor</w:t>
            </w:r>
            <w:r>
              <w:rPr>
                <w:rFonts w:eastAsia="Times New Roman"/>
                <w:sz w:val="20"/>
                <w:szCs w:val="20"/>
              </w:rPr>
              <w:t>d, process, summarize and report financial information; and</w:t>
            </w:r>
          </w:p>
        </w:tc>
      </w:tr>
      <w:tr w:rsidR="00000000">
        <w:trPr>
          <w:divId w:val="1422264887"/>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1422264887"/>
          <w:tblCellSpacing w:w="0" w:type="dxa"/>
        </w:trPr>
        <w:tc>
          <w:tcPr>
            <w:tcW w:w="0" w:type="auto"/>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(b)</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Any fraud, whether or not material, that involves management or other employees who have a significant role in the registrant's internal control over financial reporting.</w:t>
            </w:r>
          </w:p>
        </w:tc>
      </w:tr>
    </w:tbl>
    <w:p w:rsidR="00000000" w:rsidRDefault="00150086">
      <w:pPr>
        <w:pStyle w:val="NormalWeb"/>
        <w:spacing w:before="0" w:beforeAutospacing="0" w:after="0" w:afterAutospacing="0"/>
        <w:jc w:val="both"/>
        <w:divId w:val="1422264887"/>
        <w:rPr>
          <w:sz w:val="20"/>
          <w:szCs w:val="20"/>
        </w:rPr>
      </w:pPr>
      <w:r>
        <w:rPr>
          <w:sz w:val="20"/>
          <w:szCs w:val="20"/>
        </w:rPr>
        <w:t> </w:t>
      </w:r>
    </w:p>
    <w:p w:rsidR="00000000" w:rsidRDefault="00150086">
      <w:pPr>
        <w:pStyle w:val="NormalWeb"/>
        <w:spacing w:before="0" w:beforeAutospacing="0" w:after="0" w:afterAutospacing="0"/>
        <w:jc w:val="both"/>
        <w:divId w:val="1422264887"/>
        <w:rPr>
          <w:sz w:val="20"/>
          <w:szCs w:val="20"/>
        </w:rPr>
      </w:pPr>
      <w:r>
        <w:rPr>
          <w:sz w:val="20"/>
          <w:szCs w:val="20"/>
        </w:rPr>
        <w:t> </w:t>
      </w:r>
    </w:p>
    <w:p w:rsidR="00000000" w:rsidRDefault="00150086">
      <w:pPr>
        <w:pStyle w:val="NormalWeb"/>
        <w:spacing w:before="0" w:beforeAutospacing="0" w:after="0" w:afterAutospacing="0"/>
        <w:jc w:val="both"/>
        <w:divId w:val="1422264887"/>
        <w:rPr>
          <w:sz w:val="20"/>
          <w:szCs w:val="20"/>
        </w:rPr>
      </w:pPr>
      <w:r>
        <w:rPr>
          <w:sz w:val="20"/>
          <w:szCs w:val="20"/>
        </w:rPr>
        <w:lastRenderedPageBreak/>
        <w:t>Date: December 18, 2018</w:t>
      </w:r>
    </w:p>
    <w:p w:rsidR="00000000" w:rsidRDefault="00150086">
      <w:pPr>
        <w:pStyle w:val="NormalWeb"/>
        <w:spacing w:before="0" w:beforeAutospacing="0" w:after="0" w:afterAutospacing="0"/>
        <w:jc w:val="both"/>
        <w:divId w:val="1422264887"/>
        <w:rPr>
          <w:sz w:val="20"/>
          <w:szCs w:val="20"/>
        </w:rPr>
      </w:pPr>
      <w:r>
        <w:rPr>
          <w:sz w:val="20"/>
          <w:szCs w:val="20"/>
        </w:rPr>
        <w:t> </w:t>
      </w:r>
    </w:p>
    <w:tbl>
      <w:tblPr>
        <w:tblW w:w="5000" w:type="pct"/>
        <w:tblCellSpacing w:w="0" w:type="dxa"/>
        <w:tblCellMar>
          <w:left w:w="0" w:type="dxa"/>
          <w:right w:w="0" w:type="dxa"/>
        </w:tblCellMar>
        <w:tblLook w:val="04A0"/>
      </w:tblPr>
      <w:tblGrid>
        <w:gridCol w:w="3276"/>
        <w:gridCol w:w="6084"/>
      </w:tblGrid>
      <w:tr w:rsidR="00000000">
        <w:trPr>
          <w:divId w:val="1422264887"/>
          <w:trHeight w:val="225"/>
          <w:tblCellSpacing w:w="0" w:type="dxa"/>
        </w:trPr>
        <w:tc>
          <w:tcPr>
            <w:tcW w:w="1750" w:type="pct"/>
            <w:tcBorders>
              <w:bottom w:val="single" w:sz="6" w:space="0" w:color="000000"/>
            </w:tcBorders>
            <w:hideMark/>
          </w:tcPr>
          <w:p w:rsidR="00000000" w:rsidRDefault="00150086">
            <w:pPr>
              <w:pStyle w:val="NormalWeb"/>
              <w:spacing w:before="0" w:beforeAutospacing="0" w:after="0" w:afterAutospacing="0"/>
              <w:rPr>
                <w:sz w:val="20"/>
                <w:szCs w:val="20"/>
              </w:rPr>
            </w:pPr>
            <w:r>
              <w:rPr>
                <w:i/>
                <w:iCs/>
                <w:sz w:val="20"/>
                <w:szCs w:val="20"/>
              </w:rPr>
              <w:t>/s/ Patrick Frankham</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1422264887"/>
          <w:trHeight w:val="225"/>
          <w:tblCellSpacing w:w="0" w:type="dxa"/>
        </w:trPr>
        <w:tc>
          <w:tcPr>
            <w:tcW w:w="0" w:type="auto"/>
            <w:hideMark/>
          </w:tcPr>
          <w:p w:rsidR="00000000" w:rsidRDefault="00150086">
            <w:pPr>
              <w:pStyle w:val="NormalWeb"/>
              <w:spacing w:before="0" w:beforeAutospacing="0" w:after="0" w:afterAutospacing="0"/>
              <w:rPr>
                <w:sz w:val="20"/>
                <w:szCs w:val="20"/>
              </w:rPr>
            </w:pPr>
            <w:r>
              <w:rPr>
                <w:sz w:val="20"/>
                <w:szCs w:val="20"/>
              </w:rPr>
              <w:t>Patrick Frankham</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1422264887"/>
          <w:trHeight w:val="225"/>
          <w:tblCellSpacing w:w="0" w:type="dxa"/>
        </w:trPr>
        <w:tc>
          <w:tcPr>
            <w:tcW w:w="0" w:type="auto"/>
            <w:hideMark/>
          </w:tcPr>
          <w:p w:rsidR="00000000" w:rsidRDefault="00150086">
            <w:pPr>
              <w:pStyle w:val="NormalWeb"/>
              <w:spacing w:before="0" w:beforeAutospacing="0" w:after="0" w:afterAutospacing="0"/>
              <w:rPr>
                <w:sz w:val="20"/>
                <w:szCs w:val="20"/>
              </w:rPr>
            </w:pPr>
            <w:r>
              <w:rPr>
                <w:sz w:val="20"/>
                <w:szCs w:val="20"/>
              </w:rPr>
              <w:t>Chief Executive Officer and Director</w:t>
            </w:r>
          </w:p>
          <w:p w:rsidR="00000000" w:rsidRDefault="00150086">
            <w:pPr>
              <w:pStyle w:val="NormalWeb"/>
              <w:spacing w:before="0" w:beforeAutospacing="0" w:after="0" w:afterAutospacing="0"/>
              <w:rPr>
                <w:sz w:val="20"/>
                <w:szCs w:val="20"/>
              </w:rPr>
            </w:pPr>
            <w:r>
              <w:rPr>
                <w:sz w:val="20"/>
                <w:szCs w:val="20"/>
              </w:rPr>
              <w:t>(Principal Executive Officer)</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bl>
    <w:p w:rsidR="00000000" w:rsidRDefault="00150086">
      <w:pPr>
        <w:pStyle w:val="NormalWeb"/>
        <w:spacing w:before="0" w:beforeAutospacing="0" w:after="0" w:afterAutospacing="0"/>
        <w:jc w:val="both"/>
        <w:divId w:val="1422264887"/>
        <w:rPr>
          <w:sz w:val="20"/>
          <w:szCs w:val="20"/>
        </w:rPr>
      </w:pPr>
      <w:r>
        <w:rPr>
          <w:sz w:val="20"/>
          <w:szCs w:val="20"/>
        </w:rPr>
        <w:t> </w:t>
      </w:r>
    </w:p>
    <w:p w:rsidR="00000000" w:rsidRDefault="00150086">
      <w:pPr>
        <w:spacing w:before="0" w:beforeAutospacing="0" w:after="0" w:afterAutospacing="0"/>
        <w:divId w:val="1917131083"/>
        <w:rPr>
          <w:rFonts w:eastAsia="Times New Roman"/>
        </w:rPr>
      </w:pPr>
      <w:r>
        <w:rPr>
          <w:rFonts w:eastAsia="Times New Roman"/>
        </w:rPr>
        <w:t> </w:t>
      </w:r>
    </w:p>
    <w:p w:rsidR="00000000" w:rsidRDefault="00150086">
      <w:pPr>
        <w:spacing w:before="0" w:beforeAutospacing="0" w:after="0" w:afterAutospacing="0"/>
        <w:rPr>
          <w:rFonts w:eastAsia="Times New Roman"/>
        </w:rPr>
      </w:pPr>
    </w:p>
    <w:p w:rsidR="00000000" w:rsidRDefault="00150086">
      <w:pPr>
        <w:pStyle w:val="NormalWeb"/>
        <w:spacing w:before="0" w:beforeAutospacing="0" w:after="0" w:afterAutospacing="0"/>
        <w:jc w:val="right"/>
        <w:divId w:val="1764766734"/>
        <w:rPr>
          <w:sz w:val="20"/>
          <w:szCs w:val="20"/>
        </w:rPr>
      </w:pPr>
      <w:r>
        <w:rPr>
          <w:b/>
          <w:bCs/>
          <w:sz w:val="20"/>
          <w:szCs w:val="20"/>
        </w:rPr>
        <w:t>EXHIBIT 31.2</w:t>
      </w:r>
    </w:p>
    <w:p w:rsidR="00000000" w:rsidRDefault="00150086">
      <w:pPr>
        <w:pStyle w:val="NormalWeb"/>
        <w:spacing w:before="0" w:beforeAutospacing="0" w:after="0" w:afterAutospacing="0"/>
        <w:jc w:val="right"/>
        <w:divId w:val="1764766734"/>
        <w:rPr>
          <w:sz w:val="20"/>
          <w:szCs w:val="20"/>
        </w:rPr>
      </w:pPr>
      <w:r>
        <w:rPr>
          <w:sz w:val="20"/>
          <w:szCs w:val="20"/>
        </w:rPr>
        <w:t> </w:t>
      </w:r>
    </w:p>
    <w:p w:rsidR="00000000" w:rsidRDefault="00150086">
      <w:pPr>
        <w:pStyle w:val="NormalWeb"/>
        <w:spacing w:before="0" w:beforeAutospacing="0" w:after="0" w:afterAutospacing="0"/>
        <w:jc w:val="center"/>
        <w:divId w:val="1764766734"/>
        <w:rPr>
          <w:sz w:val="20"/>
          <w:szCs w:val="20"/>
        </w:rPr>
      </w:pPr>
      <w:r>
        <w:rPr>
          <w:b/>
          <w:bCs/>
          <w:sz w:val="20"/>
          <w:szCs w:val="20"/>
        </w:rPr>
        <w:t>CERTIFICATION PURSUANT TO</w:t>
      </w:r>
    </w:p>
    <w:p w:rsidR="00000000" w:rsidRDefault="00150086">
      <w:pPr>
        <w:pStyle w:val="NormalWeb"/>
        <w:spacing w:before="0" w:beforeAutospacing="0" w:after="0" w:afterAutospacing="0"/>
        <w:jc w:val="center"/>
        <w:divId w:val="1764766734"/>
        <w:rPr>
          <w:sz w:val="20"/>
          <w:szCs w:val="20"/>
        </w:rPr>
      </w:pPr>
      <w:r>
        <w:rPr>
          <w:b/>
          <w:bCs/>
          <w:sz w:val="20"/>
          <w:szCs w:val="20"/>
        </w:rPr>
        <w:t>18 U.S.C. ss 1350, AS ADOPTED PURSUANT TO</w:t>
      </w:r>
    </w:p>
    <w:p w:rsidR="00000000" w:rsidRDefault="00150086">
      <w:pPr>
        <w:pStyle w:val="NormalWeb"/>
        <w:spacing w:before="0" w:beforeAutospacing="0" w:after="0" w:afterAutospacing="0"/>
        <w:jc w:val="center"/>
        <w:divId w:val="1764766734"/>
        <w:rPr>
          <w:sz w:val="20"/>
          <w:szCs w:val="20"/>
        </w:rPr>
      </w:pPr>
      <w:r>
        <w:rPr>
          <w:b/>
          <w:bCs/>
          <w:sz w:val="20"/>
          <w:szCs w:val="20"/>
        </w:rPr>
        <w:t>SECTION 302 OF THE SARBANES-OXLEY ACT OF 2002</w:t>
      </w:r>
    </w:p>
    <w:p w:rsidR="00000000" w:rsidRDefault="00150086">
      <w:pPr>
        <w:pStyle w:val="NormalWeb"/>
        <w:spacing w:before="0" w:beforeAutospacing="0" w:after="0" w:afterAutospacing="0"/>
        <w:jc w:val="center"/>
        <w:divId w:val="1764766734"/>
        <w:rPr>
          <w:b/>
          <w:bCs/>
          <w:sz w:val="20"/>
          <w:szCs w:val="20"/>
        </w:rPr>
      </w:pPr>
      <w:r>
        <w:rPr>
          <w:b/>
          <w:bCs/>
          <w:sz w:val="20"/>
          <w:szCs w:val="20"/>
        </w:rPr>
        <w:t> </w:t>
      </w:r>
    </w:p>
    <w:p w:rsidR="00000000" w:rsidRDefault="00150086">
      <w:pPr>
        <w:spacing w:before="0" w:beforeAutospacing="0" w:after="0" w:afterAutospacing="0"/>
        <w:jc w:val="both"/>
        <w:divId w:val="1764766734"/>
        <w:rPr>
          <w:rFonts w:eastAsia="Times New Roman"/>
          <w:sz w:val="20"/>
          <w:szCs w:val="20"/>
        </w:rPr>
      </w:pPr>
      <w:r>
        <w:rPr>
          <w:rFonts w:eastAsia="Times New Roman"/>
          <w:sz w:val="20"/>
          <w:szCs w:val="20"/>
        </w:rPr>
        <w:t xml:space="preserve">I, Moira Ong, certify that: </w:t>
      </w:r>
    </w:p>
    <w:p w:rsidR="00000000" w:rsidRDefault="00150086">
      <w:pPr>
        <w:pStyle w:val="NormalWeb"/>
        <w:spacing w:before="0" w:beforeAutospacing="0" w:after="0" w:afterAutospacing="0"/>
        <w:jc w:val="both"/>
        <w:divId w:val="1764766734"/>
        <w:rPr>
          <w:sz w:val="20"/>
          <w:szCs w:val="20"/>
        </w:rPr>
      </w:pPr>
      <w:r>
        <w:rPr>
          <w:sz w:val="20"/>
          <w:szCs w:val="20"/>
        </w:rPr>
        <w:t> </w:t>
      </w:r>
    </w:p>
    <w:tbl>
      <w:tblPr>
        <w:tblW w:w="5000" w:type="pct"/>
        <w:tblCellSpacing w:w="0" w:type="dxa"/>
        <w:tblCellMar>
          <w:left w:w="0" w:type="dxa"/>
          <w:right w:w="0" w:type="dxa"/>
        </w:tblCellMar>
        <w:tblLook w:val="04A0"/>
      </w:tblPr>
      <w:tblGrid>
        <w:gridCol w:w="374"/>
        <w:gridCol w:w="8986"/>
      </w:tblGrid>
      <w:tr w:rsidR="00000000">
        <w:trPr>
          <w:divId w:val="1764766734"/>
          <w:tblCellSpacing w:w="0" w:type="dxa"/>
        </w:trPr>
        <w:tc>
          <w:tcPr>
            <w:tcW w:w="200" w:type="pct"/>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1.</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I have reviewed this quarterly report on Form 10-Q of Pivot Pharmaceuticals Inc.;</w:t>
            </w:r>
          </w:p>
        </w:tc>
      </w:tr>
      <w:tr w:rsidR="00000000">
        <w:trPr>
          <w:divId w:val="1764766734"/>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1764766734"/>
          <w:tblCellSpacing w:w="0" w:type="dxa"/>
        </w:trPr>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2.</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Based on my knowledge, this report does not contain any untrue statement of a material fact or omit to state a material fact necessary to make the statements made, in light of the circumstances under which such statements were made, not misleading with res</w:t>
            </w:r>
            <w:r>
              <w:rPr>
                <w:rFonts w:eastAsia="Times New Roman"/>
                <w:sz w:val="20"/>
                <w:szCs w:val="20"/>
              </w:rPr>
              <w:t>pect to the period covered by this report;</w:t>
            </w:r>
          </w:p>
        </w:tc>
      </w:tr>
      <w:tr w:rsidR="00000000">
        <w:trPr>
          <w:divId w:val="1764766734"/>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1764766734"/>
          <w:tblCellSpacing w:w="0" w:type="dxa"/>
        </w:trPr>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3.</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Based on my knowledge, the financial statements, and other financial information included in this report, fairly present in all material respects the financial condition, results of operations and cash flows of the registrant as of, and for, the periods pr</w:t>
            </w:r>
            <w:r>
              <w:rPr>
                <w:rFonts w:eastAsia="Times New Roman"/>
                <w:sz w:val="20"/>
                <w:szCs w:val="20"/>
              </w:rPr>
              <w:t>esented in this report;</w:t>
            </w:r>
          </w:p>
        </w:tc>
      </w:tr>
      <w:tr w:rsidR="00000000">
        <w:trPr>
          <w:divId w:val="1764766734"/>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1764766734"/>
          <w:tblCellSpacing w:w="0" w:type="dxa"/>
        </w:trPr>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4.</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The registrant's other certifying officer(s) and I are responsible for establishing and maintaining disclosure controls and procedures (as defined in Exchange Act Rules 13a-15(e) and 15d-15(e)) and internal control over financial reporting (as defined in E</w:t>
            </w:r>
            <w:r>
              <w:rPr>
                <w:rFonts w:eastAsia="Times New Roman"/>
                <w:sz w:val="20"/>
                <w:szCs w:val="20"/>
              </w:rPr>
              <w:t>xchange Act Rules 13a-15(f) and 15d-15(f)) for the registrant and have:</w:t>
            </w:r>
          </w:p>
        </w:tc>
      </w:tr>
    </w:tbl>
    <w:p w:rsidR="00000000" w:rsidRDefault="00150086">
      <w:pPr>
        <w:pStyle w:val="NormalWeb"/>
        <w:spacing w:before="0" w:beforeAutospacing="0" w:after="0" w:afterAutospacing="0"/>
        <w:jc w:val="both"/>
        <w:divId w:val="1764766734"/>
        <w:rPr>
          <w:sz w:val="20"/>
          <w:szCs w:val="20"/>
        </w:rPr>
      </w:pPr>
      <w:r>
        <w:rPr>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1764766734"/>
          <w:tblCellSpacing w:w="0" w:type="dxa"/>
        </w:trPr>
        <w:tc>
          <w:tcPr>
            <w:tcW w:w="200" w:type="pct"/>
            <w:hideMark/>
          </w:tcPr>
          <w:p w:rsidR="00000000" w:rsidRDefault="00150086">
            <w:pPr>
              <w:pStyle w:val="NormalWeb"/>
              <w:spacing w:before="0" w:beforeAutospacing="0" w:after="0" w:afterAutospacing="0"/>
              <w:jc w:val="both"/>
              <w:rPr>
                <w:sz w:val="20"/>
                <w:szCs w:val="20"/>
              </w:rPr>
            </w:pPr>
            <w:r>
              <w:rPr>
                <w:sz w:val="20"/>
                <w:szCs w:val="20"/>
              </w:rPr>
              <w:t> </w:t>
            </w:r>
          </w:p>
        </w:tc>
        <w:tc>
          <w:tcPr>
            <w:tcW w:w="200" w:type="pct"/>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(a)</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Designed such disclosure controls and procedures, or caused such disclosure controls and procedures to be designed under our supervision, to ensure that material informa</w:t>
            </w:r>
            <w:r>
              <w:rPr>
                <w:rFonts w:eastAsia="Times New Roman"/>
                <w:sz w:val="20"/>
                <w:szCs w:val="20"/>
              </w:rPr>
              <w:t>tion relating to the registrant, including its consolidated subsidiaries, is made known to us by others within those entities, particularly during the period in which this report is being prepared;</w:t>
            </w:r>
          </w:p>
        </w:tc>
      </w:tr>
      <w:tr w:rsidR="00000000">
        <w:trPr>
          <w:divId w:val="1764766734"/>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1764766734"/>
          <w:tblCellSpacing w:w="0" w:type="dxa"/>
        </w:trPr>
        <w:tc>
          <w:tcPr>
            <w:tcW w:w="0" w:type="auto"/>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(b)</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 xml:space="preserve">Designed such internal control over financial reporting, or caused such internal control over financial reporting to be designed under our supervision, to provide reasonable assurance regarding the reliability of financial reporting and the preparation of </w:t>
            </w:r>
            <w:r>
              <w:rPr>
                <w:rFonts w:eastAsia="Times New Roman"/>
                <w:sz w:val="20"/>
                <w:szCs w:val="20"/>
              </w:rPr>
              <w:t>financial statements for external purposes in accordance with generally accepted accounting principles;</w:t>
            </w:r>
          </w:p>
        </w:tc>
      </w:tr>
      <w:tr w:rsidR="00000000">
        <w:trPr>
          <w:divId w:val="1764766734"/>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1764766734"/>
          <w:tblCellSpacing w:w="0" w:type="dxa"/>
        </w:trPr>
        <w:tc>
          <w:tcPr>
            <w:tcW w:w="0" w:type="auto"/>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(c)</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Evaluated the effectiveness of the registrant's disclosure controls and procedures and presented in this report our conclusions about the effectiveness of the disclosure controls and procedures, as of the end of the period covered by this report based on s</w:t>
            </w:r>
            <w:r>
              <w:rPr>
                <w:rFonts w:eastAsia="Times New Roman"/>
                <w:sz w:val="20"/>
                <w:szCs w:val="20"/>
              </w:rPr>
              <w:t>uch evaluation; and</w:t>
            </w:r>
          </w:p>
        </w:tc>
      </w:tr>
      <w:tr w:rsidR="00000000">
        <w:trPr>
          <w:divId w:val="1764766734"/>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1764766734"/>
          <w:tblCellSpacing w:w="0" w:type="dxa"/>
        </w:trPr>
        <w:tc>
          <w:tcPr>
            <w:tcW w:w="0" w:type="auto"/>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(d)</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 xml:space="preserve">Disclosed in this report any change in the registrant's internal control over financial reporting that occurred during the registrant's most recent fiscal quarter (the registrant's fourth fiscal quarter in the case of an annual report) that has materially </w:t>
            </w:r>
            <w:r>
              <w:rPr>
                <w:rFonts w:eastAsia="Times New Roman"/>
                <w:sz w:val="20"/>
                <w:szCs w:val="20"/>
              </w:rPr>
              <w:t>affected, or is reasonably likely to materially affect, the registrant's internal control over financial reporting; and</w:t>
            </w:r>
          </w:p>
        </w:tc>
      </w:tr>
    </w:tbl>
    <w:p w:rsidR="00000000" w:rsidRDefault="00150086">
      <w:pPr>
        <w:pStyle w:val="NormalWeb"/>
        <w:spacing w:before="0" w:beforeAutospacing="0" w:after="0" w:afterAutospacing="0"/>
        <w:jc w:val="both"/>
        <w:divId w:val="1764766734"/>
        <w:rPr>
          <w:sz w:val="20"/>
          <w:szCs w:val="20"/>
        </w:rPr>
      </w:pPr>
      <w:r>
        <w:rPr>
          <w:sz w:val="20"/>
          <w:szCs w:val="20"/>
        </w:rPr>
        <w:t> </w:t>
      </w:r>
    </w:p>
    <w:tbl>
      <w:tblPr>
        <w:tblW w:w="5000" w:type="pct"/>
        <w:tblCellSpacing w:w="0" w:type="dxa"/>
        <w:tblCellMar>
          <w:left w:w="0" w:type="dxa"/>
          <w:right w:w="0" w:type="dxa"/>
        </w:tblCellMar>
        <w:tblLook w:val="04A0"/>
      </w:tblPr>
      <w:tblGrid>
        <w:gridCol w:w="374"/>
        <w:gridCol w:w="8986"/>
      </w:tblGrid>
      <w:tr w:rsidR="00000000">
        <w:trPr>
          <w:divId w:val="1764766734"/>
          <w:tblCellSpacing w:w="0" w:type="dxa"/>
        </w:trPr>
        <w:tc>
          <w:tcPr>
            <w:tcW w:w="200" w:type="pct"/>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5.</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The registrant's other certifying officer(s) and I have disclosed, based on our most recent evaluation of internal control over financial reporting, to the registrant's auditors and the audit committee of the registrant's board of directors (or persons per</w:t>
            </w:r>
            <w:r>
              <w:rPr>
                <w:rFonts w:eastAsia="Times New Roman"/>
                <w:sz w:val="20"/>
                <w:szCs w:val="20"/>
              </w:rPr>
              <w:t>forming the equivalent functions):</w:t>
            </w:r>
          </w:p>
        </w:tc>
      </w:tr>
    </w:tbl>
    <w:p w:rsidR="00000000" w:rsidRDefault="00150086">
      <w:pPr>
        <w:pStyle w:val="NormalWeb"/>
        <w:spacing w:before="0" w:beforeAutospacing="0" w:after="0" w:afterAutospacing="0"/>
        <w:jc w:val="both"/>
        <w:divId w:val="1764766734"/>
        <w:rPr>
          <w:sz w:val="20"/>
          <w:szCs w:val="20"/>
        </w:rPr>
      </w:pPr>
      <w:r>
        <w:rPr>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1764766734"/>
          <w:tblCellSpacing w:w="0" w:type="dxa"/>
        </w:trPr>
        <w:tc>
          <w:tcPr>
            <w:tcW w:w="200" w:type="pct"/>
            <w:hideMark/>
          </w:tcPr>
          <w:p w:rsidR="00000000" w:rsidRDefault="00150086">
            <w:pPr>
              <w:pStyle w:val="NormalWeb"/>
              <w:spacing w:before="0" w:beforeAutospacing="0" w:after="0" w:afterAutospacing="0"/>
              <w:jc w:val="both"/>
              <w:rPr>
                <w:sz w:val="20"/>
                <w:szCs w:val="20"/>
              </w:rPr>
            </w:pPr>
            <w:r>
              <w:rPr>
                <w:sz w:val="20"/>
                <w:szCs w:val="20"/>
              </w:rPr>
              <w:t> </w:t>
            </w:r>
          </w:p>
        </w:tc>
        <w:tc>
          <w:tcPr>
            <w:tcW w:w="200" w:type="pct"/>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(a)</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 xml:space="preserve">All significant deficiencies and material weaknesses in the design or operation of internal control over </w:t>
            </w:r>
            <w:r>
              <w:rPr>
                <w:rFonts w:eastAsia="Times New Roman"/>
                <w:sz w:val="20"/>
                <w:szCs w:val="20"/>
              </w:rPr>
              <w:lastRenderedPageBreak/>
              <w:t>financial reporting which are reasonably likely to adversely affect the registrant's ability to record, process, summarize and report financial informa</w:t>
            </w:r>
            <w:r>
              <w:rPr>
                <w:rFonts w:eastAsia="Times New Roman"/>
                <w:sz w:val="20"/>
                <w:szCs w:val="20"/>
              </w:rPr>
              <w:t>tion; and</w:t>
            </w:r>
          </w:p>
        </w:tc>
      </w:tr>
      <w:tr w:rsidR="00000000">
        <w:trPr>
          <w:divId w:val="1764766734"/>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lastRenderedPageBreak/>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1764766734"/>
          <w:tblCellSpacing w:w="0" w:type="dxa"/>
        </w:trPr>
        <w:tc>
          <w:tcPr>
            <w:tcW w:w="0" w:type="auto"/>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(b)</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Any fraud, whether or not material, that involves management or other employees who have a significant role in the registrant's internal control over financial reporting.</w:t>
            </w:r>
          </w:p>
        </w:tc>
      </w:tr>
    </w:tbl>
    <w:p w:rsidR="00000000" w:rsidRDefault="00150086">
      <w:pPr>
        <w:pStyle w:val="NormalWeb"/>
        <w:spacing w:before="0" w:beforeAutospacing="0" w:after="0" w:afterAutospacing="0"/>
        <w:jc w:val="both"/>
        <w:divId w:val="1764766734"/>
        <w:rPr>
          <w:sz w:val="20"/>
          <w:szCs w:val="20"/>
        </w:rPr>
      </w:pPr>
      <w:r>
        <w:rPr>
          <w:sz w:val="20"/>
          <w:szCs w:val="20"/>
        </w:rPr>
        <w:t> </w:t>
      </w:r>
    </w:p>
    <w:p w:rsidR="00000000" w:rsidRDefault="00150086">
      <w:pPr>
        <w:pStyle w:val="NormalWeb"/>
        <w:spacing w:before="0" w:beforeAutospacing="0" w:after="0" w:afterAutospacing="0"/>
        <w:jc w:val="both"/>
        <w:divId w:val="1764766734"/>
        <w:rPr>
          <w:sz w:val="20"/>
          <w:szCs w:val="20"/>
        </w:rPr>
      </w:pPr>
      <w:r>
        <w:rPr>
          <w:sz w:val="20"/>
          <w:szCs w:val="20"/>
        </w:rPr>
        <w:t> </w:t>
      </w:r>
    </w:p>
    <w:p w:rsidR="00000000" w:rsidRDefault="00150086">
      <w:pPr>
        <w:pStyle w:val="NormalWeb"/>
        <w:spacing w:before="0" w:beforeAutospacing="0" w:after="0" w:afterAutospacing="0"/>
        <w:jc w:val="both"/>
        <w:divId w:val="1764766734"/>
        <w:rPr>
          <w:sz w:val="20"/>
          <w:szCs w:val="20"/>
        </w:rPr>
      </w:pPr>
      <w:r>
        <w:rPr>
          <w:sz w:val="20"/>
          <w:szCs w:val="20"/>
        </w:rPr>
        <w:t>Date: December 18, 2018</w:t>
      </w:r>
    </w:p>
    <w:p w:rsidR="00000000" w:rsidRDefault="00150086">
      <w:pPr>
        <w:pStyle w:val="NormalWeb"/>
        <w:spacing w:before="0" w:beforeAutospacing="0" w:after="0" w:afterAutospacing="0"/>
        <w:jc w:val="both"/>
        <w:divId w:val="1764766734"/>
        <w:rPr>
          <w:sz w:val="20"/>
          <w:szCs w:val="20"/>
        </w:rPr>
      </w:pPr>
      <w:r>
        <w:rPr>
          <w:sz w:val="20"/>
          <w:szCs w:val="20"/>
        </w:rPr>
        <w:t> </w:t>
      </w:r>
    </w:p>
    <w:tbl>
      <w:tblPr>
        <w:tblW w:w="5000" w:type="pct"/>
        <w:tblCellSpacing w:w="0" w:type="dxa"/>
        <w:tblCellMar>
          <w:left w:w="0" w:type="dxa"/>
          <w:right w:w="0" w:type="dxa"/>
        </w:tblCellMar>
        <w:tblLook w:val="04A0"/>
      </w:tblPr>
      <w:tblGrid>
        <w:gridCol w:w="3276"/>
        <w:gridCol w:w="6084"/>
      </w:tblGrid>
      <w:tr w:rsidR="00000000">
        <w:trPr>
          <w:divId w:val="1764766734"/>
          <w:trHeight w:val="225"/>
          <w:tblCellSpacing w:w="0" w:type="dxa"/>
        </w:trPr>
        <w:tc>
          <w:tcPr>
            <w:tcW w:w="1750" w:type="pct"/>
            <w:tcBorders>
              <w:bottom w:val="single" w:sz="6" w:space="0" w:color="000000"/>
            </w:tcBorders>
            <w:hideMark/>
          </w:tcPr>
          <w:p w:rsidR="00000000" w:rsidRDefault="00150086">
            <w:pPr>
              <w:pStyle w:val="NormalWeb"/>
              <w:spacing w:before="0" w:beforeAutospacing="0" w:after="0" w:afterAutospacing="0"/>
              <w:jc w:val="both"/>
              <w:rPr>
                <w:sz w:val="20"/>
                <w:szCs w:val="20"/>
              </w:rPr>
            </w:pPr>
            <w:r>
              <w:rPr>
                <w:i/>
                <w:iCs/>
                <w:sz w:val="20"/>
                <w:szCs w:val="20"/>
              </w:rPr>
              <w:t>/s/ Moira Ong</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1764766734"/>
          <w:trHeight w:val="225"/>
          <w:tblCellSpacing w:w="0" w:type="dxa"/>
        </w:trPr>
        <w:tc>
          <w:tcPr>
            <w:tcW w:w="0" w:type="auto"/>
            <w:hideMark/>
          </w:tcPr>
          <w:p w:rsidR="00000000" w:rsidRDefault="00150086">
            <w:pPr>
              <w:pStyle w:val="NormalWeb"/>
              <w:spacing w:before="0" w:beforeAutospacing="0" w:after="0" w:afterAutospacing="0"/>
              <w:rPr>
                <w:sz w:val="20"/>
                <w:szCs w:val="20"/>
              </w:rPr>
            </w:pPr>
            <w:r>
              <w:rPr>
                <w:sz w:val="20"/>
                <w:szCs w:val="20"/>
              </w:rPr>
              <w:t>Moira Ong</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1764766734"/>
          <w:trHeight w:val="225"/>
          <w:tblCellSpacing w:w="0" w:type="dxa"/>
        </w:trPr>
        <w:tc>
          <w:tcPr>
            <w:tcW w:w="0" w:type="auto"/>
            <w:hideMark/>
          </w:tcPr>
          <w:p w:rsidR="00000000" w:rsidRDefault="00150086">
            <w:pPr>
              <w:pStyle w:val="NormalWeb"/>
              <w:spacing w:before="0" w:beforeAutospacing="0" w:after="0" w:afterAutospacing="0"/>
              <w:rPr>
                <w:sz w:val="20"/>
                <w:szCs w:val="20"/>
              </w:rPr>
            </w:pPr>
            <w:r>
              <w:rPr>
                <w:sz w:val="20"/>
                <w:szCs w:val="20"/>
              </w:rPr>
              <w:t xml:space="preserve">Chief Financial Officer </w:t>
            </w:r>
          </w:p>
          <w:p w:rsidR="00000000" w:rsidRDefault="00150086">
            <w:pPr>
              <w:pStyle w:val="NormalWeb"/>
              <w:spacing w:before="0" w:beforeAutospacing="0" w:after="0" w:afterAutospacing="0"/>
              <w:rPr>
                <w:sz w:val="20"/>
                <w:szCs w:val="20"/>
              </w:rPr>
            </w:pPr>
            <w:r>
              <w:rPr>
                <w:sz w:val="20"/>
                <w:szCs w:val="20"/>
              </w:rPr>
              <w:t>(Principal Financial Officer and Principal Accounting Officer)</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bl>
    <w:p w:rsidR="00000000" w:rsidRDefault="00150086">
      <w:pPr>
        <w:pStyle w:val="NormalWeb"/>
        <w:spacing w:before="0" w:beforeAutospacing="0" w:after="0" w:afterAutospacing="0"/>
        <w:jc w:val="both"/>
        <w:divId w:val="1764766734"/>
        <w:rPr>
          <w:sz w:val="20"/>
          <w:szCs w:val="20"/>
        </w:rPr>
      </w:pPr>
      <w:r>
        <w:rPr>
          <w:sz w:val="20"/>
          <w:szCs w:val="20"/>
        </w:rPr>
        <w:t> </w:t>
      </w:r>
    </w:p>
    <w:p w:rsidR="00000000" w:rsidRDefault="00150086">
      <w:pPr>
        <w:spacing w:before="0" w:beforeAutospacing="0" w:after="0" w:afterAutospacing="0"/>
        <w:divId w:val="157232752"/>
        <w:rPr>
          <w:rFonts w:eastAsia="Times New Roman"/>
        </w:rPr>
      </w:pPr>
      <w:r>
        <w:rPr>
          <w:rFonts w:eastAsia="Times New Roman"/>
        </w:rPr>
        <w:t> </w:t>
      </w:r>
    </w:p>
    <w:p w:rsidR="00000000" w:rsidRDefault="00150086">
      <w:pPr>
        <w:spacing w:before="0" w:beforeAutospacing="0" w:after="0" w:afterAutospacing="0"/>
        <w:rPr>
          <w:rFonts w:eastAsia="Times New Roman"/>
        </w:rPr>
      </w:pPr>
    </w:p>
    <w:p w:rsidR="00000000" w:rsidRDefault="00150086">
      <w:pPr>
        <w:pStyle w:val="NormalWeb"/>
        <w:spacing w:before="0" w:beforeAutospacing="0" w:after="0" w:afterAutospacing="0"/>
        <w:jc w:val="right"/>
        <w:divId w:val="477459562"/>
        <w:rPr>
          <w:sz w:val="20"/>
          <w:szCs w:val="20"/>
        </w:rPr>
      </w:pPr>
      <w:r>
        <w:rPr>
          <w:b/>
          <w:bCs/>
          <w:sz w:val="20"/>
          <w:szCs w:val="20"/>
        </w:rPr>
        <w:t>EXHIBIT 32.1</w:t>
      </w:r>
    </w:p>
    <w:p w:rsidR="00000000" w:rsidRDefault="00150086">
      <w:pPr>
        <w:pStyle w:val="NormalWeb"/>
        <w:spacing w:before="0" w:beforeAutospacing="0" w:after="0" w:afterAutospacing="0"/>
        <w:jc w:val="right"/>
        <w:divId w:val="477459562"/>
        <w:rPr>
          <w:sz w:val="20"/>
          <w:szCs w:val="20"/>
        </w:rPr>
      </w:pPr>
      <w:r>
        <w:rPr>
          <w:sz w:val="20"/>
          <w:szCs w:val="20"/>
        </w:rPr>
        <w:t> </w:t>
      </w:r>
    </w:p>
    <w:p w:rsidR="00000000" w:rsidRDefault="00150086">
      <w:pPr>
        <w:pStyle w:val="NormalWeb"/>
        <w:spacing w:before="0" w:beforeAutospacing="0" w:after="0" w:afterAutospacing="0"/>
        <w:jc w:val="center"/>
        <w:divId w:val="477459562"/>
        <w:rPr>
          <w:sz w:val="20"/>
          <w:szCs w:val="20"/>
        </w:rPr>
      </w:pPr>
      <w:r>
        <w:rPr>
          <w:b/>
          <w:bCs/>
          <w:sz w:val="20"/>
          <w:szCs w:val="20"/>
        </w:rPr>
        <w:t>CERTIFICATION PURSUANT TO</w:t>
      </w:r>
    </w:p>
    <w:p w:rsidR="00000000" w:rsidRDefault="00150086">
      <w:pPr>
        <w:pStyle w:val="NormalWeb"/>
        <w:spacing w:before="0" w:beforeAutospacing="0" w:after="0" w:afterAutospacing="0"/>
        <w:jc w:val="center"/>
        <w:divId w:val="477459562"/>
        <w:rPr>
          <w:sz w:val="20"/>
          <w:szCs w:val="20"/>
        </w:rPr>
      </w:pPr>
      <w:r>
        <w:rPr>
          <w:b/>
          <w:bCs/>
          <w:sz w:val="20"/>
          <w:szCs w:val="20"/>
        </w:rPr>
        <w:t>18 U.S.C. SECTION 1350, AS ADOPTED PURSUANT TO</w:t>
      </w:r>
    </w:p>
    <w:p w:rsidR="00000000" w:rsidRDefault="00150086">
      <w:pPr>
        <w:pStyle w:val="NormalWeb"/>
        <w:spacing w:before="0" w:beforeAutospacing="0" w:after="0" w:afterAutospacing="0"/>
        <w:jc w:val="center"/>
        <w:divId w:val="477459562"/>
        <w:rPr>
          <w:sz w:val="20"/>
          <w:szCs w:val="20"/>
        </w:rPr>
      </w:pPr>
      <w:r>
        <w:rPr>
          <w:b/>
          <w:bCs/>
          <w:sz w:val="20"/>
          <w:szCs w:val="20"/>
        </w:rPr>
        <w:t>SECTION 906 OF THE SARBANES-OXLEY ACT OF 2002</w:t>
      </w:r>
    </w:p>
    <w:p w:rsidR="00000000" w:rsidRDefault="00150086">
      <w:pPr>
        <w:pStyle w:val="NormalWeb"/>
        <w:spacing w:before="0" w:beforeAutospacing="0" w:after="0" w:afterAutospacing="0"/>
        <w:jc w:val="both"/>
        <w:divId w:val="477459562"/>
        <w:rPr>
          <w:sz w:val="20"/>
          <w:szCs w:val="20"/>
        </w:rPr>
      </w:pPr>
      <w:r>
        <w:rPr>
          <w:sz w:val="20"/>
          <w:szCs w:val="20"/>
        </w:rPr>
        <w:t> </w:t>
      </w:r>
    </w:p>
    <w:p w:rsidR="00000000" w:rsidRDefault="00150086">
      <w:pPr>
        <w:pStyle w:val="NormalWeb"/>
        <w:spacing w:before="0" w:beforeAutospacing="0" w:after="0" w:afterAutospacing="0"/>
        <w:jc w:val="both"/>
        <w:divId w:val="477459562"/>
        <w:rPr>
          <w:sz w:val="20"/>
          <w:szCs w:val="20"/>
        </w:rPr>
      </w:pPr>
      <w:r>
        <w:rPr>
          <w:sz w:val="20"/>
          <w:szCs w:val="20"/>
        </w:rPr>
        <w:t>I, Patrick Frankham, hereby certify, pursuant to 18 U.S.C. Section 1350, as adopted pursuant to Section 906 of the Sarbanes-Oxley Act of 2002, that:</w:t>
      </w:r>
    </w:p>
    <w:p w:rsidR="00000000" w:rsidRDefault="00150086">
      <w:pPr>
        <w:pStyle w:val="NormalWeb"/>
        <w:spacing w:before="0" w:beforeAutospacing="0" w:after="0" w:afterAutospacing="0"/>
        <w:jc w:val="both"/>
        <w:divId w:val="477459562"/>
        <w:rPr>
          <w:sz w:val="20"/>
          <w:szCs w:val="20"/>
        </w:rPr>
      </w:pPr>
      <w:r>
        <w:rPr>
          <w:sz w:val="20"/>
          <w:szCs w:val="20"/>
        </w:rPr>
        <w:t> </w:t>
      </w:r>
    </w:p>
    <w:tbl>
      <w:tblPr>
        <w:tblW w:w="5000" w:type="pct"/>
        <w:tblCellSpacing w:w="0" w:type="dxa"/>
        <w:tblCellMar>
          <w:left w:w="0" w:type="dxa"/>
          <w:right w:w="0" w:type="dxa"/>
        </w:tblCellMar>
        <w:tblLook w:val="04A0"/>
      </w:tblPr>
      <w:tblGrid>
        <w:gridCol w:w="374"/>
        <w:gridCol w:w="8986"/>
      </w:tblGrid>
      <w:tr w:rsidR="00000000">
        <w:trPr>
          <w:divId w:val="477459562"/>
          <w:tblCellSpacing w:w="0" w:type="dxa"/>
        </w:trPr>
        <w:tc>
          <w:tcPr>
            <w:tcW w:w="200" w:type="pct"/>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(1)</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the Quarterly Report on Form 10-Q of Pivot Pharmaceuticals Inc. for the period ended October 31,</w:t>
            </w:r>
            <w:r>
              <w:rPr>
                <w:rFonts w:eastAsia="Times New Roman"/>
                <w:sz w:val="20"/>
                <w:szCs w:val="20"/>
              </w:rPr>
              <w:t xml:space="preserve"> 2018 (the "Report") fully complies with the requirements of Section 13(a) or 15(d) of the Securities Exchange Act of 1934; and</w:t>
            </w:r>
          </w:p>
        </w:tc>
      </w:tr>
      <w:tr w:rsidR="00000000">
        <w:trPr>
          <w:divId w:val="477459562"/>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477459562"/>
          <w:tblCellSpacing w:w="0" w:type="dxa"/>
        </w:trPr>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(2)</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the information contained in the Report fairly presents, in all material respects, the financial condition and results of operations of Pivot Pharmaceuticals Inc.</w:t>
            </w:r>
          </w:p>
        </w:tc>
      </w:tr>
    </w:tbl>
    <w:p w:rsidR="00000000" w:rsidRDefault="00150086">
      <w:pPr>
        <w:pStyle w:val="NormalWeb"/>
        <w:spacing w:before="0" w:beforeAutospacing="0" w:after="0" w:afterAutospacing="0"/>
        <w:jc w:val="both"/>
        <w:divId w:val="477459562"/>
        <w:rPr>
          <w:sz w:val="20"/>
          <w:szCs w:val="20"/>
        </w:rPr>
      </w:pPr>
      <w:r>
        <w:rPr>
          <w:sz w:val="20"/>
          <w:szCs w:val="20"/>
        </w:rPr>
        <w:t> </w:t>
      </w:r>
    </w:p>
    <w:tbl>
      <w:tblPr>
        <w:tblW w:w="5000" w:type="pct"/>
        <w:tblCellSpacing w:w="0" w:type="dxa"/>
        <w:tblCellMar>
          <w:left w:w="0" w:type="dxa"/>
          <w:right w:w="0" w:type="dxa"/>
        </w:tblCellMar>
        <w:tblLook w:val="04A0"/>
      </w:tblPr>
      <w:tblGrid>
        <w:gridCol w:w="4679"/>
        <w:gridCol w:w="281"/>
        <w:gridCol w:w="3276"/>
        <w:gridCol w:w="562"/>
        <w:gridCol w:w="562"/>
      </w:tblGrid>
      <w:tr w:rsidR="00000000">
        <w:trPr>
          <w:divId w:val="477459562"/>
          <w:trHeight w:val="225"/>
          <w:tblCellSpacing w:w="0" w:type="dxa"/>
        </w:trPr>
        <w:tc>
          <w:tcPr>
            <w:tcW w:w="250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150" w:type="pct"/>
            <w:vAlign w:val="bottom"/>
            <w:hideMark/>
          </w:tcPr>
          <w:p w:rsidR="00000000" w:rsidRDefault="00150086">
            <w:pPr>
              <w:spacing w:before="0" w:beforeAutospacing="0" w:after="0" w:afterAutospacing="0"/>
              <w:jc w:val="both"/>
              <w:rPr>
                <w:rFonts w:eastAsia="Times New Roman"/>
                <w:sz w:val="20"/>
                <w:szCs w:val="20"/>
              </w:rPr>
            </w:pPr>
          </w:p>
        </w:tc>
        <w:tc>
          <w:tcPr>
            <w:tcW w:w="1750" w:type="pct"/>
            <w:vAlign w:val="center"/>
            <w:hideMark/>
          </w:tcPr>
          <w:p w:rsidR="00000000" w:rsidRDefault="00150086">
            <w:pPr>
              <w:spacing w:before="0" w:beforeAutospacing="0" w:after="0" w:afterAutospacing="0"/>
              <w:jc w:val="both"/>
              <w:rPr>
                <w:rFonts w:eastAsia="Times New Roman"/>
                <w:sz w:val="20"/>
                <w:szCs w:val="20"/>
              </w:rPr>
            </w:pPr>
          </w:p>
        </w:tc>
        <w:tc>
          <w:tcPr>
            <w:tcW w:w="600" w:type="pct"/>
            <w:gridSpan w:val="2"/>
            <w:vAlign w:val="bottom"/>
            <w:hideMark/>
          </w:tcPr>
          <w:p w:rsidR="00000000" w:rsidRDefault="00150086">
            <w:pPr>
              <w:spacing w:before="0" w:beforeAutospacing="0" w:after="0" w:afterAutospacing="0"/>
              <w:jc w:val="both"/>
              <w:rPr>
                <w:rFonts w:eastAsia="Times New Roman"/>
                <w:sz w:val="20"/>
                <w:szCs w:val="20"/>
              </w:rPr>
            </w:pPr>
          </w:p>
        </w:tc>
      </w:tr>
      <w:tr w:rsidR="00000000">
        <w:trPr>
          <w:divId w:val="477459562"/>
          <w:trHeight w:val="225"/>
          <w:tblCellSpacing w:w="0" w:type="dxa"/>
        </w:trPr>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Dated: December 18, 2018</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vAlign w:val="bottom"/>
            <w:hideMark/>
          </w:tcPr>
          <w:p w:rsidR="00000000" w:rsidRDefault="00150086">
            <w:pPr>
              <w:pStyle w:val="NormalWeb"/>
              <w:spacing w:before="0" w:beforeAutospacing="0" w:after="0" w:afterAutospacing="0"/>
              <w:jc w:val="both"/>
              <w:rPr>
                <w:sz w:val="20"/>
                <w:szCs w:val="20"/>
              </w:rPr>
            </w:pPr>
            <w:r>
              <w:rPr>
                <w:i/>
                <w:iCs/>
                <w:sz w:val="20"/>
                <w:szCs w:val="20"/>
              </w:rPr>
              <w:t>/s/ Patrick Frankham</w:t>
            </w:r>
          </w:p>
        </w:tc>
        <w:tc>
          <w:tcPr>
            <w:tcW w:w="0" w:type="auto"/>
            <w:hideMark/>
          </w:tcPr>
          <w:p w:rsidR="00000000" w:rsidRDefault="00150086">
            <w:pPr>
              <w:spacing w:before="0" w:beforeAutospacing="0" w:after="0" w:afterAutospacing="0"/>
              <w:jc w:val="both"/>
              <w:rPr>
                <w:rFonts w:eastAsia="Times New Roman"/>
                <w:sz w:val="20"/>
                <w:szCs w:val="20"/>
              </w:rPr>
            </w:pPr>
          </w:p>
        </w:tc>
        <w:tc>
          <w:tcPr>
            <w:tcW w:w="0" w:type="auto"/>
            <w:vAlign w:val="center"/>
            <w:hideMark/>
          </w:tcPr>
          <w:p w:rsidR="00000000" w:rsidRDefault="00150086">
            <w:pPr>
              <w:spacing w:before="0" w:beforeAutospacing="0" w:after="0" w:afterAutospacing="0"/>
              <w:rPr>
                <w:rFonts w:eastAsia="Times New Roman"/>
                <w:sz w:val="20"/>
                <w:szCs w:val="20"/>
              </w:rPr>
            </w:pPr>
          </w:p>
        </w:tc>
      </w:tr>
      <w:tr w:rsidR="00000000">
        <w:trPr>
          <w:divId w:val="477459562"/>
          <w:trHeight w:val="225"/>
          <w:tblCellSpacing w:w="0" w:type="dxa"/>
        </w:trPr>
        <w:tc>
          <w:tcPr>
            <w:tcW w:w="0" w:type="auto"/>
            <w:vAlign w:val="bottom"/>
            <w:hideMark/>
          </w:tcPr>
          <w:p w:rsidR="00000000" w:rsidRDefault="00150086">
            <w:pPr>
              <w:spacing w:before="0" w:beforeAutospacing="0" w:after="0" w:afterAutospacing="0"/>
              <w:jc w:val="both"/>
              <w:rPr>
                <w:rFonts w:eastAsia="Times New Roman"/>
                <w:sz w:val="20"/>
                <w:szCs w:val="20"/>
              </w:rPr>
            </w:pP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Patrick Frankham</w:t>
            </w:r>
          </w:p>
        </w:tc>
        <w:tc>
          <w:tcPr>
            <w:tcW w:w="0" w:type="auto"/>
            <w:gridSpan w:val="2"/>
            <w:vAlign w:val="bottom"/>
            <w:hideMark/>
          </w:tcPr>
          <w:p w:rsidR="00000000" w:rsidRDefault="00150086">
            <w:pPr>
              <w:spacing w:before="0" w:beforeAutospacing="0" w:after="0" w:afterAutospacing="0"/>
              <w:jc w:val="both"/>
              <w:rPr>
                <w:rFonts w:eastAsia="Times New Roman"/>
                <w:sz w:val="20"/>
                <w:szCs w:val="20"/>
              </w:rPr>
            </w:pPr>
          </w:p>
        </w:tc>
      </w:tr>
      <w:tr w:rsidR="00000000">
        <w:trPr>
          <w:divId w:val="477459562"/>
          <w:trHeight w:val="225"/>
          <w:tblCellSpacing w:w="0" w:type="dxa"/>
        </w:trPr>
        <w:tc>
          <w:tcPr>
            <w:tcW w:w="0" w:type="auto"/>
            <w:vAlign w:val="bottom"/>
            <w:hideMark/>
          </w:tcPr>
          <w:p w:rsidR="00000000" w:rsidRDefault="00150086">
            <w:pPr>
              <w:spacing w:before="0" w:beforeAutospacing="0" w:after="0" w:afterAutospacing="0"/>
              <w:jc w:val="both"/>
              <w:rPr>
                <w:rFonts w:eastAsia="Times New Roman"/>
                <w:sz w:val="20"/>
                <w:szCs w:val="20"/>
              </w:rPr>
            </w:pP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Chief Executive Officer and Director (Principal Executive Officer)</w:t>
            </w:r>
          </w:p>
        </w:tc>
        <w:tc>
          <w:tcPr>
            <w:tcW w:w="0" w:type="auto"/>
            <w:gridSpan w:val="2"/>
            <w:hideMark/>
          </w:tcPr>
          <w:p w:rsidR="00000000" w:rsidRDefault="00150086">
            <w:pPr>
              <w:spacing w:before="0" w:beforeAutospacing="0" w:after="0" w:afterAutospacing="0"/>
              <w:jc w:val="both"/>
              <w:rPr>
                <w:rFonts w:eastAsia="Times New Roman"/>
                <w:sz w:val="20"/>
                <w:szCs w:val="20"/>
              </w:rPr>
            </w:pPr>
          </w:p>
        </w:tc>
      </w:tr>
      <w:tr w:rsidR="00000000">
        <w:trPr>
          <w:divId w:val="477459562"/>
          <w:trHeight w:val="225"/>
          <w:tblCellSpacing w:w="0" w:type="dxa"/>
        </w:trPr>
        <w:tc>
          <w:tcPr>
            <w:tcW w:w="0" w:type="auto"/>
            <w:vAlign w:val="bottom"/>
            <w:hideMark/>
          </w:tcPr>
          <w:p w:rsidR="00000000" w:rsidRDefault="00150086">
            <w:pPr>
              <w:spacing w:before="0" w:beforeAutospacing="0" w:after="0" w:afterAutospacing="0"/>
              <w:jc w:val="both"/>
              <w:rPr>
                <w:rFonts w:eastAsia="Times New Roman"/>
                <w:sz w:val="20"/>
                <w:szCs w:val="20"/>
              </w:rPr>
            </w:pP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xml:space="preserve">Pivot Pharmaceuticals Inc. </w:t>
            </w:r>
          </w:p>
        </w:tc>
        <w:tc>
          <w:tcPr>
            <w:tcW w:w="0" w:type="auto"/>
            <w:gridSpan w:val="2"/>
            <w:vAlign w:val="bottom"/>
            <w:hideMark/>
          </w:tcPr>
          <w:p w:rsidR="00000000" w:rsidRDefault="00150086">
            <w:pPr>
              <w:spacing w:before="0" w:beforeAutospacing="0" w:after="0" w:afterAutospacing="0"/>
              <w:jc w:val="both"/>
              <w:rPr>
                <w:rFonts w:eastAsia="Times New Roman"/>
                <w:sz w:val="20"/>
                <w:szCs w:val="20"/>
              </w:rPr>
            </w:pPr>
          </w:p>
        </w:tc>
      </w:tr>
    </w:tbl>
    <w:p w:rsidR="00000000" w:rsidRDefault="00150086">
      <w:pPr>
        <w:pStyle w:val="NormalWeb"/>
        <w:spacing w:before="0" w:beforeAutospacing="0" w:after="0" w:afterAutospacing="0"/>
        <w:jc w:val="both"/>
        <w:divId w:val="477459562"/>
        <w:rPr>
          <w:sz w:val="20"/>
          <w:szCs w:val="20"/>
        </w:rPr>
      </w:pPr>
      <w:r>
        <w:rPr>
          <w:sz w:val="20"/>
          <w:szCs w:val="20"/>
        </w:rPr>
        <w:t> </w:t>
      </w:r>
    </w:p>
    <w:p w:rsidR="00000000" w:rsidRDefault="00150086">
      <w:pPr>
        <w:pStyle w:val="NormalWeb"/>
        <w:spacing w:before="0" w:beforeAutospacing="0" w:after="0" w:afterAutospacing="0"/>
        <w:jc w:val="both"/>
        <w:divId w:val="477459562"/>
        <w:rPr>
          <w:sz w:val="20"/>
          <w:szCs w:val="20"/>
        </w:rPr>
      </w:pPr>
      <w:r>
        <w:rPr>
          <w:sz w:val="20"/>
          <w:szCs w:val="20"/>
        </w:rPr>
        <w:t>A signed original of this written statement required by Section 906, or other document authenticating, acknowledging, or otherwise adopting the signature that appears in typed form within the electronic version of this written statement required by Section</w:t>
      </w:r>
      <w:r>
        <w:rPr>
          <w:sz w:val="20"/>
          <w:szCs w:val="20"/>
        </w:rPr>
        <w:t xml:space="preserve"> 906, has been provided to Pivot Pharmaceuticals Inc. and will be retained by Pivot Pharmaceuticals Inc. and furnished to the Securities and Exchange Commission or its staff upon request.</w:t>
      </w:r>
    </w:p>
    <w:p w:rsidR="00000000" w:rsidRDefault="00150086">
      <w:pPr>
        <w:spacing w:before="0" w:beforeAutospacing="0" w:after="0" w:afterAutospacing="0"/>
        <w:divId w:val="827982561"/>
        <w:rPr>
          <w:rFonts w:eastAsia="Times New Roman"/>
        </w:rPr>
      </w:pPr>
      <w:r>
        <w:rPr>
          <w:rFonts w:eastAsia="Times New Roman"/>
        </w:rPr>
        <w:t> </w:t>
      </w:r>
    </w:p>
    <w:p w:rsidR="00000000" w:rsidRDefault="00150086">
      <w:pPr>
        <w:spacing w:before="0" w:beforeAutospacing="0" w:after="0" w:afterAutospacing="0"/>
        <w:rPr>
          <w:rFonts w:eastAsia="Times New Roman"/>
        </w:rPr>
      </w:pPr>
    </w:p>
    <w:p w:rsidR="00000000" w:rsidRDefault="00150086">
      <w:pPr>
        <w:pStyle w:val="NormalWeb"/>
        <w:spacing w:before="0" w:beforeAutospacing="0" w:after="0" w:afterAutospacing="0"/>
        <w:jc w:val="right"/>
        <w:divId w:val="2077849357"/>
        <w:rPr>
          <w:sz w:val="20"/>
          <w:szCs w:val="20"/>
        </w:rPr>
      </w:pPr>
      <w:r>
        <w:rPr>
          <w:b/>
          <w:bCs/>
          <w:sz w:val="20"/>
          <w:szCs w:val="20"/>
        </w:rPr>
        <w:t>EXHIBIT 32.2</w:t>
      </w:r>
    </w:p>
    <w:p w:rsidR="00000000" w:rsidRDefault="00150086">
      <w:pPr>
        <w:pStyle w:val="NormalWeb"/>
        <w:spacing w:before="0" w:beforeAutospacing="0" w:after="0" w:afterAutospacing="0"/>
        <w:jc w:val="right"/>
        <w:divId w:val="2077849357"/>
        <w:rPr>
          <w:sz w:val="20"/>
          <w:szCs w:val="20"/>
        </w:rPr>
      </w:pPr>
      <w:r>
        <w:rPr>
          <w:sz w:val="20"/>
          <w:szCs w:val="20"/>
        </w:rPr>
        <w:t> </w:t>
      </w:r>
    </w:p>
    <w:p w:rsidR="00000000" w:rsidRDefault="00150086">
      <w:pPr>
        <w:pStyle w:val="NormalWeb"/>
        <w:spacing w:before="0" w:beforeAutospacing="0" w:after="0" w:afterAutospacing="0"/>
        <w:jc w:val="center"/>
        <w:divId w:val="2077849357"/>
        <w:rPr>
          <w:sz w:val="20"/>
          <w:szCs w:val="20"/>
        </w:rPr>
      </w:pPr>
      <w:r>
        <w:rPr>
          <w:b/>
          <w:bCs/>
          <w:sz w:val="20"/>
          <w:szCs w:val="20"/>
        </w:rPr>
        <w:t>CERTIFICATION PURSUANT TO</w:t>
      </w:r>
    </w:p>
    <w:p w:rsidR="00000000" w:rsidRDefault="00150086">
      <w:pPr>
        <w:pStyle w:val="NormalWeb"/>
        <w:spacing w:before="0" w:beforeAutospacing="0" w:after="0" w:afterAutospacing="0"/>
        <w:jc w:val="center"/>
        <w:divId w:val="2077849357"/>
        <w:rPr>
          <w:sz w:val="20"/>
          <w:szCs w:val="20"/>
        </w:rPr>
      </w:pPr>
      <w:r>
        <w:rPr>
          <w:b/>
          <w:bCs/>
          <w:sz w:val="20"/>
          <w:szCs w:val="20"/>
        </w:rPr>
        <w:t>18 U.S.C. SECTION 1350, AS ADOPTED PURSUANT TO</w:t>
      </w:r>
    </w:p>
    <w:p w:rsidR="00000000" w:rsidRDefault="00150086">
      <w:pPr>
        <w:pStyle w:val="NormalWeb"/>
        <w:spacing w:before="0" w:beforeAutospacing="0" w:after="0" w:afterAutospacing="0"/>
        <w:jc w:val="center"/>
        <w:divId w:val="2077849357"/>
        <w:rPr>
          <w:sz w:val="20"/>
          <w:szCs w:val="20"/>
        </w:rPr>
      </w:pPr>
      <w:r>
        <w:rPr>
          <w:b/>
          <w:bCs/>
          <w:sz w:val="20"/>
          <w:szCs w:val="20"/>
        </w:rPr>
        <w:t>SECTION 906 OF THE SARBANES-OXLEY ACT OF 2002</w:t>
      </w:r>
    </w:p>
    <w:p w:rsidR="00000000" w:rsidRDefault="00150086">
      <w:pPr>
        <w:pStyle w:val="NormalWeb"/>
        <w:spacing w:before="0" w:beforeAutospacing="0" w:after="0" w:afterAutospacing="0"/>
        <w:jc w:val="both"/>
        <w:divId w:val="2077849357"/>
        <w:rPr>
          <w:sz w:val="20"/>
          <w:szCs w:val="20"/>
        </w:rPr>
      </w:pPr>
      <w:r>
        <w:rPr>
          <w:sz w:val="20"/>
          <w:szCs w:val="20"/>
        </w:rPr>
        <w:t> </w:t>
      </w:r>
    </w:p>
    <w:p w:rsidR="00000000" w:rsidRDefault="00150086">
      <w:pPr>
        <w:pStyle w:val="NormalWeb"/>
        <w:spacing w:before="0" w:beforeAutospacing="0" w:after="0" w:afterAutospacing="0"/>
        <w:jc w:val="both"/>
        <w:divId w:val="2077849357"/>
        <w:rPr>
          <w:sz w:val="20"/>
          <w:szCs w:val="20"/>
        </w:rPr>
      </w:pPr>
      <w:r>
        <w:rPr>
          <w:sz w:val="20"/>
          <w:szCs w:val="20"/>
        </w:rPr>
        <w:t>I, Moira Ong, hereby certify, pursuant to 18 U.S.C. Section 1350, as adopted pursuant to Section 906 of the Sarbanes-Oxley Act of 2002, that:</w:t>
      </w:r>
    </w:p>
    <w:p w:rsidR="00000000" w:rsidRDefault="00150086">
      <w:pPr>
        <w:pStyle w:val="NormalWeb"/>
        <w:spacing w:before="0" w:beforeAutospacing="0" w:after="0" w:afterAutospacing="0"/>
        <w:jc w:val="both"/>
        <w:divId w:val="2077849357"/>
        <w:rPr>
          <w:sz w:val="20"/>
          <w:szCs w:val="20"/>
        </w:rPr>
      </w:pPr>
      <w:r>
        <w:rPr>
          <w:sz w:val="20"/>
          <w:szCs w:val="20"/>
        </w:rPr>
        <w:t> </w:t>
      </w:r>
    </w:p>
    <w:tbl>
      <w:tblPr>
        <w:tblW w:w="5000" w:type="pct"/>
        <w:tblCellSpacing w:w="0" w:type="dxa"/>
        <w:tblCellMar>
          <w:left w:w="0" w:type="dxa"/>
          <w:right w:w="0" w:type="dxa"/>
        </w:tblCellMar>
        <w:tblLook w:val="04A0"/>
      </w:tblPr>
      <w:tblGrid>
        <w:gridCol w:w="374"/>
        <w:gridCol w:w="8986"/>
      </w:tblGrid>
      <w:tr w:rsidR="00000000">
        <w:trPr>
          <w:divId w:val="2077849357"/>
          <w:tblCellSpacing w:w="0" w:type="dxa"/>
        </w:trPr>
        <w:tc>
          <w:tcPr>
            <w:tcW w:w="200" w:type="pct"/>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lastRenderedPageBreak/>
              <w:t>(1)</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the Quar</w:t>
            </w:r>
            <w:r>
              <w:rPr>
                <w:rFonts w:eastAsia="Times New Roman"/>
                <w:sz w:val="20"/>
                <w:szCs w:val="20"/>
              </w:rPr>
              <w:t>terly Report on Form 10-Q of Pivot Pharmaceuticals Inc. for the period ended October 31, 2018 (the "Report") fully complies with the requirements of Section 13(a) or 15(d) of the Securities Exchange Act of 1934; and</w:t>
            </w:r>
          </w:p>
        </w:tc>
      </w:tr>
      <w:tr w:rsidR="00000000">
        <w:trPr>
          <w:divId w:val="2077849357"/>
          <w:tblCellSpacing w:w="0" w:type="dxa"/>
        </w:trPr>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 </w:t>
            </w:r>
          </w:p>
        </w:tc>
      </w:tr>
      <w:tr w:rsidR="00000000">
        <w:trPr>
          <w:divId w:val="2077849357"/>
          <w:tblCellSpacing w:w="0" w:type="dxa"/>
        </w:trPr>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(2)</w:t>
            </w:r>
          </w:p>
        </w:tc>
        <w:tc>
          <w:tcPr>
            <w:tcW w:w="0" w:type="auto"/>
            <w:hideMark/>
          </w:tcPr>
          <w:p w:rsidR="00000000" w:rsidRDefault="00150086">
            <w:pPr>
              <w:spacing w:before="0" w:beforeAutospacing="0" w:after="0" w:afterAutospacing="0"/>
              <w:jc w:val="both"/>
              <w:rPr>
                <w:rFonts w:eastAsia="Times New Roman"/>
                <w:sz w:val="20"/>
                <w:szCs w:val="20"/>
              </w:rPr>
            </w:pPr>
            <w:r>
              <w:rPr>
                <w:rFonts w:eastAsia="Times New Roman"/>
                <w:sz w:val="20"/>
                <w:szCs w:val="20"/>
              </w:rPr>
              <w:t>the information contained in the Report fairly presents, in all material respects, the financial condition and results of operations of Pivot Pharmaceuticals Inc.</w:t>
            </w:r>
          </w:p>
        </w:tc>
      </w:tr>
    </w:tbl>
    <w:p w:rsidR="00000000" w:rsidRDefault="00150086">
      <w:pPr>
        <w:pStyle w:val="NormalWeb"/>
        <w:spacing w:before="0" w:beforeAutospacing="0" w:after="0" w:afterAutospacing="0"/>
        <w:jc w:val="both"/>
        <w:divId w:val="2077849357"/>
        <w:rPr>
          <w:sz w:val="20"/>
          <w:szCs w:val="20"/>
        </w:rPr>
      </w:pPr>
      <w:r>
        <w:rPr>
          <w:sz w:val="20"/>
          <w:szCs w:val="20"/>
        </w:rPr>
        <w:t xml:space="preserve">  </w:t>
      </w:r>
    </w:p>
    <w:tbl>
      <w:tblPr>
        <w:tblW w:w="5000" w:type="pct"/>
        <w:tblCellSpacing w:w="0" w:type="dxa"/>
        <w:tblCellMar>
          <w:left w:w="0" w:type="dxa"/>
          <w:right w:w="0" w:type="dxa"/>
        </w:tblCellMar>
        <w:tblLook w:val="04A0"/>
      </w:tblPr>
      <w:tblGrid>
        <w:gridCol w:w="4679"/>
        <w:gridCol w:w="281"/>
        <w:gridCol w:w="3276"/>
        <w:gridCol w:w="562"/>
        <w:gridCol w:w="562"/>
      </w:tblGrid>
      <w:tr w:rsidR="00000000">
        <w:trPr>
          <w:divId w:val="2077849357"/>
          <w:trHeight w:val="225"/>
          <w:tblCellSpacing w:w="0" w:type="dxa"/>
        </w:trPr>
        <w:tc>
          <w:tcPr>
            <w:tcW w:w="2500" w:type="pct"/>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150" w:type="pct"/>
            <w:vAlign w:val="bottom"/>
            <w:hideMark/>
          </w:tcPr>
          <w:p w:rsidR="00000000" w:rsidRDefault="00150086">
            <w:pPr>
              <w:spacing w:before="0" w:beforeAutospacing="0" w:after="0" w:afterAutospacing="0"/>
              <w:jc w:val="both"/>
              <w:rPr>
                <w:rFonts w:eastAsia="Times New Roman"/>
                <w:sz w:val="20"/>
                <w:szCs w:val="20"/>
              </w:rPr>
            </w:pPr>
          </w:p>
        </w:tc>
        <w:tc>
          <w:tcPr>
            <w:tcW w:w="1750" w:type="pct"/>
            <w:vAlign w:val="center"/>
            <w:hideMark/>
          </w:tcPr>
          <w:p w:rsidR="00000000" w:rsidRDefault="00150086">
            <w:pPr>
              <w:spacing w:before="0" w:beforeAutospacing="0" w:after="0" w:afterAutospacing="0"/>
              <w:jc w:val="both"/>
              <w:rPr>
                <w:rFonts w:eastAsia="Times New Roman"/>
                <w:sz w:val="20"/>
                <w:szCs w:val="20"/>
              </w:rPr>
            </w:pPr>
          </w:p>
        </w:tc>
        <w:tc>
          <w:tcPr>
            <w:tcW w:w="600" w:type="pct"/>
            <w:gridSpan w:val="2"/>
            <w:vAlign w:val="bottom"/>
            <w:hideMark/>
          </w:tcPr>
          <w:p w:rsidR="00000000" w:rsidRDefault="00150086">
            <w:pPr>
              <w:spacing w:before="0" w:beforeAutospacing="0" w:after="0" w:afterAutospacing="0"/>
              <w:jc w:val="both"/>
              <w:rPr>
                <w:rFonts w:eastAsia="Times New Roman"/>
                <w:sz w:val="20"/>
                <w:szCs w:val="20"/>
              </w:rPr>
            </w:pPr>
          </w:p>
        </w:tc>
      </w:tr>
      <w:tr w:rsidR="00000000">
        <w:trPr>
          <w:divId w:val="2077849357"/>
          <w:trHeight w:val="225"/>
          <w:tblCellSpacing w:w="0" w:type="dxa"/>
        </w:trPr>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Dated: December 18, 2018</w:t>
            </w: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vAlign w:val="bottom"/>
            <w:hideMark/>
          </w:tcPr>
          <w:p w:rsidR="00000000" w:rsidRDefault="00150086">
            <w:pPr>
              <w:pStyle w:val="NormalWeb"/>
              <w:spacing w:before="0" w:beforeAutospacing="0" w:after="0" w:afterAutospacing="0"/>
              <w:jc w:val="both"/>
              <w:rPr>
                <w:sz w:val="20"/>
                <w:szCs w:val="20"/>
              </w:rPr>
            </w:pPr>
            <w:r>
              <w:rPr>
                <w:i/>
                <w:iCs/>
                <w:sz w:val="20"/>
                <w:szCs w:val="20"/>
              </w:rPr>
              <w:t>/s/ Moira Ong</w:t>
            </w:r>
          </w:p>
        </w:tc>
        <w:tc>
          <w:tcPr>
            <w:tcW w:w="0" w:type="auto"/>
            <w:hideMark/>
          </w:tcPr>
          <w:p w:rsidR="00000000" w:rsidRDefault="00150086">
            <w:pPr>
              <w:spacing w:before="0" w:beforeAutospacing="0" w:after="0" w:afterAutospacing="0"/>
              <w:jc w:val="both"/>
              <w:rPr>
                <w:rFonts w:eastAsia="Times New Roman"/>
                <w:sz w:val="20"/>
                <w:szCs w:val="20"/>
              </w:rPr>
            </w:pPr>
          </w:p>
        </w:tc>
        <w:tc>
          <w:tcPr>
            <w:tcW w:w="0" w:type="auto"/>
            <w:vAlign w:val="center"/>
            <w:hideMark/>
          </w:tcPr>
          <w:p w:rsidR="00000000" w:rsidRDefault="00150086">
            <w:pPr>
              <w:spacing w:before="0" w:beforeAutospacing="0" w:after="0" w:afterAutospacing="0"/>
              <w:rPr>
                <w:rFonts w:eastAsia="Times New Roman"/>
                <w:sz w:val="20"/>
                <w:szCs w:val="20"/>
              </w:rPr>
            </w:pPr>
          </w:p>
        </w:tc>
      </w:tr>
      <w:tr w:rsidR="00000000">
        <w:trPr>
          <w:divId w:val="2077849357"/>
          <w:trHeight w:val="225"/>
          <w:tblCellSpacing w:w="0" w:type="dxa"/>
        </w:trPr>
        <w:tc>
          <w:tcPr>
            <w:tcW w:w="0" w:type="auto"/>
            <w:vAlign w:val="bottom"/>
            <w:hideMark/>
          </w:tcPr>
          <w:p w:rsidR="00000000" w:rsidRDefault="00150086">
            <w:pPr>
              <w:spacing w:before="0" w:beforeAutospacing="0" w:after="0" w:afterAutospacing="0"/>
              <w:jc w:val="both"/>
              <w:rPr>
                <w:rFonts w:eastAsia="Times New Roman"/>
                <w:sz w:val="20"/>
                <w:szCs w:val="20"/>
              </w:rPr>
            </w:pP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Moira Ong</w:t>
            </w:r>
          </w:p>
        </w:tc>
        <w:tc>
          <w:tcPr>
            <w:tcW w:w="0" w:type="auto"/>
            <w:gridSpan w:val="2"/>
            <w:vAlign w:val="bottom"/>
            <w:hideMark/>
          </w:tcPr>
          <w:p w:rsidR="00000000" w:rsidRDefault="00150086">
            <w:pPr>
              <w:spacing w:before="0" w:beforeAutospacing="0" w:after="0" w:afterAutospacing="0"/>
              <w:jc w:val="both"/>
              <w:rPr>
                <w:rFonts w:eastAsia="Times New Roman"/>
                <w:sz w:val="20"/>
                <w:szCs w:val="20"/>
              </w:rPr>
            </w:pPr>
          </w:p>
        </w:tc>
      </w:tr>
      <w:tr w:rsidR="00000000">
        <w:trPr>
          <w:divId w:val="2077849357"/>
          <w:trHeight w:val="225"/>
          <w:tblCellSpacing w:w="0" w:type="dxa"/>
        </w:trPr>
        <w:tc>
          <w:tcPr>
            <w:tcW w:w="0" w:type="auto"/>
            <w:vAlign w:val="bottom"/>
            <w:hideMark/>
          </w:tcPr>
          <w:p w:rsidR="00000000" w:rsidRDefault="00150086">
            <w:pPr>
              <w:spacing w:before="0" w:beforeAutospacing="0" w:after="0" w:afterAutospacing="0"/>
              <w:jc w:val="both"/>
              <w:rPr>
                <w:rFonts w:eastAsia="Times New Roman"/>
                <w:sz w:val="20"/>
                <w:szCs w:val="20"/>
              </w:rPr>
            </w:pP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Chief Financial Officer (Principal Financial Officer and Principal Accounting Officer)</w:t>
            </w:r>
          </w:p>
        </w:tc>
        <w:tc>
          <w:tcPr>
            <w:tcW w:w="0" w:type="auto"/>
            <w:gridSpan w:val="2"/>
            <w:hideMark/>
          </w:tcPr>
          <w:p w:rsidR="00000000" w:rsidRDefault="00150086">
            <w:pPr>
              <w:spacing w:before="0" w:beforeAutospacing="0" w:after="0" w:afterAutospacing="0"/>
              <w:jc w:val="both"/>
              <w:rPr>
                <w:rFonts w:eastAsia="Times New Roman"/>
                <w:sz w:val="20"/>
                <w:szCs w:val="20"/>
              </w:rPr>
            </w:pPr>
          </w:p>
        </w:tc>
      </w:tr>
      <w:tr w:rsidR="00000000">
        <w:trPr>
          <w:divId w:val="2077849357"/>
          <w:trHeight w:val="225"/>
          <w:tblCellSpacing w:w="0" w:type="dxa"/>
        </w:trPr>
        <w:tc>
          <w:tcPr>
            <w:tcW w:w="0" w:type="auto"/>
            <w:vAlign w:val="bottom"/>
            <w:hideMark/>
          </w:tcPr>
          <w:p w:rsidR="00000000" w:rsidRDefault="00150086">
            <w:pPr>
              <w:spacing w:before="0" w:beforeAutospacing="0" w:after="0" w:afterAutospacing="0"/>
              <w:jc w:val="both"/>
              <w:rPr>
                <w:rFonts w:eastAsia="Times New Roman"/>
                <w:sz w:val="20"/>
                <w:szCs w:val="20"/>
              </w:rPr>
            </w:pPr>
          </w:p>
        </w:tc>
        <w:tc>
          <w:tcPr>
            <w:tcW w:w="0" w:type="auto"/>
            <w:vAlign w:val="bottom"/>
            <w:hideMark/>
          </w:tcPr>
          <w:p w:rsidR="00000000" w:rsidRDefault="00150086">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50086">
            <w:pPr>
              <w:pStyle w:val="NormalWeb"/>
              <w:spacing w:before="0" w:beforeAutospacing="0" w:after="0" w:afterAutospacing="0"/>
              <w:jc w:val="both"/>
              <w:rPr>
                <w:sz w:val="20"/>
                <w:szCs w:val="20"/>
              </w:rPr>
            </w:pPr>
            <w:r>
              <w:rPr>
                <w:sz w:val="20"/>
                <w:szCs w:val="20"/>
              </w:rPr>
              <w:t>Pivot Pharmaceuticals Inc.</w:t>
            </w:r>
          </w:p>
        </w:tc>
        <w:tc>
          <w:tcPr>
            <w:tcW w:w="0" w:type="auto"/>
            <w:gridSpan w:val="2"/>
            <w:vAlign w:val="bottom"/>
            <w:hideMark/>
          </w:tcPr>
          <w:p w:rsidR="00000000" w:rsidRDefault="00150086">
            <w:pPr>
              <w:spacing w:before="0" w:beforeAutospacing="0" w:after="0" w:afterAutospacing="0"/>
              <w:jc w:val="both"/>
              <w:rPr>
                <w:rFonts w:eastAsia="Times New Roman"/>
                <w:sz w:val="20"/>
                <w:szCs w:val="20"/>
              </w:rPr>
            </w:pPr>
          </w:p>
        </w:tc>
      </w:tr>
    </w:tbl>
    <w:p w:rsidR="00000000" w:rsidRDefault="00150086">
      <w:pPr>
        <w:pStyle w:val="NormalWeb"/>
        <w:spacing w:before="0" w:beforeAutospacing="0" w:after="0" w:afterAutospacing="0"/>
        <w:jc w:val="both"/>
        <w:divId w:val="2077849357"/>
        <w:rPr>
          <w:sz w:val="20"/>
          <w:szCs w:val="20"/>
        </w:rPr>
      </w:pPr>
      <w:r>
        <w:rPr>
          <w:sz w:val="20"/>
          <w:szCs w:val="20"/>
        </w:rPr>
        <w:t> </w:t>
      </w:r>
    </w:p>
    <w:p w:rsidR="00000000" w:rsidRDefault="00150086">
      <w:pPr>
        <w:pStyle w:val="NormalWeb"/>
        <w:spacing w:before="0" w:beforeAutospacing="0" w:after="0" w:afterAutospacing="0"/>
        <w:jc w:val="both"/>
        <w:divId w:val="2077849357"/>
        <w:rPr>
          <w:sz w:val="20"/>
          <w:szCs w:val="20"/>
        </w:rPr>
      </w:pPr>
      <w:r>
        <w:rPr>
          <w:sz w:val="20"/>
          <w:szCs w:val="20"/>
        </w:rPr>
        <w:t>A signed original of this written statement required by Section 906, or other document authenticating, acknowledging, or otherwise adopting the signature that appears in typed form within the electronic version of this written statement required by Section</w:t>
      </w:r>
      <w:r>
        <w:rPr>
          <w:sz w:val="20"/>
          <w:szCs w:val="20"/>
        </w:rPr>
        <w:t xml:space="preserve"> 906, has been provided to Pivot Pharmaceuticals Inc. and will be retained by Pivot Pharmaceuticals Inc. and furnished to the Securities and Exchange Commission or its staff upon request.</w:t>
      </w:r>
    </w:p>
    <w:p w:rsidR="00000000" w:rsidRDefault="00150086">
      <w:pPr>
        <w:spacing w:before="0" w:beforeAutospacing="0" w:after="0" w:afterAutospacing="0"/>
        <w:divId w:val="1267496992"/>
        <w:rPr>
          <w:rFonts w:eastAsia="Times New Roman"/>
        </w:rPr>
      </w:pPr>
      <w:r>
        <w:rPr>
          <w:rFonts w:eastAsia="Times New Roman"/>
        </w:rPr>
        <w:t> </w:t>
      </w:r>
    </w:p>
    <w:p w:rsidR="00150086" w:rsidRDefault="00150086">
      <w:pPr>
        <w:spacing w:before="0" w:beforeAutospacing="0" w:after="0" w:afterAutospacing="0"/>
        <w:jc w:val="center"/>
        <w:divId w:val="345980280"/>
        <w:rPr>
          <w:rFonts w:eastAsia="Times New Roman"/>
          <w:b/>
          <w:bCs/>
          <w:sz w:val="30"/>
          <w:szCs w:val="30"/>
        </w:rPr>
      </w:pPr>
    </w:p>
    <w:sectPr w:rsidR="001500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69030D"/>
    <w:rsid w:val="00150086"/>
    <w:rsid w:val="00690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3">
    <w:name w:val="heading 3"/>
    <w:basedOn w:val="Normal"/>
    <w:link w:val="Heading3Char"/>
    <w:uiPriority w:val="9"/>
    <w:qFormat/>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divs>
    <w:div w:id="7608861">
      <w:marLeft w:val="7"/>
      <w:marRight w:val="7"/>
      <w:marTop w:val="0"/>
      <w:marBottom w:val="0"/>
      <w:divBdr>
        <w:top w:val="none" w:sz="0" w:space="0" w:color="auto"/>
        <w:left w:val="none" w:sz="0" w:space="0" w:color="auto"/>
        <w:bottom w:val="none" w:sz="0" w:space="0" w:color="auto"/>
        <w:right w:val="none" w:sz="0" w:space="0" w:color="auto"/>
      </w:divBdr>
    </w:div>
    <w:div w:id="157232752">
      <w:marLeft w:val="0"/>
      <w:marRight w:val="0"/>
      <w:marTop w:val="0"/>
      <w:marBottom w:val="0"/>
      <w:divBdr>
        <w:top w:val="none" w:sz="0" w:space="0" w:color="auto"/>
        <w:left w:val="none" w:sz="0" w:space="0" w:color="auto"/>
        <w:bottom w:val="none" w:sz="0" w:space="0" w:color="auto"/>
        <w:right w:val="none" w:sz="0" w:space="0" w:color="auto"/>
      </w:divBdr>
    </w:div>
    <w:div w:id="345980280">
      <w:marLeft w:val="0"/>
      <w:marRight w:val="0"/>
      <w:marTop w:val="1500"/>
      <w:marBottom w:val="1500"/>
      <w:divBdr>
        <w:top w:val="none" w:sz="0" w:space="0" w:color="auto"/>
        <w:left w:val="none" w:sz="0" w:space="0" w:color="auto"/>
        <w:bottom w:val="none" w:sz="0" w:space="0" w:color="auto"/>
        <w:right w:val="none" w:sz="0" w:space="0" w:color="auto"/>
      </w:divBdr>
    </w:div>
    <w:div w:id="381054416">
      <w:marLeft w:val="0"/>
      <w:marRight w:val="0"/>
      <w:marTop w:val="0"/>
      <w:marBottom w:val="0"/>
      <w:divBdr>
        <w:top w:val="none" w:sz="0" w:space="0" w:color="auto"/>
        <w:left w:val="none" w:sz="0" w:space="0" w:color="auto"/>
        <w:bottom w:val="none" w:sz="0" w:space="0" w:color="auto"/>
        <w:right w:val="none" w:sz="0" w:space="0" w:color="auto"/>
      </w:divBdr>
    </w:div>
    <w:div w:id="477459562">
      <w:marLeft w:val="7"/>
      <w:marRight w:val="7"/>
      <w:marTop w:val="0"/>
      <w:marBottom w:val="0"/>
      <w:divBdr>
        <w:top w:val="none" w:sz="0" w:space="0" w:color="auto"/>
        <w:left w:val="none" w:sz="0" w:space="0" w:color="auto"/>
        <w:bottom w:val="none" w:sz="0" w:space="0" w:color="auto"/>
        <w:right w:val="none" w:sz="0" w:space="0" w:color="auto"/>
      </w:divBdr>
    </w:div>
    <w:div w:id="827982561">
      <w:marLeft w:val="0"/>
      <w:marRight w:val="0"/>
      <w:marTop w:val="0"/>
      <w:marBottom w:val="0"/>
      <w:divBdr>
        <w:top w:val="none" w:sz="0" w:space="0" w:color="auto"/>
        <w:left w:val="none" w:sz="0" w:space="0" w:color="auto"/>
        <w:bottom w:val="none" w:sz="0" w:space="0" w:color="auto"/>
        <w:right w:val="none" w:sz="0" w:space="0" w:color="auto"/>
      </w:divBdr>
    </w:div>
    <w:div w:id="1267496992">
      <w:marLeft w:val="0"/>
      <w:marRight w:val="0"/>
      <w:marTop w:val="0"/>
      <w:marBottom w:val="0"/>
      <w:divBdr>
        <w:top w:val="none" w:sz="0" w:space="0" w:color="auto"/>
        <w:left w:val="none" w:sz="0" w:space="0" w:color="auto"/>
        <w:bottom w:val="none" w:sz="0" w:space="0" w:color="auto"/>
        <w:right w:val="none" w:sz="0" w:space="0" w:color="auto"/>
      </w:divBdr>
    </w:div>
    <w:div w:id="1298417488">
      <w:marLeft w:val="0"/>
      <w:marRight w:val="0"/>
      <w:marTop w:val="0"/>
      <w:marBottom w:val="0"/>
      <w:divBdr>
        <w:top w:val="none" w:sz="0" w:space="0" w:color="auto"/>
        <w:left w:val="none" w:sz="0" w:space="0" w:color="auto"/>
        <w:bottom w:val="none" w:sz="0" w:space="0" w:color="auto"/>
        <w:right w:val="none" w:sz="0" w:space="0" w:color="auto"/>
      </w:divBdr>
    </w:div>
    <w:div w:id="1415123071">
      <w:marLeft w:val="0"/>
      <w:marRight w:val="0"/>
      <w:marTop w:val="0"/>
      <w:marBottom w:val="0"/>
      <w:divBdr>
        <w:top w:val="none" w:sz="0" w:space="0" w:color="auto"/>
        <w:left w:val="none" w:sz="0" w:space="0" w:color="auto"/>
        <w:bottom w:val="none" w:sz="0" w:space="0" w:color="auto"/>
        <w:right w:val="none" w:sz="0" w:space="0" w:color="auto"/>
      </w:divBdr>
    </w:div>
    <w:div w:id="1422264887">
      <w:marLeft w:val="7"/>
      <w:marRight w:val="7"/>
      <w:marTop w:val="0"/>
      <w:marBottom w:val="0"/>
      <w:divBdr>
        <w:top w:val="none" w:sz="0" w:space="0" w:color="auto"/>
        <w:left w:val="none" w:sz="0" w:space="0" w:color="auto"/>
        <w:bottom w:val="none" w:sz="0" w:space="0" w:color="auto"/>
        <w:right w:val="none" w:sz="0" w:space="0" w:color="auto"/>
      </w:divBdr>
    </w:div>
    <w:div w:id="1764766734">
      <w:marLeft w:val="7"/>
      <w:marRight w:val="7"/>
      <w:marTop w:val="0"/>
      <w:marBottom w:val="0"/>
      <w:divBdr>
        <w:top w:val="none" w:sz="0" w:space="0" w:color="auto"/>
        <w:left w:val="none" w:sz="0" w:space="0" w:color="auto"/>
        <w:bottom w:val="none" w:sz="0" w:space="0" w:color="auto"/>
        <w:right w:val="none" w:sz="0" w:space="0" w:color="auto"/>
      </w:divBdr>
    </w:div>
    <w:div w:id="1802768155">
      <w:marLeft w:val="-105"/>
      <w:marRight w:val="-105"/>
      <w:marTop w:val="0"/>
      <w:marBottom w:val="0"/>
      <w:divBdr>
        <w:top w:val="none" w:sz="0" w:space="0" w:color="auto"/>
        <w:left w:val="none" w:sz="0" w:space="0" w:color="auto"/>
        <w:bottom w:val="none" w:sz="0" w:space="0" w:color="auto"/>
        <w:right w:val="none" w:sz="0" w:space="0" w:color="auto"/>
      </w:divBdr>
    </w:div>
    <w:div w:id="1917131083">
      <w:marLeft w:val="0"/>
      <w:marRight w:val="0"/>
      <w:marTop w:val="0"/>
      <w:marBottom w:val="0"/>
      <w:divBdr>
        <w:top w:val="none" w:sz="0" w:space="0" w:color="auto"/>
        <w:left w:val="none" w:sz="0" w:space="0" w:color="auto"/>
        <w:bottom w:val="none" w:sz="0" w:space="0" w:color="auto"/>
        <w:right w:val="none" w:sz="0" w:space="0" w:color="auto"/>
      </w:divBdr>
    </w:div>
    <w:div w:id="2077849357">
      <w:marLeft w:val="7"/>
      <w:marRight w:val="7"/>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ec.gov/Archives/edgar/data/1464165/000147793215002579/neukf_ex31.htm" TargetMode="External"/><Relationship Id="rId117" Type="http://schemas.openxmlformats.org/officeDocument/2006/relationships/theme" Target="theme/theme1.xml"/><Relationship Id="rId21" Type="http://schemas.openxmlformats.org/officeDocument/2006/relationships/hyperlink" Target="http://www.sec.gov/Archives/edgar/data/1464165/000151116414000332/exhibit31noticeofalteration.htm" TargetMode="External"/><Relationship Id="rId42" Type="http://schemas.openxmlformats.org/officeDocument/2006/relationships/hyperlink" Target="http://www.sec.gov/Archives/edgar/data/1464165/000151116413000559/neurokineadoroudiandebtsettl.htm" TargetMode="External"/><Relationship Id="rId47" Type="http://schemas.openxmlformats.org/officeDocument/2006/relationships/hyperlink" Target="http://www.sec.gov/Archives/edgar/data/1464165/000147793215001920/neukf_103.htm" TargetMode="External"/><Relationship Id="rId63" Type="http://schemas.openxmlformats.org/officeDocument/2006/relationships/hyperlink" Target="http://www.sec.gov/Archives/edgar/data/1464165/000147793216009996/pvotf_ex1017.htm" TargetMode="External"/><Relationship Id="rId68" Type="http://schemas.openxmlformats.org/officeDocument/2006/relationships/hyperlink" Target="http://www.sec.gov/Archives/edgar/data/1464165/000147793217004528/pvotf_ex1020.htm" TargetMode="External"/><Relationship Id="rId84" Type="http://schemas.openxmlformats.org/officeDocument/2006/relationships/hyperlink" Target="http://www.sec.gov/Archives/edgar/data/1464165/000147793217006095/pvotf_ex1028.htm" TargetMode="External"/><Relationship Id="rId89" Type="http://schemas.openxmlformats.org/officeDocument/2006/relationships/hyperlink" Target="http://www.sec.gov/Archives/edgar/data/1464165/000147793218001207/pvotf_ex1030.htm" TargetMode="External"/><Relationship Id="rId112" Type="http://schemas.openxmlformats.org/officeDocument/2006/relationships/hyperlink" Target="http://www.sec.gov/Archives/edgar/data/1464165/000147793215003905/pvotf_ex991.htm" TargetMode="External"/><Relationship Id="rId16" Type="http://schemas.openxmlformats.org/officeDocument/2006/relationships/hyperlink" Target="http://www.sec.gov/Archives/edgar/data/1464165/000141540809000329/ex3-7.htm" TargetMode="External"/><Relationship Id="rId107" Type="http://schemas.openxmlformats.org/officeDocument/2006/relationships/hyperlink" Target="file:///C:\edger\pvotf_ex312.htm" TargetMode="External"/><Relationship Id="rId11" Type="http://schemas.openxmlformats.org/officeDocument/2006/relationships/hyperlink" Target="http://www.sec.gov/Archives/edgar/data/1464165/000141540809000329/ex3-4.htm" TargetMode="External"/><Relationship Id="rId24" Type="http://schemas.openxmlformats.org/officeDocument/2006/relationships/hyperlink" Target="http://www.sec.gov/Archives/edgar/data/1464165/000147793214005324/neukf_32.htm" TargetMode="External"/><Relationship Id="rId32" Type="http://schemas.openxmlformats.org/officeDocument/2006/relationships/hyperlink" Target="http://www.sec.gov/Archives/edgar/data/1464165/000141540810000078/ex10-8.htm" TargetMode="External"/><Relationship Id="rId37" Type="http://schemas.openxmlformats.org/officeDocument/2006/relationships/hyperlink" Target="http://www.sec.gov/Archives/edgar/data/1464165/000141540809000540/ex10-10.htm" TargetMode="External"/><Relationship Id="rId40" Type="http://schemas.openxmlformats.org/officeDocument/2006/relationships/hyperlink" Target="http://www.sec.gov/Archives/edgar/data/1464165/000106299310002584/exhibit10-2.htm" TargetMode="External"/><Relationship Id="rId45" Type="http://schemas.openxmlformats.org/officeDocument/2006/relationships/hyperlink" Target="http://www.sec.gov/Archives/edgar/data/1464165/000147793215001920/neukf_101.htm" TargetMode="External"/><Relationship Id="rId53" Type="http://schemas.openxmlformats.org/officeDocument/2006/relationships/hyperlink" Target="http://www.sec.gov/Archives/edgar/data/1464165/000147793215007631/pvotf_ex1012.htm" TargetMode="External"/><Relationship Id="rId58" Type="http://schemas.openxmlformats.org/officeDocument/2006/relationships/hyperlink" Target="http://www.sec.gov/Archives/edgar/data/1464165/000147793215007334/pvotf_ex101.htm" TargetMode="External"/><Relationship Id="rId66" Type="http://schemas.openxmlformats.org/officeDocument/2006/relationships/hyperlink" Target="http://www.sec.gov/Archives/edgar/data/1464165/000147793216009996/pvotf_ex1019.htm" TargetMode="External"/><Relationship Id="rId74" Type="http://schemas.openxmlformats.org/officeDocument/2006/relationships/hyperlink" Target="http://www.sec.gov/Archives/edgar/data/1464165/000147793217004528/pvotf_ex1023.htm" TargetMode="External"/><Relationship Id="rId79" Type="http://schemas.openxmlformats.org/officeDocument/2006/relationships/hyperlink" Target="http://www.sec.gov/Archives/edgar/data/1464165/000147793217004528/pvotf_ex1025.htm" TargetMode="External"/><Relationship Id="rId87" Type="http://schemas.openxmlformats.org/officeDocument/2006/relationships/hyperlink" Target="http://www.sec.gov/Archives/edgar/data/1464165/000147793218001207/pvotf_ex1029.htm" TargetMode="External"/><Relationship Id="rId102" Type="http://schemas.openxmlformats.org/officeDocument/2006/relationships/hyperlink" Target="http://www.sec.gov/Archives/edgar/data/1464165/000147793218005263/pvotf_ex1037.htm" TargetMode="External"/><Relationship Id="rId110" Type="http://schemas.openxmlformats.org/officeDocument/2006/relationships/hyperlink" Target="file:///C:\edger\pvotf_ex322.htm" TargetMode="External"/><Relationship Id="rId115" Type="http://schemas.openxmlformats.org/officeDocument/2006/relationships/hyperlink" Target="http://www.sec.gov/Archives/edgar/data/1464165/000147793215007379/pvotf_def14a.htm" TargetMode="External"/><Relationship Id="rId5" Type="http://schemas.openxmlformats.org/officeDocument/2006/relationships/hyperlink" Target="http://www.sec.gov/Archives/edgar/data/1464165/000141540809000329/ex3-1.htm" TargetMode="External"/><Relationship Id="rId61" Type="http://schemas.openxmlformats.org/officeDocument/2006/relationships/hyperlink" Target="http://www.sec.gov/Archives/edgar/data/1464165/000147793215007631/pvotf_ex1016.htm" TargetMode="External"/><Relationship Id="rId82" Type="http://schemas.openxmlformats.org/officeDocument/2006/relationships/hyperlink" Target="http://www.sec.gov/Archives/edgar/data/1464165/000147793217006095/pvotf_ex1027.htm" TargetMode="External"/><Relationship Id="rId90" Type="http://schemas.openxmlformats.org/officeDocument/2006/relationships/hyperlink" Target="http://www.sec.gov/Archives/edgar/data/1464165/000147793218001207/pvotf_ex1031.htm" TargetMode="External"/><Relationship Id="rId95" Type="http://schemas.openxmlformats.org/officeDocument/2006/relationships/hyperlink" Target="http://www.sec.gov/Archives/edgar/data/1464165/000147793218001207/pvotf_ex1033.htm" TargetMode="External"/><Relationship Id="rId19" Type="http://schemas.openxmlformats.org/officeDocument/2006/relationships/hyperlink" Target="http://www.sec.gov/Archives/edgar/data/1464165/000141540809000329/ex3-8.htm" TargetMode="External"/><Relationship Id="rId14" Type="http://schemas.openxmlformats.org/officeDocument/2006/relationships/hyperlink" Target="http://www.sec.gov/Archives/edgar/data/1464165/000141540809000329/ex3-6.htm" TargetMode="External"/><Relationship Id="rId22" Type="http://schemas.openxmlformats.org/officeDocument/2006/relationships/hyperlink" Target="http://www.sec.gov/Archives/edgar/data/1464165/000147793214005324/neukf_31.htm" TargetMode="External"/><Relationship Id="rId27" Type="http://schemas.openxmlformats.org/officeDocument/2006/relationships/hyperlink" Target="http://www.sec.gov/Archives/edgar/data/1464165/000147793215002579/neukf_ex31.htm" TargetMode="External"/><Relationship Id="rId30" Type="http://schemas.openxmlformats.org/officeDocument/2006/relationships/hyperlink" Target="http://www.sec.gov/Archives/edgar/data/1464165/000141540809000540/ex10-2.htm" TargetMode="External"/><Relationship Id="rId35" Type="http://schemas.openxmlformats.org/officeDocument/2006/relationships/hyperlink" Target="http://www.sec.gov/Archives/edgar/data/1464165/000141540809000540/ex10-9.htm" TargetMode="External"/><Relationship Id="rId43" Type="http://schemas.openxmlformats.org/officeDocument/2006/relationships/hyperlink" Target="http://www.sec.gov/Archives/edgar/data/1464165/000151116413000559/neurokineadoroudiandebtsettl.htm" TargetMode="External"/><Relationship Id="rId48" Type="http://schemas.openxmlformats.org/officeDocument/2006/relationships/hyperlink" Target="http://www.sec.gov/Archives/edgar/data/1464165/000147793215001920/neukf_102.htm" TargetMode="External"/><Relationship Id="rId56" Type="http://schemas.openxmlformats.org/officeDocument/2006/relationships/hyperlink" Target="http://www.sec.gov/Archives/edgar/data/1464165/000147793215007631/pvotf_ex1014.htm" TargetMode="External"/><Relationship Id="rId64" Type="http://schemas.openxmlformats.org/officeDocument/2006/relationships/hyperlink" Target="http://www.sec.gov/Archives/edgar/data/1464165/000147793216009996/pvotf_ex1018.htm" TargetMode="External"/><Relationship Id="rId69" Type="http://schemas.openxmlformats.org/officeDocument/2006/relationships/hyperlink" Target="http://www.sec.gov/Archives/edgar/data/1464165/000147793217004528/pvotf_ex1020.htm" TargetMode="External"/><Relationship Id="rId77" Type="http://schemas.openxmlformats.org/officeDocument/2006/relationships/hyperlink" Target="http://www.sec.gov/Archives/edgar/data/1464165/000147793217004528/pvotf_ex1024.htm" TargetMode="External"/><Relationship Id="rId100" Type="http://schemas.openxmlformats.org/officeDocument/2006/relationships/hyperlink" Target="http://www.sec.gov/Archives/edgar/data/1464165/000147793218005263/pvotf_ex1036.htm" TargetMode="External"/><Relationship Id="rId105" Type="http://schemas.openxmlformats.org/officeDocument/2006/relationships/hyperlink" Target="file:///C:\edger\pvotf_ex311.htm" TargetMode="External"/><Relationship Id="rId113" Type="http://schemas.openxmlformats.org/officeDocument/2006/relationships/hyperlink" Target="http://www.sec.gov/Archives/edgar/data/1464165/000147793215003905/pvotf_ex991.htm" TargetMode="External"/><Relationship Id="rId8" Type="http://schemas.openxmlformats.org/officeDocument/2006/relationships/hyperlink" Target="http://www.sec.gov/Archives/edgar/data/1464165/000141540809000329/ex3-3.htm" TargetMode="External"/><Relationship Id="rId51" Type="http://schemas.openxmlformats.org/officeDocument/2006/relationships/hyperlink" Target="http://www.sec.gov/Archives/edgar/data/1464165/000147793215001920/neukf_104.htm" TargetMode="External"/><Relationship Id="rId72" Type="http://schemas.openxmlformats.org/officeDocument/2006/relationships/hyperlink" Target="http://www.sec.gov/Archives/edgar/data/1464165/000147793217004439/pvotf_ex1022.htm" TargetMode="External"/><Relationship Id="rId80" Type="http://schemas.openxmlformats.org/officeDocument/2006/relationships/hyperlink" Target="http://www.sec.gov/Archives/edgar/data/1464165/000147793217006095/pvotf_ex1026.htm" TargetMode="External"/><Relationship Id="rId85" Type="http://schemas.openxmlformats.org/officeDocument/2006/relationships/hyperlink" Target="http://www.sec.gov/Archives/edgar/data/1464165/000147793217006095/pvotf_ex1028.htm" TargetMode="External"/><Relationship Id="rId93" Type="http://schemas.openxmlformats.org/officeDocument/2006/relationships/hyperlink" Target="http://www.sec.gov/Archives/edgar/data/1464165/000147793218001207/pvotf_ex1032.htm" TargetMode="External"/><Relationship Id="rId98" Type="http://schemas.openxmlformats.org/officeDocument/2006/relationships/hyperlink" Target="http://www.sec.gov/Archives/edgar/data/1464165/000147793218001207/pvotf_ex1035.htm" TargetMode="External"/><Relationship Id="rId3" Type="http://schemas.openxmlformats.org/officeDocument/2006/relationships/webSettings" Target="webSettings.xml"/><Relationship Id="rId12" Type="http://schemas.openxmlformats.org/officeDocument/2006/relationships/hyperlink" Target="http://www.sec.gov/Archives/edgar/data/1464165/000141540809000329/ex3-5.htm" TargetMode="External"/><Relationship Id="rId17" Type="http://schemas.openxmlformats.org/officeDocument/2006/relationships/hyperlink" Target="http://www.sec.gov/Archives/edgar/data/1464165/000141540809000329/ex3-7.htm" TargetMode="External"/><Relationship Id="rId25" Type="http://schemas.openxmlformats.org/officeDocument/2006/relationships/hyperlink" Target="http://www.sec.gov/Archives/edgar/data/1464165/000147793214005324/neukf_32.htm" TargetMode="External"/><Relationship Id="rId33" Type="http://schemas.openxmlformats.org/officeDocument/2006/relationships/hyperlink" Target="http://www.sec.gov/Archives/edgar/data/1464165/000141540810000078/ex10-8.htm" TargetMode="External"/><Relationship Id="rId38" Type="http://schemas.openxmlformats.org/officeDocument/2006/relationships/hyperlink" Target="http://www.sec.gov/Archives/edgar/data/1464165/000141540809000540/ex10-11.htm" TargetMode="External"/><Relationship Id="rId46" Type="http://schemas.openxmlformats.org/officeDocument/2006/relationships/hyperlink" Target="http://www.sec.gov/Archives/edgar/data/1464165/000147793215001920/neukf_103.htm" TargetMode="External"/><Relationship Id="rId59" Type="http://schemas.openxmlformats.org/officeDocument/2006/relationships/hyperlink" Target="http://www.sec.gov/Archives/edgar/data/1464165/000147793215007334/pvotf_ex101.htm" TargetMode="External"/><Relationship Id="rId67" Type="http://schemas.openxmlformats.org/officeDocument/2006/relationships/hyperlink" Target="http://www.sec.gov/Archives/edgar/data/1464165/000147793216009996/pvotf_ex1019.htm" TargetMode="External"/><Relationship Id="rId103" Type="http://schemas.openxmlformats.org/officeDocument/2006/relationships/hyperlink" Target="http://www.sec.gov/Archives/edgar/data/1464165/000147793218005263/pvotf_ex1037.htm" TargetMode="External"/><Relationship Id="rId108" Type="http://schemas.openxmlformats.org/officeDocument/2006/relationships/hyperlink" Target="file:///C:\edger\pvotf_ex321.htm" TargetMode="External"/><Relationship Id="rId116" Type="http://schemas.openxmlformats.org/officeDocument/2006/relationships/fontTable" Target="fontTable.xml"/><Relationship Id="rId20" Type="http://schemas.openxmlformats.org/officeDocument/2006/relationships/hyperlink" Target="http://www.sec.gov/Archives/edgar/data/1464165/000151116414000332/exhibit31noticeofalteration.htm" TargetMode="External"/><Relationship Id="rId41" Type="http://schemas.openxmlformats.org/officeDocument/2006/relationships/hyperlink" Target="http://www.sec.gov/Archives/edgar/data/1464165/000106299310002584/exhibit10-2.htm" TargetMode="External"/><Relationship Id="rId54" Type="http://schemas.openxmlformats.org/officeDocument/2006/relationships/hyperlink" Target="http://www.sec.gov/Archives/edgar/data/1464165/000147793215007631/pvotf_ex1013.htm" TargetMode="External"/><Relationship Id="rId62" Type="http://schemas.openxmlformats.org/officeDocument/2006/relationships/hyperlink" Target="http://www.sec.gov/Archives/edgar/data/1464165/000147793216009996/pvotf_ex1017.htm" TargetMode="External"/><Relationship Id="rId70" Type="http://schemas.openxmlformats.org/officeDocument/2006/relationships/hyperlink" Target="http://www.sec.gov/Archives/edgar/data/1464165/000147793217004439/pvotf_ex1021.htm" TargetMode="External"/><Relationship Id="rId75" Type="http://schemas.openxmlformats.org/officeDocument/2006/relationships/hyperlink" Target="http://www.sec.gov/Archives/edgar/data/1464165/000147793217004528/pvotf_ex1023.htm" TargetMode="External"/><Relationship Id="rId83" Type="http://schemas.openxmlformats.org/officeDocument/2006/relationships/hyperlink" Target="http://www.sec.gov/Archives/edgar/data/1464165/000147793217006095/pvotf_ex1027.htm" TargetMode="External"/><Relationship Id="rId88" Type="http://schemas.openxmlformats.org/officeDocument/2006/relationships/hyperlink" Target="http://www.sec.gov/Archives/edgar/data/1464165/000147793218001207/pvotf_ex1030.htm" TargetMode="External"/><Relationship Id="rId91" Type="http://schemas.openxmlformats.org/officeDocument/2006/relationships/hyperlink" Target="http://www.sec.gov/Archives/edgar/data/1464165/000147793218001207/pvotf_ex1031.htm" TargetMode="External"/><Relationship Id="rId96" Type="http://schemas.openxmlformats.org/officeDocument/2006/relationships/hyperlink" Target="http://www.sec.gov/Archives/edgar/data/1464165/000147793218001207/pvotf_ex1034.htm" TargetMode="External"/><Relationship Id="rId111" Type="http://schemas.openxmlformats.org/officeDocument/2006/relationships/hyperlink" Target="file:///C:\edger\pvotf_ex322.htm" TargetMode="External"/><Relationship Id="rId1" Type="http://schemas.openxmlformats.org/officeDocument/2006/relationships/styles" Target="styles.xml"/><Relationship Id="rId6" Type="http://schemas.openxmlformats.org/officeDocument/2006/relationships/hyperlink" Target="http://www.sec.gov/Archives/edgar/data/1464165/000141540809000329/ex3-2.htm" TargetMode="External"/><Relationship Id="rId15" Type="http://schemas.openxmlformats.org/officeDocument/2006/relationships/hyperlink" Target="http://www.sec.gov/Archives/edgar/data/1464165/000141540809000329/ex3-6.htm" TargetMode="External"/><Relationship Id="rId23" Type="http://schemas.openxmlformats.org/officeDocument/2006/relationships/hyperlink" Target="http://www.sec.gov/Archives/edgar/data/1464165/000147793214005324/neukf_31.htm" TargetMode="External"/><Relationship Id="rId28" Type="http://schemas.openxmlformats.org/officeDocument/2006/relationships/hyperlink" Target="http://www.sec.gov/Archives/edgar/data/1464165/000147793215003905/pvotf_ex313.htm" TargetMode="External"/><Relationship Id="rId36" Type="http://schemas.openxmlformats.org/officeDocument/2006/relationships/hyperlink" Target="http://www.sec.gov/Archives/edgar/data/1464165/000141540809000540/ex10-10.htm" TargetMode="External"/><Relationship Id="rId49" Type="http://schemas.openxmlformats.org/officeDocument/2006/relationships/hyperlink" Target="http://www.sec.gov/Archives/edgar/data/1464165/000147793215001920/neukf_102.htm" TargetMode="External"/><Relationship Id="rId57" Type="http://schemas.openxmlformats.org/officeDocument/2006/relationships/hyperlink" Target="http://www.sec.gov/Archives/edgar/data/1464165/000147793215007631/pvotf_ex1014.htm" TargetMode="External"/><Relationship Id="rId106" Type="http://schemas.openxmlformats.org/officeDocument/2006/relationships/hyperlink" Target="file:///C:\edger\pvotf_ex312.htm" TargetMode="External"/><Relationship Id="rId114" Type="http://schemas.openxmlformats.org/officeDocument/2006/relationships/hyperlink" Target="http://www.sec.gov/Archives/edgar/data/1464165/000147793215007379/pvotf_def14a.htm" TargetMode="External"/><Relationship Id="rId10" Type="http://schemas.openxmlformats.org/officeDocument/2006/relationships/hyperlink" Target="http://www.sec.gov/Archives/edgar/data/1464165/000141540809000329/ex3-4.htm" TargetMode="External"/><Relationship Id="rId31" Type="http://schemas.openxmlformats.org/officeDocument/2006/relationships/hyperlink" Target="http://www.sec.gov/Archives/edgar/data/1464165/000141540809000540/ex10-2.htm" TargetMode="External"/><Relationship Id="rId44" Type="http://schemas.openxmlformats.org/officeDocument/2006/relationships/hyperlink" Target="http://www.sec.gov/Archives/edgar/data/1464165/000147793215001920/neukf_101.htm" TargetMode="External"/><Relationship Id="rId52" Type="http://schemas.openxmlformats.org/officeDocument/2006/relationships/hyperlink" Target="http://www.sec.gov/Archives/edgar/data/1464165/000147793215007631/pvotf_ex1012.htm" TargetMode="External"/><Relationship Id="rId60" Type="http://schemas.openxmlformats.org/officeDocument/2006/relationships/hyperlink" Target="http://www.sec.gov/Archives/edgar/data/1464165/000147793215007631/pvotf_ex1016.htm" TargetMode="External"/><Relationship Id="rId65" Type="http://schemas.openxmlformats.org/officeDocument/2006/relationships/hyperlink" Target="http://www.sec.gov/Archives/edgar/data/1464165/000147793216009996/pvotf_ex1018.htm" TargetMode="External"/><Relationship Id="rId73" Type="http://schemas.openxmlformats.org/officeDocument/2006/relationships/hyperlink" Target="http://www.sec.gov/Archives/edgar/data/1464165/000147793217004439/pvotf_ex1022.htm" TargetMode="External"/><Relationship Id="rId78" Type="http://schemas.openxmlformats.org/officeDocument/2006/relationships/hyperlink" Target="http://www.sec.gov/Archives/edgar/data/1464165/000147793217004528/pvotf_ex1025.htm" TargetMode="External"/><Relationship Id="rId81" Type="http://schemas.openxmlformats.org/officeDocument/2006/relationships/hyperlink" Target="http://www.sec.gov/Archives/edgar/data/1464165/000147793217006095/pvotf_ex1026.htm" TargetMode="External"/><Relationship Id="rId86" Type="http://schemas.openxmlformats.org/officeDocument/2006/relationships/hyperlink" Target="http://www.sec.gov/Archives/edgar/data/1464165/000147793218001207/pvotf_ex1029.htm" TargetMode="External"/><Relationship Id="rId94" Type="http://schemas.openxmlformats.org/officeDocument/2006/relationships/hyperlink" Target="http://www.sec.gov/Archives/edgar/data/1464165/000147793218001207/pvotf_ex1033.htm" TargetMode="External"/><Relationship Id="rId99" Type="http://schemas.openxmlformats.org/officeDocument/2006/relationships/hyperlink" Target="http://www.sec.gov/Archives/edgar/data/1464165/000147793218001207/pvotf_ex1035.htm" TargetMode="External"/><Relationship Id="rId101" Type="http://schemas.openxmlformats.org/officeDocument/2006/relationships/hyperlink" Target="http://www.sec.gov/Archives/edgar/data/1464165/000147793218005263/pvotf_ex1036.htm" TargetMode="External"/><Relationship Id="rId4" Type="http://schemas.openxmlformats.org/officeDocument/2006/relationships/hyperlink" Target="http://www.sec.gov/Archives/edgar/data/1464165/000141540809000329/ex3-1.htm" TargetMode="External"/><Relationship Id="rId9" Type="http://schemas.openxmlformats.org/officeDocument/2006/relationships/hyperlink" Target="http://www.sec.gov/Archives/edgar/data/1464165/000141540809000329/ex3-3.htm" TargetMode="External"/><Relationship Id="rId13" Type="http://schemas.openxmlformats.org/officeDocument/2006/relationships/hyperlink" Target="http://www.sec.gov/Archives/edgar/data/1464165/000141540809000329/ex3-5.htm" TargetMode="External"/><Relationship Id="rId18" Type="http://schemas.openxmlformats.org/officeDocument/2006/relationships/hyperlink" Target="http://www.sec.gov/Archives/edgar/data/1464165/000141540809000329/ex3-8.htm" TargetMode="External"/><Relationship Id="rId39" Type="http://schemas.openxmlformats.org/officeDocument/2006/relationships/hyperlink" Target="http://www.sec.gov/Archives/edgar/data/1464165/000141540809000540/ex10-11.htm" TargetMode="External"/><Relationship Id="rId109" Type="http://schemas.openxmlformats.org/officeDocument/2006/relationships/hyperlink" Target="file:///C:\edger\pvotf_ex321.htm" TargetMode="External"/><Relationship Id="rId34" Type="http://schemas.openxmlformats.org/officeDocument/2006/relationships/hyperlink" Target="http://www.sec.gov/Archives/edgar/data/1464165/000141540809000540/ex10-9.htm" TargetMode="External"/><Relationship Id="rId50" Type="http://schemas.openxmlformats.org/officeDocument/2006/relationships/hyperlink" Target="http://www.sec.gov/Archives/edgar/data/1464165/000147793215001920/neukf_104.htm" TargetMode="External"/><Relationship Id="rId55" Type="http://schemas.openxmlformats.org/officeDocument/2006/relationships/hyperlink" Target="http://www.sec.gov/Archives/edgar/data/1464165/000147793215007631/pvotf_ex1013.htm" TargetMode="External"/><Relationship Id="rId76" Type="http://schemas.openxmlformats.org/officeDocument/2006/relationships/hyperlink" Target="http://www.sec.gov/Archives/edgar/data/1464165/000147793217004528/pvotf_ex1024.htm" TargetMode="External"/><Relationship Id="rId97" Type="http://schemas.openxmlformats.org/officeDocument/2006/relationships/hyperlink" Target="http://www.sec.gov/Archives/edgar/data/1464165/000147793218001207/pvotf_ex1034.htm" TargetMode="External"/><Relationship Id="rId104" Type="http://schemas.openxmlformats.org/officeDocument/2006/relationships/hyperlink" Target="file:///C:\edger\pvotf_ex311.htm" TargetMode="External"/><Relationship Id="rId7" Type="http://schemas.openxmlformats.org/officeDocument/2006/relationships/hyperlink" Target="http://www.sec.gov/Archives/edgar/data/1464165/000141540809000329/ex3-2.htm" TargetMode="External"/><Relationship Id="rId71" Type="http://schemas.openxmlformats.org/officeDocument/2006/relationships/hyperlink" Target="http://www.sec.gov/Archives/edgar/data/1464165/000147793217004439/pvotf_ex1021.htm" TargetMode="External"/><Relationship Id="rId92" Type="http://schemas.openxmlformats.org/officeDocument/2006/relationships/hyperlink" Target="http://www.sec.gov/Archives/edgar/data/1464165/000147793218001207/pvotf_ex1032.htm" TargetMode="External"/><Relationship Id="rId2" Type="http://schemas.openxmlformats.org/officeDocument/2006/relationships/settings" Target="settings.xml"/><Relationship Id="rId29" Type="http://schemas.openxmlformats.org/officeDocument/2006/relationships/hyperlink" Target="http://www.sec.gov/Archives/edgar/data/1464165/000147793215003905/pvotf_ex3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17970</Words>
  <Characters>102429</Characters>
  <Application>Microsoft Office Word</Application>
  <DocSecurity>0</DocSecurity>
  <Lines>853</Lines>
  <Paragraphs>240</Paragraphs>
  <ScaleCrop>false</ScaleCrop>
  <Company/>
  <LinksUpToDate>false</LinksUpToDate>
  <CharactersWithSpaces>120159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pvotf_ex322.htm</dc:title>
  <dc:creator>Kurt Benedict</dc:creator>
  <cp:lastModifiedBy>Kurt Benedict</cp:lastModifiedBy>
  <cp:revision>2</cp:revision>
  <dcterms:created xsi:type="dcterms:W3CDTF">2018-12-18T18:09:00Z</dcterms:created>
  <dcterms:modified xsi:type="dcterms:W3CDTF">2018-12-18T18:09:00Z</dcterms:modified>
</cp:coreProperties>
</file>