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B3" w:rsidRDefault="002230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2230B3" w:rsidRDefault="002230B3">
      <w:pPr>
        <w:pStyle w:val="BodyText"/>
        <w:tabs>
          <w:tab w:val="left" w:pos="0"/>
        </w:tabs>
        <w:rPr>
          <w:rFonts w:ascii="Arial" w:hAnsi="Arial"/>
          <w:color w:val="000000"/>
        </w:rPr>
      </w:pPr>
      <w:r>
        <w:rPr>
          <w:rFonts w:ascii="Arial" w:hAnsi="Arial"/>
          <w:color w:val="000000"/>
        </w:rPr>
        <w:t xml:space="preserve">Name of </w:t>
      </w:r>
      <w:r w:rsidR="009F3941">
        <w:rPr>
          <w:rFonts w:ascii="Arial" w:hAnsi="Arial"/>
          <w:color w:val="000000"/>
        </w:rPr>
        <w:t>CNSX</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t>Mantis Mineral Corp.</w:t>
      </w:r>
      <w:r>
        <w:rPr>
          <w:rFonts w:ascii="Arial" w:hAnsi="Arial"/>
          <w:color w:val="000000"/>
          <w:u w:val="single"/>
        </w:rPr>
        <w:tab/>
      </w:r>
      <w:r>
        <w:rPr>
          <w:rFonts w:ascii="Arial" w:hAnsi="Arial"/>
          <w:color w:val="000000"/>
        </w:rPr>
        <w:t>(the “Issuer”).</w:t>
      </w:r>
    </w:p>
    <w:p w:rsidR="007145C2" w:rsidRDefault="002230B3" w:rsidP="00994D4B">
      <w:pPr>
        <w:pStyle w:val="BodyText"/>
        <w:tabs>
          <w:tab w:val="left" w:pos="7920"/>
          <w:tab w:val="left" w:pos="9180"/>
        </w:tabs>
        <w:rPr>
          <w:rFonts w:ascii="Arial" w:hAnsi="Arial"/>
          <w:color w:val="000000"/>
        </w:rPr>
      </w:pPr>
      <w:r>
        <w:rPr>
          <w:rFonts w:ascii="Arial" w:hAnsi="Arial"/>
          <w:color w:val="000000"/>
        </w:rPr>
        <w:t xml:space="preserve">Trading Symbol: </w:t>
      </w:r>
      <w:r w:rsidR="00AB41FD">
        <w:rPr>
          <w:rFonts w:ascii="Arial" w:hAnsi="Arial"/>
          <w:color w:val="000000"/>
        </w:rPr>
        <w:t>MYN</w:t>
      </w:r>
      <w:r w:rsidR="00994D4B">
        <w:rPr>
          <w:rFonts w:ascii="Arial" w:hAnsi="Arial"/>
          <w:color w:val="000000"/>
        </w:rPr>
        <w:t xml:space="preserve"> </w:t>
      </w:r>
    </w:p>
    <w:p w:rsidR="002230B3" w:rsidRDefault="00994D4B" w:rsidP="00994D4B">
      <w:pPr>
        <w:pStyle w:val="BodyText"/>
        <w:tabs>
          <w:tab w:val="left" w:pos="7920"/>
          <w:tab w:val="left" w:pos="9180"/>
        </w:tabs>
        <w:rPr>
          <w:rFonts w:ascii="Arial" w:hAnsi="Arial"/>
          <w:color w:val="000000"/>
        </w:rPr>
      </w:pPr>
      <w:r>
        <w:rPr>
          <w:rFonts w:ascii="Arial" w:hAnsi="Arial"/>
          <w:color w:val="000000"/>
        </w:rPr>
        <w:t xml:space="preserve"> </w:t>
      </w:r>
      <w:r w:rsidR="002230B3">
        <w:rPr>
          <w:rFonts w:ascii="Arial" w:hAnsi="Arial"/>
          <w:color w:val="000000"/>
        </w:rPr>
        <w:t>Number of Outstanding Listed Securities</w:t>
      </w:r>
      <w:r w:rsidR="0025200C">
        <w:rPr>
          <w:rFonts w:ascii="Arial" w:hAnsi="Arial"/>
          <w:color w:val="000000"/>
        </w:rPr>
        <w:t xml:space="preserve">    </w:t>
      </w:r>
      <w:r w:rsidR="006117C1">
        <w:rPr>
          <w:rFonts w:ascii="Arial" w:hAnsi="Arial" w:cs="Arial"/>
          <w:szCs w:val="24"/>
        </w:rPr>
        <w:t>111,564,115</w:t>
      </w:r>
      <w:r w:rsidR="002230B3">
        <w:rPr>
          <w:rFonts w:ascii="Arial" w:hAnsi="Arial"/>
          <w:color w:val="000000"/>
          <w:u w:val="single"/>
        </w:rPr>
        <w:tab/>
      </w:r>
    </w:p>
    <w:p w:rsidR="002230B3" w:rsidRDefault="002230B3">
      <w:pPr>
        <w:pStyle w:val="BodyText"/>
        <w:tabs>
          <w:tab w:val="left" w:pos="7920"/>
          <w:tab w:val="left" w:pos="9180"/>
        </w:tabs>
        <w:rPr>
          <w:rFonts w:ascii="Arial" w:hAnsi="Arial"/>
          <w:color w:val="000000"/>
        </w:rPr>
      </w:pPr>
      <w:r>
        <w:rPr>
          <w:rFonts w:ascii="Arial" w:hAnsi="Arial"/>
          <w:color w:val="000000"/>
        </w:rPr>
        <w:t>Date:</w:t>
      </w:r>
      <w:r w:rsidR="00437D50">
        <w:rPr>
          <w:rFonts w:ascii="Arial" w:hAnsi="Arial"/>
          <w:color w:val="000000"/>
        </w:rPr>
        <w:t xml:space="preserve"> </w:t>
      </w:r>
      <w:r w:rsidR="00744797">
        <w:rPr>
          <w:rFonts w:ascii="Arial" w:hAnsi="Arial"/>
          <w:color w:val="000000"/>
        </w:rPr>
        <w:t>January 2</w:t>
      </w:r>
      <w:proofErr w:type="gramStart"/>
      <w:r w:rsidR="00744797">
        <w:rPr>
          <w:rFonts w:ascii="Arial" w:hAnsi="Arial"/>
          <w:color w:val="000000"/>
        </w:rPr>
        <w:t>,201</w:t>
      </w:r>
      <w:r w:rsidR="00805B6F">
        <w:rPr>
          <w:rFonts w:ascii="Arial" w:hAnsi="Arial"/>
          <w:color w:val="000000"/>
        </w:rPr>
        <w:t>4</w:t>
      </w:r>
      <w:proofErr w:type="gramEnd"/>
      <w:r>
        <w:rPr>
          <w:rFonts w:ascii="Arial" w:hAnsi="Arial"/>
          <w:color w:val="000000"/>
          <w:u w:val="single"/>
        </w:rPr>
        <w:tab/>
      </w:r>
      <w:r>
        <w:rPr>
          <w:rFonts w:ascii="Arial" w:hAnsi="Arial"/>
          <w:color w:val="000000"/>
          <w:u w:val="single"/>
        </w:rPr>
        <w:tab/>
      </w:r>
    </w:p>
    <w:p w:rsidR="002230B3" w:rsidRDefault="002230B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w:t>
      </w:r>
      <w:r w:rsidR="009F3941">
        <w:rPr>
          <w:rFonts w:ascii="Arial" w:hAnsi="Arial"/>
          <w:color w:val="000000"/>
        </w:rPr>
        <w:t>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CN</w:t>
      </w:r>
      <w:r w:rsidR="009F3941">
        <w:rPr>
          <w:rFonts w:ascii="Arial" w:hAnsi="Arial"/>
          <w:color w:val="000000"/>
        </w:rPr>
        <w:t>SX</w:t>
      </w:r>
      <w:r>
        <w:rPr>
          <w:rFonts w:ascii="Arial" w:hAnsi="Arial"/>
          <w:color w:val="000000"/>
        </w:rPr>
        <w:t>.ca website.</w:t>
      </w:r>
    </w:p>
    <w:p w:rsidR="002230B3" w:rsidRDefault="002230B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9F3941">
        <w:rPr>
          <w:rFonts w:ascii="Arial" w:hAnsi="Arial"/>
          <w:color w:val="000000"/>
        </w:rPr>
        <w:t>CNSX</w:t>
      </w:r>
      <w:r>
        <w:rPr>
          <w:rFonts w:ascii="Arial" w:hAnsi="Arial"/>
          <w:color w:val="000000"/>
        </w:rPr>
        <w:t xml:space="preserve"> Policies. The discussion in this report must be factual, balanced and non-promotional.</w:t>
      </w:r>
    </w:p>
    <w:p w:rsidR="002230B3" w:rsidRDefault="002230B3">
      <w:pPr>
        <w:pStyle w:val="BodyText"/>
        <w:tabs>
          <w:tab w:val="left" w:pos="7920"/>
          <w:tab w:val="left" w:pos="9180"/>
        </w:tabs>
        <w:rPr>
          <w:rFonts w:ascii="Arial" w:hAnsi="Arial"/>
          <w:color w:val="000000"/>
        </w:rPr>
      </w:pPr>
      <w:r>
        <w:rPr>
          <w:rFonts w:ascii="Arial" w:hAnsi="Arial"/>
          <w:b/>
          <w:color w:val="000000"/>
        </w:rPr>
        <w:t>General Instructions</w:t>
      </w:r>
    </w:p>
    <w:p w:rsidR="002230B3" w:rsidRDefault="002230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2230B3" w:rsidRDefault="002230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2230B3" w:rsidRDefault="002230B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2230B3" w:rsidRDefault="002230B3">
      <w:pPr>
        <w:pStyle w:val="List"/>
        <w:keepLines/>
        <w:spacing w:before="120"/>
        <w:ind w:left="0" w:firstLine="0"/>
        <w:rPr>
          <w:rFonts w:ascii="Arial" w:hAnsi="Arial"/>
          <w:b/>
        </w:rPr>
      </w:pPr>
      <w:r>
        <w:rPr>
          <w:rFonts w:ascii="Arial" w:hAnsi="Arial"/>
          <w:b/>
        </w:rPr>
        <w:t>Report on Business</w:t>
      </w:r>
    </w:p>
    <w:p w:rsidR="00B87B42" w:rsidRDefault="002230B3" w:rsidP="00B87B42">
      <w:pPr>
        <w:pStyle w:val="List"/>
        <w:widowControl w:val="0"/>
        <w:numPr>
          <w:ilvl w:val="0"/>
          <w:numId w:val="28"/>
        </w:numPr>
        <w:autoSpaceDE w:val="0"/>
        <w:autoSpaceDN w:val="0"/>
        <w:spacing w:before="120"/>
        <w:jc w:val="both"/>
        <w:rPr>
          <w:rFonts w:ascii="Arial" w:hAnsi="Arial"/>
        </w:rPr>
      </w:pPr>
      <w:r w:rsidRPr="0044033A">
        <w:rPr>
          <w:rFonts w:ascii="Arial" w:hAnsi="Arial"/>
        </w:rPr>
        <w:t xml:space="preserve">Provide a general overview and discussion of the development of the Issuer’s business and operations over the previous month.  Where the Issuer was </w:t>
      </w:r>
      <w:r w:rsidR="00550DA6" w:rsidRPr="0044033A">
        <w:rPr>
          <w:rFonts w:ascii="Arial" w:hAnsi="Arial"/>
        </w:rPr>
        <w:t>i</w:t>
      </w:r>
      <w:r w:rsidRPr="0044033A">
        <w:rPr>
          <w:rFonts w:ascii="Arial" w:hAnsi="Arial"/>
        </w:rPr>
        <w:t>nactive disclose this fact.</w:t>
      </w:r>
    </w:p>
    <w:p w:rsidR="00744797" w:rsidRDefault="00744797" w:rsidP="00744797">
      <w:pPr>
        <w:pStyle w:val="List"/>
        <w:widowControl w:val="0"/>
        <w:autoSpaceDE w:val="0"/>
        <w:autoSpaceDN w:val="0"/>
        <w:spacing w:before="120"/>
        <w:jc w:val="both"/>
        <w:rPr>
          <w:rFonts w:ascii="Arial" w:hAnsi="Arial"/>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 xml:space="preserve">On December 23, 2013 The Issuer (“Mantis”) and Gondwana Energy Corp. (“Gondwana”) announced that they had entered into an agreement providing for a business combination of the two companies (the “Business Combination”). </w:t>
      </w:r>
      <w:proofErr w:type="gramStart"/>
      <w:r w:rsidRPr="00744797">
        <w:rPr>
          <w:rFonts w:asciiTheme="minorHAnsi" w:eastAsiaTheme="minorHAnsi" w:hAnsiTheme="minorHAnsi" w:cstheme="minorBidi"/>
          <w:b/>
          <w:sz w:val="22"/>
          <w:szCs w:val="22"/>
          <w:lang w:val="en-CA"/>
        </w:rPr>
        <w:t>Gondwana is a private company existing under the laws of Ontario which is engaged in the acquisition, exploration and development of oil and gas properties in Ghana, Africa.</w:t>
      </w:r>
      <w:proofErr w:type="gramEnd"/>
      <w:r w:rsidRPr="00744797">
        <w:rPr>
          <w:rFonts w:asciiTheme="minorHAnsi" w:eastAsiaTheme="minorHAnsi" w:hAnsiTheme="minorHAnsi" w:cstheme="minorBidi"/>
          <w:b/>
          <w:sz w:val="22"/>
          <w:szCs w:val="22"/>
          <w:lang w:val="en-CA"/>
        </w:rPr>
        <w:t xml:space="preserve"> Mantis is engaged in the acquisition, exploration and development of mineral resource properties in Canada.</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Gondwana was formed on September 6, 2013 and to date has acquired a 70% interest in Miura Petroleum Limited, which holds a right to negotiate the acquisition of an interest in the off-shore license block at West Cape Three Points – South Block, located in Ghana, Africa and comprising approximately 1,604 square kilometres.</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The Business Combination will be structured in the form of an amalgamation pursuant to which Mantis would amalgamate with Gondwana, and all of the issued and outstanding securities of Gondwana would be exchanged by the existing holders thereof in consideration of the issuance of equivalent securities of Mantis on a 1:1 basis. Gondwana and Mantis are arm’s length parties.</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Prior to closing, Gondwana proposes to complete a private placement of up to 700,000,000 special warrants (“Special Warrants”) to raise aggregate gross proceeds of up to $3,500,000. Each Special Warrant shall be exercisable, for no additional consideration, to acquire one unit (“Unit”) to be comprised of one common share of Gondwana and one common share purchase warrant of Gondwana (each, a “Warrant”). Each Warrant shall be exercisable for a period of five years from the closing date of the private placement into one common share of Gondwana at an exercise price of $0.05 per share. The Special Warrants shall be exchangeable by the holders thereof at any time prior to, and will be exercised on behalf of the holders thereof at, 5:00 p.m. (Toronto time) on the date which is the earlier of the following dates: (</w:t>
      </w:r>
      <w:proofErr w:type="spellStart"/>
      <w:r w:rsidRPr="00744797">
        <w:rPr>
          <w:rFonts w:asciiTheme="minorHAnsi" w:eastAsiaTheme="minorHAnsi" w:hAnsiTheme="minorHAnsi" w:cstheme="minorBidi"/>
          <w:b/>
          <w:sz w:val="22"/>
          <w:szCs w:val="22"/>
          <w:lang w:val="en-CA"/>
        </w:rPr>
        <w:t>i</w:t>
      </w:r>
      <w:proofErr w:type="spellEnd"/>
      <w:r w:rsidRPr="00744797">
        <w:rPr>
          <w:rFonts w:asciiTheme="minorHAnsi" w:eastAsiaTheme="minorHAnsi" w:hAnsiTheme="minorHAnsi" w:cstheme="minorBidi"/>
          <w:b/>
          <w:sz w:val="22"/>
          <w:szCs w:val="22"/>
          <w:lang w:val="en-CA"/>
        </w:rPr>
        <w:t>) the last business day immediately preceding the completion of the Business Combination or a similar liquidity event (a “Liquidity Event”); and (ii) the date which is four months following the closing of the private placement (the “Qualification Deadline”). If a Liquidity Event has not</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been completed on or before the Qualification Deadline, each Special Warrant which has not yet been exchanged will thereafter be exchangeable, for no additional consideration, into 1.25 Units (in lieu of one Unit) (the “Penalty Provisions”). In connection with the Business Combination, the holders of common shares of Gondwana and Warrants issued upon exercise or deemed exercise of the Special Warrants shall be exchanged for equivalent securities of Mantis on a one-for-one basis. Mantis will apply to have the Warrants listed on the Canadian National Stock Exchange in connection with the Business Combination.</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Eligible registrants shall receive a cash commission equal to 7% of the gross proceeds they raise in the private placement as well as compensation options entitling them to acquire such number of Units as is equal to 7% of the aggregate number of Special Warrants they sell in the private placement, at a price of $0.005 per Unit for a period of five years. Any compensation options outstanding immediately prior to the effective date of the Business Combination will be exchanged for equivalent securities of Mantis on a one-for-one basis. The compensation options shall not contain Penalty Provisions.</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Mantis is a mineral exploration company engaged in the exploration for minerals on (</w:t>
      </w:r>
      <w:proofErr w:type="spellStart"/>
      <w:r w:rsidRPr="00744797">
        <w:rPr>
          <w:rFonts w:asciiTheme="minorHAnsi" w:eastAsiaTheme="minorHAnsi" w:hAnsiTheme="minorHAnsi" w:cstheme="minorBidi"/>
          <w:b/>
          <w:sz w:val="22"/>
          <w:szCs w:val="22"/>
          <w:lang w:val="en-CA"/>
        </w:rPr>
        <w:t>i</w:t>
      </w:r>
      <w:proofErr w:type="spellEnd"/>
      <w:r w:rsidRPr="00744797">
        <w:rPr>
          <w:rFonts w:asciiTheme="minorHAnsi" w:eastAsiaTheme="minorHAnsi" w:hAnsiTheme="minorHAnsi" w:cstheme="minorBidi"/>
          <w:b/>
          <w:sz w:val="22"/>
          <w:szCs w:val="22"/>
          <w:lang w:val="en-CA"/>
        </w:rPr>
        <w:t>) the Orphan Gold Mine; (ii) the East Lingman Lake Gold Property; and (iii) the Cree Lake Property. For further details on the current mineral exploration activities of Mantis, please refer to SEDAR at www.sedar.com. Following the transaction, it is anticipated that Mantis will focus on advancing Gondwana’s petroleum assets in an effort to enhance overall shareholder value.</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It is anticipated that immediately following the closing of the Business Combination (and assuming that the there are no changes to the outstanding common shares or convertible securities of either company other than the private placement, and assuming the private placement is fully subscribed and the Penalty Provisions are not triggered), an aggregate of approximately 1,011,564,116 Mantis Shares will be issued and outstanding, of which it is anticipated that 200,000,001 Mantis Shares will be held by former Gondwana shareholders, 111,564,115 Mantis Shares will be held by existing Mantis shareholders, and 700,000,000 Mantis Shares will be held by subscribers in the private placement. Furthermore, it is anticipated that 912,950,000 common shares of Mantis will be reserved for issuance pursuant to outstanding convertible securities upon the closing of the Business Combination.</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There will not be any changes to the directors or officers of Mantis as a result of the Business Combination.</w:t>
      </w: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p>
    <w:p w:rsidR="00744797" w:rsidRPr="00744797" w:rsidRDefault="00744797" w:rsidP="00744797">
      <w:pPr>
        <w:spacing w:after="200"/>
        <w:contextualSpacing/>
        <w:jc w:val="both"/>
        <w:rPr>
          <w:rFonts w:asciiTheme="minorHAnsi" w:eastAsiaTheme="minorHAnsi" w:hAnsiTheme="minorHAnsi" w:cstheme="minorBidi"/>
          <w:b/>
          <w:sz w:val="22"/>
          <w:szCs w:val="22"/>
          <w:lang w:val="en-CA"/>
        </w:rPr>
      </w:pPr>
      <w:r w:rsidRPr="00744797">
        <w:rPr>
          <w:rFonts w:asciiTheme="minorHAnsi" w:eastAsiaTheme="minorHAnsi" w:hAnsiTheme="minorHAnsi" w:cstheme="minorBidi"/>
          <w:b/>
          <w:sz w:val="22"/>
          <w:szCs w:val="22"/>
          <w:lang w:val="en-CA"/>
        </w:rPr>
        <w:t>Completion of the Business Combination is subject to a number of conditions, including the approval of the Canadian National Stock Exchange, the execution of definitive documentation, the completion of satisfactory due diligence, and the requisite majority approval of shareholders of each of Gondwana and Mantis. The Business Combination cannot close until the approval of shareholders of both Mantis and Gondwana and all required regulatory approvals are obtained. There can be no assurance that the Business Combination will be completed as proposed or at all. Investors are cautioned that, except as disclosed in any management information circular to be prepared in connection with the Business Combination, any information released or received with respect to the proposed Business Combination may not be accurate or complete and should not be relied upon. Trading in the securities of Mantis should be considered highly speculative.</w:t>
      </w:r>
    </w:p>
    <w:p w:rsidR="00A4366F" w:rsidRPr="002426F1" w:rsidRDefault="00A4366F" w:rsidP="002426F1">
      <w:pPr>
        <w:jc w:val="both"/>
        <w:rPr>
          <w:rFonts w:ascii="Calibri" w:eastAsia="Calibri" w:hAnsi="Calibri"/>
          <w:sz w:val="22"/>
          <w:szCs w:val="22"/>
          <w:lang w:val="en-CA"/>
        </w:rPr>
      </w:pPr>
    </w:p>
    <w:p w:rsidR="00E3512C" w:rsidRPr="00805B6F" w:rsidRDefault="002230B3" w:rsidP="00E3512C">
      <w:pPr>
        <w:pStyle w:val="List"/>
        <w:numPr>
          <w:ilvl w:val="0"/>
          <w:numId w:val="28"/>
        </w:numPr>
        <w:autoSpaceDE w:val="0"/>
        <w:autoSpaceDN w:val="0"/>
        <w:adjustRightInd w:val="0"/>
        <w:spacing w:before="120"/>
        <w:jc w:val="both"/>
        <w:rPr>
          <w:rFonts w:ascii="CourierNew,Bold" w:hAnsi="CourierNew,Bold" w:cs="CourierNew,Bold"/>
          <w:bCs/>
          <w:lang w:val="en-CA" w:eastAsia="en-CA"/>
        </w:rPr>
      </w:pPr>
      <w:r w:rsidRPr="00E3512C">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805B6F" w:rsidRDefault="00805B6F" w:rsidP="00805B6F">
      <w:pPr>
        <w:pStyle w:val="List"/>
        <w:autoSpaceDE w:val="0"/>
        <w:autoSpaceDN w:val="0"/>
        <w:adjustRightInd w:val="0"/>
        <w:spacing w:before="120"/>
        <w:jc w:val="both"/>
        <w:rPr>
          <w:rFonts w:ascii="Arial" w:hAnsi="Arial"/>
        </w:rPr>
      </w:pPr>
    </w:p>
    <w:p w:rsidR="00A4366F" w:rsidRPr="00744797" w:rsidRDefault="00744797" w:rsidP="00805B6F">
      <w:pPr>
        <w:pStyle w:val="List"/>
        <w:widowControl w:val="0"/>
        <w:autoSpaceDE w:val="0"/>
        <w:autoSpaceDN w:val="0"/>
        <w:spacing w:before="120"/>
        <w:ind w:left="0" w:firstLine="0"/>
        <w:jc w:val="both"/>
        <w:rPr>
          <w:rFonts w:ascii="Arial" w:hAnsi="Arial"/>
          <w:b/>
        </w:rPr>
      </w:pPr>
      <w:r w:rsidRPr="00744797">
        <w:rPr>
          <w:rFonts w:ascii="Arial" w:hAnsi="Arial"/>
          <w:b/>
        </w:rPr>
        <w:t xml:space="preserve">See above </w:t>
      </w:r>
    </w:p>
    <w:p w:rsidR="00744797" w:rsidRDefault="00744797" w:rsidP="00805B6F">
      <w:pPr>
        <w:pStyle w:val="List"/>
        <w:widowControl w:val="0"/>
        <w:autoSpaceDE w:val="0"/>
        <w:autoSpaceDN w:val="0"/>
        <w:spacing w:before="120"/>
        <w:ind w:left="0" w:firstLine="0"/>
        <w:jc w:val="both"/>
        <w:rPr>
          <w:rFonts w:ascii="Arial" w:hAnsi="Arial"/>
        </w:rPr>
      </w:pPr>
    </w:p>
    <w:p w:rsidR="002230B3" w:rsidRDefault="00A66456">
      <w:pPr>
        <w:pStyle w:val="List"/>
        <w:numPr>
          <w:ilvl w:val="0"/>
          <w:numId w:val="28"/>
        </w:numPr>
        <w:spacing w:before="120"/>
        <w:jc w:val="both"/>
        <w:rPr>
          <w:rFonts w:ascii="Arial" w:hAnsi="Arial"/>
        </w:rPr>
      </w:pPr>
      <w:r>
        <w:rPr>
          <w:rFonts w:ascii="Arial" w:hAnsi="Arial"/>
        </w:rPr>
        <w:t>D</w:t>
      </w:r>
      <w:r w:rsidR="002230B3">
        <w:rPr>
          <w:rFonts w:ascii="Arial" w:hAnsi="Arial"/>
        </w:rPr>
        <w:t>escribe the expiry or termination of any contracts or agreements between the Issuer, the Issuer’s affiliates or third parties or cancellation of any financing arrangements that have been previously announced.</w:t>
      </w:r>
    </w:p>
    <w:p w:rsidR="00AF3C30" w:rsidRPr="00805B6F" w:rsidRDefault="00805B6F" w:rsidP="00AF3C30">
      <w:pPr>
        <w:pStyle w:val="List"/>
        <w:spacing w:before="120"/>
        <w:jc w:val="both"/>
        <w:rPr>
          <w:rFonts w:ascii="Arial" w:hAnsi="Arial"/>
          <w:b/>
        </w:rPr>
      </w:pPr>
      <w:r w:rsidRPr="00805B6F">
        <w:rPr>
          <w:rFonts w:ascii="Arial" w:hAnsi="Arial"/>
          <w:b/>
        </w:rPr>
        <w:t>None</w:t>
      </w:r>
    </w:p>
    <w:p w:rsidR="00805B6F" w:rsidRDefault="00805B6F" w:rsidP="00AF3C30">
      <w:pPr>
        <w:pStyle w:val="List"/>
        <w:spacing w:before="120"/>
        <w:jc w:val="both"/>
        <w:rPr>
          <w:rFonts w:ascii="Arial" w:hAnsi="Arial"/>
        </w:rPr>
      </w:pPr>
    </w:p>
    <w:p w:rsidR="002230B3" w:rsidRDefault="002230B3">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 xml:space="preserve">the </w:t>
      </w:r>
      <w:proofErr w:type="gramStart"/>
      <w:r>
        <w:rPr>
          <w:rFonts w:ascii="Arial" w:hAnsi="Arial"/>
        </w:rPr>
        <w:t>disposition was to a Related Person of the Issuer and provide</w:t>
      </w:r>
      <w:proofErr w:type="gramEnd"/>
      <w:r>
        <w:rPr>
          <w:rFonts w:ascii="Arial" w:hAnsi="Arial"/>
        </w:rPr>
        <w:t xml:space="preserve"> details of the relationship.</w:t>
      </w:r>
    </w:p>
    <w:p w:rsidR="00136F59" w:rsidRPr="00F71219" w:rsidRDefault="00F71219" w:rsidP="00F71219">
      <w:pPr>
        <w:spacing w:after="200" w:line="276" w:lineRule="auto"/>
        <w:jc w:val="both"/>
        <w:rPr>
          <w:rFonts w:ascii="Arial" w:hAnsi="Arial"/>
          <w:b/>
        </w:rPr>
      </w:pPr>
      <w:r w:rsidRPr="00F71219">
        <w:rPr>
          <w:rFonts w:asciiTheme="minorHAnsi" w:eastAsiaTheme="minorHAnsi" w:hAnsiTheme="minorHAnsi" w:cstheme="minorBidi"/>
          <w:b/>
          <w:sz w:val="22"/>
          <w:szCs w:val="22"/>
          <w:lang w:val="en-CA"/>
        </w:rPr>
        <w:t>None</w:t>
      </w:r>
    </w:p>
    <w:p w:rsidR="002230B3" w:rsidRDefault="002230B3">
      <w:pPr>
        <w:pStyle w:val="List"/>
        <w:numPr>
          <w:ilvl w:val="0"/>
          <w:numId w:val="28"/>
        </w:numPr>
        <w:spacing w:before="120"/>
        <w:jc w:val="both"/>
        <w:rPr>
          <w:rFonts w:ascii="Arial" w:hAnsi="Arial"/>
        </w:rPr>
      </w:pPr>
      <w:r>
        <w:rPr>
          <w:rFonts w:ascii="Arial" w:hAnsi="Arial"/>
        </w:rPr>
        <w:t>Describe the acquisition of new customers or loss of customers.</w:t>
      </w:r>
    </w:p>
    <w:p w:rsidR="00320FF4" w:rsidRDefault="002230B3">
      <w:pPr>
        <w:pStyle w:val="List"/>
        <w:spacing w:before="120"/>
        <w:jc w:val="both"/>
        <w:rPr>
          <w:rFonts w:ascii="Arial" w:hAnsi="Arial"/>
          <w:b/>
          <w:bCs/>
        </w:rPr>
      </w:pPr>
      <w:r>
        <w:rPr>
          <w:rFonts w:ascii="Arial" w:hAnsi="Arial"/>
          <w:b/>
          <w:bCs/>
        </w:rPr>
        <w:t>None</w:t>
      </w:r>
    </w:p>
    <w:p w:rsidR="009C0132" w:rsidRDefault="009C0132">
      <w:pPr>
        <w:pStyle w:val="List"/>
        <w:spacing w:before="120"/>
        <w:jc w:val="both"/>
        <w:rPr>
          <w:rFonts w:ascii="Arial" w:hAnsi="Arial"/>
          <w:b/>
          <w:bCs/>
        </w:rPr>
      </w:pPr>
    </w:p>
    <w:p w:rsidR="002230B3" w:rsidRDefault="002230B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2230B3" w:rsidRDefault="002230B3">
      <w:pPr>
        <w:pStyle w:val="List"/>
        <w:spacing w:before="120"/>
        <w:jc w:val="both"/>
        <w:rPr>
          <w:rFonts w:ascii="Arial" w:hAnsi="Arial"/>
          <w:b/>
          <w:bCs/>
        </w:rPr>
      </w:pPr>
      <w:r>
        <w:rPr>
          <w:rFonts w:ascii="Arial" w:hAnsi="Arial"/>
          <w:b/>
          <w:bCs/>
        </w:rPr>
        <w:t>None</w:t>
      </w:r>
    </w:p>
    <w:p w:rsidR="002230B3" w:rsidRDefault="002230B3">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6178B6" w:rsidRDefault="002230B3">
      <w:pPr>
        <w:pStyle w:val="List"/>
        <w:spacing w:before="120"/>
        <w:jc w:val="both"/>
        <w:rPr>
          <w:rFonts w:ascii="Arial" w:hAnsi="Arial"/>
          <w:b/>
          <w:bCs/>
        </w:rPr>
      </w:pPr>
      <w:r>
        <w:rPr>
          <w:rFonts w:ascii="Arial" w:hAnsi="Arial"/>
          <w:b/>
          <w:bCs/>
        </w:rPr>
        <w:t>None</w:t>
      </w:r>
    </w:p>
    <w:p w:rsidR="002230B3" w:rsidRDefault="002230B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4033A" w:rsidRDefault="002230B3">
      <w:pPr>
        <w:pStyle w:val="List"/>
        <w:spacing w:before="120"/>
        <w:jc w:val="both"/>
        <w:rPr>
          <w:rFonts w:ascii="Arial" w:hAnsi="Arial"/>
          <w:b/>
          <w:bCs/>
        </w:rPr>
      </w:pPr>
      <w:r>
        <w:rPr>
          <w:rFonts w:ascii="Arial" w:hAnsi="Arial"/>
          <w:b/>
          <w:bCs/>
        </w:rPr>
        <w:t>None</w:t>
      </w:r>
    </w:p>
    <w:p w:rsidR="002230B3" w:rsidRDefault="002230B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2230B3" w:rsidRDefault="003906BA">
      <w:pPr>
        <w:pStyle w:val="List"/>
        <w:spacing w:before="120"/>
        <w:jc w:val="both"/>
        <w:rPr>
          <w:rFonts w:ascii="Arial" w:hAnsi="Arial"/>
          <w:b/>
          <w:bCs/>
        </w:rPr>
      </w:pPr>
      <w:r>
        <w:rPr>
          <w:rFonts w:ascii="Arial" w:hAnsi="Arial"/>
          <w:b/>
          <w:bCs/>
        </w:rPr>
        <w:t>N</w:t>
      </w:r>
      <w:r w:rsidR="002230B3">
        <w:rPr>
          <w:rFonts w:ascii="Arial" w:hAnsi="Arial"/>
          <w:b/>
          <w:bCs/>
        </w:rPr>
        <w:t>one</w:t>
      </w:r>
    </w:p>
    <w:p w:rsidR="00751C70" w:rsidRDefault="00751C70">
      <w:pPr>
        <w:pStyle w:val="List"/>
        <w:spacing w:before="120"/>
        <w:jc w:val="both"/>
        <w:rPr>
          <w:rFonts w:ascii="Arial" w:hAnsi="Arial"/>
        </w:rPr>
      </w:pPr>
    </w:p>
    <w:p w:rsidR="002230B3" w:rsidRDefault="002230B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4366F" w:rsidRPr="00F15976" w:rsidRDefault="00A4366F" w:rsidP="00A4366F">
      <w:pPr>
        <w:pStyle w:val="List"/>
        <w:spacing w:before="120"/>
        <w:jc w:val="both"/>
        <w:rPr>
          <w:rFonts w:ascii="Arial" w:hAnsi="Arial"/>
          <w:b/>
        </w:rPr>
      </w:pPr>
      <w:r w:rsidRPr="00F15976">
        <w:rPr>
          <w:rFonts w:ascii="Arial" w:hAnsi="Arial"/>
          <w:b/>
        </w:rPr>
        <w:t>NONE</w:t>
      </w:r>
    </w:p>
    <w:p w:rsidR="003552DA" w:rsidRPr="00751C70" w:rsidRDefault="002230B3" w:rsidP="00272241">
      <w:pPr>
        <w:pStyle w:val="List"/>
        <w:numPr>
          <w:ilvl w:val="0"/>
          <w:numId w:val="28"/>
        </w:numPr>
        <w:autoSpaceDE w:val="0"/>
        <w:autoSpaceDN w:val="0"/>
        <w:adjustRightInd w:val="0"/>
        <w:spacing w:before="120"/>
        <w:ind w:left="360" w:hanging="360"/>
        <w:jc w:val="both"/>
        <w:rPr>
          <w:rFonts w:ascii="Arial" w:hAnsi="Arial"/>
          <w:lang w:val="en-CA"/>
        </w:rPr>
      </w:pPr>
      <w:r w:rsidRPr="004F4DD9">
        <w:rPr>
          <w:rFonts w:ascii="Arial" w:hAnsi="Arial"/>
        </w:rPr>
        <w:t>Provide details of any securities issued and options or warrants granted.</w:t>
      </w:r>
    </w:p>
    <w:p w:rsidR="00751C70" w:rsidRPr="00F15976" w:rsidRDefault="00A4366F" w:rsidP="00751C70">
      <w:pPr>
        <w:pStyle w:val="List"/>
        <w:autoSpaceDE w:val="0"/>
        <w:autoSpaceDN w:val="0"/>
        <w:adjustRightInd w:val="0"/>
        <w:spacing w:before="120"/>
        <w:jc w:val="both"/>
        <w:rPr>
          <w:rFonts w:ascii="Arial" w:hAnsi="Arial"/>
          <w:b/>
        </w:rPr>
      </w:pPr>
      <w:r w:rsidRPr="00F15976">
        <w:rPr>
          <w:rFonts w:ascii="Arial" w:hAnsi="Arial"/>
          <w:b/>
        </w:rPr>
        <w:t>NONE</w:t>
      </w:r>
    </w:p>
    <w:p w:rsidR="00AF3C30" w:rsidRDefault="00AF3C30" w:rsidP="00AF3C30">
      <w:pPr>
        <w:jc w:val="both"/>
        <w:rPr>
          <w:rFonts w:ascii="Tahoma" w:hAnsi="Tahoma" w:cs="Tahoma"/>
          <w:sz w:val="18"/>
          <w:szCs w:val="18"/>
        </w:rPr>
      </w:pPr>
    </w:p>
    <w:p w:rsidR="002230B3" w:rsidRDefault="002230B3">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8736D7" w:rsidRDefault="002230B3">
      <w:pPr>
        <w:pStyle w:val="List"/>
        <w:spacing w:before="120"/>
        <w:jc w:val="both"/>
        <w:rPr>
          <w:rFonts w:ascii="Arial" w:hAnsi="Arial"/>
          <w:b/>
          <w:bCs/>
        </w:rPr>
      </w:pPr>
      <w:r>
        <w:rPr>
          <w:rFonts w:ascii="Arial" w:hAnsi="Arial"/>
          <w:b/>
          <w:bCs/>
        </w:rPr>
        <w:t>None</w:t>
      </w:r>
    </w:p>
    <w:p w:rsidR="002230B3" w:rsidRDefault="00E044AD">
      <w:pPr>
        <w:pStyle w:val="List"/>
        <w:keepNext/>
        <w:keepLines/>
        <w:numPr>
          <w:ilvl w:val="0"/>
          <w:numId w:val="28"/>
        </w:numPr>
        <w:spacing w:before="120"/>
        <w:jc w:val="both"/>
        <w:rPr>
          <w:rFonts w:ascii="Arial" w:hAnsi="Arial"/>
        </w:rPr>
      </w:pPr>
      <w:r>
        <w:rPr>
          <w:rFonts w:ascii="Arial" w:hAnsi="Arial"/>
        </w:rPr>
        <w:t>P</w:t>
      </w:r>
      <w:r w:rsidR="002230B3">
        <w:rPr>
          <w:rFonts w:ascii="Arial" w:hAnsi="Arial"/>
        </w:rPr>
        <w:t>rovide details of any changes in directors, officers or committee members.</w:t>
      </w:r>
    </w:p>
    <w:p w:rsidR="00E044AD" w:rsidRPr="00E044AD" w:rsidRDefault="00E044AD" w:rsidP="00E044AD">
      <w:pPr>
        <w:pStyle w:val="List"/>
        <w:keepNext/>
        <w:keepLines/>
        <w:spacing w:before="120"/>
        <w:jc w:val="both"/>
        <w:rPr>
          <w:rFonts w:ascii="Arial" w:hAnsi="Arial"/>
          <w:b/>
        </w:rPr>
      </w:pPr>
      <w:r w:rsidRPr="00E044AD">
        <w:rPr>
          <w:rFonts w:ascii="Arial" w:hAnsi="Arial"/>
          <w:b/>
        </w:rPr>
        <w:t>None</w:t>
      </w:r>
    </w:p>
    <w:p w:rsidR="002230B3" w:rsidRDefault="002230B3">
      <w:pPr>
        <w:pStyle w:val="List"/>
        <w:numPr>
          <w:ilvl w:val="0"/>
          <w:numId w:val="28"/>
        </w:numPr>
        <w:spacing w:before="120"/>
        <w:jc w:val="both"/>
        <w:rPr>
          <w:rFonts w:ascii="Arial" w:hAnsi="Arial"/>
        </w:rPr>
      </w:pPr>
      <w:r w:rsidRPr="009F3941">
        <w:rPr>
          <w:rFonts w:ascii="Arial" w:hAnsi="Arial"/>
          <w:i/>
        </w:rPr>
        <w:t>Discuss any trends which are likely to impact the Issuer including trends in the</w:t>
      </w:r>
      <w:r>
        <w:rPr>
          <w:rFonts w:ascii="Arial" w:hAnsi="Arial"/>
        </w:rPr>
        <w:t xml:space="preserve"> Issuer’s market(s) or political/regulatory trends.</w:t>
      </w:r>
    </w:p>
    <w:p w:rsidR="006178B6" w:rsidRDefault="002230B3" w:rsidP="00A66456">
      <w:pPr>
        <w:pStyle w:val="List"/>
        <w:spacing w:before="120"/>
        <w:jc w:val="both"/>
        <w:rPr>
          <w:rFonts w:ascii="Arial" w:hAnsi="Arial"/>
          <w:b/>
          <w:bCs/>
        </w:rPr>
      </w:pPr>
      <w:r>
        <w:rPr>
          <w:rFonts w:ascii="Arial" w:hAnsi="Arial"/>
          <w:b/>
          <w:bCs/>
        </w:rPr>
        <w:t>None</w:t>
      </w:r>
    </w:p>
    <w:p w:rsidR="002230B3" w:rsidRDefault="002230B3">
      <w:pPr>
        <w:pStyle w:val="List"/>
        <w:keepNext/>
        <w:spacing w:before="120"/>
        <w:ind w:left="0" w:firstLine="0"/>
        <w:rPr>
          <w:rFonts w:ascii="Arial" w:hAnsi="Arial"/>
          <w:b/>
        </w:rPr>
      </w:pPr>
      <w:r>
        <w:rPr>
          <w:rFonts w:ascii="Arial" w:hAnsi="Arial"/>
          <w:b/>
        </w:rPr>
        <w:lastRenderedPageBreak/>
        <w:t>Certificate Of Compliance</w:t>
      </w:r>
    </w:p>
    <w:p w:rsidR="002230B3" w:rsidRDefault="002230B3">
      <w:pPr>
        <w:pStyle w:val="BodyText"/>
        <w:keepNext/>
        <w:rPr>
          <w:rFonts w:ascii="Arial" w:hAnsi="Arial"/>
        </w:rPr>
      </w:pPr>
      <w:r>
        <w:rPr>
          <w:rFonts w:ascii="Arial" w:hAnsi="Arial"/>
        </w:rPr>
        <w:t>The undersigned hereby certifies that:</w:t>
      </w:r>
    </w:p>
    <w:p w:rsidR="002230B3" w:rsidRDefault="002230B3" w:rsidP="00B15AF5">
      <w:pPr>
        <w:pStyle w:val="List"/>
        <w:keepNext/>
        <w:numPr>
          <w:ilvl w:val="0"/>
          <w:numId w:val="23"/>
        </w:numPr>
        <w:spacing w:before="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B15AF5" w:rsidRDefault="002230B3" w:rsidP="00B15AF5">
      <w:pPr>
        <w:pStyle w:val="List"/>
        <w:numPr>
          <w:ilvl w:val="0"/>
          <w:numId w:val="23"/>
        </w:numPr>
        <w:spacing w:before="0"/>
        <w:jc w:val="both"/>
        <w:rPr>
          <w:rFonts w:ascii="Arial" w:hAnsi="Arial"/>
        </w:rPr>
      </w:pPr>
      <w:r w:rsidRPr="00B15AF5">
        <w:rPr>
          <w:rFonts w:ascii="Arial" w:hAnsi="Arial"/>
        </w:rPr>
        <w:t>As of the date hereof there were is no material information concerning the Issuer which has not been publicly disclosed.</w:t>
      </w:r>
    </w:p>
    <w:p w:rsidR="00B15AF5" w:rsidRPr="00586AEF" w:rsidRDefault="002230B3" w:rsidP="00B15AF5">
      <w:pPr>
        <w:pStyle w:val="List"/>
        <w:numPr>
          <w:ilvl w:val="0"/>
          <w:numId w:val="23"/>
        </w:numPr>
        <w:spacing w:before="0"/>
        <w:jc w:val="both"/>
        <w:rPr>
          <w:rFonts w:ascii="Arial" w:hAnsi="Arial"/>
        </w:rPr>
      </w:pPr>
      <w:r w:rsidRPr="00586AEF">
        <w:rPr>
          <w:rFonts w:ascii="Arial" w:hAnsi="Arial"/>
        </w:rPr>
        <w:t xml:space="preserve">The undersigned hereby certifies to </w:t>
      </w:r>
      <w:r w:rsidR="009F3941" w:rsidRPr="00586AEF">
        <w:rPr>
          <w:rFonts w:ascii="Arial" w:hAnsi="Arial"/>
        </w:rPr>
        <w:t>CNSX</w:t>
      </w:r>
      <w:r w:rsidRPr="00586AEF">
        <w:rPr>
          <w:rFonts w:ascii="Arial" w:hAnsi="Arial"/>
        </w:rPr>
        <w:t xml:space="preserve"> that the Issuer is in compliance with the requirements of applicable securities legislation (as such term is defined in National Instrument 14-101) and all </w:t>
      </w:r>
      <w:r w:rsidR="009F3941" w:rsidRPr="00586AEF">
        <w:rPr>
          <w:rFonts w:ascii="Arial" w:hAnsi="Arial"/>
        </w:rPr>
        <w:t>CNSX</w:t>
      </w:r>
      <w:r w:rsidRPr="00586AEF">
        <w:rPr>
          <w:rFonts w:ascii="Arial" w:hAnsi="Arial"/>
        </w:rPr>
        <w:t xml:space="preserve"> Requirements (as defined in </w:t>
      </w:r>
      <w:r w:rsidR="009F3941" w:rsidRPr="00586AEF">
        <w:rPr>
          <w:rFonts w:ascii="Arial" w:hAnsi="Arial"/>
        </w:rPr>
        <w:t>CNSX</w:t>
      </w:r>
      <w:r w:rsidRPr="00586AEF">
        <w:rPr>
          <w:rFonts w:ascii="Arial" w:hAnsi="Arial"/>
        </w:rPr>
        <w:t xml:space="preserve"> Policy 1).</w:t>
      </w:r>
    </w:p>
    <w:p w:rsidR="009F3941" w:rsidRDefault="002230B3" w:rsidP="00B15AF5">
      <w:pPr>
        <w:pStyle w:val="List"/>
        <w:numPr>
          <w:ilvl w:val="0"/>
          <w:numId w:val="23"/>
        </w:numPr>
        <w:spacing w:before="0"/>
        <w:jc w:val="both"/>
        <w:rPr>
          <w:rFonts w:ascii="Arial" w:hAnsi="Arial"/>
        </w:rPr>
      </w:pPr>
      <w:r w:rsidRPr="00B15AF5">
        <w:rPr>
          <w:rFonts w:ascii="Arial" w:hAnsi="Arial"/>
        </w:rPr>
        <w:t>All of the information in this Form 7 Monthly Progress Report is true.</w:t>
      </w:r>
    </w:p>
    <w:p w:rsidR="00272241" w:rsidRPr="00B15AF5" w:rsidRDefault="00272241" w:rsidP="00272241">
      <w:pPr>
        <w:pStyle w:val="List"/>
        <w:spacing w:before="0"/>
        <w:jc w:val="both"/>
        <w:rPr>
          <w:rFonts w:ascii="Arial" w:hAnsi="Arial"/>
        </w:rPr>
      </w:pPr>
    </w:p>
    <w:p w:rsidR="00B15AF5" w:rsidRDefault="002230B3" w:rsidP="00A468F3">
      <w:pPr>
        <w:pStyle w:val="List"/>
        <w:tabs>
          <w:tab w:val="left" w:pos="4680"/>
          <w:tab w:val="left" w:pos="7200"/>
        </w:tabs>
        <w:spacing w:before="0"/>
        <w:ind w:left="0" w:firstLine="0"/>
        <w:jc w:val="both"/>
        <w:rPr>
          <w:rFonts w:ascii="Arial" w:hAnsi="Arial"/>
        </w:rPr>
      </w:pPr>
      <w:r w:rsidRPr="009F3941">
        <w:rPr>
          <w:rFonts w:ascii="Arial" w:hAnsi="Arial"/>
        </w:rPr>
        <w:t>Dated</w:t>
      </w:r>
      <w:r w:rsidR="00272241">
        <w:rPr>
          <w:rFonts w:ascii="Arial" w:hAnsi="Arial"/>
        </w:rPr>
        <w:t>:</w:t>
      </w:r>
      <w:r w:rsidR="00F15F49" w:rsidRPr="009F3941">
        <w:rPr>
          <w:rFonts w:ascii="Arial" w:hAnsi="Arial"/>
        </w:rPr>
        <w:t xml:space="preserve"> </w:t>
      </w:r>
      <w:r w:rsidR="00F15976">
        <w:rPr>
          <w:rFonts w:ascii="Arial" w:hAnsi="Arial"/>
        </w:rPr>
        <w:t>Janua</w:t>
      </w:r>
      <w:r w:rsidR="00A4366F">
        <w:rPr>
          <w:rFonts w:ascii="Arial" w:hAnsi="Arial"/>
        </w:rPr>
        <w:t>r</w:t>
      </w:r>
      <w:r w:rsidR="00F15976">
        <w:rPr>
          <w:rFonts w:ascii="Arial" w:hAnsi="Arial"/>
        </w:rPr>
        <w:t>y</w:t>
      </w:r>
      <w:r w:rsidR="00A4366F">
        <w:rPr>
          <w:rFonts w:ascii="Arial" w:hAnsi="Arial"/>
        </w:rPr>
        <w:t xml:space="preserve"> </w:t>
      </w:r>
      <w:r w:rsidR="00F15976">
        <w:rPr>
          <w:rFonts w:ascii="Arial" w:hAnsi="Arial"/>
        </w:rPr>
        <w:t>2</w:t>
      </w:r>
      <w:r w:rsidR="00F71219">
        <w:rPr>
          <w:rFonts w:ascii="Arial" w:hAnsi="Arial"/>
        </w:rPr>
        <w:t>,</w:t>
      </w:r>
      <w:r w:rsidR="00DA32F5">
        <w:rPr>
          <w:rFonts w:ascii="Arial" w:hAnsi="Arial"/>
        </w:rPr>
        <w:t>201</w:t>
      </w:r>
      <w:r w:rsidR="00F15976">
        <w:rPr>
          <w:rFonts w:ascii="Arial" w:hAnsi="Arial"/>
        </w:rPr>
        <w:t>4</w:t>
      </w:r>
      <w:r>
        <w:rPr>
          <w:rFonts w:ascii="Arial" w:hAnsi="Arial"/>
        </w:rPr>
        <w:tab/>
      </w:r>
      <w:r w:rsidR="00AF3C30">
        <w:rPr>
          <w:rFonts w:ascii="Arial" w:hAnsi="Arial"/>
        </w:rPr>
        <w:t xml:space="preserve">                </w:t>
      </w:r>
      <w:r>
        <w:rPr>
          <w:rFonts w:ascii="Arial" w:hAnsi="Arial"/>
        </w:rPr>
        <w:t>Vicki Rosenthal</w:t>
      </w:r>
      <w:r>
        <w:rPr>
          <w:rFonts w:ascii="Arial" w:hAnsi="Arial"/>
          <w:u w:val="single"/>
        </w:rPr>
        <w:tab/>
      </w:r>
      <w:r>
        <w:rPr>
          <w:rFonts w:ascii="Arial" w:hAnsi="Arial"/>
          <w:u w:val="single"/>
        </w:rPr>
        <w:br/>
      </w:r>
      <w:r>
        <w:rPr>
          <w:rFonts w:ascii="Arial" w:hAnsi="Arial"/>
        </w:rPr>
        <w:t>Name of Director or Senior Officer</w:t>
      </w:r>
    </w:p>
    <w:p w:rsidR="002230B3" w:rsidRDefault="002230B3" w:rsidP="00B15AF5">
      <w:pPr>
        <w:pStyle w:val="List"/>
        <w:tabs>
          <w:tab w:val="left" w:pos="9180"/>
        </w:tabs>
        <w:ind w:left="5760" w:hanging="5760"/>
        <w:rPr>
          <w:rFonts w:ascii="Arial" w:hAnsi="Arial"/>
        </w:rPr>
      </w:pPr>
      <w:r>
        <w:rPr>
          <w:rFonts w:ascii="Arial" w:hAnsi="Arial"/>
        </w:rPr>
        <w:tab/>
      </w:r>
      <w:r>
        <w:rPr>
          <w:rFonts w:ascii="Arial" w:hAnsi="Arial"/>
          <w:b/>
          <w:bCs/>
          <w:i/>
          <w:iCs/>
        </w:rPr>
        <w:t>‘Vicki Rosenthal</w:t>
      </w:r>
      <w:r>
        <w:rPr>
          <w:rFonts w:ascii="Arial" w:hAnsi="Arial"/>
        </w:rPr>
        <w:t>”</w:t>
      </w:r>
      <w:r>
        <w:rPr>
          <w:rFonts w:ascii="Arial" w:hAnsi="Arial"/>
          <w:u w:val="single"/>
        </w:rPr>
        <w:tab/>
      </w:r>
      <w:r>
        <w:rPr>
          <w:rFonts w:ascii="Arial" w:hAnsi="Arial"/>
        </w:rPr>
        <w:br/>
        <w:t>Signature</w:t>
      </w:r>
    </w:p>
    <w:p w:rsidR="002230B3" w:rsidRDefault="002230B3">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rsidR="00136F59" w:rsidRDefault="00136F59">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A4366F" w:rsidRDefault="00A4366F">
      <w:pPr>
        <w:pStyle w:val="BodyText"/>
        <w:tabs>
          <w:tab w:val="left" w:pos="9180"/>
        </w:tabs>
        <w:spacing w:before="0"/>
        <w:ind w:left="5760"/>
        <w:rPr>
          <w:rFonts w:ascii="Arial" w:hAnsi="Arial"/>
        </w:rPr>
      </w:pPr>
    </w:p>
    <w:p w:rsidR="001B2F03" w:rsidRDefault="001B2F03">
      <w:pPr>
        <w:pStyle w:val="BodyText"/>
        <w:tabs>
          <w:tab w:val="left" w:pos="9180"/>
        </w:tabs>
        <w:spacing w:before="0"/>
        <w:ind w:left="5760"/>
        <w:rPr>
          <w:rFonts w:ascii="Arial" w:hAnsi="Arial"/>
        </w:rPr>
      </w:pPr>
    </w:p>
    <w:p w:rsidR="001B2F03" w:rsidRDefault="001B2F03">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2230B3" w:rsidTr="00D0612D">
        <w:trPr>
          <w:trHeight w:val="1347"/>
        </w:trPr>
        <w:tc>
          <w:tcPr>
            <w:tcW w:w="4878" w:type="dxa"/>
            <w:tcBorders>
              <w:top w:val="single" w:sz="18" w:space="0" w:color="auto"/>
              <w:bottom w:val="nil"/>
              <w:right w:val="single" w:sz="18" w:space="0" w:color="auto"/>
            </w:tcBorders>
          </w:tcPr>
          <w:p w:rsidR="002230B3" w:rsidRDefault="002230B3">
            <w:pPr>
              <w:pStyle w:val="BodyText"/>
              <w:spacing w:before="0"/>
              <w:rPr>
                <w:rFonts w:ascii="Arial" w:hAnsi="Arial"/>
                <w:b/>
                <w:i/>
              </w:rPr>
            </w:pPr>
            <w:r>
              <w:rPr>
                <w:rFonts w:ascii="Arial" w:hAnsi="Arial"/>
                <w:b/>
                <w:i/>
              </w:rPr>
              <w:t>Issuer Details</w:t>
            </w:r>
          </w:p>
          <w:p w:rsidR="002230B3" w:rsidRDefault="002230B3">
            <w:pPr>
              <w:pStyle w:val="BodyText"/>
              <w:spacing w:before="0"/>
              <w:rPr>
                <w:rFonts w:ascii="Arial" w:hAnsi="Arial"/>
              </w:rPr>
            </w:pPr>
            <w:r>
              <w:rPr>
                <w:rFonts w:ascii="Arial" w:hAnsi="Arial"/>
              </w:rPr>
              <w:t>Name of Issuer</w:t>
            </w:r>
          </w:p>
          <w:p w:rsidR="002230B3" w:rsidRDefault="002230B3">
            <w:pPr>
              <w:pStyle w:val="BodyText"/>
              <w:rPr>
                <w:rFonts w:ascii="Arial" w:hAnsi="Arial"/>
              </w:rPr>
            </w:pPr>
            <w:r>
              <w:rPr>
                <w:rFonts w:ascii="Arial" w:hAnsi="Arial"/>
              </w:rPr>
              <w:t>Mantis Mineral Corp.</w:t>
            </w:r>
          </w:p>
        </w:tc>
        <w:tc>
          <w:tcPr>
            <w:tcW w:w="1800" w:type="dxa"/>
            <w:tcBorders>
              <w:top w:val="single" w:sz="18" w:space="0" w:color="auto"/>
              <w:left w:val="single" w:sz="18" w:space="0" w:color="auto"/>
              <w:bottom w:val="nil"/>
              <w:right w:val="single" w:sz="18" w:space="0" w:color="auto"/>
            </w:tcBorders>
          </w:tcPr>
          <w:p w:rsidR="002230B3" w:rsidRDefault="002230B3">
            <w:pPr>
              <w:pStyle w:val="BodyText"/>
              <w:spacing w:before="0"/>
              <w:rPr>
                <w:rFonts w:ascii="Arial" w:hAnsi="Arial"/>
              </w:rPr>
            </w:pPr>
            <w:r>
              <w:rPr>
                <w:rFonts w:ascii="Arial" w:hAnsi="Arial"/>
              </w:rPr>
              <w:t>For Month End</w:t>
            </w:r>
          </w:p>
          <w:p w:rsidR="002230B3" w:rsidRDefault="00F15976" w:rsidP="00F15976">
            <w:pPr>
              <w:pStyle w:val="BodyText"/>
              <w:spacing w:before="0"/>
              <w:rPr>
                <w:rFonts w:ascii="Arial" w:hAnsi="Arial"/>
              </w:rPr>
            </w:pPr>
            <w:r>
              <w:rPr>
                <w:rFonts w:ascii="Arial" w:hAnsi="Arial"/>
              </w:rPr>
              <w:t xml:space="preserve">December </w:t>
            </w:r>
            <w:r w:rsidR="00A4366F">
              <w:rPr>
                <w:rFonts w:ascii="Arial" w:hAnsi="Arial"/>
              </w:rPr>
              <w:t>3</w:t>
            </w:r>
            <w:r>
              <w:rPr>
                <w:rFonts w:ascii="Arial" w:hAnsi="Arial"/>
              </w:rPr>
              <w:t>1</w:t>
            </w:r>
            <w:r w:rsidR="00A4366F">
              <w:rPr>
                <w:rFonts w:ascii="Arial" w:hAnsi="Arial"/>
              </w:rPr>
              <w:t xml:space="preserve"> </w:t>
            </w:r>
            <w:r w:rsidR="00DA32F5">
              <w:rPr>
                <w:rFonts w:ascii="Arial" w:hAnsi="Arial"/>
              </w:rPr>
              <w:t>,201</w:t>
            </w:r>
            <w:r w:rsidR="00D0612D">
              <w:rPr>
                <w:rFonts w:ascii="Arial" w:hAnsi="Arial"/>
              </w:rPr>
              <w:t>3</w:t>
            </w:r>
          </w:p>
        </w:tc>
        <w:tc>
          <w:tcPr>
            <w:tcW w:w="2898" w:type="dxa"/>
            <w:tcBorders>
              <w:top w:val="single" w:sz="18" w:space="0" w:color="auto"/>
              <w:left w:val="single" w:sz="18" w:space="0" w:color="auto"/>
              <w:bottom w:val="nil"/>
            </w:tcBorders>
          </w:tcPr>
          <w:p w:rsidR="002230B3" w:rsidRDefault="002230B3">
            <w:pPr>
              <w:pStyle w:val="BodyText"/>
              <w:spacing w:before="0"/>
              <w:rPr>
                <w:rFonts w:ascii="Arial" w:hAnsi="Arial"/>
              </w:rPr>
            </w:pPr>
            <w:r>
              <w:rPr>
                <w:rFonts w:ascii="Arial" w:hAnsi="Arial"/>
              </w:rPr>
              <w:t>Date of Report</w:t>
            </w:r>
          </w:p>
          <w:p w:rsidR="002230B3" w:rsidRDefault="002230B3">
            <w:pPr>
              <w:pStyle w:val="BodyText"/>
              <w:spacing w:before="0"/>
              <w:rPr>
                <w:rFonts w:ascii="Arial" w:hAnsi="Arial"/>
              </w:rPr>
            </w:pPr>
            <w:r>
              <w:rPr>
                <w:rFonts w:ascii="Arial" w:hAnsi="Arial"/>
              </w:rPr>
              <w:t>YY/MM/D</w:t>
            </w:r>
          </w:p>
          <w:p w:rsidR="002230B3" w:rsidRDefault="002230B3">
            <w:pPr>
              <w:pStyle w:val="BodyText"/>
              <w:spacing w:before="0"/>
              <w:rPr>
                <w:rFonts w:ascii="Arial" w:hAnsi="Arial"/>
              </w:rPr>
            </w:pPr>
          </w:p>
          <w:p w:rsidR="002230B3" w:rsidRDefault="00972412" w:rsidP="00F15976">
            <w:pPr>
              <w:pStyle w:val="BodyText"/>
              <w:spacing w:before="0"/>
              <w:rPr>
                <w:rFonts w:ascii="Arial" w:hAnsi="Arial"/>
              </w:rPr>
            </w:pPr>
            <w:r>
              <w:rPr>
                <w:rFonts w:ascii="Arial" w:hAnsi="Arial"/>
              </w:rPr>
              <w:t>1</w:t>
            </w:r>
            <w:r w:rsidR="00F15976">
              <w:rPr>
                <w:rFonts w:ascii="Arial" w:hAnsi="Arial"/>
              </w:rPr>
              <w:t>4</w:t>
            </w:r>
            <w:r w:rsidR="00FD7F49">
              <w:rPr>
                <w:rFonts w:ascii="Arial" w:hAnsi="Arial"/>
              </w:rPr>
              <w:t>/</w:t>
            </w:r>
            <w:r w:rsidR="00F15976">
              <w:rPr>
                <w:rFonts w:ascii="Arial" w:hAnsi="Arial"/>
              </w:rPr>
              <w:t>01</w:t>
            </w:r>
            <w:r w:rsidR="00AF3C30">
              <w:rPr>
                <w:rFonts w:ascii="Arial" w:hAnsi="Arial"/>
              </w:rPr>
              <w:t>/</w:t>
            </w:r>
            <w:r w:rsidR="00FD7F49">
              <w:rPr>
                <w:rFonts w:ascii="Arial" w:hAnsi="Arial"/>
              </w:rPr>
              <w:t>0</w:t>
            </w:r>
            <w:r w:rsidR="00F15976">
              <w:rPr>
                <w:rFonts w:ascii="Arial" w:hAnsi="Arial"/>
              </w:rPr>
              <w:t>2</w:t>
            </w:r>
          </w:p>
        </w:tc>
      </w:tr>
      <w:tr w:rsidR="002230B3">
        <w:trPr>
          <w:cantSplit/>
        </w:trPr>
        <w:tc>
          <w:tcPr>
            <w:tcW w:w="9576" w:type="dxa"/>
            <w:gridSpan w:val="3"/>
            <w:tcBorders>
              <w:top w:val="single" w:sz="18" w:space="0" w:color="auto"/>
              <w:bottom w:val="single" w:sz="18" w:space="0" w:color="auto"/>
            </w:tcBorders>
          </w:tcPr>
          <w:p w:rsidR="002230B3" w:rsidRDefault="002230B3">
            <w:pPr>
              <w:pStyle w:val="BodyText"/>
              <w:spacing w:before="0"/>
              <w:rPr>
                <w:rFonts w:ascii="Arial" w:hAnsi="Arial"/>
              </w:rPr>
            </w:pPr>
            <w:r>
              <w:rPr>
                <w:rFonts w:ascii="Arial" w:hAnsi="Arial"/>
              </w:rPr>
              <w:t>Issuer Address</w:t>
            </w:r>
          </w:p>
          <w:p w:rsidR="002230B3" w:rsidRDefault="00A468F3" w:rsidP="00B15AF5">
            <w:pPr>
              <w:pStyle w:val="BodyText"/>
              <w:spacing w:before="0"/>
              <w:rPr>
                <w:rFonts w:ascii="Arial" w:hAnsi="Arial"/>
              </w:rPr>
            </w:pPr>
            <w:smartTag w:uri="urn:schemas-microsoft-com:office:smarttags" w:element="Street">
              <w:smartTag w:uri="urn:schemas-microsoft-com:office:smarttags" w:element="address">
                <w:r>
                  <w:rPr>
                    <w:rFonts w:ascii="Arial" w:hAnsi="Arial"/>
                  </w:rPr>
                  <w:t>148 Yorkville Ave</w:t>
                </w:r>
              </w:smartTag>
            </w:smartTag>
          </w:p>
        </w:tc>
      </w:tr>
      <w:tr w:rsidR="002230B3">
        <w:tc>
          <w:tcPr>
            <w:tcW w:w="4878" w:type="dxa"/>
            <w:tcBorders>
              <w:top w:val="single" w:sz="18" w:space="0" w:color="auto"/>
              <w:bottom w:val="single" w:sz="18" w:space="0" w:color="auto"/>
              <w:right w:val="single" w:sz="18" w:space="0" w:color="auto"/>
            </w:tcBorders>
          </w:tcPr>
          <w:p w:rsidR="002230B3" w:rsidRDefault="002230B3">
            <w:pPr>
              <w:pStyle w:val="BodyText"/>
              <w:spacing w:before="0"/>
              <w:rPr>
                <w:rFonts w:ascii="Arial" w:hAnsi="Arial"/>
              </w:rPr>
            </w:pPr>
            <w:r>
              <w:rPr>
                <w:rFonts w:ascii="Arial" w:hAnsi="Arial"/>
              </w:rPr>
              <w:t>City/Province/Postal Code</w:t>
            </w:r>
          </w:p>
          <w:p w:rsidR="002230B3" w:rsidRDefault="002230B3">
            <w:pPr>
              <w:pStyle w:val="BodyText"/>
              <w:spacing w:before="0"/>
              <w:rPr>
                <w:rFonts w:ascii="Arial" w:hAnsi="Arial"/>
              </w:rPr>
            </w:pPr>
            <w:r>
              <w:rPr>
                <w:rFonts w:ascii="Arial" w:hAnsi="Arial"/>
              </w:rPr>
              <w:t>Toronto, Ontario</w:t>
            </w:r>
            <w:r w:rsidR="00A468F3">
              <w:rPr>
                <w:rFonts w:ascii="Arial" w:hAnsi="Arial"/>
              </w:rPr>
              <w:t xml:space="preserve"> M5R 1C</w:t>
            </w:r>
            <w:r w:rsidR="006178B6">
              <w:rPr>
                <w:rFonts w:ascii="Arial" w:hAnsi="Arial"/>
              </w:rPr>
              <w:t>2</w:t>
            </w:r>
          </w:p>
          <w:p w:rsidR="002230B3" w:rsidRDefault="002230B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2230B3" w:rsidRDefault="002230B3">
            <w:pPr>
              <w:pStyle w:val="BodyText"/>
              <w:spacing w:before="0"/>
              <w:rPr>
                <w:rFonts w:ascii="Arial" w:hAnsi="Arial"/>
              </w:rPr>
            </w:pPr>
            <w:r>
              <w:rPr>
                <w:rFonts w:ascii="Arial" w:hAnsi="Arial"/>
              </w:rPr>
              <w:t>Issuer Fax No.</w:t>
            </w:r>
          </w:p>
          <w:p w:rsidR="002230B3" w:rsidRDefault="002230B3" w:rsidP="009F3941">
            <w:pPr>
              <w:pStyle w:val="BodyText"/>
              <w:spacing w:before="0"/>
              <w:rPr>
                <w:rFonts w:ascii="Arial" w:hAnsi="Arial"/>
              </w:rPr>
            </w:pPr>
            <w:r>
              <w:rPr>
                <w:rFonts w:ascii="Arial" w:hAnsi="Arial"/>
              </w:rPr>
              <w:t>(416) 362-</w:t>
            </w:r>
            <w:r w:rsidR="009F3941">
              <w:rPr>
                <w:rFonts w:ascii="Arial" w:hAnsi="Arial"/>
              </w:rPr>
              <w:t>1780</w:t>
            </w:r>
          </w:p>
        </w:tc>
        <w:tc>
          <w:tcPr>
            <w:tcW w:w="2898" w:type="dxa"/>
            <w:tcBorders>
              <w:top w:val="single" w:sz="18" w:space="0" w:color="auto"/>
              <w:left w:val="single" w:sz="18" w:space="0" w:color="auto"/>
              <w:bottom w:val="single" w:sz="18" w:space="0" w:color="auto"/>
            </w:tcBorders>
          </w:tcPr>
          <w:p w:rsidR="002230B3" w:rsidRDefault="002230B3">
            <w:pPr>
              <w:pStyle w:val="BodyText"/>
              <w:spacing w:before="0"/>
              <w:rPr>
                <w:rFonts w:ascii="Arial" w:hAnsi="Arial"/>
              </w:rPr>
            </w:pPr>
            <w:r>
              <w:rPr>
                <w:rFonts w:ascii="Arial" w:hAnsi="Arial"/>
              </w:rPr>
              <w:t>Issuer Telephone No.</w:t>
            </w:r>
          </w:p>
          <w:p w:rsidR="002230B3" w:rsidRDefault="002230B3">
            <w:pPr>
              <w:pStyle w:val="BodyText"/>
              <w:spacing w:before="0"/>
              <w:rPr>
                <w:rFonts w:ascii="Arial" w:hAnsi="Arial"/>
              </w:rPr>
            </w:pPr>
            <w:r>
              <w:rPr>
                <w:rFonts w:ascii="Arial" w:hAnsi="Arial"/>
              </w:rPr>
              <w:t>(416) 362-1800</w:t>
            </w:r>
          </w:p>
        </w:tc>
      </w:tr>
      <w:tr w:rsidR="002230B3">
        <w:tc>
          <w:tcPr>
            <w:tcW w:w="4878" w:type="dxa"/>
            <w:tcBorders>
              <w:top w:val="single" w:sz="18" w:space="0" w:color="auto"/>
              <w:bottom w:val="single" w:sz="18" w:space="0" w:color="auto"/>
              <w:right w:val="single" w:sz="18" w:space="0" w:color="auto"/>
            </w:tcBorders>
          </w:tcPr>
          <w:p w:rsidR="002230B3" w:rsidRDefault="002230B3">
            <w:pPr>
              <w:pStyle w:val="BodyText"/>
              <w:spacing w:before="0"/>
              <w:rPr>
                <w:rFonts w:ascii="Arial" w:hAnsi="Arial"/>
              </w:rPr>
            </w:pPr>
            <w:r>
              <w:rPr>
                <w:rFonts w:ascii="Arial" w:hAnsi="Arial"/>
              </w:rPr>
              <w:t>Contact Name</w:t>
            </w:r>
          </w:p>
          <w:p w:rsidR="002230B3" w:rsidRDefault="002230B3">
            <w:pPr>
              <w:pStyle w:val="BodyText"/>
              <w:spacing w:before="0"/>
              <w:rPr>
                <w:rFonts w:ascii="Arial" w:hAnsi="Arial"/>
              </w:rPr>
            </w:pPr>
          </w:p>
          <w:p w:rsidR="002230B3" w:rsidRDefault="002230B3">
            <w:pPr>
              <w:pStyle w:val="BodyText"/>
              <w:spacing w:before="0"/>
              <w:rPr>
                <w:rFonts w:ascii="Arial" w:hAnsi="Arial"/>
              </w:rPr>
            </w:pPr>
            <w:r>
              <w:rPr>
                <w:rFonts w:ascii="Arial" w:hAnsi="Arial"/>
              </w:rPr>
              <w:t>Vicki Rosenthal</w:t>
            </w:r>
          </w:p>
          <w:p w:rsidR="002230B3" w:rsidRDefault="002230B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2230B3" w:rsidRDefault="002230B3">
            <w:pPr>
              <w:pStyle w:val="BodyText"/>
              <w:spacing w:before="0"/>
              <w:rPr>
                <w:rFonts w:ascii="Arial" w:hAnsi="Arial"/>
              </w:rPr>
            </w:pPr>
            <w:r>
              <w:rPr>
                <w:rFonts w:ascii="Arial" w:hAnsi="Arial"/>
              </w:rPr>
              <w:t>Contact Position</w:t>
            </w:r>
          </w:p>
          <w:p w:rsidR="002230B3" w:rsidRDefault="002230B3">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2230B3" w:rsidRDefault="002230B3">
            <w:pPr>
              <w:pStyle w:val="BodyText"/>
              <w:spacing w:before="0"/>
              <w:rPr>
                <w:rFonts w:ascii="Arial" w:hAnsi="Arial"/>
              </w:rPr>
            </w:pPr>
            <w:r>
              <w:rPr>
                <w:rFonts w:ascii="Arial" w:hAnsi="Arial"/>
              </w:rPr>
              <w:t>Contact Telephone No.</w:t>
            </w:r>
          </w:p>
          <w:p w:rsidR="002230B3" w:rsidRDefault="002230B3">
            <w:pPr>
              <w:pStyle w:val="BodyText"/>
              <w:spacing w:before="0"/>
              <w:rPr>
                <w:rFonts w:ascii="Arial" w:hAnsi="Arial"/>
              </w:rPr>
            </w:pPr>
          </w:p>
          <w:p w:rsidR="002230B3" w:rsidRDefault="002230B3">
            <w:pPr>
              <w:pStyle w:val="BodyText"/>
              <w:spacing w:before="0"/>
              <w:rPr>
                <w:rFonts w:ascii="Arial" w:hAnsi="Arial"/>
              </w:rPr>
            </w:pPr>
            <w:r>
              <w:rPr>
                <w:rFonts w:ascii="Arial" w:hAnsi="Arial"/>
              </w:rPr>
              <w:t>(416) 362-1800 ext 240</w:t>
            </w:r>
          </w:p>
        </w:tc>
      </w:tr>
      <w:tr w:rsidR="002230B3">
        <w:trPr>
          <w:cantSplit/>
        </w:trPr>
        <w:tc>
          <w:tcPr>
            <w:tcW w:w="4878" w:type="dxa"/>
            <w:tcBorders>
              <w:top w:val="single" w:sz="18" w:space="0" w:color="auto"/>
              <w:bottom w:val="single" w:sz="18" w:space="0" w:color="auto"/>
              <w:right w:val="single" w:sz="18" w:space="0" w:color="auto"/>
            </w:tcBorders>
          </w:tcPr>
          <w:p w:rsidR="002230B3" w:rsidRDefault="002230B3">
            <w:pPr>
              <w:pStyle w:val="BodyText"/>
              <w:spacing w:before="0"/>
              <w:rPr>
                <w:rFonts w:ascii="Arial" w:hAnsi="Arial"/>
              </w:rPr>
            </w:pPr>
            <w:r>
              <w:rPr>
                <w:rFonts w:ascii="Arial" w:hAnsi="Arial"/>
              </w:rPr>
              <w:t>Contact Email Address</w:t>
            </w:r>
          </w:p>
          <w:p w:rsidR="002230B3" w:rsidRDefault="002230B3">
            <w:pPr>
              <w:pStyle w:val="BodyText"/>
              <w:spacing w:before="0"/>
              <w:rPr>
                <w:rFonts w:ascii="Arial" w:hAnsi="Arial"/>
              </w:rPr>
            </w:pPr>
            <w:r>
              <w:rPr>
                <w:rFonts w:ascii="Arial" w:hAnsi="Arial"/>
              </w:rPr>
              <w:t>vrosenthal@mantismineralcorp.com</w:t>
            </w:r>
          </w:p>
        </w:tc>
        <w:tc>
          <w:tcPr>
            <w:tcW w:w="4698" w:type="dxa"/>
            <w:gridSpan w:val="2"/>
            <w:tcBorders>
              <w:top w:val="single" w:sz="18" w:space="0" w:color="auto"/>
              <w:left w:val="single" w:sz="18" w:space="0" w:color="auto"/>
              <w:bottom w:val="single" w:sz="18" w:space="0" w:color="auto"/>
            </w:tcBorders>
          </w:tcPr>
          <w:p w:rsidR="002230B3" w:rsidRDefault="002230B3">
            <w:pPr>
              <w:pStyle w:val="BodyText"/>
              <w:spacing w:before="0"/>
              <w:rPr>
                <w:rFonts w:ascii="Arial" w:hAnsi="Arial"/>
              </w:rPr>
            </w:pPr>
            <w:r>
              <w:rPr>
                <w:rFonts w:ascii="Arial" w:hAnsi="Arial"/>
              </w:rPr>
              <w:t>Web Site Address</w:t>
            </w:r>
          </w:p>
          <w:p w:rsidR="002230B3" w:rsidRDefault="006120DC">
            <w:pPr>
              <w:pStyle w:val="BodyText"/>
              <w:spacing w:before="0"/>
              <w:rPr>
                <w:rFonts w:ascii="Arial" w:hAnsi="Arial"/>
              </w:rPr>
            </w:pPr>
            <w:hyperlink r:id="rId7" w:history="1">
              <w:r w:rsidR="002230B3">
                <w:rPr>
                  <w:rStyle w:val="Hyperlink"/>
                  <w:rFonts w:ascii="Arial" w:hAnsi="Arial"/>
                </w:rPr>
                <w:t>www.mantismineralcorp.com</w:t>
              </w:r>
            </w:hyperlink>
          </w:p>
        </w:tc>
      </w:tr>
    </w:tbl>
    <w:p w:rsidR="002230B3" w:rsidRDefault="002230B3" w:rsidP="00ED0C58">
      <w:pPr>
        <w:pStyle w:val="BodyText"/>
      </w:pPr>
    </w:p>
    <w:sectPr w:rsidR="002230B3" w:rsidSect="00136F59">
      <w:headerReference w:type="even" r:id="rId8"/>
      <w:headerReference w:type="default" r:id="rId9"/>
      <w:footerReference w:type="default" r:id="rId10"/>
      <w:footerReference w:type="first" r:id="rId11"/>
      <w:pgSz w:w="12240" w:h="15840" w:code="1"/>
      <w:pgMar w:top="426" w:right="1440" w:bottom="567" w:left="1440" w:header="624"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6E" w:rsidRDefault="00CB326E" w:rsidP="002230B3">
      <w:r>
        <w:separator/>
      </w:r>
    </w:p>
  </w:endnote>
  <w:endnote w:type="continuationSeparator" w:id="0">
    <w:p w:rsidR="00CB326E" w:rsidRDefault="00CB326E" w:rsidP="002230B3">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E" w:rsidRDefault="006120DC">
    <w:pPr>
      <w:tabs>
        <w:tab w:val="center" w:pos="4680"/>
        <w:tab w:val="left" w:pos="8280"/>
      </w:tabs>
      <w:jc w:val="center"/>
      <w:rPr>
        <w:rStyle w:val="PageNumber"/>
        <w:rFonts w:ascii="Arial" w:hAnsi="Arial" w:cs="Arial"/>
        <w:b/>
      </w:rPr>
    </w:pPr>
    <w:r w:rsidRPr="006120DC">
      <w:rPr>
        <w:b/>
        <w:noProof/>
      </w:rPr>
      <w:pict>
        <v:line id="_x0000_s2055" style="position:absolute;left:0;text-align:left;flip:x;z-index:251658240" from="5.7pt,-12pt" to="467.4pt,-12pt"/>
      </w:pict>
    </w:r>
    <w:r w:rsidR="003F39EE">
      <w:rPr>
        <w:rFonts w:ascii="Arial" w:hAnsi="Arial" w:cs="Arial"/>
        <w:b/>
      </w:rPr>
      <w:t>FORM 7 – MONTHLY PROGRESS REPORT</w:t>
    </w:r>
  </w:p>
  <w:p w:rsidR="003F39EE" w:rsidRDefault="003F39EE">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08, 2004</w:t>
    </w:r>
    <w:r>
      <w:rPr>
        <w:rStyle w:val="PageNumber"/>
        <w:rFonts w:ascii="Arial" w:hAnsi="Arial" w:cs="Arial"/>
        <w:sz w:val="16"/>
        <w:szCs w:val="16"/>
      </w:rPr>
      <w:tab/>
    </w:r>
    <w:r>
      <w:rPr>
        <w:rStyle w:val="PageNumber"/>
        <w:rFonts w:ascii="Arial" w:hAnsi="Arial" w:cs="Arial"/>
        <w:sz w:val="16"/>
        <w:szCs w:val="16"/>
      </w:rPr>
      <w:tab/>
    </w:r>
    <w:r w:rsidR="00DC5800">
      <w:rPr>
        <w:rFonts w:ascii="Arial" w:hAnsi="Arial" w:cs="Arial"/>
        <w:noProof/>
        <w:sz w:val="16"/>
        <w:szCs w:val="16"/>
        <w:lang w:val="en-CA" w:eastAsia="en-CA"/>
      </w:rPr>
      <w:drawing>
        <wp:inline distT="0" distB="0" distL="0" distR="0">
          <wp:extent cx="2063750" cy="7607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5655" cy="761406"/>
                  </a:xfrm>
                  <a:prstGeom prst="rect">
                    <a:avLst/>
                  </a:prstGeom>
                  <a:noFill/>
                  <a:ln w="9525">
                    <a:noFill/>
                    <a:miter lim="800000"/>
                    <a:headEnd/>
                    <a:tailEnd/>
                  </a:ln>
                </pic:spPr>
              </pic:pic>
            </a:graphicData>
          </a:graphic>
        </wp:inline>
      </w:drawing>
    </w:r>
  </w:p>
  <w:p w:rsidR="003F39EE" w:rsidRDefault="003F39EE">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sidR="006120D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120DC">
      <w:rPr>
        <w:rStyle w:val="PageNumber"/>
        <w:rFonts w:ascii="Arial" w:hAnsi="Arial" w:cs="Arial"/>
        <w:sz w:val="16"/>
        <w:szCs w:val="16"/>
      </w:rPr>
      <w:fldChar w:fldCharType="separate"/>
    </w:r>
    <w:r w:rsidR="00F15976">
      <w:rPr>
        <w:rStyle w:val="PageNumber"/>
        <w:rFonts w:ascii="Arial" w:hAnsi="Arial" w:cs="Arial"/>
        <w:noProof/>
        <w:sz w:val="16"/>
        <w:szCs w:val="16"/>
      </w:rPr>
      <w:t>5</w:t>
    </w:r>
    <w:r w:rsidR="006120DC">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E" w:rsidRDefault="003F39EE">
    <w:pPr>
      <w:pStyle w:val="Footer"/>
      <w:tabs>
        <w:tab w:val="clear" w:pos="4320"/>
        <w:tab w:val="clear" w:pos="8640"/>
        <w:tab w:val="center" w:pos="4680"/>
        <w:tab w:val="right" w:pos="9360"/>
      </w:tabs>
      <w:rPr>
        <w:b/>
      </w:rPr>
    </w:pPr>
  </w:p>
  <w:p w:rsidR="003F39EE" w:rsidRDefault="006120DC">
    <w:pPr>
      <w:tabs>
        <w:tab w:val="center" w:pos="4674"/>
        <w:tab w:val="left" w:pos="8460"/>
      </w:tabs>
      <w:jc w:val="center"/>
      <w:rPr>
        <w:rStyle w:val="PageNumber"/>
        <w:rFonts w:ascii="Arial" w:hAnsi="Arial" w:cs="Arial"/>
        <w:b/>
      </w:rPr>
    </w:pPr>
    <w:r w:rsidRPr="006120DC">
      <w:rPr>
        <w:b/>
        <w:noProof/>
      </w:rPr>
      <w:pict>
        <v:line id="_x0000_s2053" style="position:absolute;left:0;text-align:left;flip:x;z-index:251657216" from="5.7pt,-12pt" to="467.4pt,-12pt"/>
      </w:pict>
    </w:r>
    <w:r w:rsidR="003F39EE">
      <w:rPr>
        <w:rFonts w:ascii="Arial" w:hAnsi="Arial" w:cs="Arial"/>
        <w:b/>
      </w:rPr>
      <w:t>FORM 7 – MONTHLY PROGRESS REPORT</w:t>
    </w:r>
  </w:p>
  <w:p w:rsidR="003F39EE" w:rsidRDefault="003F39EE">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08, 2004</w:t>
    </w:r>
  </w:p>
  <w:p w:rsidR="003F39EE" w:rsidRDefault="003F39EE">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ab/>
      <w:t xml:space="preserve">Page </w:t>
    </w:r>
    <w:r w:rsidR="006120DC">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120DC">
      <w:rPr>
        <w:rStyle w:val="PageNumber"/>
        <w:rFonts w:ascii="Arial" w:hAnsi="Arial" w:cs="Arial"/>
        <w:sz w:val="16"/>
        <w:szCs w:val="16"/>
      </w:rPr>
      <w:fldChar w:fldCharType="separate"/>
    </w:r>
    <w:r w:rsidR="00744797">
      <w:rPr>
        <w:rStyle w:val="PageNumber"/>
        <w:rFonts w:ascii="Arial" w:hAnsi="Arial" w:cs="Arial"/>
        <w:noProof/>
        <w:sz w:val="16"/>
        <w:szCs w:val="16"/>
      </w:rPr>
      <w:t>1</w:t>
    </w:r>
    <w:r w:rsidR="006120DC">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DC5800">
      <w:rPr>
        <w:rFonts w:ascii="Arial" w:hAnsi="Arial" w:cs="Arial"/>
        <w:noProof/>
        <w:sz w:val="16"/>
        <w:szCs w:val="16"/>
        <w:lang w:val="en-CA" w:eastAsia="en-CA"/>
      </w:rPr>
      <w:drawing>
        <wp:inline distT="0" distB="0" distL="0" distR="0">
          <wp:extent cx="2065655" cy="6013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65655" cy="6013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6E" w:rsidRDefault="00CB326E" w:rsidP="002230B3">
      <w:r>
        <w:separator/>
      </w:r>
    </w:p>
  </w:footnote>
  <w:footnote w:type="continuationSeparator" w:id="0">
    <w:p w:rsidR="00CB326E" w:rsidRDefault="00CB326E" w:rsidP="00223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E" w:rsidRDefault="006120DC">
    <w:pPr>
      <w:pStyle w:val="Header"/>
      <w:framePr w:wrap="around" w:vAnchor="text" w:hAnchor="margin" w:xAlign="center" w:y="1"/>
      <w:rPr>
        <w:rStyle w:val="PageNumber"/>
      </w:rPr>
    </w:pPr>
    <w:r>
      <w:rPr>
        <w:rStyle w:val="PageNumber"/>
      </w:rPr>
      <w:fldChar w:fldCharType="begin"/>
    </w:r>
    <w:r w:rsidR="003F39EE">
      <w:rPr>
        <w:rStyle w:val="PageNumber"/>
      </w:rPr>
      <w:instrText xml:space="preserve">PAGE  </w:instrText>
    </w:r>
    <w:r>
      <w:rPr>
        <w:rStyle w:val="PageNumber"/>
      </w:rPr>
      <w:fldChar w:fldCharType="separate"/>
    </w:r>
    <w:r w:rsidR="003F39EE">
      <w:rPr>
        <w:rStyle w:val="PageNumber"/>
        <w:noProof/>
      </w:rPr>
      <w:t>3</w:t>
    </w:r>
    <w:r>
      <w:rPr>
        <w:rStyle w:val="PageNumber"/>
      </w:rPr>
      <w:fldChar w:fldCharType="end"/>
    </w:r>
  </w:p>
  <w:p w:rsidR="003F39EE" w:rsidRDefault="003F3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EE" w:rsidRDefault="003F39EE">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4AC2172"/>
    <w:multiLevelType w:val="hybridMultilevel"/>
    <w:tmpl w:val="76C6F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9BB6A19"/>
    <w:multiLevelType w:val="hybridMultilevel"/>
    <w:tmpl w:val="C8F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D9A579C"/>
    <w:multiLevelType w:val="multilevel"/>
    <w:tmpl w:val="E93666CA"/>
    <w:name w:val="zzmpRecital2||Recital 2|2|3|1|1|2|32||1|2|32||1|2|32||1|12|32||1|2|32||1|2|32||1|2|32||1|2|32||1|2|32||"/>
    <w:lvl w:ilvl="0">
      <w:start w:val="1"/>
      <w:numFmt w:val="upperLetter"/>
      <w:pStyle w:val="Recital2L1"/>
      <w:lvlText w:val="%1."/>
      <w:lvlJc w:val="left"/>
      <w:pPr>
        <w:tabs>
          <w:tab w:val="num" w:pos="720"/>
        </w:tabs>
        <w:ind w:left="720" w:hanging="720"/>
      </w:pPr>
      <w:rPr>
        <w:rFonts w:hint="default"/>
        <w:b w:val="0"/>
        <w:i w:val="0"/>
        <w:caps w:val="0"/>
        <w:u w:val="none"/>
      </w:rPr>
    </w:lvl>
    <w:lvl w:ilvl="1">
      <w:start w:val="1"/>
      <w:numFmt w:val="decimal"/>
      <w:pStyle w:val="Recital2L2"/>
      <w:lvlText w:val="%2."/>
      <w:lvlJc w:val="left"/>
      <w:pPr>
        <w:tabs>
          <w:tab w:val="num" w:pos="720"/>
        </w:tabs>
        <w:ind w:left="720" w:hanging="720"/>
      </w:pPr>
      <w:rPr>
        <w:rFonts w:hint="default"/>
        <w:b w:val="0"/>
        <w:i w:val="0"/>
        <w:caps w:val="0"/>
        <w:u w:val="none"/>
      </w:rPr>
    </w:lvl>
    <w:lvl w:ilvl="2">
      <w:start w:val="1"/>
      <w:numFmt w:val="lowerLetter"/>
      <w:pStyle w:val="Recital2L3"/>
      <w:lvlText w:val="(%3)"/>
      <w:lvlJc w:val="left"/>
      <w:pPr>
        <w:tabs>
          <w:tab w:val="num" w:pos="1440"/>
        </w:tabs>
        <w:ind w:left="1440" w:hanging="720"/>
      </w:pPr>
      <w:rPr>
        <w:rFonts w:hint="default"/>
        <w:b w:val="0"/>
        <w:i w:val="0"/>
        <w:caps w:val="0"/>
        <w:u w:val="none"/>
      </w:rPr>
    </w:lvl>
    <w:lvl w:ilvl="3">
      <w:start w:val="1"/>
      <w:numFmt w:val="lowerRoman"/>
      <w:pStyle w:val="Recital2L4"/>
      <w:lvlText w:val="(%4)"/>
      <w:lvlJc w:val="left"/>
      <w:pPr>
        <w:tabs>
          <w:tab w:val="num" w:pos="2160"/>
        </w:tabs>
        <w:ind w:left="2160" w:hanging="720"/>
      </w:pPr>
      <w:rPr>
        <w:rFonts w:hint="default"/>
        <w:b w:val="0"/>
        <w:i w:val="0"/>
        <w:caps w:val="0"/>
        <w:u w:val="none"/>
      </w:rPr>
    </w:lvl>
    <w:lvl w:ilvl="4">
      <w:start w:val="1"/>
      <w:numFmt w:val="upperLetter"/>
      <w:pStyle w:val="Recital2L5"/>
      <w:lvlText w:val="(%5)"/>
      <w:lvlJc w:val="left"/>
      <w:pPr>
        <w:tabs>
          <w:tab w:val="num" w:pos="2880"/>
        </w:tabs>
        <w:ind w:left="2880" w:hanging="720"/>
      </w:pPr>
      <w:rPr>
        <w:rFonts w:hint="default"/>
        <w:b w:val="0"/>
        <w:i w:val="0"/>
        <w:caps w:val="0"/>
        <w:u w:val="none"/>
      </w:rPr>
    </w:lvl>
    <w:lvl w:ilvl="5">
      <w:start w:val="1"/>
      <w:numFmt w:val="upperRoman"/>
      <w:pStyle w:val="Recital2L6"/>
      <w:lvlText w:val="(%6)"/>
      <w:lvlJc w:val="left"/>
      <w:pPr>
        <w:tabs>
          <w:tab w:val="num" w:pos="3600"/>
        </w:tabs>
        <w:ind w:left="3600" w:hanging="720"/>
      </w:pPr>
      <w:rPr>
        <w:rFonts w:hint="default"/>
        <w:b w:val="0"/>
        <w:i w:val="0"/>
        <w:caps w:val="0"/>
        <w:u w:val="none"/>
      </w:rPr>
    </w:lvl>
    <w:lvl w:ilvl="6">
      <w:start w:val="1"/>
      <w:numFmt w:val="decimal"/>
      <w:pStyle w:val="Recital2L7"/>
      <w:lvlText w:val="(%7)"/>
      <w:lvlJc w:val="left"/>
      <w:pPr>
        <w:tabs>
          <w:tab w:val="num" w:pos="4320"/>
        </w:tabs>
        <w:ind w:left="4320" w:hanging="720"/>
      </w:pPr>
      <w:rPr>
        <w:rFonts w:hint="default"/>
        <w:b w:val="0"/>
        <w:i w:val="0"/>
        <w:caps w:val="0"/>
        <w:u w:val="none"/>
      </w:rPr>
    </w:lvl>
    <w:lvl w:ilvl="7">
      <w:start w:val="1"/>
      <w:numFmt w:val="lowerLetter"/>
      <w:pStyle w:val="Recital2L8"/>
      <w:lvlText w:val="%8."/>
      <w:lvlJc w:val="left"/>
      <w:pPr>
        <w:tabs>
          <w:tab w:val="num" w:pos="5040"/>
        </w:tabs>
        <w:ind w:left="5040" w:hanging="720"/>
      </w:pPr>
      <w:rPr>
        <w:rFonts w:hint="default"/>
        <w:b w:val="0"/>
        <w:i w:val="0"/>
        <w:caps w:val="0"/>
        <w:u w:val="none"/>
      </w:rPr>
    </w:lvl>
    <w:lvl w:ilvl="8">
      <w:start w:val="1"/>
      <w:numFmt w:val="lowerRoman"/>
      <w:pStyle w:val="Recital2L9"/>
      <w:lvlText w:val="%9."/>
      <w:lvlJc w:val="left"/>
      <w:pPr>
        <w:tabs>
          <w:tab w:val="num" w:pos="5760"/>
        </w:tabs>
        <w:ind w:left="5760" w:hanging="720"/>
      </w:pPr>
      <w:rPr>
        <w:rFonts w:hint="default"/>
        <w:b w:val="0"/>
        <w:i w:val="0"/>
        <w:caps w:val="0"/>
        <w:u w:val="none"/>
      </w:rPr>
    </w:lvl>
  </w:abstractNum>
  <w:abstractNum w:abstractNumId="18">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671E2E7D"/>
    <w:multiLevelType w:val="hybridMultilevel"/>
    <w:tmpl w:val="0D3AC89C"/>
    <w:lvl w:ilvl="0" w:tplc="61965754">
      <w:start w:val="1"/>
      <w:numFmt w:val="lowerLetter"/>
      <w:lvlText w:val="%1)"/>
      <w:lvlJc w:val="left"/>
      <w:pPr>
        <w:ind w:left="1440" w:hanging="360"/>
      </w:pPr>
      <w:rPr>
        <w:rFonts w:ascii="Tahoma" w:hAnsi="Tahoma" w:hint="default"/>
        <w:sz w:val="18"/>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7554148"/>
    <w:multiLevelType w:val="hybridMultilevel"/>
    <w:tmpl w:val="B796A8EA"/>
    <w:lvl w:ilvl="0" w:tplc="AB6E2B5A">
      <w:start w:val="1"/>
      <w:numFmt w:val="lowerRoman"/>
      <w:lvlText w:val="(%1)"/>
      <w:lvlJc w:val="left"/>
      <w:pPr>
        <w:ind w:left="144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nsid w:val="7C784FEF"/>
    <w:multiLevelType w:val="hybridMultilevel"/>
    <w:tmpl w:val="C9D47A1A"/>
    <w:lvl w:ilvl="0" w:tplc="38FA5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9"/>
  </w:num>
  <w:num w:numId="9">
    <w:abstractNumId w:val="22"/>
  </w:num>
  <w:num w:numId="10">
    <w:abstractNumId w:val="11"/>
  </w:num>
  <w:num w:numId="11">
    <w:abstractNumId w:val="14"/>
  </w:num>
  <w:num w:numId="12">
    <w:abstractNumId w:val="16"/>
  </w:num>
  <w:num w:numId="13">
    <w:abstractNumId w:val="32"/>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4"/>
  </w:num>
  <w:num w:numId="24">
    <w:abstractNumId w:val="21"/>
  </w:num>
  <w:num w:numId="25">
    <w:abstractNumId w:val="4"/>
  </w:num>
  <w:num w:numId="26">
    <w:abstractNumId w:val="30"/>
  </w:num>
  <w:num w:numId="27">
    <w:abstractNumId w:val="33"/>
  </w:num>
  <w:num w:numId="28">
    <w:abstractNumId w:val="5"/>
  </w:num>
  <w:num w:numId="29">
    <w:abstractNumId w:val="31"/>
  </w:num>
  <w:num w:numId="30">
    <w:abstractNumId w:val="28"/>
  </w:num>
  <w:num w:numId="31">
    <w:abstractNumId w:val="26"/>
  </w:num>
  <w:num w:numId="32">
    <w:abstractNumId w:val="15"/>
  </w:num>
  <w:num w:numId="33">
    <w:abstractNumId w:val="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7042"/>
    <o:shapelayout v:ext="edit">
      <o:idmap v:ext="edit" data="2"/>
    </o:shapelayout>
  </w:hdrShapeDefaults>
  <w:footnotePr>
    <w:footnote w:id="-1"/>
    <w:footnote w:id="0"/>
  </w:footnotePr>
  <w:endnotePr>
    <w:endnote w:id="-1"/>
    <w:endnote w:id="0"/>
  </w:endnotePr>
  <w:compat/>
  <w:rsids>
    <w:rsidRoot w:val="002230B3"/>
    <w:rsid w:val="000000B4"/>
    <w:rsid w:val="0000014D"/>
    <w:rsid w:val="00032593"/>
    <w:rsid w:val="00041BAC"/>
    <w:rsid w:val="000513F4"/>
    <w:rsid w:val="0009460C"/>
    <w:rsid w:val="0009555D"/>
    <w:rsid w:val="000D1EE4"/>
    <w:rsid w:val="000D2509"/>
    <w:rsid w:val="000E08C5"/>
    <w:rsid w:val="000F1A1F"/>
    <w:rsid w:val="00121DC4"/>
    <w:rsid w:val="00132622"/>
    <w:rsid w:val="00136321"/>
    <w:rsid w:val="00136F59"/>
    <w:rsid w:val="001517CD"/>
    <w:rsid w:val="001742FA"/>
    <w:rsid w:val="001763EB"/>
    <w:rsid w:val="00192166"/>
    <w:rsid w:val="001A361C"/>
    <w:rsid w:val="001B2F03"/>
    <w:rsid w:val="001B4A3C"/>
    <w:rsid w:val="001D5F66"/>
    <w:rsid w:val="001E03AB"/>
    <w:rsid w:val="002230B3"/>
    <w:rsid w:val="00226155"/>
    <w:rsid w:val="0023109C"/>
    <w:rsid w:val="00232A66"/>
    <w:rsid w:val="002426F1"/>
    <w:rsid w:val="0025200C"/>
    <w:rsid w:val="00254F0F"/>
    <w:rsid w:val="00272241"/>
    <w:rsid w:val="002966A5"/>
    <w:rsid w:val="002C3729"/>
    <w:rsid w:val="002E5973"/>
    <w:rsid w:val="002F6EE3"/>
    <w:rsid w:val="003056EE"/>
    <w:rsid w:val="00320FF4"/>
    <w:rsid w:val="003425FC"/>
    <w:rsid w:val="003507A8"/>
    <w:rsid w:val="003552DA"/>
    <w:rsid w:val="00356652"/>
    <w:rsid w:val="00356854"/>
    <w:rsid w:val="0035686A"/>
    <w:rsid w:val="0037731B"/>
    <w:rsid w:val="003848D2"/>
    <w:rsid w:val="003906BA"/>
    <w:rsid w:val="003C3D08"/>
    <w:rsid w:val="003E469D"/>
    <w:rsid w:val="003F39EE"/>
    <w:rsid w:val="003F7AB5"/>
    <w:rsid w:val="004146D6"/>
    <w:rsid w:val="00422E69"/>
    <w:rsid w:val="00424F81"/>
    <w:rsid w:val="004273CA"/>
    <w:rsid w:val="00432DA7"/>
    <w:rsid w:val="00437D50"/>
    <w:rsid w:val="0044033A"/>
    <w:rsid w:val="004461F3"/>
    <w:rsid w:val="00455475"/>
    <w:rsid w:val="00467A51"/>
    <w:rsid w:val="00474E00"/>
    <w:rsid w:val="00476598"/>
    <w:rsid w:val="004A632D"/>
    <w:rsid w:val="004B76C5"/>
    <w:rsid w:val="004D69EA"/>
    <w:rsid w:val="004E122B"/>
    <w:rsid w:val="004E7300"/>
    <w:rsid w:val="004F4DD9"/>
    <w:rsid w:val="00500BAE"/>
    <w:rsid w:val="00507D93"/>
    <w:rsid w:val="00521FE7"/>
    <w:rsid w:val="00550DA6"/>
    <w:rsid w:val="005802D4"/>
    <w:rsid w:val="0058136A"/>
    <w:rsid w:val="00586AEF"/>
    <w:rsid w:val="005A3210"/>
    <w:rsid w:val="005A7BB4"/>
    <w:rsid w:val="005B7FC2"/>
    <w:rsid w:val="005D693E"/>
    <w:rsid w:val="005E14E4"/>
    <w:rsid w:val="005E71AA"/>
    <w:rsid w:val="005F02DA"/>
    <w:rsid w:val="006117C1"/>
    <w:rsid w:val="006120DC"/>
    <w:rsid w:val="006178B6"/>
    <w:rsid w:val="00643A4A"/>
    <w:rsid w:val="006A642B"/>
    <w:rsid w:val="006B1CC6"/>
    <w:rsid w:val="006B3E85"/>
    <w:rsid w:val="006D1979"/>
    <w:rsid w:val="006E130E"/>
    <w:rsid w:val="006F48E9"/>
    <w:rsid w:val="007145C2"/>
    <w:rsid w:val="00732E8F"/>
    <w:rsid w:val="007345D8"/>
    <w:rsid w:val="00741B08"/>
    <w:rsid w:val="00744797"/>
    <w:rsid w:val="00751C70"/>
    <w:rsid w:val="00752B80"/>
    <w:rsid w:val="00766510"/>
    <w:rsid w:val="007776B5"/>
    <w:rsid w:val="007B1453"/>
    <w:rsid w:val="007B2FDE"/>
    <w:rsid w:val="00805B6F"/>
    <w:rsid w:val="00823427"/>
    <w:rsid w:val="00830767"/>
    <w:rsid w:val="00833C9C"/>
    <w:rsid w:val="00853EC9"/>
    <w:rsid w:val="008736D7"/>
    <w:rsid w:val="0088098C"/>
    <w:rsid w:val="00882581"/>
    <w:rsid w:val="008943A4"/>
    <w:rsid w:val="00895363"/>
    <w:rsid w:val="008A0640"/>
    <w:rsid w:val="008E025E"/>
    <w:rsid w:val="008F1074"/>
    <w:rsid w:val="00907172"/>
    <w:rsid w:val="00911B5C"/>
    <w:rsid w:val="00921893"/>
    <w:rsid w:val="009322E9"/>
    <w:rsid w:val="00936DB8"/>
    <w:rsid w:val="00943797"/>
    <w:rsid w:val="00972412"/>
    <w:rsid w:val="00973A50"/>
    <w:rsid w:val="009933FE"/>
    <w:rsid w:val="00994D4B"/>
    <w:rsid w:val="009C0132"/>
    <w:rsid w:val="009C1462"/>
    <w:rsid w:val="009C3E18"/>
    <w:rsid w:val="009C5890"/>
    <w:rsid w:val="009D0F7E"/>
    <w:rsid w:val="009F0CEB"/>
    <w:rsid w:val="009F3941"/>
    <w:rsid w:val="00A107A8"/>
    <w:rsid w:val="00A23711"/>
    <w:rsid w:val="00A32366"/>
    <w:rsid w:val="00A3535A"/>
    <w:rsid w:val="00A4366F"/>
    <w:rsid w:val="00A468F3"/>
    <w:rsid w:val="00A633CF"/>
    <w:rsid w:val="00A66456"/>
    <w:rsid w:val="00A90E62"/>
    <w:rsid w:val="00AA35FB"/>
    <w:rsid w:val="00AB41FD"/>
    <w:rsid w:val="00AB7292"/>
    <w:rsid w:val="00AD1121"/>
    <w:rsid w:val="00AD56DB"/>
    <w:rsid w:val="00AE759C"/>
    <w:rsid w:val="00AE79CB"/>
    <w:rsid w:val="00AF3C30"/>
    <w:rsid w:val="00B03CCD"/>
    <w:rsid w:val="00B04B9B"/>
    <w:rsid w:val="00B15AF5"/>
    <w:rsid w:val="00B27664"/>
    <w:rsid w:val="00B3402B"/>
    <w:rsid w:val="00B55A23"/>
    <w:rsid w:val="00B63E15"/>
    <w:rsid w:val="00B6682B"/>
    <w:rsid w:val="00B67C33"/>
    <w:rsid w:val="00B70502"/>
    <w:rsid w:val="00B754FA"/>
    <w:rsid w:val="00B83D64"/>
    <w:rsid w:val="00B87B42"/>
    <w:rsid w:val="00B96786"/>
    <w:rsid w:val="00BB1929"/>
    <w:rsid w:val="00BC01E1"/>
    <w:rsid w:val="00BD40BE"/>
    <w:rsid w:val="00C517DD"/>
    <w:rsid w:val="00CA06D8"/>
    <w:rsid w:val="00CA411F"/>
    <w:rsid w:val="00CB326E"/>
    <w:rsid w:val="00CC25F8"/>
    <w:rsid w:val="00CC3E0C"/>
    <w:rsid w:val="00CE6CDE"/>
    <w:rsid w:val="00D0612D"/>
    <w:rsid w:val="00D11D48"/>
    <w:rsid w:val="00D30509"/>
    <w:rsid w:val="00D4686D"/>
    <w:rsid w:val="00D56F4D"/>
    <w:rsid w:val="00D57B86"/>
    <w:rsid w:val="00D648FA"/>
    <w:rsid w:val="00D6721A"/>
    <w:rsid w:val="00D73539"/>
    <w:rsid w:val="00D80922"/>
    <w:rsid w:val="00DA32F5"/>
    <w:rsid w:val="00DC2016"/>
    <w:rsid w:val="00DC5800"/>
    <w:rsid w:val="00DE168D"/>
    <w:rsid w:val="00E044AD"/>
    <w:rsid w:val="00E21129"/>
    <w:rsid w:val="00E33FA3"/>
    <w:rsid w:val="00E3512C"/>
    <w:rsid w:val="00E375F0"/>
    <w:rsid w:val="00E402AB"/>
    <w:rsid w:val="00E42C5E"/>
    <w:rsid w:val="00E902A8"/>
    <w:rsid w:val="00EA2DEE"/>
    <w:rsid w:val="00EC2AEE"/>
    <w:rsid w:val="00ED0C58"/>
    <w:rsid w:val="00EE7E48"/>
    <w:rsid w:val="00F15976"/>
    <w:rsid w:val="00F15F49"/>
    <w:rsid w:val="00F6170E"/>
    <w:rsid w:val="00F6243F"/>
    <w:rsid w:val="00F71219"/>
    <w:rsid w:val="00F86F00"/>
    <w:rsid w:val="00F87969"/>
    <w:rsid w:val="00F91060"/>
    <w:rsid w:val="00FA2F57"/>
    <w:rsid w:val="00FB0E97"/>
    <w:rsid w:val="00FB6F2E"/>
    <w:rsid w:val="00FC5076"/>
    <w:rsid w:val="00FC7E5B"/>
    <w:rsid w:val="00FD7F49"/>
    <w:rsid w:val="00FE5E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BE"/>
    <w:rPr>
      <w:lang w:val="en-US" w:eastAsia="en-US"/>
    </w:rPr>
  </w:style>
  <w:style w:type="paragraph" w:styleId="Heading2">
    <w:name w:val="heading 2"/>
    <w:basedOn w:val="BodyText"/>
    <w:next w:val="BodyText"/>
    <w:qFormat/>
    <w:rsid w:val="00BD40BE"/>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40BE"/>
    <w:pPr>
      <w:spacing w:before="240"/>
    </w:pPr>
    <w:rPr>
      <w:sz w:val="24"/>
      <w:lang w:val="en-GB"/>
    </w:rPr>
  </w:style>
  <w:style w:type="paragraph" w:styleId="List">
    <w:name w:val="List"/>
    <w:basedOn w:val="BodyText"/>
    <w:semiHidden/>
    <w:rsid w:val="00BD40BE"/>
    <w:pPr>
      <w:ind w:left="1080" w:hanging="1080"/>
    </w:pPr>
  </w:style>
  <w:style w:type="paragraph" w:styleId="Title">
    <w:name w:val="Title"/>
    <w:basedOn w:val="BodyText"/>
    <w:qFormat/>
    <w:rsid w:val="00BD40BE"/>
    <w:pPr>
      <w:spacing w:after="240"/>
      <w:jc w:val="center"/>
    </w:pPr>
    <w:rPr>
      <w:rFonts w:ascii="Arial" w:hAnsi="Arial"/>
      <w:b/>
      <w:sz w:val="40"/>
    </w:rPr>
  </w:style>
  <w:style w:type="paragraph" w:customStyle="1" w:styleId="amend">
    <w:name w:val="amend"/>
    <w:basedOn w:val="Normal"/>
    <w:rsid w:val="00BD40BE"/>
    <w:pPr>
      <w:tabs>
        <w:tab w:val="left" w:pos="1080"/>
      </w:tabs>
      <w:spacing w:before="40" w:after="40"/>
      <w:jc w:val="right"/>
    </w:pPr>
    <w:rPr>
      <w:rFonts w:ascii="Arial" w:hAnsi="Arial"/>
      <w:b/>
      <w:sz w:val="24"/>
      <w:vertAlign w:val="superscript"/>
      <w:lang w:val="en-GB"/>
    </w:rPr>
  </w:style>
  <w:style w:type="paragraph" w:styleId="Header">
    <w:name w:val="header"/>
    <w:basedOn w:val="Normal"/>
    <w:semiHidden/>
    <w:rsid w:val="00BD40BE"/>
    <w:pPr>
      <w:tabs>
        <w:tab w:val="center" w:pos="4320"/>
        <w:tab w:val="right" w:pos="8640"/>
      </w:tabs>
    </w:pPr>
  </w:style>
  <w:style w:type="paragraph" w:styleId="Footer">
    <w:name w:val="footer"/>
    <w:basedOn w:val="Normal"/>
    <w:semiHidden/>
    <w:rsid w:val="00BD40BE"/>
    <w:pPr>
      <w:tabs>
        <w:tab w:val="center" w:pos="4320"/>
        <w:tab w:val="right" w:pos="8640"/>
      </w:tabs>
    </w:pPr>
  </w:style>
  <w:style w:type="character" w:styleId="PageNumber">
    <w:name w:val="page number"/>
    <w:basedOn w:val="DefaultParagraphFont"/>
    <w:semiHidden/>
    <w:rsid w:val="00BD40BE"/>
  </w:style>
  <w:style w:type="paragraph" w:styleId="BalloonText">
    <w:name w:val="Balloon Text"/>
    <w:basedOn w:val="Normal"/>
    <w:link w:val="BalloonTextChar"/>
    <w:uiPriority w:val="99"/>
    <w:semiHidden/>
    <w:rsid w:val="00BD40BE"/>
    <w:rPr>
      <w:rFonts w:ascii="Tahoma" w:hAnsi="Tahoma" w:cs="Tahoma"/>
      <w:sz w:val="16"/>
      <w:szCs w:val="16"/>
    </w:rPr>
  </w:style>
  <w:style w:type="character" w:customStyle="1" w:styleId="DeltaViewInsertion">
    <w:name w:val="DeltaView Insertion"/>
    <w:rsid w:val="00BD40BE"/>
    <w:rPr>
      <w:color w:val="0000FF"/>
      <w:spacing w:val="0"/>
      <w:u w:val="single"/>
    </w:rPr>
  </w:style>
  <w:style w:type="character" w:styleId="Hyperlink">
    <w:name w:val="Hyperlink"/>
    <w:basedOn w:val="DefaultParagraphFont"/>
    <w:semiHidden/>
    <w:rsid w:val="00BD40BE"/>
    <w:rPr>
      <w:color w:val="0000FF"/>
      <w:u w:val="single"/>
    </w:rPr>
  </w:style>
  <w:style w:type="paragraph" w:styleId="BodyText2">
    <w:name w:val="Body Text 2"/>
    <w:basedOn w:val="Normal"/>
    <w:semiHidden/>
    <w:rsid w:val="00BD40BE"/>
    <w:pPr>
      <w:autoSpaceDE w:val="0"/>
      <w:autoSpaceDN w:val="0"/>
      <w:adjustRightInd w:val="0"/>
      <w:jc w:val="both"/>
    </w:pPr>
    <w:rPr>
      <w:rFonts w:ascii="CourierNew,Bold" w:hAnsi="CourierNew,Bold"/>
      <w:b/>
      <w:bCs/>
    </w:rPr>
  </w:style>
  <w:style w:type="paragraph" w:styleId="BodyText3">
    <w:name w:val="Body Text 3"/>
    <w:basedOn w:val="Normal"/>
    <w:semiHidden/>
    <w:rsid w:val="00BD40BE"/>
    <w:pPr>
      <w:autoSpaceDE w:val="0"/>
      <w:autoSpaceDN w:val="0"/>
      <w:adjustRightInd w:val="0"/>
    </w:pPr>
    <w:rPr>
      <w:rFonts w:ascii="Tahoma" w:hAnsi="Tahoma" w:cs="Tahoma"/>
      <w:b/>
      <w:bCs/>
    </w:rPr>
  </w:style>
  <w:style w:type="character" w:styleId="Strong">
    <w:name w:val="Strong"/>
    <w:basedOn w:val="DefaultParagraphFont"/>
    <w:qFormat/>
    <w:rsid w:val="00BD40BE"/>
    <w:rPr>
      <w:b/>
      <w:bCs/>
    </w:rPr>
  </w:style>
  <w:style w:type="character" w:customStyle="1" w:styleId="BalloonTextChar">
    <w:name w:val="Balloon Text Char"/>
    <w:basedOn w:val="DefaultParagraphFont"/>
    <w:link w:val="BalloonText"/>
    <w:uiPriority w:val="99"/>
    <w:semiHidden/>
    <w:locked/>
    <w:rsid w:val="00B15AF5"/>
    <w:rPr>
      <w:rFonts w:ascii="Tahoma" w:hAnsi="Tahoma" w:cs="Tahoma"/>
      <w:sz w:val="16"/>
      <w:szCs w:val="16"/>
      <w:lang w:val="en-US" w:eastAsia="en-US"/>
    </w:rPr>
  </w:style>
  <w:style w:type="paragraph" w:styleId="NormalWeb">
    <w:name w:val="Normal (Web)"/>
    <w:basedOn w:val="Normal"/>
    <w:uiPriority w:val="99"/>
    <w:semiHidden/>
    <w:rsid w:val="00B754FA"/>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3552DA"/>
  </w:style>
  <w:style w:type="character" w:customStyle="1" w:styleId="EndnoteTextChar">
    <w:name w:val="Endnote Text Char"/>
    <w:basedOn w:val="DefaultParagraphFont"/>
    <w:link w:val="EndnoteText"/>
    <w:uiPriority w:val="99"/>
    <w:semiHidden/>
    <w:rsid w:val="003552DA"/>
    <w:rPr>
      <w:lang w:val="en-US" w:eastAsia="en-US"/>
    </w:rPr>
  </w:style>
  <w:style w:type="character" w:styleId="EndnoteReference">
    <w:name w:val="endnote reference"/>
    <w:basedOn w:val="DefaultParagraphFont"/>
    <w:uiPriority w:val="99"/>
    <w:semiHidden/>
    <w:unhideWhenUsed/>
    <w:rsid w:val="003552DA"/>
    <w:rPr>
      <w:vertAlign w:val="superscript"/>
    </w:rPr>
  </w:style>
  <w:style w:type="paragraph" w:styleId="ListParagraph">
    <w:name w:val="List Paragraph"/>
    <w:basedOn w:val="Normal"/>
    <w:uiPriority w:val="34"/>
    <w:qFormat/>
    <w:rsid w:val="00E3512C"/>
    <w:pPr>
      <w:ind w:left="720"/>
      <w:contextualSpacing/>
    </w:pPr>
  </w:style>
  <w:style w:type="paragraph" w:styleId="HTMLPreformatted">
    <w:name w:val="HTML Preformatted"/>
    <w:basedOn w:val="Normal"/>
    <w:link w:val="HTMLPreformattedChar"/>
    <w:uiPriority w:val="99"/>
    <w:semiHidden/>
    <w:unhideWhenUsed/>
    <w:rsid w:val="00ED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basedOn w:val="DefaultParagraphFont"/>
    <w:link w:val="HTMLPreformatted"/>
    <w:uiPriority w:val="99"/>
    <w:semiHidden/>
    <w:rsid w:val="00ED0C58"/>
    <w:rPr>
      <w:rFonts w:ascii="Courier New" w:hAnsi="Courier New" w:cs="Courier New"/>
    </w:rPr>
  </w:style>
  <w:style w:type="paragraph" w:customStyle="1" w:styleId="BodyTextLeft">
    <w:name w:val="Body Text Left"/>
    <w:basedOn w:val="BodyText"/>
    <w:rsid w:val="00356854"/>
    <w:rPr>
      <w:lang w:val="en-CA"/>
    </w:rPr>
  </w:style>
  <w:style w:type="table" w:styleId="TableGrid">
    <w:name w:val="Table Grid"/>
    <w:basedOn w:val="TableNormal"/>
    <w:uiPriority w:val="59"/>
    <w:rsid w:val="002426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ital2L1">
    <w:name w:val="Recital2_L1"/>
    <w:basedOn w:val="Normal"/>
    <w:rsid w:val="00D80922"/>
    <w:pPr>
      <w:numPr>
        <w:numId w:val="34"/>
      </w:numPr>
      <w:spacing w:after="240"/>
      <w:jc w:val="both"/>
      <w:outlineLvl w:val="0"/>
    </w:pPr>
    <w:rPr>
      <w:sz w:val="24"/>
      <w:szCs w:val="24"/>
      <w:lang w:val="en-CA" w:eastAsia="en-CA"/>
    </w:rPr>
  </w:style>
  <w:style w:type="paragraph" w:customStyle="1" w:styleId="Recital2L2">
    <w:name w:val="Recital2_L2"/>
    <w:basedOn w:val="Recital2L1"/>
    <w:link w:val="Recital2L2Char"/>
    <w:rsid w:val="00D80922"/>
    <w:pPr>
      <w:numPr>
        <w:ilvl w:val="1"/>
      </w:numPr>
      <w:outlineLvl w:val="1"/>
    </w:pPr>
  </w:style>
  <w:style w:type="character" w:customStyle="1" w:styleId="Recital2L2Char">
    <w:name w:val="Recital2_L2 Char"/>
    <w:link w:val="Recital2L2"/>
    <w:rsid w:val="00D80922"/>
    <w:rPr>
      <w:sz w:val="24"/>
      <w:szCs w:val="24"/>
    </w:rPr>
  </w:style>
  <w:style w:type="paragraph" w:customStyle="1" w:styleId="Recital2L3">
    <w:name w:val="Recital2_L3"/>
    <w:basedOn w:val="Recital2L2"/>
    <w:link w:val="Recital2L3Char"/>
    <w:rsid w:val="00D80922"/>
    <w:pPr>
      <w:numPr>
        <w:ilvl w:val="2"/>
      </w:numPr>
      <w:outlineLvl w:val="2"/>
    </w:pPr>
  </w:style>
  <w:style w:type="character" w:customStyle="1" w:styleId="Recital2L3Char">
    <w:name w:val="Recital2_L3 Char"/>
    <w:link w:val="Recital2L3"/>
    <w:rsid w:val="00D80922"/>
    <w:rPr>
      <w:sz w:val="24"/>
      <w:szCs w:val="24"/>
    </w:rPr>
  </w:style>
  <w:style w:type="paragraph" w:customStyle="1" w:styleId="Recital2L4">
    <w:name w:val="Recital2_L4"/>
    <w:basedOn w:val="Recital2L3"/>
    <w:rsid w:val="00D80922"/>
    <w:pPr>
      <w:numPr>
        <w:ilvl w:val="3"/>
      </w:numPr>
      <w:tabs>
        <w:tab w:val="clear" w:pos="2160"/>
        <w:tab w:val="num" w:pos="1800"/>
      </w:tabs>
      <w:ind w:left="1800" w:hanging="360"/>
      <w:jc w:val="left"/>
      <w:outlineLvl w:val="3"/>
    </w:pPr>
  </w:style>
  <w:style w:type="paragraph" w:customStyle="1" w:styleId="Recital2L5">
    <w:name w:val="Recital2_L5"/>
    <w:basedOn w:val="Recital2L4"/>
    <w:rsid w:val="00D80922"/>
    <w:pPr>
      <w:numPr>
        <w:ilvl w:val="4"/>
      </w:numPr>
      <w:tabs>
        <w:tab w:val="clear" w:pos="2880"/>
        <w:tab w:val="num" w:pos="1800"/>
      </w:tabs>
      <w:ind w:left="1800" w:hanging="360"/>
      <w:jc w:val="both"/>
      <w:outlineLvl w:val="4"/>
    </w:pPr>
  </w:style>
  <w:style w:type="paragraph" w:customStyle="1" w:styleId="Recital2L6">
    <w:name w:val="Recital2_L6"/>
    <w:basedOn w:val="Recital2L5"/>
    <w:rsid w:val="00D80922"/>
    <w:pPr>
      <w:numPr>
        <w:ilvl w:val="5"/>
      </w:numPr>
      <w:tabs>
        <w:tab w:val="clear" w:pos="3600"/>
        <w:tab w:val="num" w:pos="1800"/>
      </w:tabs>
      <w:ind w:left="1800" w:hanging="360"/>
      <w:outlineLvl w:val="5"/>
    </w:pPr>
  </w:style>
  <w:style w:type="paragraph" w:customStyle="1" w:styleId="Recital2L7">
    <w:name w:val="Recital2_L7"/>
    <w:basedOn w:val="Recital2L6"/>
    <w:rsid w:val="00D80922"/>
    <w:pPr>
      <w:numPr>
        <w:ilvl w:val="6"/>
      </w:numPr>
      <w:tabs>
        <w:tab w:val="clear" w:pos="4320"/>
        <w:tab w:val="num" w:pos="1800"/>
      </w:tabs>
      <w:ind w:left="1800" w:hanging="360"/>
      <w:outlineLvl w:val="6"/>
    </w:pPr>
  </w:style>
  <w:style w:type="paragraph" w:customStyle="1" w:styleId="Recital2L8">
    <w:name w:val="Recital2_L8"/>
    <w:basedOn w:val="Recital2L7"/>
    <w:rsid w:val="00D80922"/>
    <w:pPr>
      <w:numPr>
        <w:ilvl w:val="7"/>
      </w:numPr>
      <w:tabs>
        <w:tab w:val="clear" w:pos="5040"/>
        <w:tab w:val="num" w:pos="1800"/>
      </w:tabs>
      <w:ind w:left="1800" w:hanging="360"/>
      <w:outlineLvl w:val="7"/>
    </w:pPr>
  </w:style>
  <w:style w:type="paragraph" w:customStyle="1" w:styleId="Recital2L9">
    <w:name w:val="Recital2_L9"/>
    <w:basedOn w:val="Recital2L8"/>
    <w:rsid w:val="00D80922"/>
    <w:pPr>
      <w:numPr>
        <w:ilvl w:val="8"/>
      </w:numPr>
      <w:tabs>
        <w:tab w:val="clear" w:pos="5760"/>
        <w:tab w:val="num" w:pos="1800"/>
      </w:tabs>
      <w:ind w:left="1800" w:hanging="360"/>
      <w:outlineLvl w:val="8"/>
    </w:pPr>
  </w:style>
</w:styles>
</file>

<file path=word/webSettings.xml><?xml version="1.0" encoding="utf-8"?>
<w:webSettings xmlns:r="http://schemas.openxmlformats.org/officeDocument/2006/relationships" xmlns:w="http://schemas.openxmlformats.org/wordprocessingml/2006/main">
  <w:divs>
    <w:div w:id="66197989">
      <w:bodyDiv w:val="1"/>
      <w:marLeft w:val="0"/>
      <w:marRight w:val="0"/>
      <w:marTop w:val="0"/>
      <w:marBottom w:val="0"/>
      <w:divBdr>
        <w:top w:val="none" w:sz="0" w:space="0" w:color="auto"/>
        <w:left w:val="none" w:sz="0" w:space="0" w:color="auto"/>
        <w:bottom w:val="none" w:sz="0" w:space="0" w:color="auto"/>
        <w:right w:val="none" w:sz="0" w:space="0" w:color="auto"/>
      </w:divBdr>
    </w:div>
    <w:div w:id="303509597">
      <w:bodyDiv w:val="1"/>
      <w:marLeft w:val="0"/>
      <w:marRight w:val="0"/>
      <w:marTop w:val="0"/>
      <w:marBottom w:val="0"/>
      <w:divBdr>
        <w:top w:val="none" w:sz="0" w:space="0" w:color="auto"/>
        <w:left w:val="none" w:sz="0" w:space="0" w:color="auto"/>
        <w:bottom w:val="none" w:sz="0" w:space="0" w:color="auto"/>
        <w:right w:val="none" w:sz="0" w:space="0" w:color="auto"/>
      </w:divBdr>
    </w:div>
    <w:div w:id="18484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tismineralcor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11530</CharactersWithSpaces>
  <SharedDoc>false</SharedDoc>
  <HLinks>
    <vt:vector size="6" baseType="variant">
      <vt:variant>
        <vt:i4>5046283</vt:i4>
      </vt:variant>
      <vt:variant>
        <vt:i4>0</vt:i4>
      </vt:variant>
      <vt:variant>
        <vt:i4>0</vt:i4>
      </vt:variant>
      <vt:variant>
        <vt:i4>5</vt:i4>
      </vt:variant>
      <vt:variant>
        <vt:lpwstr>http://www.mantismineralcorp.com/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Vicki Rosenthal</cp:lastModifiedBy>
  <cp:revision>2</cp:revision>
  <cp:lastPrinted>2013-11-04T20:48:00Z</cp:lastPrinted>
  <dcterms:created xsi:type="dcterms:W3CDTF">2014-01-02T15:34:00Z</dcterms:created>
  <dcterms:modified xsi:type="dcterms:W3CDTF">2014-01-02T15:34:00Z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