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49" w:rsidRPr="00304136" w:rsidRDefault="009F5FBB" w:rsidP="00973F49">
      <w:pPr>
        <w:pStyle w:val="HeadingTitle1"/>
        <w:spacing w:before="0"/>
        <w:rPr>
          <w:rFonts w:asciiTheme="minorHAnsi" w:hAnsiTheme="minorHAnsi" w:cstheme="minorHAnsi"/>
          <w:sz w:val="20"/>
          <w:szCs w:val="20"/>
        </w:rPr>
      </w:pPr>
      <w:r w:rsidRPr="00304136">
        <w:rPr>
          <w:rFonts w:asciiTheme="minorHAnsi" w:hAnsiTheme="minorHAnsi" w:cstheme="minorHAnsi"/>
          <w:sz w:val="20"/>
          <w:szCs w:val="20"/>
        </w:rPr>
        <w:t xml:space="preserve">51-102F3 </w:t>
      </w:r>
      <w:r w:rsidRPr="00304136">
        <w:rPr>
          <w:rFonts w:asciiTheme="minorHAnsi" w:hAnsiTheme="minorHAnsi" w:cstheme="minorHAnsi"/>
          <w:sz w:val="20"/>
          <w:szCs w:val="20"/>
        </w:rPr>
        <w:br/>
      </w:r>
      <w:r w:rsidR="00824093">
        <w:rPr>
          <w:rFonts w:asciiTheme="minorHAnsi" w:hAnsiTheme="minorHAnsi" w:cstheme="minorHAnsi"/>
          <w:sz w:val="20"/>
          <w:szCs w:val="20"/>
        </w:rPr>
        <w:t xml:space="preserve">aMENDED </w:t>
      </w:r>
      <w:r w:rsidRPr="00304136">
        <w:rPr>
          <w:rFonts w:asciiTheme="minorHAnsi" w:hAnsiTheme="minorHAnsi" w:cstheme="minorHAnsi"/>
          <w:sz w:val="20"/>
          <w:szCs w:val="20"/>
        </w:rPr>
        <w:t>Material Change Report</w:t>
      </w:r>
    </w:p>
    <w:p w:rsidR="00533EE9" w:rsidRPr="00304136" w:rsidRDefault="009F5FBB" w:rsidP="00E87A9D">
      <w:pPr>
        <w:pStyle w:val="HeadingTitle2"/>
      </w:pPr>
      <w:r w:rsidRPr="00304136">
        <w:t>Item</w:t>
      </w:r>
      <w:r w:rsidRPr="00304136">
        <w:rPr>
          <w:spacing w:val="-1"/>
        </w:rPr>
        <w:t xml:space="preserve"> </w:t>
      </w:r>
      <w:r w:rsidRPr="00304136">
        <w:t>1</w:t>
      </w:r>
      <w:r w:rsidRPr="00304136">
        <w:tab/>
      </w:r>
      <w:r w:rsidRPr="00304136">
        <w:rPr>
          <w:spacing w:val="-1"/>
        </w:rPr>
        <w:t>Name</w:t>
      </w:r>
      <w:r w:rsidRPr="00304136">
        <w:rPr>
          <w:spacing w:val="-6"/>
        </w:rPr>
        <w:t xml:space="preserve"> </w:t>
      </w:r>
      <w:r w:rsidRPr="00304136">
        <w:t>and</w:t>
      </w:r>
      <w:r w:rsidRPr="00304136">
        <w:rPr>
          <w:spacing w:val="-7"/>
        </w:rPr>
        <w:t xml:space="preserve"> </w:t>
      </w:r>
      <w:r w:rsidRPr="00304136">
        <w:t>Address</w:t>
      </w:r>
      <w:r w:rsidRPr="00304136">
        <w:rPr>
          <w:spacing w:val="-7"/>
        </w:rPr>
        <w:t xml:space="preserve"> </w:t>
      </w:r>
      <w:r w:rsidRPr="00304136">
        <w:rPr>
          <w:spacing w:val="-1"/>
        </w:rPr>
        <w:t>of</w:t>
      </w:r>
      <w:r w:rsidRPr="00304136">
        <w:rPr>
          <w:spacing w:val="-7"/>
        </w:rPr>
        <w:t xml:space="preserve"> </w:t>
      </w:r>
      <w:r w:rsidRPr="00304136">
        <w:rPr>
          <w:spacing w:val="-1"/>
        </w:rPr>
        <w:t>Company</w:t>
      </w:r>
    </w:p>
    <w:p w:rsidR="00533EE9" w:rsidRPr="00304136" w:rsidRDefault="009F5FBB" w:rsidP="00E87A9D">
      <w:pPr>
        <w:pStyle w:val="BodyTextIndent"/>
      </w:pPr>
      <w:r>
        <w:rPr>
          <w:spacing w:val="-1"/>
        </w:rPr>
        <w:t xml:space="preserve">Laguna Blends Inc. </w:t>
      </w:r>
      <w:r w:rsidRPr="00304136">
        <w:rPr>
          <w:spacing w:val="-1"/>
        </w:rPr>
        <w:t>(the</w:t>
      </w:r>
      <w:r w:rsidRPr="00304136">
        <w:rPr>
          <w:spacing w:val="-10"/>
        </w:rPr>
        <w:t xml:space="preserve"> </w:t>
      </w:r>
      <w:r w:rsidRPr="00304136">
        <w:t>“</w:t>
      </w:r>
      <w:r w:rsidRPr="00050073">
        <w:rPr>
          <w:b/>
          <w:bCs/>
        </w:rPr>
        <w:t>Company</w:t>
      </w:r>
      <w:r w:rsidRPr="00304136">
        <w:t>”)</w:t>
      </w:r>
      <w:r w:rsidRPr="00304136">
        <w:rPr>
          <w:spacing w:val="35"/>
          <w:w w:val="99"/>
        </w:rPr>
        <w:t xml:space="preserve"> </w:t>
      </w:r>
      <w:r>
        <w:rPr>
          <w:spacing w:val="35"/>
          <w:w w:val="99"/>
        </w:rPr>
        <w:br/>
      </w:r>
      <w:r>
        <w:t>#302-1912 Enterprise Way</w:t>
      </w:r>
      <w:r>
        <w:br/>
        <w:t>Kelowna, BC  V1Y 9S9</w:t>
      </w:r>
    </w:p>
    <w:p w:rsidR="00533EE9" w:rsidRPr="00304136" w:rsidRDefault="009F5FBB" w:rsidP="00E87A9D">
      <w:pPr>
        <w:pStyle w:val="HeadingTitle2"/>
        <w:rPr>
          <w:bCs/>
        </w:rPr>
      </w:pPr>
      <w:r w:rsidRPr="00304136">
        <w:t>Item</w:t>
      </w:r>
      <w:r w:rsidRPr="00304136">
        <w:rPr>
          <w:spacing w:val="-1"/>
        </w:rPr>
        <w:t xml:space="preserve"> </w:t>
      </w:r>
      <w:r w:rsidRPr="00304136">
        <w:t>2</w:t>
      </w:r>
      <w:r w:rsidRPr="00304136">
        <w:tab/>
        <w:t>Date</w:t>
      </w:r>
      <w:r w:rsidRPr="00304136">
        <w:rPr>
          <w:spacing w:val="-6"/>
        </w:rPr>
        <w:t xml:space="preserve"> </w:t>
      </w:r>
      <w:r w:rsidRPr="00304136">
        <w:rPr>
          <w:spacing w:val="-1"/>
        </w:rPr>
        <w:t>of</w:t>
      </w:r>
      <w:r w:rsidRPr="00304136">
        <w:rPr>
          <w:spacing w:val="-8"/>
        </w:rPr>
        <w:t xml:space="preserve"> </w:t>
      </w:r>
      <w:r w:rsidRPr="00304136">
        <w:t>Material</w:t>
      </w:r>
      <w:r w:rsidRPr="00304136">
        <w:rPr>
          <w:spacing w:val="-7"/>
        </w:rPr>
        <w:t xml:space="preserve"> </w:t>
      </w:r>
      <w:r w:rsidRPr="00304136">
        <w:rPr>
          <w:spacing w:val="-1"/>
        </w:rPr>
        <w:t>Change</w:t>
      </w:r>
    </w:p>
    <w:p w:rsidR="00533EE9" w:rsidRPr="00304136" w:rsidRDefault="00634100" w:rsidP="00E87A9D">
      <w:pPr>
        <w:pStyle w:val="BodyTextIndent"/>
      </w:pPr>
      <w:r>
        <w:t xml:space="preserve">March 10, 2016 and </w:t>
      </w:r>
      <w:r w:rsidR="002160D8">
        <w:t>March 14</w:t>
      </w:r>
      <w:r w:rsidR="000B0A39">
        <w:t>, 2016</w:t>
      </w:r>
    </w:p>
    <w:p w:rsidR="00533EE9" w:rsidRPr="00304136" w:rsidRDefault="009F5FBB" w:rsidP="00E87A9D">
      <w:pPr>
        <w:pStyle w:val="HeadingTitle2"/>
        <w:rPr>
          <w:bCs/>
        </w:rPr>
      </w:pPr>
      <w:r w:rsidRPr="00304136">
        <w:t>Item</w:t>
      </w:r>
      <w:r w:rsidRPr="00304136">
        <w:rPr>
          <w:spacing w:val="-1"/>
        </w:rPr>
        <w:t xml:space="preserve"> </w:t>
      </w:r>
      <w:r w:rsidRPr="00304136">
        <w:t>3</w:t>
      </w:r>
      <w:r w:rsidRPr="00304136">
        <w:tab/>
        <w:t>News</w:t>
      </w:r>
      <w:r w:rsidRPr="00304136">
        <w:rPr>
          <w:spacing w:val="-12"/>
        </w:rPr>
        <w:t xml:space="preserve"> </w:t>
      </w:r>
      <w:r w:rsidRPr="00304136">
        <w:t>Release</w:t>
      </w:r>
    </w:p>
    <w:p w:rsidR="00533EE9" w:rsidRPr="00D144AA" w:rsidRDefault="002160D8" w:rsidP="00D7536F">
      <w:pPr>
        <w:pStyle w:val="BodyTextIndent"/>
        <w:rPr>
          <w:spacing w:val="-2"/>
        </w:rPr>
      </w:pPr>
      <w:r>
        <w:rPr>
          <w:spacing w:val="-2"/>
        </w:rPr>
        <w:t>The</w:t>
      </w:r>
      <w:r w:rsidR="003806AB">
        <w:rPr>
          <w:spacing w:val="-2"/>
        </w:rPr>
        <w:t xml:space="preserve"> news release </w:t>
      </w:r>
      <w:r>
        <w:rPr>
          <w:spacing w:val="-2"/>
        </w:rPr>
        <w:t>was</w:t>
      </w:r>
      <w:r w:rsidR="00D7536F" w:rsidRPr="007020B1">
        <w:rPr>
          <w:spacing w:val="-2"/>
        </w:rPr>
        <w:t xml:space="preserve"> disseminated through Stockwatch</w:t>
      </w:r>
      <w:r>
        <w:rPr>
          <w:spacing w:val="-2"/>
        </w:rPr>
        <w:t xml:space="preserve"> and</w:t>
      </w:r>
      <w:r w:rsidR="00D144AA" w:rsidRPr="007020B1">
        <w:rPr>
          <w:spacing w:val="-2"/>
        </w:rPr>
        <w:t xml:space="preserve"> through</w:t>
      </w:r>
      <w:r w:rsidR="00F8734A" w:rsidRPr="007020B1">
        <w:rPr>
          <w:spacing w:val="-2"/>
        </w:rPr>
        <w:t xml:space="preserve"> Access wire.</w:t>
      </w:r>
      <w:r w:rsidR="00F8734A">
        <w:rPr>
          <w:spacing w:val="-2"/>
        </w:rPr>
        <w:t xml:space="preserve"> </w:t>
      </w:r>
    </w:p>
    <w:p w:rsidR="00533EE9" w:rsidRPr="00304136" w:rsidRDefault="009F5FBB" w:rsidP="00E87A9D">
      <w:pPr>
        <w:pStyle w:val="HeadingTitle2"/>
        <w:rPr>
          <w:w w:val="0"/>
        </w:rPr>
      </w:pPr>
      <w:r w:rsidRPr="00304136">
        <w:t>Item 4</w:t>
      </w:r>
      <w:r w:rsidRPr="00304136">
        <w:tab/>
        <w:t>Summary</w:t>
      </w:r>
      <w:r w:rsidRPr="00304136">
        <w:rPr>
          <w:spacing w:val="-10"/>
        </w:rPr>
        <w:t xml:space="preserve"> </w:t>
      </w:r>
      <w:r w:rsidRPr="00304136">
        <w:t>of</w:t>
      </w:r>
      <w:r w:rsidRPr="00304136">
        <w:rPr>
          <w:spacing w:val="-9"/>
        </w:rPr>
        <w:t xml:space="preserve"> </w:t>
      </w:r>
      <w:r w:rsidRPr="00304136">
        <w:t>Material</w:t>
      </w:r>
      <w:r w:rsidRPr="00304136">
        <w:rPr>
          <w:spacing w:val="-9"/>
        </w:rPr>
        <w:t xml:space="preserve"> </w:t>
      </w:r>
      <w:r w:rsidRPr="00304136">
        <w:t>Change</w:t>
      </w:r>
    </w:p>
    <w:p w:rsidR="00E25921" w:rsidRDefault="003806AB" w:rsidP="00824093">
      <w:pPr>
        <w:spacing w:before="240"/>
        <w:ind w:left="720"/>
        <w:jc w:val="both"/>
        <w:rPr>
          <w:rFonts w:cstheme="minorHAnsi"/>
        </w:rPr>
      </w:pPr>
      <w:r>
        <w:rPr>
          <w:rFonts w:cstheme="minorHAnsi"/>
          <w:bCs/>
          <w:color w:val="000000"/>
          <w:lang w:val="en-CA"/>
        </w:rPr>
        <w:t>On March 14</w:t>
      </w:r>
      <w:r w:rsidR="008C3F0F">
        <w:rPr>
          <w:rFonts w:cstheme="minorHAnsi"/>
          <w:bCs/>
          <w:color w:val="000000"/>
          <w:lang w:val="en-CA"/>
        </w:rPr>
        <w:t xml:space="preserve">, 2016, the </w:t>
      </w:r>
      <w:r w:rsidR="00C75627">
        <w:rPr>
          <w:rFonts w:cstheme="minorHAnsi"/>
          <w:bCs/>
          <w:color w:val="000000"/>
          <w:lang w:val="en-CA"/>
        </w:rPr>
        <w:t xml:space="preserve">Company </w:t>
      </w:r>
      <w:r>
        <w:rPr>
          <w:rFonts w:cstheme="minorHAnsi"/>
        </w:rPr>
        <w:t>announced that the number of its independent affiliates across the USA and Canada had grown to 278, with an affiliate growth rate of 105%, since it launched its business on March 7, 2016.</w:t>
      </w:r>
    </w:p>
    <w:p w:rsidR="001150EF" w:rsidRDefault="001150EF" w:rsidP="00824093">
      <w:pPr>
        <w:spacing w:before="240"/>
        <w:ind w:left="720"/>
        <w:jc w:val="both"/>
        <w:rPr>
          <w:color w:val="000000"/>
        </w:rPr>
      </w:pPr>
      <w:r w:rsidRPr="00D9496F">
        <w:rPr>
          <w:color w:val="000000"/>
        </w:rPr>
        <w:t xml:space="preserve">The Company </w:t>
      </w:r>
      <w:r w:rsidR="001A0FE2">
        <w:rPr>
          <w:color w:val="000000"/>
        </w:rPr>
        <w:t xml:space="preserve">also announced that it has </w:t>
      </w:r>
      <w:r w:rsidRPr="00D9496F">
        <w:rPr>
          <w:color w:val="000000"/>
        </w:rPr>
        <w:t xml:space="preserve">closed </w:t>
      </w:r>
      <w:r w:rsidR="00061248">
        <w:rPr>
          <w:color w:val="000000"/>
        </w:rPr>
        <w:t>its</w:t>
      </w:r>
      <w:r w:rsidRPr="00D9496F">
        <w:rPr>
          <w:color w:val="000000"/>
        </w:rPr>
        <w:t xml:space="preserve"> </w:t>
      </w:r>
      <w:r w:rsidR="00606025">
        <w:rPr>
          <w:color w:val="000000"/>
        </w:rPr>
        <w:t xml:space="preserve">non-brokered </w:t>
      </w:r>
      <w:r w:rsidRPr="00D9496F">
        <w:rPr>
          <w:color w:val="000000"/>
        </w:rPr>
        <w:t xml:space="preserve">private placement </w:t>
      </w:r>
      <w:r w:rsidR="00824093">
        <w:rPr>
          <w:color w:val="000000"/>
        </w:rPr>
        <w:t>(the “</w:t>
      </w:r>
      <w:r w:rsidR="00824093" w:rsidRPr="001A0FE2">
        <w:rPr>
          <w:b/>
          <w:color w:val="000000"/>
        </w:rPr>
        <w:t>Financing</w:t>
      </w:r>
      <w:r w:rsidR="00824093">
        <w:rPr>
          <w:color w:val="000000"/>
        </w:rPr>
        <w:t xml:space="preserve">”) </w:t>
      </w:r>
      <w:r w:rsidR="001A0FE2">
        <w:rPr>
          <w:color w:val="000000"/>
        </w:rPr>
        <w:t xml:space="preserve">previously </w:t>
      </w:r>
      <w:r w:rsidR="00606025">
        <w:rPr>
          <w:color w:val="000000"/>
        </w:rPr>
        <w:t xml:space="preserve">announced on March 2, 2016 by issuing </w:t>
      </w:r>
      <w:r>
        <w:rPr>
          <w:color w:val="000000"/>
        </w:rPr>
        <w:t>1,175,000</w:t>
      </w:r>
      <w:r w:rsidRPr="00D9496F">
        <w:rPr>
          <w:color w:val="000000"/>
        </w:rPr>
        <w:t xml:space="preserve"> units </w:t>
      </w:r>
      <w:r w:rsidR="00824093">
        <w:rPr>
          <w:color w:val="000000"/>
        </w:rPr>
        <w:t>(the “</w:t>
      </w:r>
      <w:r w:rsidR="00824093" w:rsidRPr="001A0FE2">
        <w:rPr>
          <w:b/>
          <w:color w:val="000000"/>
        </w:rPr>
        <w:t>Units</w:t>
      </w:r>
      <w:r w:rsidR="00824093">
        <w:rPr>
          <w:color w:val="000000"/>
        </w:rPr>
        <w:t xml:space="preserve">”) </w:t>
      </w:r>
      <w:r w:rsidRPr="00D9496F">
        <w:rPr>
          <w:color w:val="000000"/>
        </w:rPr>
        <w:t>for gross proceeds of $</w:t>
      </w:r>
      <w:r>
        <w:rPr>
          <w:color w:val="000000"/>
        </w:rPr>
        <w:t>235,000</w:t>
      </w:r>
      <w:r w:rsidRPr="00D9496F">
        <w:rPr>
          <w:color w:val="000000"/>
        </w:rPr>
        <w:t xml:space="preserve">.  Each </w:t>
      </w:r>
      <w:r w:rsidR="00824093">
        <w:rPr>
          <w:color w:val="000000"/>
        </w:rPr>
        <w:t>U</w:t>
      </w:r>
      <w:r w:rsidRPr="00D9496F">
        <w:rPr>
          <w:color w:val="000000"/>
        </w:rPr>
        <w:t xml:space="preserve">nit consists of one common share </w:t>
      </w:r>
      <w:r w:rsidR="00824093">
        <w:rPr>
          <w:color w:val="000000"/>
        </w:rPr>
        <w:t>(each, a “</w:t>
      </w:r>
      <w:r w:rsidR="00824093" w:rsidRPr="001A0FE2">
        <w:rPr>
          <w:b/>
          <w:color w:val="000000"/>
        </w:rPr>
        <w:t>Share</w:t>
      </w:r>
      <w:r w:rsidR="00824093">
        <w:rPr>
          <w:color w:val="000000"/>
        </w:rPr>
        <w:t xml:space="preserve">”) </w:t>
      </w:r>
      <w:r w:rsidRPr="00D9496F">
        <w:rPr>
          <w:color w:val="000000"/>
        </w:rPr>
        <w:t xml:space="preserve">and one </w:t>
      </w:r>
      <w:r w:rsidR="00C10646">
        <w:rPr>
          <w:color w:val="000000"/>
        </w:rPr>
        <w:t>S</w:t>
      </w:r>
      <w:r w:rsidRPr="00D9496F">
        <w:rPr>
          <w:color w:val="000000"/>
        </w:rPr>
        <w:t>hare purchase warrant</w:t>
      </w:r>
      <w:r w:rsidR="00824093">
        <w:rPr>
          <w:color w:val="000000"/>
        </w:rPr>
        <w:t xml:space="preserve"> (each, a “</w:t>
      </w:r>
      <w:r w:rsidR="00824093" w:rsidRPr="001A0FE2">
        <w:rPr>
          <w:b/>
          <w:color w:val="000000"/>
        </w:rPr>
        <w:t>Warrant</w:t>
      </w:r>
      <w:r w:rsidR="00824093">
        <w:rPr>
          <w:color w:val="000000"/>
        </w:rPr>
        <w:t>”)</w:t>
      </w:r>
      <w:r w:rsidR="00682B09">
        <w:rPr>
          <w:color w:val="000000"/>
        </w:rPr>
        <w:t>. E</w:t>
      </w:r>
      <w:r w:rsidRPr="00D9496F">
        <w:rPr>
          <w:color w:val="000000"/>
        </w:rPr>
        <w:t xml:space="preserve">ach </w:t>
      </w:r>
      <w:r w:rsidR="00824093">
        <w:rPr>
          <w:color w:val="000000"/>
        </w:rPr>
        <w:t>W</w:t>
      </w:r>
      <w:r w:rsidRPr="00D9496F">
        <w:rPr>
          <w:color w:val="000000"/>
        </w:rPr>
        <w:t>arrant entitl</w:t>
      </w:r>
      <w:r w:rsidR="00682B09">
        <w:rPr>
          <w:color w:val="000000"/>
        </w:rPr>
        <w:t>es</w:t>
      </w:r>
      <w:r w:rsidRPr="00D9496F">
        <w:rPr>
          <w:color w:val="000000"/>
        </w:rPr>
        <w:t xml:space="preserve"> the holder to acquire one </w:t>
      </w:r>
      <w:r w:rsidR="00C10646">
        <w:rPr>
          <w:color w:val="000000"/>
        </w:rPr>
        <w:t>additional S</w:t>
      </w:r>
      <w:r>
        <w:rPr>
          <w:color w:val="000000"/>
        </w:rPr>
        <w:t xml:space="preserve">hare </w:t>
      </w:r>
      <w:r w:rsidR="00824093">
        <w:rPr>
          <w:color w:val="000000"/>
        </w:rPr>
        <w:t>(each, a “</w:t>
      </w:r>
      <w:r w:rsidR="00824093" w:rsidRPr="001A0FE2">
        <w:rPr>
          <w:b/>
          <w:color w:val="000000"/>
        </w:rPr>
        <w:t>Warrant Share</w:t>
      </w:r>
      <w:r w:rsidR="00824093">
        <w:rPr>
          <w:color w:val="000000"/>
        </w:rPr>
        <w:t xml:space="preserve">”) </w:t>
      </w:r>
      <w:r>
        <w:rPr>
          <w:color w:val="000000"/>
        </w:rPr>
        <w:t>of the Company at a price of $0.25</w:t>
      </w:r>
      <w:r w:rsidRPr="00D9496F">
        <w:rPr>
          <w:color w:val="000000"/>
        </w:rPr>
        <w:t xml:space="preserve"> per </w:t>
      </w:r>
      <w:r w:rsidR="00824093">
        <w:rPr>
          <w:color w:val="000000"/>
        </w:rPr>
        <w:t>W</w:t>
      </w:r>
      <w:r w:rsidRPr="00D9496F">
        <w:rPr>
          <w:color w:val="000000"/>
        </w:rPr>
        <w:t xml:space="preserve">arrant </w:t>
      </w:r>
      <w:r w:rsidR="00824093">
        <w:rPr>
          <w:color w:val="000000"/>
        </w:rPr>
        <w:t>S</w:t>
      </w:r>
      <w:r w:rsidRPr="00D9496F">
        <w:rPr>
          <w:color w:val="000000"/>
        </w:rPr>
        <w:t xml:space="preserve">hare until </w:t>
      </w:r>
      <w:r>
        <w:rPr>
          <w:color w:val="000000"/>
        </w:rPr>
        <w:t>March 10, 2018</w:t>
      </w:r>
      <w:r w:rsidRPr="00D01BDD">
        <w:rPr>
          <w:color w:val="000000"/>
        </w:rPr>
        <w:t xml:space="preserve">. </w:t>
      </w:r>
      <w:r w:rsidRPr="00D9496F">
        <w:rPr>
          <w:color w:val="000000"/>
        </w:rPr>
        <w:t xml:space="preserve">The </w:t>
      </w:r>
      <w:r w:rsidR="00824093">
        <w:rPr>
          <w:color w:val="000000"/>
        </w:rPr>
        <w:t>U</w:t>
      </w:r>
      <w:r w:rsidRPr="00D9496F">
        <w:rPr>
          <w:color w:val="000000"/>
        </w:rPr>
        <w:t xml:space="preserve">nits have a hold period expiring </w:t>
      </w:r>
      <w:r>
        <w:rPr>
          <w:color w:val="000000"/>
        </w:rPr>
        <w:t xml:space="preserve">on July 11, 2016. </w:t>
      </w:r>
    </w:p>
    <w:p w:rsidR="00533EE9" w:rsidRPr="007C378D" w:rsidRDefault="009F5FBB" w:rsidP="00824093">
      <w:pPr>
        <w:pStyle w:val="BodyText"/>
        <w:jc w:val="both"/>
        <w:rPr>
          <w:b/>
          <w:bCs/>
        </w:rPr>
      </w:pPr>
      <w:r w:rsidRPr="007C378D">
        <w:rPr>
          <w:b/>
        </w:rPr>
        <w:t>Item 5</w:t>
      </w:r>
      <w:r w:rsidRPr="007C378D">
        <w:rPr>
          <w:b/>
        </w:rPr>
        <w:tab/>
        <w:t>Full</w:t>
      </w:r>
      <w:r w:rsidRPr="007C378D">
        <w:rPr>
          <w:b/>
          <w:spacing w:val="-8"/>
        </w:rPr>
        <w:t xml:space="preserve"> </w:t>
      </w:r>
      <w:r w:rsidRPr="007C378D">
        <w:rPr>
          <w:b/>
        </w:rPr>
        <w:t>Description</w:t>
      </w:r>
      <w:r w:rsidRPr="007C378D">
        <w:rPr>
          <w:b/>
          <w:spacing w:val="-8"/>
        </w:rPr>
        <w:t xml:space="preserve"> </w:t>
      </w:r>
      <w:r w:rsidRPr="007C378D">
        <w:rPr>
          <w:b/>
        </w:rPr>
        <w:t>of</w:t>
      </w:r>
      <w:r w:rsidRPr="007C378D">
        <w:rPr>
          <w:b/>
          <w:spacing w:val="-8"/>
        </w:rPr>
        <w:t xml:space="preserve"> </w:t>
      </w:r>
      <w:r w:rsidRPr="007C378D">
        <w:rPr>
          <w:b/>
        </w:rPr>
        <w:t>Material</w:t>
      </w:r>
      <w:r w:rsidRPr="007C378D">
        <w:rPr>
          <w:b/>
          <w:spacing w:val="-8"/>
        </w:rPr>
        <w:t xml:space="preserve"> </w:t>
      </w:r>
      <w:r w:rsidRPr="007C378D">
        <w:rPr>
          <w:b/>
        </w:rPr>
        <w:t>Change</w:t>
      </w:r>
    </w:p>
    <w:p w:rsidR="00344098" w:rsidRDefault="003806AB" w:rsidP="00824093">
      <w:pPr>
        <w:pStyle w:val="BodyTextIndent"/>
        <w:jc w:val="both"/>
        <w:rPr>
          <w:rFonts w:cs="Calibri"/>
        </w:rPr>
      </w:pPr>
      <w:r>
        <w:rPr>
          <w:rFonts w:cs="Calibri"/>
        </w:rPr>
        <w:t>The material change is</w:t>
      </w:r>
      <w:r w:rsidR="009F5FBB">
        <w:rPr>
          <w:rFonts w:cs="Calibri"/>
        </w:rPr>
        <w:t xml:space="preserve"> described in Item 4 above and in the attached News Release</w:t>
      </w:r>
      <w:r w:rsidR="00606025">
        <w:rPr>
          <w:rFonts w:cs="Calibri"/>
        </w:rPr>
        <w:t xml:space="preserve"> which has been filed on SEDAR at </w:t>
      </w:r>
      <w:hyperlink r:id="rId7" w:history="1">
        <w:r w:rsidR="00606025" w:rsidRPr="00344C15">
          <w:rPr>
            <w:rStyle w:val="Hyperlink"/>
            <w:rFonts w:cs="Calibri"/>
          </w:rPr>
          <w:t>www.sedar.com</w:t>
        </w:r>
      </w:hyperlink>
    </w:p>
    <w:p w:rsidR="00606025" w:rsidRPr="00DA7E72" w:rsidRDefault="00606025" w:rsidP="00824093">
      <w:pPr>
        <w:pStyle w:val="BodyText"/>
        <w:ind w:left="720"/>
        <w:jc w:val="both"/>
        <w:rPr>
          <w:rFonts w:asciiTheme="minorHAnsi" w:hAnsiTheme="minorHAnsi"/>
          <w:b/>
          <w:noProof/>
          <w:szCs w:val="22"/>
          <w:u w:val="single"/>
        </w:rPr>
      </w:pPr>
      <w:r w:rsidRPr="00DA7E72">
        <w:rPr>
          <w:rFonts w:asciiTheme="minorHAnsi" w:hAnsiTheme="minorHAnsi"/>
          <w:b/>
          <w:noProof/>
          <w:szCs w:val="22"/>
          <w:u w:val="single"/>
        </w:rPr>
        <w:t>Disclosure Required by MI 61-101</w:t>
      </w:r>
    </w:p>
    <w:p w:rsidR="00606025" w:rsidRPr="00DA7E72" w:rsidRDefault="00606025" w:rsidP="00824093">
      <w:pPr>
        <w:pStyle w:val="BodyText"/>
        <w:ind w:left="720"/>
        <w:jc w:val="both"/>
        <w:rPr>
          <w:rFonts w:asciiTheme="minorHAnsi" w:hAnsiTheme="minorHAnsi"/>
          <w:noProof/>
          <w:szCs w:val="22"/>
        </w:rPr>
      </w:pPr>
      <w:r w:rsidRPr="00DA7E72">
        <w:rPr>
          <w:rFonts w:asciiTheme="minorHAnsi" w:hAnsiTheme="minorHAnsi"/>
          <w:noProof/>
          <w:szCs w:val="22"/>
        </w:rPr>
        <w:t>Pursuant to Multilateral Instrument 61</w:t>
      </w:r>
      <w:r w:rsidRPr="00DA7E72">
        <w:rPr>
          <w:rFonts w:asciiTheme="minorHAnsi" w:hAnsiTheme="minorHAnsi" w:cs="Cambria Math"/>
          <w:noProof/>
          <w:szCs w:val="22"/>
        </w:rPr>
        <w:t>‐</w:t>
      </w:r>
      <w:r w:rsidRPr="00DA7E72">
        <w:rPr>
          <w:rFonts w:asciiTheme="minorHAnsi" w:hAnsiTheme="minorHAnsi"/>
          <w:noProof/>
          <w:szCs w:val="22"/>
        </w:rPr>
        <w:t xml:space="preserve">101 </w:t>
      </w:r>
      <w:r w:rsidRPr="00DA7E72">
        <w:rPr>
          <w:rFonts w:asciiTheme="minorHAnsi" w:hAnsiTheme="minorHAnsi" w:cs="Cambria Math"/>
          <w:noProof/>
          <w:szCs w:val="22"/>
        </w:rPr>
        <w:t>‐</w:t>
      </w:r>
      <w:r w:rsidRPr="00DA7E72">
        <w:rPr>
          <w:rFonts w:asciiTheme="minorHAnsi" w:hAnsiTheme="minorHAnsi"/>
          <w:noProof/>
          <w:szCs w:val="22"/>
        </w:rPr>
        <w:t xml:space="preserve"> </w:t>
      </w:r>
      <w:r w:rsidRPr="00BC28C8">
        <w:rPr>
          <w:rFonts w:asciiTheme="minorHAnsi" w:hAnsiTheme="minorHAnsi"/>
          <w:i/>
          <w:noProof/>
          <w:szCs w:val="22"/>
        </w:rPr>
        <w:t>Protection of Minority Security Holders in Special Transactions</w:t>
      </w:r>
      <w:r w:rsidRPr="00DA7E72">
        <w:rPr>
          <w:rFonts w:asciiTheme="minorHAnsi" w:hAnsiTheme="minorHAnsi"/>
          <w:noProof/>
          <w:szCs w:val="22"/>
        </w:rPr>
        <w:t xml:space="preserve"> (“</w:t>
      </w:r>
      <w:r w:rsidRPr="004D40B1">
        <w:rPr>
          <w:rFonts w:asciiTheme="minorHAnsi" w:hAnsiTheme="minorHAnsi"/>
          <w:b/>
          <w:noProof/>
          <w:szCs w:val="22"/>
        </w:rPr>
        <w:t>MI 61</w:t>
      </w:r>
      <w:r w:rsidRPr="004D40B1">
        <w:rPr>
          <w:rFonts w:asciiTheme="minorHAnsi" w:hAnsiTheme="minorHAnsi" w:cs="Cambria Math"/>
          <w:b/>
          <w:noProof/>
          <w:szCs w:val="22"/>
        </w:rPr>
        <w:t>‐</w:t>
      </w:r>
      <w:r w:rsidRPr="004D40B1">
        <w:rPr>
          <w:rFonts w:asciiTheme="minorHAnsi" w:hAnsiTheme="minorHAnsi"/>
          <w:b/>
          <w:noProof/>
          <w:szCs w:val="22"/>
        </w:rPr>
        <w:t>101</w:t>
      </w:r>
      <w:r w:rsidRPr="00DA7E72">
        <w:rPr>
          <w:rFonts w:asciiTheme="minorHAnsi" w:hAnsiTheme="minorHAnsi"/>
          <w:noProof/>
          <w:szCs w:val="22"/>
        </w:rPr>
        <w:t xml:space="preserve">”), the </w:t>
      </w:r>
      <w:r w:rsidR="00824093">
        <w:rPr>
          <w:rFonts w:asciiTheme="minorHAnsi" w:hAnsiTheme="minorHAnsi"/>
          <w:noProof/>
          <w:szCs w:val="22"/>
        </w:rPr>
        <w:t xml:space="preserve">Financing </w:t>
      </w:r>
      <w:r w:rsidRPr="00DA7E72">
        <w:rPr>
          <w:rFonts w:asciiTheme="minorHAnsi" w:hAnsiTheme="minorHAnsi"/>
          <w:noProof/>
          <w:szCs w:val="22"/>
        </w:rPr>
        <w:t xml:space="preserve">constitutes a “related party transaction” </w:t>
      </w:r>
      <w:r w:rsidR="00523E34">
        <w:rPr>
          <w:rFonts w:asciiTheme="minorHAnsi" w:hAnsiTheme="minorHAnsi"/>
          <w:noProof/>
          <w:szCs w:val="22"/>
        </w:rPr>
        <w:t>since</w:t>
      </w:r>
      <w:r w:rsidRPr="00DA7E72">
        <w:rPr>
          <w:rFonts w:asciiTheme="minorHAnsi" w:hAnsiTheme="minorHAnsi"/>
          <w:noProof/>
          <w:szCs w:val="22"/>
        </w:rPr>
        <w:t xml:space="preserve"> a</w:t>
      </w:r>
      <w:r>
        <w:rPr>
          <w:rFonts w:asciiTheme="minorHAnsi" w:hAnsiTheme="minorHAnsi"/>
          <w:noProof/>
          <w:szCs w:val="22"/>
        </w:rPr>
        <w:t xml:space="preserve"> </w:t>
      </w:r>
      <w:r w:rsidRPr="00DA7E72">
        <w:rPr>
          <w:rFonts w:asciiTheme="minorHAnsi" w:hAnsiTheme="minorHAnsi"/>
          <w:noProof/>
          <w:szCs w:val="22"/>
        </w:rPr>
        <w:t xml:space="preserve">related party of the Company </w:t>
      </w:r>
      <w:r>
        <w:rPr>
          <w:rFonts w:asciiTheme="minorHAnsi" w:hAnsiTheme="minorHAnsi"/>
          <w:noProof/>
          <w:szCs w:val="22"/>
        </w:rPr>
        <w:t xml:space="preserve">participated in the </w:t>
      </w:r>
      <w:r w:rsidR="00824093">
        <w:rPr>
          <w:rFonts w:asciiTheme="minorHAnsi" w:hAnsiTheme="minorHAnsi"/>
          <w:noProof/>
          <w:szCs w:val="22"/>
        </w:rPr>
        <w:t>Financing</w:t>
      </w:r>
      <w:r>
        <w:rPr>
          <w:rFonts w:asciiTheme="minorHAnsi" w:hAnsiTheme="minorHAnsi"/>
          <w:noProof/>
          <w:szCs w:val="22"/>
        </w:rPr>
        <w:t xml:space="preserve">. </w:t>
      </w:r>
    </w:p>
    <w:p w:rsidR="00606025" w:rsidRPr="00DA7E72" w:rsidRDefault="00606025" w:rsidP="00824093">
      <w:pPr>
        <w:pStyle w:val="BodyText"/>
        <w:ind w:left="720"/>
        <w:jc w:val="both"/>
        <w:rPr>
          <w:rFonts w:asciiTheme="minorHAnsi" w:hAnsiTheme="minorHAnsi"/>
          <w:noProof/>
          <w:szCs w:val="22"/>
        </w:rPr>
      </w:pPr>
      <w:r w:rsidRPr="00DA7E72">
        <w:rPr>
          <w:rFonts w:asciiTheme="minorHAnsi" w:hAnsiTheme="minorHAnsi"/>
          <w:noProof/>
          <w:szCs w:val="22"/>
        </w:rPr>
        <w:t>The following supplementary information is provided in accordance with Section 5.2 of MI 61</w:t>
      </w:r>
      <w:r w:rsidRPr="00DA7E72">
        <w:rPr>
          <w:rFonts w:asciiTheme="minorHAnsi" w:hAnsiTheme="minorHAnsi" w:cs="Cambria Math"/>
          <w:noProof/>
          <w:szCs w:val="22"/>
        </w:rPr>
        <w:t>‐</w:t>
      </w:r>
      <w:r w:rsidRPr="00DA7E72">
        <w:rPr>
          <w:rFonts w:asciiTheme="minorHAnsi" w:hAnsiTheme="minorHAnsi"/>
          <w:noProof/>
          <w:szCs w:val="22"/>
        </w:rPr>
        <w:t>101.</w:t>
      </w:r>
      <w:r>
        <w:rPr>
          <w:rFonts w:asciiTheme="minorHAnsi" w:hAnsiTheme="minorHAnsi"/>
          <w:noProof/>
          <w:szCs w:val="22"/>
        </w:rPr>
        <w:t xml:space="preserve"> </w:t>
      </w:r>
    </w:p>
    <w:p w:rsidR="00606025" w:rsidRPr="00DA7E72" w:rsidRDefault="00606025" w:rsidP="004D40B1">
      <w:pPr>
        <w:pStyle w:val="BodyText"/>
        <w:keepNext/>
        <w:ind w:left="720"/>
        <w:jc w:val="both"/>
        <w:rPr>
          <w:rFonts w:asciiTheme="minorHAnsi" w:hAnsiTheme="minorHAnsi"/>
          <w:i/>
          <w:noProof/>
          <w:szCs w:val="22"/>
        </w:rPr>
      </w:pPr>
      <w:r w:rsidRPr="00DA7E72">
        <w:rPr>
          <w:rFonts w:asciiTheme="minorHAnsi" w:hAnsiTheme="minorHAnsi"/>
          <w:i/>
          <w:noProof/>
          <w:szCs w:val="22"/>
        </w:rPr>
        <w:t>(a) a description of the transaction and its material terms:</w:t>
      </w:r>
    </w:p>
    <w:p w:rsidR="00606025" w:rsidRPr="008C0451" w:rsidRDefault="0082002E" w:rsidP="004D40B1">
      <w:pPr>
        <w:pStyle w:val="BodyText"/>
        <w:keepNext/>
        <w:ind w:left="720"/>
        <w:jc w:val="both"/>
        <w:rPr>
          <w:rFonts w:asciiTheme="minorHAnsi" w:hAnsiTheme="minorHAnsi" w:cstheme="majorHAnsi"/>
        </w:rPr>
      </w:pPr>
      <w:r w:rsidRPr="0082002E">
        <w:rPr>
          <w:color w:val="000000"/>
        </w:rPr>
        <w:t xml:space="preserve">The Company entered into a subscription agreement with </w:t>
      </w:r>
      <w:r>
        <w:rPr>
          <w:color w:val="000000"/>
        </w:rPr>
        <w:t>Negar Adam</w:t>
      </w:r>
      <w:r w:rsidRPr="0082002E">
        <w:rPr>
          <w:color w:val="000000"/>
        </w:rPr>
        <w:t xml:space="preserve">, </w:t>
      </w:r>
      <w:r>
        <w:rPr>
          <w:color w:val="000000"/>
        </w:rPr>
        <w:t xml:space="preserve">the Corporate Secretary and a director of the Company, whereby Ms. Adam </w:t>
      </w:r>
      <w:r w:rsidRPr="0082002E">
        <w:rPr>
          <w:color w:val="000000"/>
        </w:rPr>
        <w:t xml:space="preserve">agreed to purchase </w:t>
      </w:r>
      <w:r>
        <w:rPr>
          <w:color w:val="000000"/>
        </w:rPr>
        <w:t>25,000</w:t>
      </w:r>
      <w:r w:rsidRPr="0082002E">
        <w:rPr>
          <w:color w:val="000000"/>
        </w:rPr>
        <w:t xml:space="preserve"> Units of the Company at a price of $0.</w:t>
      </w:r>
      <w:r>
        <w:rPr>
          <w:color w:val="000000"/>
        </w:rPr>
        <w:t>20</w:t>
      </w:r>
      <w:r w:rsidRPr="0082002E">
        <w:rPr>
          <w:color w:val="000000"/>
        </w:rPr>
        <w:t xml:space="preserve"> per Unit.  See above for a description of the </w:t>
      </w:r>
      <w:r>
        <w:rPr>
          <w:color w:val="000000"/>
        </w:rPr>
        <w:t xml:space="preserve">material terms of the </w:t>
      </w:r>
      <w:r w:rsidRPr="0082002E">
        <w:rPr>
          <w:color w:val="000000"/>
        </w:rPr>
        <w:t>Units.</w:t>
      </w:r>
    </w:p>
    <w:p w:rsidR="00606025" w:rsidRPr="00DA7E72" w:rsidRDefault="00606025" w:rsidP="004D40B1">
      <w:pPr>
        <w:pStyle w:val="BodyText"/>
        <w:keepNext/>
        <w:ind w:left="720"/>
        <w:jc w:val="both"/>
        <w:rPr>
          <w:rFonts w:asciiTheme="minorHAnsi" w:hAnsiTheme="minorHAnsi"/>
          <w:i/>
          <w:noProof/>
          <w:szCs w:val="22"/>
        </w:rPr>
      </w:pPr>
      <w:r w:rsidRPr="00DA7E72">
        <w:rPr>
          <w:rFonts w:asciiTheme="minorHAnsi" w:hAnsiTheme="minorHAnsi"/>
          <w:i/>
          <w:noProof/>
          <w:szCs w:val="22"/>
        </w:rPr>
        <w:t>(b) the purpose and business reasons for the transaction:</w:t>
      </w:r>
    </w:p>
    <w:p w:rsidR="00606025" w:rsidRDefault="007715BB" w:rsidP="00824093">
      <w:pPr>
        <w:pStyle w:val="BodyText"/>
        <w:ind w:left="720"/>
        <w:jc w:val="both"/>
        <w:rPr>
          <w:rFonts w:asciiTheme="minorHAnsi" w:hAnsiTheme="minorHAnsi"/>
          <w:noProof/>
          <w:szCs w:val="22"/>
        </w:rPr>
      </w:pPr>
      <w:r w:rsidRPr="007B430D">
        <w:rPr>
          <w:rFonts w:asciiTheme="minorHAnsi" w:hAnsiTheme="minorHAnsi"/>
          <w:noProof/>
          <w:szCs w:val="22"/>
        </w:rPr>
        <w:t>The proceeds from the Financing will be used for general working capital</w:t>
      </w:r>
      <w:r w:rsidR="00606025" w:rsidRPr="007B430D">
        <w:rPr>
          <w:rFonts w:asciiTheme="minorHAnsi" w:hAnsiTheme="minorHAnsi"/>
          <w:noProof/>
          <w:szCs w:val="22"/>
        </w:rPr>
        <w:t>.</w:t>
      </w:r>
      <w:r w:rsidR="00606025">
        <w:rPr>
          <w:rFonts w:asciiTheme="minorHAnsi" w:hAnsiTheme="minorHAnsi"/>
          <w:noProof/>
          <w:szCs w:val="22"/>
        </w:rPr>
        <w:t xml:space="preserve"> </w:t>
      </w:r>
    </w:p>
    <w:p w:rsidR="00606025" w:rsidRDefault="00606025" w:rsidP="004D40B1">
      <w:pPr>
        <w:pStyle w:val="BodyText"/>
        <w:keepNext/>
        <w:ind w:left="720"/>
        <w:jc w:val="both"/>
        <w:rPr>
          <w:rFonts w:asciiTheme="minorHAnsi" w:hAnsiTheme="minorHAnsi"/>
          <w:i/>
          <w:noProof/>
          <w:szCs w:val="22"/>
        </w:rPr>
      </w:pPr>
      <w:r w:rsidRPr="00DA7E72">
        <w:rPr>
          <w:rFonts w:asciiTheme="minorHAnsi" w:hAnsiTheme="minorHAnsi"/>
          <w:i/>
          <w:noProof/>
          <w:szCs w:val="22"/>
        </w:rPr>
        <w:lastRenderedPageBreak/>
        <w:t>(c) the anticipated effect of the transaction on the issuer’s business and affairs:</w:t>
      </w:r>
    </w:p>
    <w:p w:rsidR="00606025" w:rsidRDefault="00606025" w:rsidP="004D40B1">
      <w:pPr>
        <w:pStyle w:val="BodyText"/>
        <w:keepNext/>
        <w:ind w:left="720"/>
        <w:jc w:val="both"/>
        <w:rPr>
          <w:rFonts w:asciiTheme="minorHAnsi" w:hAnsiTheme="minorHAnsi"/>
          <w:noProof/>
          <w:szCs w:val="22"/>
        </w:rPr>
      </w:pPr>
      <w:r>
        <w:rPr>
          <w:rFonts w:asciiTheme="minorHAnsi" w:hAnsiTheme="minorHAnsi"/>
          <w:noProof/>
          <w:szCs w:val="22"/>
        </w:rPr>
        <w:t xml:space="preserve">The </w:t>
      </w:r>
      <w:r w:rsidR="004D40B1">
        <w:rPr>
          <w:rFonts w:asciiTheme="minorHAnsi" w:hAnsiTheme="minorHAnsi"/>
          <w:noProof/>
          <w:szCs w:val="22"/>
        </w:rPr>
        <w:t>Financing</w:t>
      </w:r>
      <w:r>
        <w:rPr>
          <w:rFonts w:asciiTheme="minorHAnsi" w:hAnsiTheme="minorHAnsi"/>
          <w:noProof/>
          <w:szCs w:val="22"/>
        </w:rPr>
        <w:t xml:space="preserve"> will provide working capital</w:t>
      </w:r>
      <w:r w:rsidR="00523E34">
        <w:rPr>
          <w:rFonts w:asciiTheme="minorHAnsi" w:hAnsiTheme="minorHAnsi"/>
          <w:noProof/>
          <w:szCs w:val="22"/>
        </w:rPr>
        <w:t xml:space="preserve"> for</w:t>
      </w:r>
      <w:r>
        <w:rPr>
          <w:rFonts w:asciiTheme="minorHAnsi" w:hAnsiTheme="minorHAnsi"/>
          <w:noProof/>
          <w:szCs w:val="22"/>
        </w:rPr>
        <w:t xml:space="preserve"> the Company. </w:t>
      </w:r>
    </w:p>
    <w:p w:rsidR="00606025" w:rsidRPr="00DA7E72" w:rsidRDefault="00606025" w:rsidP="00824093">
      <w:pPr>
        <w:pStyle w:val="BodyText"/>
        <w:ind w:left="720"/>
        <w:jc w:val="both"/>
        <w:rPr>
          <w:rFonts w:asciiTheme="minorHAnsi" w:hAnsiTheme="minorHAnsi"/>
          <w:i/>
          <w:noProof/>
          <w:szCs w:val="22"/>
        </w:rPr>
      </w:pPr>
      <w:r w:rsidRPr="00DA7E72">
        <w:rPr>
          <w:rFonts w:asciiTheme="minorHAnsi" w:hAnsiTheme="minorHAnsi"/>
          <w:i/>
          <w:noProof/>
          <w:szCs w:val="22"/>
        </w:rPr>
        <w:t>(d) a description of:</w:t>
      </w:r>
    </w:p>
    <w:p w:rsidR="00606025" w:rsidRDefault="00606025" w:rsidP="00824093">
      <w:pPr>
        <w:pStyle w:val="BodyText"/>
        <w:ind w:left="720"/>
        <w:jc w:val="both"/>
        <w:rPr>
          <w:rFonts w:asciiTheme="minorHAnsi" w:hAnsiTheme="minorHAnsi"/>
          <w:i/>
          <w:noProof/>
          <w:szCs w:val="22"/>
        </w:rPr>
      </w:pPr>
      <w:r w:rsidRPr="00DA7E72">
        <w:rPr>
          <w:rFonts w:asciiTheme="minorHAnsi" w:hAnsiTheme="minorHAnsi"/>
          <w:i/>
          <w:noProof/>
          <w:szCs w:val="22"/>
        </w:rPr>
        <w:t>(i) the interest in the transaction of every interested party and of the related parties and</w:t>
      </w:r>
      <w:r>
        <w:rPr>
          <w:rFonts w:asciiTheme="minorHAnsi" w:hAnsiTheme="minorHAnsi"/>
          <w:i/>
          <w:noProof/>
          <w:szCs w:val="22"/>
        </w:rPr>
        <w:t xml:space="preserve"> </w:t>
      </w:r>
      <w:r w:rsidRPr="00DA7E72">
        <w:rPr>
          <w:rFonts w:asciiTheme="minorHAnsi" w:hAnsiTheme="minorHAnsi"/>
          <w:i/>
          <w:noProof/>
          <w:szCs w:val="22"/>
        </w:rPr>
        <w:t>associated entities of the interested parties:</w:t>
      </w:r>
    </w:p>
    <w:p w:rsidR="00606025" w:rsidRDefault="00824093" w:rsidP="00824093">
      <w:pPr>
        <w:pStyle w:val="BodyText"/>
        <w:ind w:left="720"/>
        <w:jc w:val="both"/>
        <w:rPr>
          <w:rFonts w:asciiTheme="minorHAnsi" w:hAnsiTheme="minorHAnsi"/>
          <w:noProof/>
          <w:szCs w:val="22"/>
        </w:rPr>
      </w:pPr>
      <w:r>
        <w:rPr>
          <w:rFonts w:asciiTheme="minorHAnsi" w:hAnsiTheme="minorHAnsi"/>
          <w:noProof/>
          <w:szCs w:val="22"/>
        </w:rPr>
        <w:t xml:space="preserve">Negar Adam, the Corporate Secretary and a director of the Company, </w:t>
      </w:r>
      <w:r w:rsidR="00523E34">
        <w:rPr>
          <w:rFonts w:asciiTheme="minorHAnsi" w:hAnsiTheme="minorHAnsi"/>
          <w:noProof/>
          <w:szCs w:val="22"/>
        </w:rPr>
        <w:t>acquired</w:t>
      </w:r>
      <w:r>
        <w:rPr>
          <w:rFonts w:asciiTheme="minorHAnsi" w:hAnsiTheme="minorHAnsi"/>
          <w:noProof/>
          <w:szCs w:val="22"/>
        </w:rPr>
        <w:t xml:space="preserve"> </w:t>
      </w:r>
      <w:r w:rsidR="007715BB">
        <w:rPr>
          <w:rFonts w:asciiTheme="minorHAnsi" w:hAnsiTheme="minorHAnsi"/>
          <w:noProof/>
          <w:szCs w:val="22"/>
        </w:rPr>
        <w:t>25,000</w:t>
      </w:r>
      <w:r>
        <w:rPr>
          <w:rFonts w:asciiTheme="minorHAnsi" w:hAnsiTheme="minorHAnsi"/>
          <w:noProof/>
          <w:szCs w:val="22"/>
        </w:rPr>
        <w:t xml:space="preserve"> Units</w:t>
      </w:r>
      <w:r w:rsidR="00523E34">
        <w:rPr>
          <w:rFonts w:asciiTheme="minorHAnsi" w:hAnsiTheme="minorHAnsi"/>
          <w:noProof/>
          <w:szCs w:val="22"/>
        </w:rPr>
        <w:t xml:space="preserve"> </w:t>
      </w:r>
      <w:r w:rsidR="00523E34" w:rsidRPr="00523E34">
        <w:rPr>
          <w:color w:val="000000"/>
        </w:rPr>
        <w:t>for proceeds of $</w:t>
      </w:r>
      <w:r w:rsidR="00523E34">
        <w:rPr>
          <w:color w:val="000000"/>
        </w:rPr>
        <w:t>5,000.</w:t>
      </w:r>
    </w:p>
    <w:p w:rsidR="00606025" w:rsidRDefault="00606025" w:rsidP="00824093">
      <w:pPr>
        <w:pStyle w:val="BodyText"/>
        <w:ind w:left="720"/>
        <w:jc w:val="both"/>
        <w:rPr>
          <w:rFonts w:asciiTheme="minorHAnsi" w:hAnsiTheme="minorHAnsi"/>
          <w:i/>
          <w:noProof/>
          <w:szCs w:val="22"/>
        </w:rPr>
      </w:pPr>
      <w:r>
        <w:rPr>
          <w:rFonts w:asciiTheme="minorHAnsi" w:hAnsiTheme="minorHAnsi"/>
          <w:i/>
          <w:noProof/>
          <w:szCs w:val="22"/>
        </w:rPr>
        <w:t xml:space="preserve">(ii) </w:t>
      </w:r>
      <w:r w:rsidRPr="00A31146">
        <w:rPr>
          <w:rFonts w:asciiTheme="minorHAnsi" w:hAnsiTheme="minorHAnsi"/>
          <w:i/>
          <w:noProof/>
          <w:szCs w:val="22"/>
        </w:rPr>
        <w:t>the anticipated effect of the transaction on the percentage of securities of the issuer, or of an affiliated entity of the issuer, beneficially owned or controlled by each person or company referred to in subparagraph (i) for which there would be a material change in that percentage:</w:t>
      </w:r>
    </w:p>
    <w:p w:rsidR="007715BB" w:rsidRPr="00BF519C" w:rsidRDefault="007715BB" w:rsidP="007715BB">
      <w:pPr>
        <w:spacing w:before="240"/>
        <w:ind w:left="720"/>
        <w:jc w:val="both"/>
        <w:rPr>
          <w:szCs w:val="22"/>
        </w:rPr>
      </w:pPr>
      <w:r w:rsidRPr="00BF519C">
        <w:rPr>
          <w:szCs w:val="22"/>
        </w:rPr>
        <w:t>The following table sets out the effect of the Financing on the percentage of securities of the Company beneficially owned or controlled by Ms. Adam:</w:t>
      </w:r>
    </w:p>
    <w:p w:rsidR="007715BB" w:rsidRPr="004D7B5E" w:rsidRDefault="007715BB" w:rsidP="007715BB">
      <w:pPr>
        <w:tabs>
          <w:tab w:val="left" w:pos="1440"/>
        </w:tabs>
        <w:ind w:left="720"/>
        <w:jc w:val="both"/>
        <w:rPr>
          <w:sz w:val="18"/>
          <w:szCs w:val="18"/>
        </w:rPr>
      </w:pPr>
    </w:p>
    <w:tbl>
      <w:tblPr>
        <w:tblW w:w="9090"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50"/>
        <w:gridCol w:w="990"/>
        <w:gridCol w:w="1350"/>
        <w:gridCol w:w="1260"/>
        <w:gridCol w:w="1350"/>
        <w:gridCol w:w="1350"/>
        <w:gridCol w:w="1440"/>
      </w:tblGrid>
      <w:tr w:rsidR="007715BB" w:rsidRPr="00492622" w:rsidTr="00476472">
        <w:trPr>
          <w:cantSplit/>
          <w:trHeight w:val="20"/>
        </w:trPr>
        <w:tc>
          <w:tcPr>
            <w:tcW w:w="1350" w:type="dxa"/>
            <w:tcBorders>
              <w:top w:val="single" w:sz="4" w:space="0" w:color="auto"/>
              <w:left w:val="single" w:sz="4" w:space="0" w:color="auto"/>
              <w:bottom w:val="single" w:sz="4" w:space="0" w:color="auto"/>
            </w:tcBorders>
            <w:shd w:val="clear" w:color="auto" w:fill="C6D9F1"/>
            <w:vAlign w:val="bottom"/>
          </w:tcPr>
          <w:p w:rsidR="007715BB" w:rsidRPr="00492622" w:rsidRDefault="007715BB" w:rsidP="00476472">
            <w:pPr>
              <w:jc w:val="center"/>
              <w:rPr>
                <w:b/>
                <w:sz w:val="16"/>
                <w:szCs w:val="16"/>
              </w:rPr>
            </w:pPr>
          </w:p>
          <w:p w:rsidR="007715BB" w:rsidRPr="00492622" w:rsidRDefault="007715BB" w:rsidP="00476472">
            <w:pPr>
              <w:jc w:val="center"/>
              <w:rPr>
                <w:b/>
                <w:sz w:val="16"/>
                <w:szCs w:val="16"/>
              </w:rPr>
            </w:pPr>
            <w:r w:rsidRPr="00492622">
              <w:rPr>
                <w:b/>
                <w:sz w:val="16"/>
                <w:szCs w:val="16"/>
              </w:rPr>
              <w:t>Name and Position</w:t>
            </w:r>
          </w:p>
        </w:tc>
        <w:tc>
          <w:tcPr>
            <w:tcW w:w="990" w:type="dxa"/>
            <w:tcBorders>
              <w:top w:val="single" w:sz="4" w:space="0" w:color="auto"/>
              <w:bottom w:val="single" w:sz="4" w:space="0" w:color="auto"/>
            </w:tcBorders>
            <w:shd w:val="clear" w:color="auto" w:fill="C6D9F1"/>
            <w:vAlign w:val="bottom"/>
          </w:tcPr>
          <w:p w:rsidR="007715BB" w:rsidRPr="00492622" w:rsidRDefault="007715BB" w:rsidP="00476472">
            <w:pPr>
              <w:jc w:val="center"/>
              <w:rPr>
                <w:b/>
                <w:sz w:val="16"/>
                <w:szCs w:val="16"/>
              </w:rPr>
            </w:pPr>
            <w:r w:rsidRPr="00492622">
              <w:rPr>
                <w:b/>
                <w:sz w:val="16"/>
                <w:szCs w:val="16"/>
              </w:rPr>
              <w:t>Dollar Amount of Units Purchased</w:t>
            </w:r>
          </w:p>
        </w:tc>
        <w:tc>
          <w:tcPr>
            <w:tcW w:w="1350" w:type="dxa"/>
            <w:tcBorders>
              <w:top w:val="single" w:sz="4" w:space="0" w:color="auto"/>
              <w:bottom w:val="single" w:sz="4" w:space="0" w:color="auto"/>
            </w:tcBorders>
            <w:shd w:val="clear" w:color="auto" w:fill="C6D9F1"/>
            <w:vAlign w:val="bottom"/>
          </w:tcPr>
          <w:p w:rsidR="007715BB" w:rsidRPr="00492622" w:rsidRDefault="007715BB" w:rsidP="00476472">
            <w:pPr>
              <w:jc w:val="center"/>
              <w:rPr>
                <w:b/>
                <w:sz w:val="16"/>
                <w:szCs w:val="16"/>
              </w:rPr>
            </w:pPr>
            <w:r w:rsidRPr="00492622">
              <w:rPr>
                <w:b/>
                <w:sz w:val="16"/>
                <w:szCs w:val="16"/>
              </w:rPr>
              <w:t>Number of Securities Purchased</w:t>
            </w:r>
          </w:p>
        </w:tc>
        <w:tc>
          <w:tcPr>
            <w:tcW w:w="1260" w:type="dxa"/>
            <w:tcBorders>
              <w:top w:val="single" w:sz="4" w:space="0" w:color="auto"/>
              <w:bottom w:val="single" w:sz="4" w:space="0" w:color="auto"/>
            </w:tcBorders>
            <w:shd w:val="clear" w:color="auto" w:fill="C6D9F1"/>
            <w:vAlign w:val="bottom"/>
          </w:tcPr>
          <w:p w:rsidR="007715BB" w:rsidRPr="00492622" w:rsidRDefault="007715BB" w:rsidP="00C10646">
            <w:pPr>
              <w:jc w:val="center"/>
              <w:rPr>
                <w:b/>
                <w:sz w:val="16"/>
                <w:szCs w:val="16"/>
              </w:rPr>
            </w:pPr>
            <w:r w:rsidRPr="00492622">
              <w:rPr>
                <w:b/>
                <w:sz w:val="16"/>
                <w:szCs w:val="16"/>
                <w:lang w:val="en-GB"/>
              </w:rPr>
              <w:t xml:space="preserve">No. of Shares Held prior to Closing of the </w:t>
            </w:r>
            <w:r w:rsidR="00C10646">
              <w:rPr>
                <w:b/>
                <w:sz w:val="16"/>
                <w:szCs w:val="16"/>
                <w:lang w:val="en-GB"/>
              </w:rPr>
              <w:t>Financing</w:t>
            </w:r>
          </w:p>
        </w:tc>
        <w:tc>
          <w:tcPr>
            <w:tcW w:w="1350" w:type="dxa"/>
            <w:tcBorders>
              <w:top w:val="single" w:sz="4" w:space="0" w:color="auto"/>
              <w:bottom w:val="single" w:sz="4" w:space="0" w:color="auto"/>
            </w:tcBorders>
            <w:shd w:val="clear" w:color="auto" w:fill="C6D9F1"/>
            <w:vAlign w:val="bottom"/>
          </w:tcPr>
          <w:p w:rsidR="007715BB" w:rsidRPr="00492622" w:rsidRDefault="007715BB" w:rsidP="00C10646">
            <w:pPr>
              <w:jc w:val="center"/>
              <w:rPr>
                <w:b/>
                <w:sz w:val="16"/>
                <w:szCs w:val="16"/>
                <w:lang w:val="en-GB"/>
              </w:rPr>
            </w:pPr>
            <w:r w:rsidRPr="00492622">
              <w:rPr>
                <w:b/>
                <w:sz w:val="16"/>
                <w:szCs w:val="16"/>
                <w:lang w:val="en-GB"/>
              </w:rPr>
              <w:t xml:space="preserve">Percentage of Issued and Outstanding Shares prior to Closing of the </w:t>
            </w:r>
            <w:r w:rsidR="00C10646">
              <w:rPr>
                <w:b/>
                <w:sz w:val="16"/>
                <w:szCs w:val="16"/>
                <w:lang w:val="en-GB"/>
              </w:rPr>
              <w:t>Financing</w:t>
            </w:r>
          </w:p>
        </w:tc>
        <w:tc>
          <w:tcPr>
            <w:tcW w:w="1350" w:type="dxa"/>
            <w:tcBorders>
              <w:top w:val="single" w:sz="4" w:space="0" w:color="auto"/>
              <w:bottom w:val="single" w:sz="4" w:space="0" w:color="auto"/>
            </w:tcBorders>
            <w:shd w:val="clear" w:color="auto" w:fill="C6D9F1"/>
            <w:vAlign w:val="bottom"/>
          </w:tcPr>
          <w:p w:rsidR="007715BB" w:rsidRPr="00492622" w:rsidRDefault="007715BB" w:rsidP="00C10646">
            <w:pPr>
              <w:jc w:val="center"/>
              <w:rPr>
                <w:b/>
                <w:sz w:val="16"/>
                <w:szCs w:val="16"/>
                <w:lang w:val="en-GB"/>
              </w:rPr>
            </w:pPr>
            <w:r w:rsidRPr="00492622">
              <w:rPr>
                <w:b/>
                <w:sz w:val="16"/>
                <w:szCs w:val="16"/>
                <w:lang w:val="en-GB"/>
              </w:rPr>
              <w:t xml:space="preserve">No. of Shares Held After Closing of the </w:t>
            </w:r>
            <w:r w:rsidR="00C10646">
              <w:rPr>
                <w:b/>
                <w:sz w:val="16"/>
                <w:szCs w:val="16"/>
                <w:lang w:val="en-GB"/>
              </w:rPr>
              <w:t>Financing</w:t>
            </w:r>
          </w:p>
        </w:tc>
        <w:tc>
          <w:tcPr>
            <w:tcW w:w="1440" w:type="dxa"/>
            <w:tcBorders>
              <w:top w:val="single" w:sz="4" w:space="0" w:color="auto"/>
              <w:bottom w:val="single" w:sz="4" w:space="0" w:color="auto"/>
              <w:right w:val="single" w:sz="4" w:space="0" w:color="auto"/>
            </w:tcBorders>
            <w:shd w:val="clear" w:color="auto" w:fill="C6D9F1"/>
            <w:vAlign w:val="bottom"/>
          </w:tcPr>
          <w:p w:rsidR="007715BB" w:rsidRPr="00492622" w:rsidRDefault="007715BB" w:rsidP="00C10646">
            <w:pPr>
              <w:jc w:val="center"/>
              <w:rPr>
                <w:b/>
                <w:sz w:val="16"/>
                <w:szCs w:val="16"/>
                <w:lang w:val="en-GB"/>
              </w:rPr>
            </w:pPr>
            <w:r w:rsidRPr="00492622">
              <w:rPr>
                <w:b/>
                <w:sz w:val="16"/>
                <w:szCs w:val="16"/>
                <w:lang w:val="en-GB"/>
              </w:rPr>
              <w:t xml:space="preserve">Percentage of Issued and Outstanding Shares After Closing of the </w:t>
            </w:r>
            <w:r w:rsidR="00C10646">
              <w:rPr>
                <w:b/>
                <w:sz w:val="16"/>
                <w:szCs w:val="16"/>
                <w:lang w:val="en-GB"/>
              </w:rPr>
              <w:t>Financing</w:t>
            </w:r>
          </w:p>
        </w:tc>
      </w:tr>
      <w:tr w:rsidR="007715BB" w:rsidRPr="00492622" w:rsidTr="00476472">
        <w:trPr>
          <w:cantSplit/>
          <w:trHeight w:val="20"/>
        </w:trPr>
        <w:tc>
          <w:tcPr>
            <w:tcW w:w="1350" w:type="dxa"/>
            <w:tcBorders>
              <w:top w:val="single" w:sz="4" w:space="0" w:color="auto"/>
              <w:left w:val="single" w:sz="4" w:space="0" w:color="auto"/>
              <w:bottom w:val="single" w:sz="4" w:space="0" w:color="auto"/>
            </w:tcBorders>
            <w:vAlign w:val="center"/>
          </w:tcPr>
          <w:p w:rsidR="007715BB" w:rsidRPr="00492622" w:rsidRDefault="007715BB" w:rsidP="007715BB">
            <w:pPr>
              <w:rPr>
                <w:sz w:val="16"/>
                <w:szCs w:val="16"/>
              </w:rPr>
            </w:pPr>
            <w:r>
              <w:rPr>
                <w:sz w:val="16"/>
                <w:szCs w:val="16"/>
              </w:rPr>
              <w:t>Negar Adam</w:t>
            </w:r>
            <w:r w:rsidRPr="00492622">
              <w:rPr>
                <w:sz w:val="16"/>
                <w:szCs w:val="16"/>
                <w:vertAlign w:val="superscript"/>
              </w:rPr>
              <w:br/>
            </w:r>
            <w:r>
              <w:rPr>
                <w:i/>
                <w:sz w:val="16"/>
                <w:szCs w:val="16"/>
              </w:rPr>
              <w:t xml:space="preserve">Corporate Secretary and </w:t>
            </w:r>
            <w:r w:rsidRPr="00492622">
              <w:rPr>
                <w:i/>
                <w:sz w:val="16"/>
                <w:szCs w:val="16"/>
              </w:rPr>
              <w:t>Director</w:t>
            </w:r>
          </w:p>
        </w:tc>
        <w:tc>
          <w:tcPr>
            <w:tcW w:w="990" w:type="dxa"/>
            <w:tcBorders>
              <w:top w:val="single" w:sz="4" w:space="0" w:color="auto"/>
              <w:bottom w:val="single" w:sz="4" w:space="0" w:color="auto"/>
            </w:tcBorders>
            <w:vAlign w:val="center"/>
          </w:tcPr>
          <w:p w:rsidR="007715BB" w:rsidRPr="00492622" w:rsidRDefault="007715BB" w:rsidP="00BE6094">
            <w:pPr>
              <w:jc w:val="center"/>
              <w:rPr>
                <w:sz w:val="16"/>
                <w:szCs w:val="16"/>
              </w:rPr>
            </w:pPr>
            <w:r>
              <w:rPr>
                <w:sz w:val="16"/>
                <w:szCs w:val="16"/>
              </w:rPr>
              <w:t>$</w:t>
            </w:r>
            <w:r w:rsidR="00BE6094">
              <w:rPr>
                <w:sz w:val="16"/>
                <w:szCs w:val="16"/>
              </w:rPr>
              <w:t>5,000</w:t>
            </w:r>
          </w:p>
        </w:tc>
        <w:tc>
          <w:tcPr>
            <w:tcW w:w="1350" w:type="dxa"/>
            <w:tcBorders>
              <w:top w:val="single" w:sz="4" w:space="0" w:color="auto"/>
              <w:bottom w:val="single" w:sz="4" w:space="0" w:color="auto"/>
            </w:tcBorders>
            <w:vAlign w:val="center"/>
          </w:tcPr>
          <w:p w:rsidR="007715BB" w:rsidRPr="00492622" w:rsidRDefault="00BE6094" w:rsidP="00C10646">
            <w:pPr>
              <w:jc w:val="center"/>
              <w:rPr>
                <w:sz w:val="16"/>
                <w:szCs w:val="16"/>
              </w:rPr>
            </w:pPr>
            <w:r>
              <w:rPr>
                <w:sz w:val="16"/>
                <w:szCs w:val="16"/>
              </w:rPr>
              <w:t>25,000</w:t>
            </w:r>
            <w:r w:rsidR="007715BB">
              <w:rPr>
                <w:sz w:val="16"/>
                <w:szCs w:val="16"/>
              </w:rPr>
              <w:t xml:space="preserve"> </w:t>
            </w:r>
            <w:r w:rsidR="00C10646">
              <w:rPr>
                <w:sz w:val="16"/>
                <w:szCs w:val="16"/>
              </w:rPr>
              <w:t xml:space="preserve">Shares </w:t>
            </w:r>
            <w:r>
              <w:rPr>
                <w:sz w:val="16"/>
                <w:szCs w:val="16"/>
              </w:rPr>
              <w:t>25,000</w:t>
            </w:r>
            <w:r w:rsidR="007715BB">
              <w:rPr>
                <w:sz w:val="16"/>
                <w:szCs w:val="16"/>
              </w:rPr>
              <w:t xml:space="preserve"> </w:t>
            </w:r>
            <w:r w:rsidR="00C10646">
              <w:rPr>
                <w:sz w:val="16"/>
                <w:szCs w:val="16"/>
              </w:rPr>
              <w:t>W</w:t>
            </w:r>
            <w:r w:rsidR="007715BB" w:rsidRPr="00492622">
              <w:rPr>
                <w:sz w:val="16"/>
                <w:szCs w:val="16"/>
              </w:rPr>
              <w:t>arrants</w:t>
            </w:r>
          </w:p>
        </w:tc>
        <w:tc>
          <w:tcPr>
            <w:tcW w:w="1260" w:type="dxa"/>
            <w:tcBorders>
              <w:top w:val="single" w:sz="4" w:space="0" w:color="auto"/>
              <w:bottom w:val="single" w:sz="4" w:space="0" w:color="auto"/>
            </w:tcBorders>
            <w:vAlign w:val="center"/>
          </w:tcPr>
          <w:p w:rsidR="007715BB" w:rsidRPr="00492622" w:rsidRDefault="007715BB" w:rsidP="00476472">
            <w:pPr>
              <w:jc w:val="center"/>
              <w:rPr>
                <w:sz w:val="16"/>
                <w:szCs w:val="16"/>
                <w:lang w:val="en-GB"/>
              </w:rPr>
            </w:pPr>
            <w:r w:rsidRPr="00492622">
              <w:rPr>
                <w:sz w:val="16"/>
                <w:szCs w:val="16"/>
                <w:lang w:val="en-GB"/>
              </w:rPr>
              <w:t xml:space="preserve">Undiluted:  </w:t>
            </w:r>
            <w:r w:rsidR="00BE6094">
              <w:rPr>
                <w:sz w:val="16"/>
                <w:szCs w:val="16"/>
              </w:rPr>
              <w:t>0</w:t>
            </w:r>
          </w:p>
          <w:p w:rsidR="007715BB" w:rsidRPr="00492622" w:rsidRDefault="007715BB" w:rsidP="00476472">
            <w:pPr>
              <w:jc w:val="center"/>
              <w:rPr>
                <w:sz w:val="16"/>
                <w:szCs w:val="16"/>
                <w:lang w:val="en-GB"/>
              </w:rPr>
            </w:pPr>
          </w:p>
          <w:p w:rsidR="007715BB" w:rsidRPr="00492622" w:rsidRDefault="007715BB" w:rsidP="00BE6094">
            <w:pPr>
              <w:jc w:val="center"/>
              <w:rPr>
                <w:sz w:val="16"/>
                <w:szCs w:val="16"/>
                <w:vertAlign w:val="superscript"/>
                <w:lang w:val="en-GB"/>
              </w:rPr>
            </w:pPr>
            <w:r w:rsidRPr="00492622">
              <w:rPr>
                <w:sz w:val="16"/>
                <w:szCs w:val="16"/>
                <w:lang w:val="en-GB"/>
              </w:rPr>
              <w:t xml:space="preserve">Diluted:  </w:t>
            </w:r>
            <w:r w:rsidR="00BE6094">
              <w:rPr>
                <w:sz w:val="16"/>
                <w:szCs w:val="16"/>
                <w:lang w:val="en-GB"/>
              </w:rPr>
              <w:t>250,000</w:t>
            </w:r>
            <w:r w:rsidRPr="00492622">
              <w:rPr>
                <w:sz w:val="16"/>
                <w:szCs w:val="16"/>
                <w:vertAlign w:val="superscript"/>
                <w:lang w:val="en-GB"/>
              </w:rPr>
              <w:t>(1)</w:t>
            </w:r>
          </w:p>
        </w:tc>
        <w:tc>
          <w:tcPr>
            <w:tcW w:w="1350" w:type="dxa"/>
            <w:tcBorders>
              <w:top w:val="single" w:sz="4" w:space="0" w:color="auto"/>
              <w:bottom w:val="single" w:sz="4" w:space="0" w:color="auto"/>
            </w:tcBorders>
            <w:vAlign w:val="center"/>
          </w:tcPr>
          <w:p w:rsidR="007715BB" w:rsidRPr="00492622" w:rsidRDefault="007715BB" w:rsidP="00476472">
            <w:pPr>
              <w:jc w:val="center"/>
              <w:rPr>
                <w:sz w:val="16"/>
                <w:szCs w:val="16"/>
                <w:vertAlign w:val="superscript"/>
                <w:lang w:val="en-GB"/>
              </w:rPr>
            </w:pPr>
            <w:r w:rsidRPr="00492622">
              <w:rPr>
                <w:sz w:val="16"/>
                <w:szCs w:val="16"/>
                <w:lang w:val="en-GB"/>
              </w:rPr>
              <w:t xml:space="preserve">Undiluted:  </w:t>
            </w:r>
            <w:r w:rsidR="00BE6094">
              <w:rPr>
                <w:sz w:val="16"/>
                <w:szCs w:val="16"/>
                <w:lang w:val="en-GB"/>
              </w:rPr>
              <w:t>0</w:t>
            </w:r>
            <w:r w:rsidRPr="00492622">
              <w:rPr>
                <w:sz w:val="16"/>
                <w:szCs w:val="16"/>
              </w:rPr>
              <w:t>%</w:t>
            </w:r>
            <w:r w:rsidRPr="00492622">
              <w:rPr>
                <w:sz w:val="16"/>
                <w:szCs w:val="16"/>
                <w:vertAlign w:val="superscript"/>
                <w:lang w:val="en-GB"/>
              </w:rPr>
              <w:t>(2)</w:t>
            </w:r>
          </w:p>
          <w:p w:rsidR="007715BB" w:rsidRPr="00492622" w:rsidRDefault="007715BB" w:rsidP="00476472">
            <w:pPr>
              <w:jc w:val="center"/>
              <w:rPr>
                <w:sz w:val="16"/>
                <w:szCs w:val="16"/>
                <w:lang w:val="en-GB"/>
              </w:rPr>
            </w:pPr>
          </w:p>
          <w:p w:rsidR="007715BB" w:rsidRPr="00492622" w:rsidRDefault="007715BB" w:rsidP="0053799A">
            <w:pPr>
              <w:jc w:val="center"/>
              <w:rPr>
                <w:sz w:val="16"/>
                <w:szCs w:val="16"/>
                <w:vertAlign w:val="superscript"/>
                <w:lang w:val="en-GB"/>
              </w:rPr>
            </w:pPr>
            <w:r w:rsidRPr="00492622">
              <w:rPr>
                <w:sz w:val="16"/>
                <w:szCs w:val="16"/>
                <w:lang w:val="en-GB"/>
              </w:rPr>
              <w:t xml:space="preserve">Diluted:  </w:t>
            </w:r>
            <w:r w:rsidRPr="00492622">
              <w:rPr>
                <w:sz w:val="16"/>
                <w:szCs w:val="16"/>
                <w:lang w:val="en-GB"/>
              </w:rPr>
              <w:br/>
            </w:r>
            <w:r w:rsidR="0053799A">
              <w:rPr>
                <w:sz w:val="16"/>
                <w:szCs w:val="16"/>
              </w:rPr>
              <w:t>1.3</w:t>
            </w:r>
            <w:r w:rsidRPr="00492622">
              <w:rPr>
                <w:sz w:val="16"/>
                <w:szCs w:val="16"/>
              </w:rPr>
              <w:t>%</w:t>
            </w:r>
            <w:r w:rsidRPr="00492622">
              <w:rPr>
                <w:sz w:val="16"/>
                <w:szCs w:val="16"/>
                <w:vertAlign w:val="superscript"/>
                <w:lang w:val="en-GB"/>
              </w:rPr>
              <w:t>(3)</w:t>
            </w:r>
          </w:p>
        </w:tc>
        <w:tc>
          <w:tcPr>
            <w:tcW w:w="1350" w:type="dxa"/>
            <w:tcBorders>
              <w:top w:val="single" w:sz="4" w:space="0" w:color="auto"/>
              <w:bottom w:val="single" w:sz="4" w:space="0" w:color="auto"/>
            </w:tcBorders>
            <w:vAlign w:val="center"/>
          </w:tcPr>
          <w:p w:rsidR="007715BB" w:rsidRPr="00492622" w:rsidRDefault="007715BB" w:rsidP="00476472">
            <w:pPr>
              <w:jc w:val="center"/>
              <w:rPr>
                <w:sz w:val="16"/>
                <w:szCs w:val="16"/>
                <w:lang w:val="en-GB"/>
              </w:rPr>
            </w:pPr>
            <w:r w:rsidRPr="00492622">
              <w:rPr>
                <w:sz w:val="16"/>
                <w:szCs w:val="16"/>
                <w:lang w:val="en-GB"/>
              </w:rPr>
              <w:t xml:space="preserve">Undiluted: </w:t>
            </w:r>
          </w:p>
          <w:p w:rsidR="007715BB" w:rsidRPr="00492622" w:rsidRDefault="00BE6094" w:rsidP="00476472">
            <w:pPr>
              <w:jc w:val="center"/>
              <w:rPr>
                <w:sz w:val="16"/>
                <w:szCs w:val="16"/>
                <w:lang w:val="en-GB"/>
              </w:rPr>
            </w:pPr>
            <w:r>
              <w:rPr>
                <w:sz w:val="16"/>
                <w:szCs w:val="16"/>
                <w:lang w:val="en-GB"/>
              </w:rPr>
              <w:t>25,000</w:t>
            </w:r>
          </w:p>
          <w:p w:rsidR="007715BB" w:rsidRPr="00492622" w:rsidRDefault="007715BB" w:rsidP="00476472">
            <w:pPr>
              <w:jc w:val="center"/>
              <w:rPr>
                <w:sz w:val="16"/>
                <w:szCs w:val="16"/>
                <w:lang w:val="en-GB"/>
              </w:rPr>
            </w:pPr>
            <w:r w:rsidRPr="00492622">
              <w:rPr>
                <w:sz w:val="16"/>
                <w:szCs w:val="16"/>
                <w:lang w:val="en-GB"/>
              </w:rPr>
              <w:br/>
              <w:t xml:space="preserve">Diluted: </w:t>
            </w:r>
          </w:p>
          <w:p w:rsidR="007715BB" w:rsidRPr="00492622" w:rsidRDefault="00BE6094" w:rsidP="00476472">
            <w:pPr>
              <w:jc w:val="center"/>
              <w:rPr>
                <w:sz w:val="16"/>
                <w:szCs w:val="16"/>
                <w:vertAlign w:val="superscript"/>
                <w:lang w:val="en-GB"/>
              </w:rPr>
            </w:pPr>
            <w:r>
              <w:rPr>
                <w:sz w:val="16"/>
                <w:szCs w:val="16"/>
                <w:lang w:val="en-GB"/>
              </w:rPr>
              <w:t>300,000</w:t>
            </w:r>
            <w:r w:rsidR="007715BB" w:rsidRPr="00492622">
              <w:rPr>
                <w:sz w:val="16"/>
                <w:szCs w:val="16"/>
                <w:vertAlign w:val="superscript"/>
                <w:lang w:val="en-GB"/>
              </w:rPr>
              <w:t>(4)</w:t>
            </w:r>
          </w:p>
        </w:tc>
        <w:tc>
          <w:tcPr>
            <w:tcW w:w="1440" w:type="dxa"/>
            <w:tcBorders>
              <w:top w:val="single" w:sz="4" w:space="0" w:color="auto"/>
              <w:bottom w:val="single" w:sz="4" w:space="0" w:color="auto"/>
              <w:right w:val="single" w:sz="4" w:space="0" w:color="auto"/>
            </w:tcBorders>
            <w:vAlign w:val="center"/>
          </w:tcPr>
          <w:p w:rsidR="007715BB" w:rsidRPr="00492622" w:rsidRDefault="007715BB" w:rsidP="00476472">
            <w:pPr>
              <w:jc w:val="center"/>
              <w:rPr>
                <w:sz w:val="16"/>
                <w:szCs w:val="16"/>
                <w:vertAlign w:val="superscript"/>
                <w:lang w:val="en-GB"/>
              </w:rPr>
            </w:pPr>
            <w:r w:rsidRPr="00492622">
              <w:rPr>
                <w:sz w:val="16"/>
                <w:szCs w:val="16"/>
                <w:lang w:val="en-GB"/>
              </w:rPr>
              <w:t xml:space="preserve">Undiluted:  </w:t>
            </w:r>
            <w:r w:rsidRPr="00492622">
              <w:rPr>
                <w:sz w:val="16"/>
                <w:szCs w:val="16"/>
                <w:lang w:val="en-GB"/>
              </w:rPr>
              <w:br/>
            </w:r>
            <w:r w:rsidR="0053799A">
              <w:rPr>
                <w:sz w:val="16"/>
                <w:szCs w:val="16"/>
                <w:lang w:val="en-GB"/>
              </w:rPr>
              <w:t>0.1</w:t>
            </w:r>
            <w:r w:rsidRPr="00492622">
              <w:rPr>
                <w:sz w:val="16"/>
                <w:szCs w:val="16"/>
                <w:lang w:val="en-GB"/>
              </w:rPr>
              <w:t>%</w:t>
            </w:r>
            <w:r w:rsidRPr="00492622">
              <w:rPr>
                <w:sz w:val="16"/>
                <w:szCs w:val="16"/>
                <w:vertAlign w:val="superscript"/>
                <w:lang w:val="en-GB"/>
              </w:rPr>
              <w:t>(5)</w:t>
            </w:r>
          </w:p>
          <w:p w:rsidR="007715BB" w:rsidRPr="00492622" w:rsidRDefault="007715BB" w:rsidP="00476472">
            <w:pPr>
              <w:jc w:val="center"/>
              <w:rPr>
                <w:sz w:val="16"/>
                <w:szCs w:val="16"/>
                <w:lang w:val="en-GB"/>
              </w:rPr>
            </w:pPr>
          </w:p>
          <w:p w:rsidR="007715BB" w:rsidRPr="00492622" w:rsidRDefault="007715BB" w:rsidP="0053799A">
            <w:pPr>
              <w:jc w:val="center"/>
              <w:rPr>
                <w:sz w:val="16"/>
                <w:szCs w:val="16"/>
                <w:lang w:val="en-GB"/>
              </w:rPr>
            </w:pPr>
            <w:r w:rsidRPr="00492622">
              <w:rPr>
                <w:sz w:val="16"/>
                <w:szCs w:val="16"/>
                <w:lang w:val="en-GB"/>
              </w:rPr>
              <w:t xml:space="preserve">Diluted:  </w:t>
            </w:r>
            <w:r w:rsidRPr="00492622">
              <w:rPr>
                <w:sz w:val="16"/>
                <w:szCs w:val="16"/>
                <w:lang w:val="en-GB"/>
              </w:rPr>
              <w:br/>
            </w:r>
            <w:r w:rsidR="0053799A">
              <w:rPr>
                <w:sz w:val="16"/>
                <w:szCs w:val="16"/>
                <w:lang w:val="en-GB"/>
              </w:rPr>
              <w:t>1.5</w:t>
            </w:r>
            <w:r w:rsidRPr="00492622">
              <w:rPr>
                <w:sz w:val="16"/>
                <w:szCs w:val="16"/>
                <w:lang w:val="en-GB"/>
              </w:rPr>
              <w:t>%</w:t>
            </w:r>
            <w:r w:rsidRPr="00492622">
              <w:rPr>
                <w:sz w:val="16"/>
                <w:szCs w:val="16"/>
                <w:vertAlign w:val="superscript"/>
                <w:lang w:val="en-GB"/>
              </w:rPr>
              <w:t>(6)</w:t>
            </w:r>
          </w:p>
        </w:tc>
      </w:tr>
    </w:tbl>
    <w:p w:rsidR="007715BB" w:rsidRPr="005C3BBB" w:rsidRDefault="007715BB" w:rsidP="007715BB">
      <w:pPr>
        <w:numPr>
          <w:ilvl w:val="0"/>
          <w:numId w:val="42"/>
        </w:numPr>
        <w:autoSpaceDE w:val="0"/>
        <w:autoSpaceDN w:val="0"/>
        <w:adjustRightInd w:val="0"/>
        <w:spacing w:before="60"/>
        <w:ind w:left="1080"/>
        <w:jc w:val="both"/>
        <w:rPr>
          <w:rFonts w:cs="Arial"/>
          <w:sz w:val="16"/>
          <w:szCs w:val="16"/>
          <w:lang w:val="en-GB"/>
        </w:rPr>
      </w:pPr>
      <w:r w:rsidRPr="005C3BBB">
        <w:rPr>
          <w:rFonts w:cs="BookAntiqua"/>
          <w:sz w:val="16"/>
          <w:szCs w:val="16"/>
        </w:rPr>
        <w:t>Comprised of</w:t>
      </w:r>
      <w:r w:rsidR="00BE6094">
        <w:rPr>
          <w:rFonts w:cs="BookAntiqua"/>
          <w:sz w:val="16"/>
          <w:szCs w:val="16"/>
        </w:rPr>
        <w:t xml:space="preserve"> </w:t>
      </w:r>
      <w:r>
        <w:rPr>
          <w:rFonts w:cs="BookAntiqua"/>
          <w:sz w:val="16"/>
          <w:szCs w:val="16"/>
        </w:rPr>
        <w:t xml:space="preserve">250,000 </w:t>
      </w:r>
      <w:r w:rsidRPr="005C3BBB">
        <w:rPr>
          <w:rFonts w:cs="BookAntiqua"/>
          <w:sz w:val="16"/>
          <w:szCs w:val="16"/>
        </w:rPr>
        <w:t>options</w:t>
      </w:r>
      <w:r>
        <w:rPr>
          <w:rFonts w:cs="BookAntiqua"/>
          <w:sz w:val="16"/>
          <w:szCs w:val="16"/>
        </w:rPr>
        <w:t xml:space="preserve"> held indirectly by All Seasons Consulting Inc.</w:t>
      </w:r>
      <w:r w:rsidR="00BE6094">
        <w:rPr>
          <w:rFonts w:cs="BookAntiqua"/>
          <w:sz w:val="16"/>
          <w:szCs w:val="16"/>
        </w:rPr>
        <w:t xml:space="preserve"> (“</w:t>
      </w:r>
      <w:r w:rsidR="00BE6094" w:rsidRPr="00BF519C">
        <w:rPr>
          <w:rFonts w:cs="BookAntiqua"/>
          <w:b/>
          <w:sz w:val="16"/>
          <w:szCs w:val="16"/>
        </w:rPr>
        <w:t>All Seasons</w:t>
      </w:r>
      <w:r w:rsidR="00BE6094">
        <w:rPr>
          <w:rFonts w:cs="BookAntiqua"/>
          <w:sz w:val="16"/>
          <w:szCs w:val="16"/>
        </w:rPr>
        <w:t>”)</w:t>
      </w:r>
      <w:r>
        <w:rPr>
          <w:rFonts w:cs="BookAntiqua"/>
          <w:sz w:val="16"/>
          <w:szCs w:val="16"/>
        </w:rPr>
        <w:t>, a company wholly owned by Negar Adam</w:t>
      </w:r>
      <w:r w:rsidRPr="005C3BBB">
        <w:rPr>
          <w:rFonts w:cs="BookAntiqua"/>
          <w:sz w:val="16"/>
          <w:szCs w:val="16"/>
        </w:rPr>
        <w:t>, each of which is exercisable into one Share</w:t>
      </w:r>
      <w:r w:rsidR="00BE6094">
        <w:rPr>
          <w:rFonts w:cs="BookAntiqua"/>
          <w:sz w:val="16"/>
          <w:szCs w:val="16"/>
        </w:rPr>
        <w:t xml:space="preserve"> </w:t>
      </w:r>
      <w:r w:rsidRPr="005C3BBB">
        <w:rPr>
          <w:rFonts w:cs="BookAntiqua"/>
          <w:sz w:val="16"/>
          <w:szCs w:val="16"/>
        </w:rPr>
        <w:t>at a price of $</w:t>
      </w:r>
      <w:r w:rsidR="00BF519C">
        <w:rPr>
          <w:rFonts w:cs="BookAntiqua"/>
          <w:sz w:val="16"/>
          <w:szCs w:val="16"/>
        </w:rPr>
        <w:t xml:space="preserve">0.16 </w:t>
      </w:r>
      <w:r w:rsidRPr="005C3BBB">
        <w:rPr>
          <w:rFonts w:cs="BookAntiqua"/>
          <w:sz w:val="16"/>
          <w:szCs w:val="16"/>
        </w:rPr>
        <w:t>per Share until</w:t>
      </w:r>
      <w:r w:rsidR="00BF519C">
        <w:rPr>
          <w:rFonts w:cs="BookAntiqua"/>
          <w:sz w:val="16"/>
          <w:szCs w:val="16"/>
        </w:rPr>
        <w:t xml:space="preserve"> March 2, 2019</w:t>
      </w:r>
      <w:r w:rsidR="009F2BC1">
        <w:rPr>
          <w:rFonts w:cs="BookAntiqua"/>
          <w:sz w:val="16"/>
          <w:szCs w:val="16"/>
        </w:rPr>
        <w:t>.</w:t>
      </w:r>
    </w:p>
    <w:p w:rsidR="007715BB" w:rsidRPr="00492622" w:rsidRDefault="007715BB" w:rsidP="007715BB">
      <w:pPr>
        <w:numPr>
          <w:ilvl w:val="0"/>
          <w:numId w:val="42"/>
        </w:numPr>
        <w:spacing w:before="60"/>
        <w:ind w:left="1080"/>
        <w:jc w:val="both"/>
        <w:rPr>
          <w:rFonts w:cs="Arial"/>
          <w:sz w:val="16"/>
          <w:szCs w:val="16"/>
          <w:lang w:val="en-GB"/>
        </w:rPr>
      </w:pPr>
      <w:r w:rsidRPr="00492622">
        <w:rPr>
          <w:rFonts w:cs="Arial"/>
          <w:sz w:val="16"/>
          <w:szCs w:val="16"/>
          <w:lang w:val="en-GB"/>
        </w:rPr>
        <w:t xml:space="preserve">Based on </w:t>
      </w:r>
      <w:r w:rsidR="007B430D">
        <w:rPr>
          <w:rFonts w:cs="Arial"/>
          <w:sz w:val="16"/>
          <w:szCs w:val="16"/>
        </w:rPr>
        <w:t>19,184,226</w:t>
      </w:r>
      <w:r w:rsidR="00BE6094">
        <w:rPr>
          <w:rFonts w:cs="Arial"/>
          <w:sz w:val="16"/>
          <w:szCs w:val="16"/>
        </w:rPr>
        <w:t xml:space="preserve"> </w:t>
      </w:r>
      <w:r w:rsidRPr="00492622">
        <w:rPr>
          <w:rFonts w:cs="Arial"/>
          <w:sz w:val="16"/>
          <w:szCs w:val="16"/>
          <w:lang w:val="en-GB"/>
        </w:rPr>
        <w:t xml:space="preserve">Shares outstanding prior to the completion of the </w:t>
      </w:r>
      <w:r w:rsidR="00BE6094">
        <w:rPr>
          <w:rFonts w:cs="Arial"/>
          <w:sz w:val="16"/>
          <w:szCs w:val="16"/>
          <w:lang w:val="en-GB"/>
        </w:rPr>
        <w:t>Financing</w:t>
      </w:r>
      <w:r w:rsidRPr="00492622">
        <w:rPr>
          <w:rFonts w:cs="Arial"/>
          <w:sz w:val="16"/>
          <w:szCs w:val="16"/>
          <w:lang w:val="en-GB"/>
        </w:rPr>
        <w:t>.</w:t>
      </w:r>
    </w:p>
    <w:p w:rsidR="007715BB" w:rsidRPr="00492622" w:rsidRDefault="007715BB" w:rsidP="007715BB">
      <w:pPr>
        <w:numPr>
          <w:ilvl w:val="0"/>
          <w:numId w:val="42"/>
        </w:numPr>
        <w:spacing w:before="60"/>
        <w:ind w:left="1080"/>
        <w:jc w:val="both"/>
        <w:rPr>
          <w:rFonts w:cs="Arial"/>
          <w:sz w:val="16"/>
          <w:szCs w:val="16"/>
          <w:lang w:val="en-GB"/>
        </w:rPr>
      </w:pPr>
      <w:r w:rsidRPr="00492622">
        <w:rPr>
          <w:rFonts w:cs="Arial"/>
          <w:sz w:val="16"/>
          <w:szCs w:val="16"/>
          <w:lang w:val="en-GB"/>
        </w:rPr>
        <w:t xml:space="preserve">Based on </w:t>
      </w:r>
      <w:r w:rsidR="0053799A">
        <w:rPr>
          <w:rFonts w:cs="Arial"/>
          <w:sz w:val="16"/>
          <w:szCs w:val="16"/>
          <w:lang w:val="en-GB"/>
        </w:rPr>
        <w:t>19,434,226</w:t>
      </w:r>
      <w:r w:rsidR="00BE6094">
        <w:rPr>
          <w:rFonts w:cs="Arial"/>
          <w:sz w:val="16"/>
          <w:szCs w:val="16"/>
          <w:lang w:val="en-GB"/>
        </w:rPr>
        <w:t xml:space="preserve"> </w:t>
      </w:r>
      <w:r w:rsidRPr="00492622">
        <w:rPr>
          <w:rFonts w:cs="Arial"/>
          <w:sz w:val="16"/>
          <w:szCs w:val="16"/>
          <w:lang w:val="en-GB"/>
        </w:rPr>
        <w:t>Shares comprised of: (</w:t>
      </w:r>
      <w:proofErr w:type="spellStart"/>
      <w:r w:rsidR="00BE6094">
        <w:rPr>
          <w:rFonts w:cs="Arial"/>
          <w:sz w:val="16"/>
          <w:szCs w:val="16"/>
          <w:lang w:val="en-GB"/>
        </w:rPr>
        <w:t>i</w:t>
      </w:r>
      <w:proofErr w:type="spellEnd"/>
      <w:r w:rsidRPr="00492622">
        <w:rPr>
          <w:rFonts w:cs="Arial"/>
          <w:sz w:val="16"/>
          <w:szCs w:val="16"/>
          <w:lang w:val="en-GB"/>
        </w:rPr>
        <w:t xml:space="preserve">) </w:t>
      </w:r>
      <w:r w:rsidR="0053799A">
        <w:rPr>
          <w:rFonts w:cs="Arial"/>
          <w:sz w:val="16"/>
          <w:szCs w:val="16"/>
        </w:rPr>
        <w:t>19,184,226</w:t>
      </w:r>
      <w:r w:rsidRPr="00492622">
        <w:rPr>
          <w:rFonts w:cs="Arial"/>
          <w:sz w:val="16"/>
          <w:szCs w:val="16"/>
        </w:rPr>
        <w:t xml:space="preserve"> </w:t>
      </w:r>
      <w:r w:rsidRPr="00492622">
        <w:rPr>
          <w:rFonts w:cs="Arial"/>
          <w:sz w:val="16"/>
          <w:szCs w:val="16"/>
          <w:lang w:val="en-GB"/>
        </w:rPr>
        <w:t xml:space="preserve">Shares outstanding prior to the completion of the </w:t>
      </w:r>
      <w:r w:rsidR="00BE6094">
        <w:rPr>
          <w:rFonts w:cs="Arial"/>
          <w:sz w:val="16"/>
          <w:szCs w:val="16"/>
          <w:lang w:val="en-GB"/>
        </w:rPr>
        <w:t xml:space="preserve">Financing and </w:t>
      </w:r>
      <w:r w:rsidRPr="00492622">
        <w:rPr>
          <w:rFonts w:cs="Arial"/>
          <w:sz w:val="16"/>
          <w:szCs w:val="16"/>
          <w:lang w:val="en-GB"/>
        </w:rPr>
        <w:t xml:space="preserve">(ii) </w:t>
      </w:r>
      <w:r w:rsidR="00BE6094">
        <w:rPr>
          <w:rFonts w:cs="Arial"/>
          <w:sz w:val="16"/>
          <w:szCs w:val="16"/>
          <w:lang w:val="en-GB"/>
        </w:rPr>
        <w:t>250,000</w:t>
      </w:r>
      <w:r>
        <w:rPr>
          <w:rFonts w:cs="Arial"/>
          <w:sz w:val="16"/>
          <w:szCs w:val="16"/>
          <w:lang w:val="en-GB"/>
        </w:rPr>
        <w:t xml:space="preserve"> </w:t>
      </w:r>
      <w:r w:rsidRPr="00492622">
        <w:rPr>
          <w:rFonts w:cs="Arial"/>
          <w:sz w:val="16"/>
          <w:szCs w:val="16"/>
          <w:lang w:val="en-GB"/>
        </w:rPr>
        <w:t xml:space="preserve">Shares that may be issuable on exercise </w:t>
      </w:r>
      <w:r>
        <w:rPr>
          <w:rFonts w:cs="Arial"/>
          <w:sz w:val="16"/>
          <w:szCs w:val="16"/>
          <w:lang w:val="en-GB"/>
        </w:rPr>
        <w:t xml:space="preserve">of stock options of the Company held by </w:t>
      </w:r>
      <w:r w:rsidR="00BE6094">
        <w:rPr>
          <w:rFonts w:cs="Arial"/>
          <w:sz w:val="16"/>
          <w:szCs w:val="16"/>
          <w:lang w:val="en-GB"/>
        </w:rPr>
        <w:t>All Seasons</w:t>
      </w:r>
      <w:r>
        <w:rPr>
          <w:rFonts w:cs="Arial"/>
          <w:sz w:val="16"/>
          <w:szCs w:val="16"/>
          <w:lang w:val="en-GB"/>
        </w:rPr>
        <w:t xml:space="preserve">, </w:t>
      </w:r>
      <w:r w:rsidRPr="00492622">
        <w:rPr>
          <w:rFonts w:cs="Arial"/>
          <w:sz w:val="16"/>
          <w:szCs w:val="16"/>
          <w:lang w:val="en-GB"/>
        </w:rPr>
        <w:t>exercisable within 60 days.</w:t>
      </w:r>
    </w:p>
    <w:p w:rsidR="007715BB" w:rsidRPr="00492622" w:rsidRDefault="007715BB" w:rsidP="007715BB">
      <w:pPr>
        <w:numPr>
          <w:ilvl w:val="0"/>
          <w:numId w:val="42"/>
        </w:numPr>
        <w:spacing w:before="60"/>
        <w:ind w:left="1080"/>
        <w:jc w:val="both"/>
        <w:rPr>
          <w:rFonts w:cs="Arial"/>
          <w:sz w:val="16"/>
          <w:szCs w:val="16"/>
          <w:lang w:val="en-GB"/>
        </w:rPr>
      </w:pPr>
      <w:r w:rsidRPr="00492622">
        <w:rPr>
          <w:sz w:val="16"/>
          <w:szCs w:val="16"/>
        </w:rPr>
        <w:t xml:space="preserve">Comprised of </w:t>
      </w:r>
      <w:r w:rsidR="00BE6094">
        <w:rPr>
          <w:sz w:val="16"/>
          <w:szCs w:val="16"/>
        </w:rPr>
        <w:t>25,000</w:t>
      </w:r>
      <w:r w:rsidRPr="00492622">
        <w:rPr>
          <w:sz w:val="16"/>
          <w:szCs w:val="16"/>
        </w:rPr>
        <w:t xml:space="preserve"> Shares, </w:t>
      </w:r>
      <w:r w:rsidR="00BE6094">
        <w:rPr>
          <w:sz w:val="16"/>
          <w:szCs w:val="16"/>
        </w:rPr>
        <w:t>2</w:t>
      </w:r>
      <w:r w:rsidR="00BF519C">
        <w:rPr>
          <w:sz w:val="16"/>
          <w:szCs w:val="16"/>
        </w:rPr>
        <w:t>5</w:t>
      </w:r>
      <w:r w:rsidR="00BE6094">
        <w:rPr>
          <w:sz w:val="16"/>
          <w:szCs w:val="16"/>
        </w:rPr>
        <w:t xml:space="preserve">0,000 </w:t>
      </w:r>
      <w:r w:rsidRPr="00492622">
        <w:rPr>
          <w:sz w:val="16"/>
          <w:szCs w:val="16"/>
        </w:rPr>
        <w:t xml:space="preserve">stock </w:t>
      </w:r>
      <w:r w:rsidR="00BE6094">
        <w:rPr>
          <w:sz w:val="16"/>
          <w:szCs w:val="16"/>
        </w:rPr>
        <w:t xml:space="preserve">options held by All Seasons </w:t>
      </w:r>
      <w:r>
        <w:rPr>
          <w:sz w:val="16"/>
          <w:szCs w:val="16"/>
        </w:rPr>
        <w:t>exercisable into Shares</w:t>
      </w:r>
      <w:r w:rsidR="00BE6094">
        <w:rPr>
          <w:sz w:val="16"/>
          <w:szCs w:val="16"/>
        </w:rPr>
        <w:t xml:space="preserve"> and 25,000 </w:t>
      </w:r>
      <w:r w:rsidRPr="00492622">
        <w:rPr>
          <w:sz w:val="16"/>
          <w:szCs w:val="16"/>
        </w:rPr>
        <w:t>W</w:t>
      </w:r>
      <w:r w:rsidR="00BE6094">
        <w:rPr>
          <w:sz w:val="16"/>
          <w:szCs w:val="16"/>
        </w:rPr>
        <w:t>arrants held by Ms. Adam exercisable into Shares</w:t>
      </w:r>
      <w:r w:rsidR="009F2BC1">
        <w:rPr>
          <w:sz w:val="16"/>
          <w:szCs w:val="16"/>
        </w:rPr>
        <w:t>.</w:t>
      </w:r>
    </w:p>
    <w:p w:rsidR="00BE6094" w:rsidRPr="00BE6094" w:rsidRDefault="007715BB" w:rsidP="00BE6094">
      <w:pPr>
        <w:numPr>
          <w:ilvl w:val="0"/>
          <w:numId w:val="42"/>
        </w:numPr>
        <w:spacing w:before="60"/>
        <w:ind w:left="1080"/>
        <w:jc w:val="both"/>
        <w:rPr>
          <w:rFonts w:asciiTheme="minorHAnsi" w:hAnsiTheme="minorHAnsi"/>
          <w:noProof/>
          <w:szCs w:val="22"/>
        </w:rPr>
      </w:pPr>
      <w:r w:rsidRPr="00BE6094">
        <w:rPr>
          <w:rFonts w:cs="Arial"/>
          <w:sz w:val="16"/>
          <w:szCs w:val="16"/>
          <w:lang w:val="en-GB"/>
        </w:rPr>
        <w:t xml:space="preserve">Based on </w:t>
      </w:r>
      <w:r w:rsidR="0053799A">
        <w:rPr>
          <w:rFonts w:cs="Arial"/>
          <w:sz w:val="16"/>
          <w:szCs w:val="16"/>
          <w:lang w:val="en-GB"/>
        </w:rPr>
        <w:t>20,359,226</w:t>
      </w:r>
      <w:r w:rsidR="00BE6094" w:rsidRPr="00BE6094">
        <w:rPr>
          <w:rFonts w:cs="Arial"/>
          <w:sz w:val="16"/>
          <w:szCs w:val="16"/>
          <w:lang w:val="en-GB"/>
        </w:rPr>
        <w:t xml:space="preserve"> </w:t>
      </w:r>
      <w:r w:rsidRPr="00BE6094">
        <w:rPr>
          <w:rFonts w:cs="Arial"/>
          <w:sz w:val="16"/>
          <w:szCs w:val="16"/>
          <w:lang w:val="en-GB"/>
        </w:rPr>
        <w:t xml:space="preserve">Shares outstanding following the completion of the </w:t>
      </w:r>
      <w:r w:rsidR="00BE6094" w:rsidRPr="00BE6094">
        <w:rPr>
          <w:rFonts w:cs="Arial"/>
          <w:sz w:val="16"/>
          <w:szCs w:val="16"/>
          <w:lang w:val="en-GB"/>
        </w:rPr>
        <w:t>Financing</w:t>
      </w:r>
      <w:r w:rsidRPr="00BE6094">
        <w:rPr>
          <w:rFonts w:cs="Arial"/>
          <w:sz w:val="16"/>
          <w:szCs w:val="16"/>
          <w:lang w:val="en-GB"/>
        </w:rPr>
        <w:t>.</w:t>
      </w:r>
    </w:p>
    <w:p w:rsidR="00606025" w:rsidRPr="00BE6094" w:rsidRDefault="007715BB" w:rsidP="00BE6094">
      <w:pPr>
        <w:numPr>
          <w:ilvl w:val="0"/>
          <w:numId w:val="42"/>
        </w:numPr>
        <w:spacing w:before="60"/>
        <w:ind w:left="1080"/>
        <w:jc w:val="both"/>
        <w:rPr>
          <w:rFonts w:asciiTheme="minorHAnsi" w:hAnsiTheme="minorHAnsi"/>
          <w:noProof/>
          <w:szCs w:val="22"/>
        </w:rPr>
      </w:pPr>
      <w:r w:rsidRPr="00BE6094">
        <w:rPr>
          <w:rFonts w:cs="Arial"/>
          <w:sz w:val="16"/>
          <w:szCs w:val="16"/>
          <w:lang w:val="en-GB"/>
        </w:rPr>
        <w:t xml:space="preserve">Based on </w:t>
      </w:r>
      <w:r w:rsidR="0053799A">
        <w:rPr>
          <w:rFonts w:cs="Arial"/>
          <w:sz w:val="16"/>
          <w:szCs w:val="16"/>
          <w:lang w:val="en-GB"/>
        </w:rPr>
        <w:t>20,634,226</w:t>
      </w:r>
      <w:r w:rsidR="00BE6094">
        <w:rPr>
          <w:rFonts w:cs="Arial"/>
          <w:sz w:val="16"/>
          <w:szCs w:val="16"/>
          <w:lang w:val="en-GB"/>
        </w:rPr>
        <w:t xml:space="preserve"> </w:t>
      </w:r>
      <w:r w:rsidRPr="00BE6094">
        <w:rPr>
          <w:rFonts w:cs="Arial"/>
          <w:sz w:val="16"/>
          <w:szCs w:val="16"/>
          <w:lang w:val="en-GB"/>
        </w:rPr>
        <w:t>Shares comprised of: (</w:t>
      </w:r>
      <w:proofErr w:type="spellStart"/>
      <w:r w:rsidRPr="00BE6094">
        <w:rPr>
          <w:rFonts w:cs="Arial"/>
          <w:sz w:val="16"/>
          <w:szCs w:val="16"/>
          <w:lang w:val="en-GB"/>
        </w:rPr>
        <w:t>i</w:t>
      </w:r>
      <w:proofErr w:type="spellEnd"/>
      <w:r w:rsidRPr="00BE6094">
        <w:rPr>
          <w:rFonts w:cs="Arial"/>
          <w:sz w:val="16"/>
          <w:szCs w:val="16"/>
          <w:lang w:val="en-GB"/>
        </w:rPr>
        <w:t xml:space="preserve">) </w:t>
      </w:r>
      <w:r w:rsidR="0053799A">
        <w:rPr>
          <w:rFonts w:cs="Arial"/>
          <w:sz w:val="16"/>
          <w:szCs w:val="16"/>
        </w:rPr>
        <w:t>20,359,226</w:t>
      </w:r>
      <w:r w:rsidR="00BE6094">
        <w:rPr>
          <w:rFonts w:cs="Arial"/>
          <w:sz w:val="16"/>
          <w:szCs w:val="16"/>
        </w:rPr>
        <w:t xml:space="preserve"> </w:t>
      </w:r>
      <w:r w:rsidRPr="00BE6094">
        <w:rPr>
          <w:rFonts w:cs="Arial"/>
          <w:sz w:val="16"/>
          <w:szCs w:val="16"/>
          <w:lang w:val="en-GB"/>
        </w:rPr>
        <w:t xml:space="preserve">Shares outstanding after the completion of the </w:t>
      </w:r>
      <w:r w:rsidR="00BE6094">
        <w:rPr>
          <w:rFonts w:cs="Arial"/>
          <w:sz w:val="16"/>
          <w:szCs w:val="16"/>
          <w:lang w:val="en-GB"/>
        </w:rPr>
        <w:t>Financing</w:t>
      </w:r>
      <w:r w:rsidRPr="00BE6094">
        <w:rPr>
          <w:rFonts w:cs="Arial"/>
          <w:sz w:val="16"/>
          <w:szCs w:val="16"/>
          <w:lang w:val="en-GB"/>
        </w:rPr>
        <w:t xml:space="preserve">, (ii) </w:t>
      </w:r>
      <w:r w:rsidR="00BE6094">
        <w:rPr>
          <w:rFonts w:cs="Arial"/>
          <w:sz w:val="16"/>
          <w:szCs w:val="16"/>
          <w:lang w:val="en-GB"/>
        </w:rPr>
        <w:t xml:space="preserve">250,000 </w:t>
      </w:r>
      <w:r w:rsidRPr="00BE6094">
        <w:rPr>
          <w:rFonts w:cs="Arial"/>
          <w:sz w:val="16"/>
          <w:szCs w:val="16"/>
          <w:lang w:val="en-GB"/>
        </w:rPr>
        <w:t xml:space="preserve">Shares that may be issuable on exercise of stock options of the Company held by </w:t>
      </w:r>
      <w:r w:rsidR="00BE6094">
        <w:rPr>
          <w:rFonts w:cs="Arial"/>
          <w:sz w:val="16"/>
          <w:szCs w:val="16"/>
          <w:lang w:val="en-GB"/>
        </w:rPr>
        <w:t xml:space="preserve">All Seasons and </w:t>
      </w:r>
      <w:r w:rsidRPr="00BE6094">
        <w:rPr>
          <w:rFonts w:cs="Arial"/>
          <w:sz w:val="16"/>
          <w:szCs w:val="16"/>
          <w:lang w:val="en-GB"/>
        </w:rPr>
        <w:t xml:space="preserve">(iii) </w:t>
      </w:r>
      <w:r w:rsidR="00BE6094">
        <w:rPr>
          <w:rFonts w:cs="Arial"/>
          <w:sz w:val="16"/>
          <w:szCs w:val="16"/>
          <w:lang w:val="en-GB"/>
        </w:rPr>
        <w:t xml:space="preserve">25,000 </w:t>
      </w:r>
      <w:r w:rsidRPr="00BE6094">
        <w:rPr>
          <w:rFonts w:cs="Arial"/>
          <w:sz w:val="16"/>
          <w:szCs w:val="16"/>
          <w:lang w:val="en-GB"/>
        </w:rPr>
        <w:t>Shares that may be issuable on exercise of Warrants of the Com</w:t>
      </w:r>
      <w:r w:rsidR="00BE6094">
        <w:rPr>
          <w:rFonts w:cs="Arial"/>
          <w:sz w:val="16"/>
          <w:szCs w:val="16"/>
          <w:lang w:val="en-GB"/>
        </w:rPr>
        <w:t>pany held by Ms. Adam</w:t>
      </w:r>
      <w:r w:rsidR="00670B5C">
        <w:rPr>
          <w:rFonts w:cs="Arial"/>
          <w:sz w:val="16"/>
          <w:szCs w:val="16"/>
          <w:lang w:val="en-GB"/>
        </w:rPr>
        <w:t>.</w:t>
      </w:r>
      <w:r w:rsidR="00606025" w:rsidRPr="00BE6094">
        <w:rPr>
          <w:rFonts w:asciiTheme="minorHAnsi" w:hAnsiTheme="minorHAnsi"/>
          <w:noProof/>
          <w:szCs w:val="22"/>
        </w:rPr>
        <w:t xml:space="preserve"> </w:t>
      </w:r>
    </w:p>
    <w:p w:rsidR="00606025" w:rsidRDefault="00606025" w:rsidP="00824093">
      <w:pPr>
        <w:pStyle w:val="BodyText"/>
        <w:ind w:left="720"/>
        <w:jc w:val="both"/>
        <w:rPr>
          <w:rFonts w:asciiTheme="minorHAnsi" w:hAnsiTheme="minorHAnsi"/>
          <w:i/>
          <w:noProof/>
          <w:szCs w:val="22"/>
        </w:rPr>
      </w:pPr>
      <w:r w:rsidRPr="00DB042E">
        <w:rPr>
          <w:rFonts w:asciiTheme="minorHAnsi" w:hAnsiTheme="minorHAnsi"/>
          <w:i/>
          <w:noProof/>
          <w:szCs w:val="22"/>
        </w:rPr>
        <w:t>(e) unless this information will be included in another disclosure document for the transaction, a discussion of the review and approval process adopted by the board of directors and the special committee, if any, of the issuer for the transaction, including a discussion of any materially contrary view or abstention by a director and any material disagreement between the board and the special committee:</w:t>
      </w:r>
    </w:p>
    <w:p w:rsidR="00606025" w:rsidRDefault="00BF519C" w:rsidP="00606025">
      <w:pPr>
        <w:pStyle w:val="BodyText"/>
        <w:ind w:left="720"/>
        <w:jc w:val="both"/>
        <w:rPr>
          <w:rFonts w:asciiTheme="minorHAnsi" w:hAnsiTheme="minorHAnsi"/>
          <w:noProof/>
          <w:szCs w:val="22"/>
        </w:rPr>
      </w:pPr>
      <w:r>
        <w:rPr>
          <w:rFonts w:asciiTheme="minorHAnsi" w:hAnsiTheme="minorHAnsi"/>
          <w:noProof/>
          <w:szCs w:val="22"/>
        </w:rPr>
        <w:t>A</w:t>
      </w:r>
      <w:r w:rsidR="00606025">
        <w:rPr>
          <w:rFonts w:asciiTheme="minorHAnsi" w:hAnsiTheme="minorHAnsi"/>
          <w:noProof/>
          <w:szCs w:val="22"/>
        </w:rPr>
        <w:t xml:space="preserve"> </w:t>
      </w:r>
      <w:r w:rsidR="00606025" w:rsidRPr="00DB042E">
        <w:rPr>
          <w:rFonts w:asciiTheme="minorHAnsi" w:hAnsiTheme="minorHAnsi"/>
          <w:noProof/>
          <w:szCs w:val="22"/>
        </w:rPr>
        <w:t xml:space="preserve">resolution of the board of directors was passed on </w:t>
      </w:r>
      <w:r w:rsidR="007B430D">
        <w:rPr>
          <w:rFonts w:asciiTheme="minorHAnsi" w:hAnsiTheme="minorHAnsi"/>
          <w:noProof/>
          <w:szCs w:val="22"/>
        </w:rPr>
        <w:t>March 8, 2016</w:t>
      </w:r>
      <w:r w:rsidR="00824093">
        <w:rPr>
          <w:rFonts w:asciiTheme="minorHAnsi" w:hAnsiTheme="minorHAnsi"/>
          <w:noProof/>
          <w:szCs w:val="22"/>
        </w:rPr>
        <w:t xml:space="preserve"> </w:t>
      </w:r>
      <w:r w:rsidR="00606025">
        <w:rPr>
          <w:rFonts w:asciiTheme="minorHAnsi" w:hAnsiTheme="minorHAnsi"/>
          <w:noProof/>
          <w:szCs w:val="22"/>
        </w:rPr>
        <w:t>which approved</w:t>
      </w:r>
      <w:r w:rsidR="00606025" w:rsidRPr="00DB042E">
        <w:rPr>
          <w:rFonts w:asciiTheme="minorHAnsi" w:hAnsiTheme="minorHAnsi"/>
          <w:noProof/>
          <w:szCs w:val="22"/>
        </w:rPr>
        <w:t xml:space="preserve"> the </w:t>
      </w:r>
      <w:r w:rsidR="00824093">
        <w:rPr>
          <w:rFonts w:asciiTheme="minorHAnsi" w:hAnsiTheme="minorHAnsi"/>
          <w:noProof/>
          <w:szCs w:val="22"/>
        </w:rPr>
        <w:t>Financing</w:t>
      </w:r>
      <w:r w:rsidR="00606025" w:rsidRPr="00DB042E">
        <w:rPr>
          <w:rFonts w:asciiTheme="minorHAnsi" w:hAnsiTheme="minorHAnsi"/>
          <w:noProof/>
          <w:szCs w:val="22"/>
        </w:rPr>
        <w:t>. No special committee was</w:t>
      </w:r>
      <w:r w:rsidR="00606025">
        <w:rPr>
          <w:rFonts w:asciiTheme="minorHAnsi" w:hAnsiTheme="minorHAnsi"/>
          <w:noProof/>
          <w:szCs w:val="22"/>
        </w:rPr>
        <w:t xml:space="preserve"> </w:t>
      </w:r>
      <w:r w:rsidR="00606025" w:rsidRPr="00DB042E">
        <w:rPr>
          <w:rFonts w:asciiTheme="minorHAnsi" w:hAnsiTheme="minorHAnsi"/>
          <w:noProof/>
          <w:szCs w:val="22"/>
        </w:rPr>
        <w:t xml:space="preserve">established in connection with the </w:t>
      </w:r>
      <w:r>
        <w:rPr>
          <w:rFonts w:asciiTheme="minorHAnsi" w:hAnsiTheme="minorHAnsi"/>
          <w:noProof/>
          <w:szCs w:val="22"/>
        </w:rPr>
        <w:t>Financing</w:t>
      </w:r>
      <w:r w:rsidR="00606025" w:rsidRPr="00DB042E">
        <w:rPr>
          <w:rFonts w:asciiTheme="minorHAnsi" w:hAnsiTheme="minorHAnsi"/>
          <w:noProof/>
          <w:szCs w:val="22"/>
        </w:rPr>
        <w:t>, and no materially contrary view or abstention</w:t>
      </w:r>
      <w:r w:rsidR="00606025">
        <w:rPr>
          <w:rFonts w:asciiTheme="minorHAnsi" w:hAnsiTheme="minorHAnsi"/>
          <w:noProof/>
          <w:szCs w:val="22"/>
        </w:rPr>
        <w:t xml:space="preserve"> </w:t>
      </w:r>
      <w:r w:rsidR="00606025" w:rsidRPr="00DB042E">
        <w:rPr>
          <w:rFonts w:asciiTheme="minorHAnsi" w:hAnsiTheme="minorHAnsi"/>
          <w:noProof/>
          <w:szCs w:val="22"/>
        </w:rPr>
        <w:t>was expressed or made by any director.</w:t>
      </w:r>
    </w:p>
    <w:p w:rsidR="00606025" w:rsidRPr="00BF7363" w:rsidRDefault="00606025" w:rsidP="00BF519C">
      <w:pPr>
        <w:pStyle w:val="BodyText"/>
        <w:keepNext/>
        <w:ind w:left="720"/>
        <w:jc w:val="both"/>
        <w:rPr>
          <w:rFonts w:asciiTheme="minorHAnsi" w:hAnsiTheme="minorHAnsi"/>
          <w:i/>
          <w:noProof/>
          <w:szCs w:val="22"/>
        </w:rPr>
      </w:pPr>
      <w:r w:rsidRPr="00BF7363">
        <w:rPr>
          <w:rFonts w:asciiTheme="minorHAnsi" w:hAnsiTheme="minorHAnsi"/>
          <w:i/>
          <w:noProof/>
          <w:szCs w:val="22"/>
        </w:rPr>
        <w:lastRenderedPageBreak/>
        <w:t>(f) a summary in accordance with section 6.5 of MI 61</w:t>
      </w:r>
      <w:r w:rsidRPr="00BF7363">
        <w:rPr>
          <w:rFonts w:asciiTheme="minorHAnsi" w:hAnsiTheme="minorHAnsi" w:cs="Cambria Math"/>
          <w:i/>
          <w:noProof/>
          <w:szCs w:val="22"/>
        </w:rPr>
        <w:t>‐</w:t>
      </w:r>
      <w:r w:rsidRPr="00BF7363">
        <w:rPr>
          <w:rFonts w:asciiTheme="minorHAnsi" w:hAnsiTheme="minorHAnsi"/>
          <w:i/>
          <w:noProof/>
          <w:szCs w:val="22"/>
        </w:rPr>
        <w:t>101, of the formal valuation, if any, obtained for the transaction, unless the formal valuation is included in its entirety in the material change report or will be included in its entirety in another disclosure document for the transaction:</w:t>
      </w:r>
    </w:p>
    <w:p w:rsidR="00606025" w:rsidRPr="00BF7363" w:rsidRDefault="00606025" w:rsidP="00BF519C">
      <w:pPr>
        <w:pStyle w:val="BodyText"/>
        <w:keepNext/>
        <w:ind w:left="720"/>
        <w:jc w:val="both"/>
        <w:rPr>
          <w:rFonts w:asciiTheme="minorHAnsi" w:hAnsiTheme="minorHAnsi"/>
          <w:noProof/>
          <w:szCs w:val="22"/>
        </w:rPr>
      </w:pPr>
      <w:r w:rsidRPr="00BF7363">
        <w:rPr>
          <w:rFonts w:asciiTheme="minorHAnsi" w:hAnsiTheme="minorHAnsi"/>
          <w:noProof/>
          <w:szCs w:val="22"/>
        </w:rPr>
        <w:t>Not applicable.</w:t>
      </w:r>
    </w:p>
    <w:p w:rsidR="00606025" w:rsidRPr="00925CE5" w:rsidRDefault="00606025" w:rsidP="00606025">
      <w:pPr>
        <w:pStyle w:val="BodyText"/>
        <w:ind w:left="720"/>
        <w:jc w:val="both"/>
        <w:rPr>
          <w:rFonts w:asciiTheme="minorHAnsi" w:hAnsiTheme="minorHAnsi"/>
          <w:i/>
          <w:noProof/>
          <w:szCs w:val="22"/>
        </w:rPr>
      </w:pPr>
      <w:r w:rsidRPr="00925CE5">
        <w:rPr>
          <w:rFonts w:asciiTheme="minorHAnsi" w:hAnsiTheme="minorHAnsi"/>
          <w:i/>
          <w:noProof/>
          <w:szCs w:val="22"/>
        </w:rPr>
        <w:t>(g) disclosure, in accordance with section 6.8 of MI 61</w:t>
      </w:r>
      <w:r w:rsidRPr="00925CE5">
        <w:rPr>
          <w:rFonts w:asciiTheme="minorHAnsi" w:hAnsiTheme="minorHAnsi" w:cs="Cambria Math"/>
          <w:i/>
          <w:noProof/>
          <w:szCs w:val="22"/>
        </w:rPr>
        <w:t>‐</w:t>
      </w:r>
      <w:r w:rsidRPr="00925CE5">
        <w:rPr>
          <w:rFonts w:asciiTheme="minorHAnsi" w:hAnsiTheme="minorHAnsi"/>
          <w:i/>
          <w:noProof/>
          <w:szCs w:val="22"/>
        </w:rPr>
        <w:t>101, of every prior valuation in respect of the issuer that related to the subject matter of or is otherwise relevant to the transaction:</w:t>
      </w:r>
    </w:p>
    <w:p w:rsidR="00606025" w:rsidRPr="00925CE5" w:rsidRDefault="00606025" w:rsidP="00606025">
      <w:pPr>
        <w:pStyle w:val="BodyText"/>
        <w:ind w:left="720"/>
        <w:jc w:val="both"/>
        <w:rPr>
          <w:rFonts w:asciiTheme="minorHAnsi" w:hAnsiTheme="minorHAnsi"/>
          <w:i/>
          <w:noProof/>
          <w:szCs w:val="22"/>
        </w:rPr>
      </w:pPr>
      <w:r w:rsidRPr="00925CE5">
        <w:rPr>
          <w:rFonts w:asciiTheme="minorHAnsi" w:hAnsiTheme="minorHAnsi"/>
          <w:i/>
          <w:noProof/>
          <w:szCs w:val="22"/>
        </w:rPr>
        <w:t>(i) that has been made in the 24 months before the date of the material change report:</w:t>
      </w:r>
    </w:p>
    <w:p w:rsidR="00606025" w:rsidRPr="00BF7363" w:rsidRDefault="00606025" w:rsidP="00606025">
      <w:pPr>
        <w:pStyle w:val="BodyText"/>
        <w:ind w:left="720"/>
        <w:jc w:val="both"/>
        <w:rPr>
          <w:rFonts w:asciiTheme="minorHAnsi" w:hAnsiTheme="minorHAnsi"/>
          <w:noProof/>
          <w:szCs w:val="22"/>
        </w:rPr>
      </w:pPr>
      <w:r w:rsidRPr="00BF7363">
        <w:rPr>
          <w:rFonts w:asciiTheme="minorHAnsi" w:hAnsiTheme="minorHAnsi"/>
          <w:noProof/>
          <w:szCs w:val="22"/>
        </w:rPr>
        <w:t>Not applicable.</w:t>
      </w:r>
    </w:p>
    <w:p w:rsidR="00606025" w:rsidRPr="00925CE5" w:rsidRDefault="00606025" w:rsidP="00606025">
      <w:pPr>
        <w:pStyle w:val="BodyText"/>
        <w:ind w:left="720"/>
        <w:jc w:val="both"/>
        <w:rPr>
          <w:rFonts w:asciiTheme="minorHAnsi" w:hAnsiTheme="minorHAnsi"/>
          <w:i/>
          <w:noProof/>
          <w:szCs w:val="22"/>
        </w:rPr>
      </w:pPr>
      <w:r w:rsidRPr="00925CE5">
        <w:rPr>
          <w:rFonts w:asciiTheme="minorHAnsi" w:hAnsiTheme="minorHAnsi"/>
          <w:i/>
          <w:noProof/>
          <w:szCs w:val="22"/>
        </w:rPr>
        <w:t>(ii) the existence of which is known, after reasonable enquiry, to the issuer or to any director or officer of the issuer:</w:t>
      </w:r>
    </w:p>
    <w:p w:rsidR="00606025" w:rsidRPr="00BF7363" w:rsidRDefault="00606025" w:rsidP="00606025">
      <w:pPr>
        <w:pStyle w:val="BodyText"/>
        <w:ind w:left="720"/>
        <w:jc w:val="both"/>
        <w:rPr>
          <w:rFonts w:asciiTheme="minorHAnsi" w:hAnsiTheme="minorHAnsi"/>
          <w:noProof/>
          <w:szCs w:val="22"/>
        </w:rPr>
      </w:pPr>
      <w:r w:rsidRPr="00BF7363">
        <w:rPr>
          <w:rFonts w:asciiTheme="minorHAnsi" w:hAnsiTheme="minorHAnsi"/>
          <w:noProof/>
          <w:szCs w:val="22"/>
        </w:rPr>
        <w:t>Not applicable.</w:t>
      </w:r>
    </w:p>
    <w:p w:rsidR="00606025" w:rsidRDefault="00606025" w:rsidP="00606025">
      <w:pPr>
        <w:pStyle w:val="BodyText"/>
        <w:ind w:left="720"/>
        <w:jc w:val="both"/>
        <w:rPr>
          <w:rFonts w:asciiTheme="minorHAnsi" w:hAnsiTheme="minorHAnsi"/>
          <w:i/>
          <w:noProof/>
          <w:szCs w:val="22"/>
        </w:rPr>
      </w:pPr>
      <w:r w:rsidRPr="00925CE5">
        <w:rPr>
          <w:rFonts w:asciiTheme="minorHAnsi" w:hAnsiTheme="minorHAnsi"/>
          <w:i/>
          <w:noProof/>
          <w:szCs w:val="22"/>
        </w:rPr>
        <w:t>(h) the general nature and material terms of any agreement entered into by the issuer, or a related party of the issuer, with an interested party or a joint actor with an interested party, in connection with the transaction:</w:t>
      </w:r>
    </w:p>
    <w:p w:rsidR="00606025" w:rsidRDefault="00670B5C" w:rsidP="00606025">
      <w:pPr>
        <w:pStyle w:val="BodyText"/>
        <w:ind w:left="720"/>
        <w:jc w:val="both"/>
        <w:rPr>
          <w:rFonts w:asciiTheme="minorHAnsi" w:hAnsiTheme="minorHAnsi"/>
          <w:noProof/>
          <w:szCs w:val="22"/>
        </w:rPr>
      </w:pPr>
      <w:r w:rsidRPr="00670B5C">
        <w:rPr>
          <w:color w:val="000000"/>
        </w:rPr>
        <w:t>The Company entered into a subscription agreement with Negar Adam, the Corporate Secretary and a director of the Company, whereby Ms. Adam agreed to purchase 25,000 Units of the Company at a price of $0.20 per Unit.  See above for a description of the material terms of the Units.</w:t>
      </w:r>
    </w:p>
    <w:p w:rsidR="00606025" w:rsidRPr="009922A7" w:rsidRDefault="00606025" w:rsidP="00606025">
      <w:pPr>
        <w:pStyle w:val="BodyText"/>
        <w:ind w:left="720"/>
        <w:jc w:val="both"/>
        <w:rPr>
          <w:rFonts w:asciiTheme="minorHAnsi" w:hAnsiTheme="minorHAnsi"/>
          <w:i/>
          <w:noProof/>
          <w:szCs w:val="22"/>
        </w:rPr>
      </w:pPr>
      <w:r w:rsidRPr="009922A7">
        <w:rPr>
          <w:rFonts w:asciiTheme="minorHAnsi" w:hAnsiTheme="minorHAnsi"/>
          <w:i/>
          <w:noProof/>
          <w:szCs w:val="22"/>
        </w:rPr>
        <w:t>(i) disclosure of the formal valuation and minority approval exemptions, if any, on which the issuer is relying under sections 5.5 and 5.7 of MI 61</w:t>
      </w:r>
      <w:r w:rsidRPr="009922A7">
        <w:rPr>
          <w:rFonts w:asciiTheme="minorHAnsi" w:hAnsiTheme="minorHAnsi" w:cs="Cambria Math"/>
          <w:i/>
          <w:noProof/>
          <w:szCs w:val="22"/>
        </w:rPr>
        <w:t>‐</w:t>
      </w:r>
      <w:r w:rsidRPr="009922A7">
        <w:rPr>
          <w:rFonts w:asciiTheme="minorHAnsi" w:hAnsiTheme="minorHAnsi"/>
          <w:i/>
          <w:noProof/>
          <w:szCs w:val="22"/>
        </w:rPr>
        <w:t>101 respectively, and the facts supporting reliance on the exemptions:</w:t>
      </w:r>
    </w:p>
    <w:p w:rsidR="00606025" w:rsidRPr="009922A7" w:rsidRDefault="00BF519C" w:rsidP="00B82799">
      <w:pPr>
        <w:pStyle w:val="BodyText"/>
        <w:ind w:left="720"/>
        <w:jc w:val="both"/>
        <w:rPr>
          <w:rFonts w:asciiTheme="minorHAnsi" w:hAnsiTheme="minorHAnsi"/>
          <w:noProof/>
          <w:szCs w:val="22"/>
        </w:rPr>
      </w:pPr>
      <w:r w:rsidRPr="00BF519C">
        <w:rPr>
          <w:rFonts w:asciiTheme="minorHAnsi" w:hAnsiTheme="minorHAnsi"/>
          <w:noProof/>
          <w:szCs w:val="22"/>
        </w:rPr>
        <w:t xml:space="preserve">The </w:t>
      </w:r>
      <w:r>
        <w:rPr>
          <w:rFonts w:asciiTheme="minorHAnsi" w:hAnsiTheme="minorHAnsi"/>
          <w:noProof/>
          <w:szCs w:val="22"/>
        </w:rPr>
        <w:t>Financing</w:t>
      </w:r>
      <w:r w:rsidRPr="00BF519C">
        <w:rPr>
          <w:rFonts w:asciiTheme="minorHAnsi" w:hAnsiTheme="minorHAnsi"/>
          <w:noProof/>
          <w:szCs w:val="22"/>
        </w:rPr>
        <w:t xml:space="preserve"> is exempt from the valuation and minority sharehol</w:t>
      </w:r>
      <w:r w:rsidR="00B82799">
        <w:rPr>
          <w:rFonts w:asciiTheme="minorHAnsi" w:hAnsiTheme="minorHAnsi"/>
          <w:noProof/>
          <w:szCs w:val="22"/>
        </w:rPr>
        <w:t>der approval requirements of MI </w:t>
      </w:r>
      <w:r w:rsidRPr="00BF519C">
        <w:rPr>
          <w:rFonts w:asciiTheme="minorHAnsi" w:hAnsiTheme="minorHAnsi"/>
          <w:noProof/>
          <w:szCs w:val="22"/>
        </w:rPr>
        <w:t>61-101 by virtue of the exemptions contained in section 5.5(</w:t>
      </w:r>
      <w:r w:rsidR="00B82799">
        <w:rPr>
          <w:rFonts w:asciiTheme="minorHAnsi" w:hAnsiTheme="minorHAnsi"/>
          <w:noProof/>
          <w:szCs w:val="22"/>
        </w:rPr>
        <w:t>a</w:t>
      </w:r>
      <w:r w:rsidRPr="00BF519C">
        <w:rPr>
          <w:rFonts w:asciiTheme="minorHAnsi" w:hAnsiTheme="minorHAnsi"/>
          <w:noProof/>
          <w:szCs w:val="22"/>
        </w:rPr>
        <w:t>) and 5.7(</w:t>
      </w:r>
      <w:r w:rsidR="00B82799">
        <w:rPr>
          <w:rFonts w:asciiTheme="minorHAnsi" w:hAnsiTheme="minorHAnsi"/>
          <w:noProof/>
          <w:szCs w:val="22"/>
        </w:rPr>
        <w:t>1</w:t>
      </w:r>
      <w:r w:rsidRPr="00BF519C">
        <w:rPr>
          <w:rFonts w:asciiTheme="minorHAnsi" w:hAnsiTheme="minorHAnsi"/>
          <w:noProof/>
          <w:szCs w:val="22"/>
        </w:rPr>
        <w:t>)</w:t>
      </w:r>
      <w:r w:rsidR="00B82799">
        <w:rPr>
          <w:rFonts w:asciiTheme="minorHAnsi" w:hAnsiTheme="minorHAnsi"/>
          <w:noProof/>
          <w:szCs w:val="22"/>
        </w:rPr>
        <w:t xml:space="preserve">(a) of MI 61-101, since </w:t>
      </w:r>
      <w:r w:rsidR="00B82799" w:rsidRPr="00B82799">
        <w:rPr>
          <w:rFonts w:asciiTheme="minorHAnsi" w:hAnsiTheme="minorHAnsi"/>
          <w:noProof/>
          <w:szCs w:val="22"/>
        </w:rPr>
        <w:t>neither the fair market value of the subject matter of, n</w:t>
      </w:r>
      <w:r w:rsidR="00B82799">
        <w:rPr>
          <w:rFonts w:asciiTheme="minorHAnsi" w:hAnsiTheme="minorHAnsi"/>
          <w:noProof/>
          <w:szCs w:val="22"/>
        </w:rPr>
        <w:t xml:space="preserve">or the fair market value of the </w:t>
      </w:r>
      <w:r w:rsidR="00B82799" w:rsidRPr="00B82799">
        <w:rPr>
          <w:rFonts w:asciiTheme="minorHAnsi" w:hAnsiTheme="minorHAnsi"/>
          <w:noProof/>
          <w:szCs w:val="22"/>
        </w:rPr>
        <w:t xml:space="preserve">consideration for, the </w:t>
      </w:r>
      <w:r w:rsidR="00B82799">
        <w:rPr>
          <w:rFonts w:asciiTheme="minorHAnsi" w:hAnsiTheme="minorHAnsi"/>
          <w:noProof/>
          <w:szCs w:val="22"/>
        </w:rPr>
        <w:t>Financing</w:t>
      </w:r>
      <w:r w:rsidR="00B82799" w:rsidRPr="00B82799">
        <w:rPr>
          <w:rFonts w:asciiTheme="minorHAnsi" w:hAnsiTheme="minorHAnsi"/>
          <w:noProof/>
          <w:szCs w:val="22"/>
        </w:rPr>
        <w:t>, insofar as it involves interested parties, exceeds 25 per cen</w:t>
      </w:r>
      <w:r w:rsidR="00B82799">
        <w:rPr>
          <w:rFonts w:asciiTheme="minorHAnsi" w:hAnsiTheme="minorHAnsi"/>
          <w:noProof/>
          <w:szCs w:val="22"/>
        </w:rPr>
        <w:t>t of the Company’s</w:t>
      </w:r>
      <w:r w:rsidR="00B82799" w:rsidRPr="00B82799">
        <w:rPr>
          <w:rFonts w:asciiTheme="minorHAnsi" w:hAnsiTheme="minorHAnsi"/>
          <w:noProof/>
          <w:szCs w:val="22"/>
        </w:rPr>
        <w:t xml:space="preserve"> market capitalization</w:t>
      </w:r>
      <w:r w:rsidR="00B82799">
        <w:rPr>
          <w:rFonts w:asciiTheme="minorHAnsi" w:hAnsiTheme="minorHAnsi"/>
          <w:noProof/>
          <w:szCs w:val="22"/>
        </w:rPr>
        <w:t>.</w:t>
      </w:r>
    </w:p>
    <w:p w:rsidR="00606025" w:rsidRPr="00344098" w:rsidRDefault="00606025" w:rsidP="00606025">
      <w:pPr>
        <w:pStyle w:val="BodyTextIndent"/>
        <w:jc w:val="both"/>
        <w:rPr>
          <w:rFonts w:cs="Calibri"/>
        </w:rPr>
      </w:pPr>
      <w:r w:rsidRPr="009922A7">
        <w:rPr>
          <w:rFonts w:asciiTheme="minorHAnsi" w:hAnsiTheme="minorHAnsi"/>
          <w:noProof/>
          <w:szCs w:val="22"/>
        </w:rPr>
        <w:t xml:space="preserve">As this material change report is being filed less than 21 days before the </w:t>
      </w:r>
      <w:r w:rsidR="00670B5C">
        <w:rPr>
          <w:rFonts w:asciiTheme="minorHAnsi" w:hAnsiTheme="minorHAnsi"/>
          <w:noProof/>
          <w:szCs w:val="22"/>
        </w:rPr>
        <w:t xml:space="preserve">closing of the </w:t>
      </w:r>
      <w:r w:rsidR="00B82799">
        <w:rPr>
          <w:rFonts w:asciiTheme="minorHAnsi" w:hAnsiTheme="minorHAnsi"/>
          <w:noProof/>
          <w:szCs w:val="22"/>
        </w:rPr>
        <w:t>Financing</w:t>
      </w:r>
      <w:r w:rsidRPr="009922A7">
        <w:rPr>
          <w:rFonts w:asciiTheme="minorHAnsi" w:hAnsiTheme="minorHAnsi"/>
          <w:noProof/>
          <w:szCs w:val="22"/>
        </w:rPr>
        <w:t>, there is a</w:t>
      </w:r>
      <w:r>
        <w:rPr>
          <w:rFonts w:asciiTheme="minorHAnsi" w:hAnsiTheme="minorHAnsi"/>
          <w:noProof/>
          <w:szCs w:val="22"/>
        </w:rPr>
        <w:t xml:space="preserve"> </w:t>
      </w:r>
      <w:r w:rsidRPr="009922A7">
        <w:rPr>
          <w:rFonts w:asciiTheme="minorHAnsi" w:hAnsiTheme="minorHAnsi"/>
          <w:noProof/>
          <w:szCs w:val="22"/>
        </w:rPr>
        <w:t>requirement under MI 61</w:t>
      </w:r>
      <w:r w:rsidRPr="009922A7">
        <w:rPr>
          <w:rFonts w:asciiTheme="minorHAnsi" w:hAnsiTheme="minorHAnsi" w:cs="Cambria Math"/>
          <w:noProof/>
          <w:szCs w:val="22"/>
        </w:rPr>
        <w:t>‐</w:t>
      </w:r>
      <w:r w:rsidRPr="009922A7">
        <w:rPr>
          <w:rFonts w:asciiTheme="minorHAnsi" w:hAnsiTheme="minorHAnsi"/>
          <w:noProof/>
          <w:szCs w:val="22"/>
        </w:rPr>
        <w:t>101 to explain why the shorter period was reasonable or necessary in</w:t>
      </w:r>
      <w:r>
        <w:rPr>
          <w:rFonts w:asciiTheme="minorHAnsi" w:hAnsiTheme="minorHAnsi"/>
          <w:noProof/>
          <w:szCs w:val="22"/>
        </w:rPr>
        <w:t xml:space="preserve"> </w:t>
      </w:r>
      <w:r w:rsidRPr="009922A7">
        <w:rPr>
          <w:rFonts w:asciiTheme="minorHAnsi" w:hAnsiTheme="minorHAnsi"/>
          <w:noProof/>
          <w:szCs w:val="22"/>
        </w:rPr>
        <w:t>the circumstances. In the view of the Company, such shorter period was reasonable and</w:t>
      </w:r>
      <w:r>
        <w:rPr>
          <w:rFonts w:asciiTheme="minorHAnsi" w:hAnsiTheme="minorHAnsi"/>
          <w:noProof/>
          <w:szCs w:val="22"/>
        </w:rPr>
        <w:t xml:space="preserve"> </w:t>
      </w:r>
      <w:r w:rsidRPr="009922A7">
        <w:rPr>
          <w:rFonts w:asciiTheme="minorHAnsi" w:hAnsiTheme="minorHAnsi"/>
          <w:noProof/>
          <w:szCs w:val="22"/>
        </w:rPr>
        <w:t>necessary in the circumstances to improve the Company’s financial position</w:t>
      </w:r>
      <w:r w:rsidR="007B430D">
        <w:rPr>
          <w:rFonts w:asciiTheme="minorHAnsi" w:hAnsiTheme="minorHAnsi"/>
          <w:noProof/>
          <w:szCs w:val="22"/>
        </w:rPr>
        <w:t>.</w:t>
      </w:r>
    </w:p>
    <w:p w:rsidR="00533EE9" w:rsidRPr="00304136" w:rsidRDefault="009F5FBB" w:rsidP="00E87A9D">
      <w:pPr>
        <w:pStyle w:val="HeadingTitle2"/>
        <w:rPr>
          <w:bCs/>
        </w:rPr>
      </w:pPr>
      <w:r w:rsidRPr="00304136">
        <w:t>Item 6</w:t>
      </w:r>
      <w:r w:rsidRPr="00304136">
        <w:tab/>
        <w:t>Reliance</w:t>
      </w:r>
      <w:r w:rsidRPr="00304136">
        <w:rPr>
          <w:spacing w:val="-7"/>
        </w:rPr>
        <w:t xml:space="preserve"> </w:t>
      </w:r>
      <w:r w:rsidRPr="00304136">
        <w:t>on</w:t>
      </w:r>
      <w:r w:rsidRPr="00304136">
        <w:rPr>
          <w:spacing w:val="-6"/>
        </w:rPr>
        <w:t xml:space="preserve"> </w:t>
      </w:r>
      <w:r w:rsidRPr="00304136">
        <w:t>subsection</w:t>
      </w:r>
      <w:r w:rsidRPr="00304136">
        <w:rPr>
          <w:spacing w:val="-7"/>
        </w:rPr>
        <w:t xml:space="preserve"> </w:t>
      </w:r>
      <w:r w:rsidRPr="00304136">
        <w:t>7.1(2)</w:t>
      </w:r>
      <w:r w:rsidRPr="00304136">
        <w:rPr>
          <w:spacing w:val="-6"/>
        </w:rPr>
        <w:t xml:space="preserve"> </w:t>
      </w:r>
      <w:r w:rsidRPr="00304136">
        <w:t>of</w:t>
      </w:r>
      <w:r w:rsidRPr="00304136">
        <w:rPr>
          <w:spacing w:val="-7"/>
        </w:rPr>
        <w:t xml:space="preserve"> </w:t>
      </w:r>
      <w:r w:rsidRPr="00304136">
        <w:t>National</w:t>
      </w:r>
      <w:r w:rsidRPr="00304136">
        <w:rPr>
          <w:spacing w:val="-8"/>
        </w:rPr>
        <w:t xml:space="preserve"> </w:t>
      </w:r>
      <w:r w:rsidRPr="00304136">
        <w:t>Instrument</w:t>
      </w:r>
      <w:r w:rsidRPr="00304136">
        <w:rPr>
          <w:spacing w:val="-6"/>
        </w:rPr>
        <w:t xml:space="preserve"> </w:t>
      </w:r>
      <w:r w:rsidRPr="00304136">
        <w:t>51-102</w:t>
      </w:r>
    </w:p>
    <w:p w:rsidR="00533EE9" w:rsidRPr="00304136" w:rsidRDefault="009F5FBB" w:rsidP="00E87A9D">
      <w:pPr>
        <w:pStyle w:val="BodyTextIndent"/>
      </w:pPr>
      <w:r w:rsidRPr="00304136">
        <w:t>N/A</w:t>
      </w:r>
    </w:p>
    <w:p w:rsidR="00533EE9" w:rsidRPr="00304136" w:rsidRDefault="009F5FBB" w:rsidP="00E87A9D">
      <w:pPr>
        <w:pStyle w:val="HeadingTitle2"/>
        <w:rPr>
          <w:bCs/>
        </w:rPr>
      </w:pPr>
      <w:r w:rsidRPr="00304136">
        <w:t>Item</w:t>
      </w:r>
      <w:r w:rsidRPr="00304136">
        <w:rPr>
          <w:spacing w:val="-1"/>
        </w:rPr>
        <w:t xml:space="preserve"> </w:t>
      </w:r>
      <w:r w:rsidRPr="00304136">
        <w:t>7</w:t>
      </w:r>
      <w:r w:rsidRPr="00304136">
        <w:tab/>
        <w:t>Omitted</w:t>
      </w:r>
      <w:r w:rsidRPr="00304136">
        <w:rPr>
          <w:spacing w:val="-19"/>
        </w:rPr>
        <w:t xml:space="preserve"> </w:t>
      </w:r>
      <w:r w:rsidRPr="00304136">
        <w:rPr>
          <w:spacing w:val="-1"/>
        </w:rPr>
        <w:t>Information</w:t>
      </w:r>
    </w:p>
    <w:p w:rsidR="00533EE9" w:rsidRPr="00304136" w:rsidRDefault="009F5FBB" w:rsidP="00E87A9D">
      <w:pPr>
        <w:pStyle w:val="BodyTextIndent"/>
      </w:pPr>
      <w:r w:rsidRPr="00304136">
        <w:t>None</w:t>
      </w:r>
    </w:p>
    <w:p w:rsidR="00533EE9" w:rsidRPr="00304136" w:rsidRDefault="009F5FBB" w:rsidP="004E53CB">
      <w:pPr>
        <w:pStyle w:val="HeadingTitle2"/>
        <w:keepLines w:val="0"/>
        <w:rPr>
          <w:bCs/>
        </w:rPr>
      </w:pPr>
      <w:r w:rsidRPr="00304136">
        <w:lastRenderedPageBreak/>
        <w:t>Item</w:t>
      </w:r>
      <w:r w:rsidRPr="00304136">
        <w:rPr>
          <w:spacing w:val="-1"/>
        </w:rPr>
        <w:t xml:space="preserve"> </w:t>
      </w:r>
      <w:r w:rsidRPr="00304136">
        <w:t>8</w:t>
      </w:r>
      <w:r w:rsidRPr="00304136">
        <w:tab/>
        <w:t>Executive</w:t>
      </w:r>
      <w:r w:rsidRPr="00304136">
        <w:rPr>
          <w:spacing w:val="-15"/>
        </w:rPr>
        <w:t xml:space="preserve"> </w:t>
      </w:r>
      <w:r w:rsidRPr="00304136">
        <w:rPr>
          <w:spacing w:val="-1"/>
        </w:rPr>
        <w:t>Officer</w:t>
      </w:r>
    </w:p>
    <w:p w:rsidR="00B95E34" w:rsidRDefault="00302D60" w:rsidP="004E53CB">
      <w:pPr>
        <w:pStyle w:val="BodyText"/>
        <w:keepNext/>
        <w:spacing w:before="0"/>
        <w:jc w:val="both"/>
      </w:pPr>
    </w:p>
    <w:p w:rsidR="00B95E34" w:rsidRPr="00793419" w:rsidRDefault="009F5FBB" w:rsidP="004E53CB">
      <w:pPr>
        <w:keepNext/>
        <w:ind w:firstLine="720"/>
      </w:pPr>
      <w:r w:rsidRPr="00CE23D9">
        <w:t>Stuart Gray</w:t>
      </w:r>
      <w:r>
        <w:br/>
      </w:r>
      <w:r>
        <w:tab/>
      </w:r>
      <w:r w:rsidRPr="002D6E70">
        <w:rPr>
          <w:rFonts w:asciiTheme="minorHAnsi" w:hAnsiTheme="minorHAnsi" w:cstheme="minorHAnsi"/>
          <w:szCs w:val="22"/>
        </w:rPr>
        <w:t>President, CEO, CFO and Director,</w:t>
      </w:r>
      <w:r w:rsidRPr="002D6E70">
        <w:rPr>
          <w:rFonts w:asciiTheme="minorHAnsi" w:hAnsiTheme="minorHAnsi" w:cstheme="minorHAnsi"/>
          <w:spacing w:val="-8"/>
          <w:szCs w:val="22"/>
        </w:rPr>
        <w:t xml:space="preserve"> </w:t>
      </w:r>
      <w:r w:rsidR="007020B1">
        <w:t>(949) 424-2716 Ext 8001</w:t>
      </w:r>
    </w:p>
    <w:p w:rsidR="00533EE9" w:rsidRPr="00B95E34" w:rsidRDefault="009F5FBB" w:rsidP="004E53CB">
      <w:pPr>
        <w:pStyle w:val="HeadingTitle2"/>
        <w:keepLines w:val="0"/>
        <w:widowControl w:val="0"/>
      </w:pPr>
      <w:r w:rsidRPr="00304136">
        <w:t>Item</w:t>
      </w:r>
      <w:r w:rsidRPr="00B95E34">
        <w:t xml:space="preserve"> </w:t>
      </w:r>
      <w:r w:rsidRPr="00304136">
        <w:t>9</w:t>
      </w:r>
      <w:r w:rsidRPr="00304136">
        <w:tab/>
        <w:t>Date</w:t>
      </w:r>
      <w:r w:rsidRPr="00B95E34">
        <w:t xml:space="preserve"> of Report</w:t>
      </w:r>
    </w:p>
    <w:p w:rsidR="008F13AD" w:rsidRDefault="00F27DCD" w:rsidP="000A40D8">
      <w:pPr>
        <w:pStyle w:val="BodyTextIndent"/>
        <w:widowControl w:val="0"/>
        <w:sectPr w:rsidR="008F13AD" w:rsidSect="000A40D8">
          <w:headerReference w:type="even" r:id="rId8"/>
          <w:headerReference w:type="default" r:id="rId9"/>
          <w:footerReference w:type="even" r:id="rId10"/>
          <w:footerReference w:type="default" r:id="rId11"/>
          <w:headerReference w:type="first" r:id="rId12"/>
          <w:footerReference w:type="first" r:id="rId13"/>
          <w:pgSz w:w="12240" w:h="15840"/>
          <w:pgMar w:top="1152" w:right="1080" w:bottom="1152" w:left="1080" w:header="720" w:footer="720" w:gutter="0"/>
          <w:cols w:space="720"/>
          <w:docGrid w:linePitch="360"/>
        </w:sectPr>
      </w:pPr>
      <w:r>
        <w:t>April 5</w:t>
      </w:r>
      <w:r w:rsidR="000046DB">
        <w:t>,</w:t>
      </w:r>
      <w:bookmarkStart w:id="0" w:name="_GoBack"/>
      <w:bookmarkEnd w:id="0"/>
      <w:r w:rsidR="009F5FBB">
        <w:t xml:space="preserve"> 2016</w:t>
      </w:r>
    </w:p>
    <w:p w:rsidR="002160D8" w:rsidRPr="00946E0D" w:rsidRDefault="002160D8" w:rsidP="002160D8">
      <w:pPr>
        <w:pStyle w:val="BodyText"/>
        <w:jc w:val="center"/>
        <w:rPr>
          <w:rFonts w:eastAsia="Arial" w:cstheme="minorHAnsi"/>
          <w:b/>
        </w:rPr>
      </w:pPr>
      <w:r w:rsidRPr="00946E0D">
        <w:rPr>
          <w:rFonts w:eastAsia="Arial" w:cstheme="minorHAnsi"/>
          <w:b/>
        </w:rPr>
        <w:lastRenderedPageBreak/>
        <w:t>Laguna</w:t>
      </w:r>
      <w:r>
        <w:rPr>
          <w:rFonts w:eastAsia="Arial" w:cstheme="minorHAnsi"/>
          <w:b/>
        </w:rPr>
        <w:t xml:space="preserve"> Expands from 135 Affiliates to 278 Affiliates in its First 6 Days Since Launching its Business </w:t>
      </w:r>
    </w:p>
    <w:p w:rsidR="002160D8" w:rsidRPr="00946E0D" w:rsidRDefault="002160D8" w:rsidP="002160D8">
      <w:pPr>
        <w:pStyle w:val="BodyText"/>
        <w:rPr>
          <w:rFonts w:eastAsia="Arial" w:cstheme="minorHAnsi"/>
          <w:b/>
        </w:rPr>
      </w:pPr>
    </w:p>
    <w:p w:rsidR="002160D8" w:rsidRDefault="002160D8" w:rsidP="002160D8">
      <w:pPr>
        <w:rPr>
          <w:rFonts w:cstheme="minorHAnsi"/>
          <w:bCs/>
          <w:color w:val="000000"/>
          <w:lang w:val="en-CA"/>
        </w:rPr>
      </w:pPr>
      <w:r w:rsidRPr="00946E0D">
        <w:rPr>
          <w:rFonts w:cstheme="minorHAnsi"/>
          <w:b/>
        </w:rPr>
        <w:t xml:space="preserve">KELOWNA, BC – </w:t>
      </w:r>
      <w:r>
        <w:rPr>
          <w:rFonts w:cstheme="minorHAnsi"/>
          <w:b/>
        </w:rPr>
        <w:t>March 14</w:t>
      </w:r>
      <w:r w:rsidRPr="00946E0D">
        <w:rPr>
          <w:rFonts w:cstheme="minorHAnsi"/>
          <w:b/>
        </w:rPr>
        <w:t>, 2016 – Laguna Blends Inc. (CSE: LAG)</w:t>
      </w:r>
      <w:r w:rsidRPr="00946E0D">
        <w:rPr>
          <w:rFonts w:cs="Arial"/>
          <w:b/>
          <w:bCs/>
        </w:rPr>
        <w:t xml:space="preserve"> (Frankfurt</w:t>
      </w:r>
      <w:r>
        <w:rPr>
          <w:rFonts w:cs="Arial"/>
          <w:b/>
          <w:bCs/>
        </w:rPr>
        <w:t>:</w:t>
      </w:r>
      <w:r w:rsidRPr="00946E0D">
        <w:rPr>
          <w:rStyle w:val="Hyperlink"/>
          <w:rFonts w:cs="Arial"/>
        </w:rPr>
        <w:t xml:space="preserve"> LB6A.F</w:t>
      </w:r>
      <w:r w:rsidRPr="00946E0D">
        <w:rPr>
          <w:rFonts w:cs="Arial"/>
          <w:bCs/>
        </w:rPr>
        <w:t>)</w:t>
      </w:r>
      <w:r w:rsidRPr="00946E0D">
        <w:rPr>
          <w:rFonts w:cs="Arial"/>
          <w:b/>
          <w:bCs/>
        </w:rPr>
        <w:t xml:space="preserve"> (</w:t>
      </w:r>
      <w:r w:rsidRPr="00946E0D">
        <w:rPr>
          <w:rFonts w:cs="Arial"/>
          <w:b/>
          <w:bCs/>
          <w:color w:val="000000" w:themeColor="text1"/>
        </w:rPr>
        <w:t>OTC</w:t>
      </w:r>
      <w:r>
        <w:rPr>
          <w:rStyle w:val="Hyperlink"/>
          <w:rFonts w:cs="Arial"/>
        </w:rPr>
        <w:t>: LAGBF</w:t>
      </w:r>
      <w:r w:rsidRPr="00946E0D">
        <w:rPr>
          <w:rFonts w:cs="Arial"/>
          <w:b/>
          <w:bCs/>
          <w:color w:val="000000" w:themeColor="text1"/>
        </w:rPr>
        <w:t xml:space="preserve">) </w:t>
      </w:r>
      <w:r w:rsidRPr="00946E0D">
        <w:rPr>
          <w:rFonts w:cstheme="minorHAnsi"/>
          <w:b/>
        </w:rPr>
        <w:t>(the “Company” or “Laguna</w:t>
      </w:r>
      <w:r>
        <w:rPr>
          <w:rFonts w:cstheme="minorHAnsi"/>
        </w:rPr>
        <w:t>”) launched sales on March 7</w:t>
      </w:r>
      <w:r w:rsidRPr="00E76EF5">
        <w:rPr>
          <w:rFonts w:cstheme="minorHAnsi"/>
          <w:vertAlign w:val="superscript"/>
        </w:rPr>
        <w:t>th</w:t>
      </w:r>
      <w:r>
        <w:rPr>
          <w:rFonts w:cstheme="minorHAnsi"/>
        </w:rPr>
        <w:t>, 2016 with 135 Affiliates in the USA and Canada. As of Sunday March 13</w:t>
      </w:r>
      <w:r w:rsidRPr="00544531">
        <w:rPr>
          <w:rFonts w:cstheme="minorHAnsi"/>
          <w:vertAlign w:val="superscript"/>
        </w:rPr>
        <w:t>th</w:t>
      </w:r>
      <w:r>
        <w:rPr>
          <w:rFonts w:cstheme="minorHAnsi"/>
          <w:vertAlign w:val="superscript"/>
        </w:rPr>
        <w:t>,</w:t>
      </w:r>
      <w:r>
        <w:rPr>
          <w:rFonts w:cstheme="minorHAnsi"/>
        </w:rPr>
        <w:t xml:space="preserve"> 2016, the number of Laguna's independent Affiliates across the USA and Canada had grown to 278, with an affiliate growth rate of 105%.  </w:t>
      </w:r>
      <w:r>
        <w:br/>
      </w:r>
      <w:r w:rsidRPr="00946E0D">
        <w:rPr>
          <w:rFonts w:cstheme="minorHAnsi"/>
        </w:rPr>
        <w:br/>
      </w:r>
      <w:r>
        <w:rPr>
          <w:rFonts w:cstheme="minorHAnsi"/>
        </w:rPr>
        <w:t xml:space="preserve">The </w:t>
      </w:r>
      <w:r w:rsidRPr="00946E0D">
        <w:rPr>
          <w:rFonts w:cstheme="minorHAnsi"/>
        </w:rPr>
        <w:t>first product category that</w:t>
      </w:r>
      <w:r>
        <w:rPr>
          <w:rFonts w:cstheme="minorHAnsi"/>
        </w:rPr>
        <w:t xml:space="preserve"> Laguna has </w:t>
      </w:r>
      <w:r w:rsidRPr="00946E0D">
        <w:rPr>
          <w:rFonts w:cstheme="minorHAnsi"/>
        </w:rPr>
        <w:t xml:space="preserve">introduced </w:t>
      </w:r>
      <w:r>
        <w:rPr>
          <w:rFonts w:cstheme="minorHAnsi"/>
        </w:rPr>
        <w:t xml:space="preserve">are </w:t>
      </w:r>
      <w:r w:rsidRPr="00946E0D">
        <w:rPr>
          <w:rFonts w:cstheme="minorHAnsi"/>
        </w:rPr>
        <w:t>unique, instant, functional beverage product</w:t>
      </w:r>
      <w:r>
        <w:rPr>
          <w:rFonts w:cstheme="minorHAnsi"/>
        </w:rPr>
        <w:t>s</w:t>
      </w:r>
      <w:r w:rsidRPr="00946E0D">
        <w:rPr>
          <w:rFonts w:cstheme="minorHAnsi"/>
        </w:rPr>
        <w:t xml:space="preserve"> that contain hemp protein, omegas and other efficacious ingredients. </w:t>
      </w:r>
      <w:r>
        <w:rPr>
          <w:rFonts w:cstheme="minorHAnsi"/>
        </w:rPr>
        <w:t xml:space="preserve"> </w:t>
      </w:r>
      <w:r w:rsidRPr="006253ED">
        <w:rPr>
          <w:rFonts w:cstheme="minorHAnsi"/>
        </w:rPr>
        <w:t>The first product that is</w:t>
      </w:r>
      <w:r>
        <w:rPr>
          <w:rFonts w:cstheme="minorHAnsi"/>
        </w:rPr>
        <w:t xml:space="preserve"> currently</w:t>
      </w:r>
      <w:r w:rsidRPr="006253ED">
        <w:rPr>
          <w:rFonts w:cstheme="minorHAnsi"/>
        </w:rPr>
        <w:t xml:space="preserve"> being offered for sale is “</w:t>
      </w:r>
      <w:proofErr w:type="spellStart"/>
      <w:r w:rsidRPr="006253ED">
        <w:rPr>
          <w:rFonts w:cstheme="minorHAnsi"/>
        </w:rPr>
        <w:t>Caffe</w:t>
      </w:r>
      <w:proofErr w:type="spellEnd"/>
      <w:r w:rsidRPr="006253ED">
        <w:rPr>
          <w:rFonts w:cstheme="minorHAnsi"/>
        </w:rPr>
        <w:t xml:space="preserve">”, Laguna’s protein coffee beverage. </w:t>
      </w:r>
      <w:r w:rsidRPr="006253ED">
        <w:rPr>
          <w:rFonts w:cstheme="minorHAnsi"/>
        </w:rPr>
        <w:br/>
      </w:r>
      <w:r>
        <w:rPr>
          <w:rFonts w:cstheme="minorHAnsi"/>
        </w:rPr>
        <w:br/>
      </w:r>
      <w:r w:rsidRPr="00946E0D">
        <w:rPr>
          <w:rFonts w:cstheme="minorHAnsi"/>
        </w:rPr>
        <w:t>Stuart Gray, Laguna’s President and CEO</w:t>
      </w:r>
      <w:r>
        <w:rPr>
          <w:rFonts w:cstheme="minorHAnsi"/>
        </w:rPr>
        <w:t xml:space="preserve"> </w:t>
      </w:r>
      <w:r w:rsidRPr="00946E0D">
        <w:rPr>
          <w:rFonts w:cstheme="minorHAnsi"/>
        </w:rPr>
        <w:t>said, “Laguna has</w:t>
      </w:r>
      <w:r>
        <w:rPr>
          <w:rFonts w:cstheme="minorHAnsi"/>
        </w:rPr>
        <w:t xml:space="preserve"> launched its business with a high level of interest from independent affiliates residing in the USA and Canada. The demand for high quality, functional beverage products throughout the United States and Canada, coupled with a viable business opportunity has attributed to the spike in affiliate interest. In addition, the positive feedback on Laguna’s first product to market, “</w:t>
      </w:r>
      <w:proofErr w:type="spellStart"/>
      <w:r>
        <w:rPr>
          <w:rFonts w:cstheme="minorHAnsi"/>
        </w:rPr>
        <w:t>Caffe</w:t>
      </w:r>
      <w:proofErr w:type="spellEnd"/>
      <w:r>
        <w:rPr>
          <w:rFonts w:cstheme="minorHAnsi"/>
        </w:rPr>
        <w:t xml:space="preserve">” has been fantastic.” </w:t>
      </w:r>
      <w:r>
        <w:br/>
      </w:r>
      <w:r>
        <w:rPr>
          <w:rFonts w:cstheme="minorHAnsi"/>
        </w:rPr>
        <w:br/>
        <w:t>On March 3</w:t>
      </w:r>
      <w:r w:rsidRPr="00DD0086">
        <w:rPr>
          <w:rFonts w:cstheme="minorHAnsi"/>
          <w:vertAlign w:val="superscript"/>
        </w:rPr>
        <w:t>rd</w:t>
      </w:r>
      <w:r>
        <w:rPr>
          <w:rFonts w:cstheme="minorHAnsi"/>
        </w:rPr>
        <w:t xml:space="preserve">, 2016, Laguna announced that it had signed an </w:t>
      </w:r>
      <w:r>
        <w:rPr>
          <w:rFonts w:cstheme="minorHAnsi"/>
          <w:bCs/>
          <w:color w:val="000000"/>
          <w:lang w:val="en-CA"/>
        </w:rPr>
        <w:t xml:space="preserve">LOI between Laguna and </w:t>
      </w:r>
      <w:r w:rsidRPr="00BF37DD">
        <w:rPr>
          <w:rFonts w:cstheme="minorHAnsi"/>
          <w:bCs/>
          <w:color w:val="000000"/>
          <w:lang w:val="en-CA"/>
        </w:rPr>
        <w:t xml:space="preserve">Robert </w:t>
      </w:r>
      <w:proofErr w:type="spellStart"/>
      <w:r w:rsidRPr="00BF37DD">
        <w:rPr>
          <w:rFonts w:cstheme="minorHAnsi"/>
          <w:bCs/>
          <w:color w:val="000000"/>
          <w:lang w:val="en-CA"/>
        </w:rPr>
        <w:t>Lamberton</w:t>
      </w:r>
      <w:proofErr w:type="spellEnd"/>
      <w:r w:rsidRPr="00BF37DD">
        <w:rPr>
          <w:rFonts w:cstheme="minorHAnsi"/>
          <w:bCs/>
          <w:color w:val="000000"/>
          <w:lang w:val="en-CA"/>
        </w:rPr>
        <w:t xml:space="preserve"> Consulting</w:t>
      </w:r>
      <w:r>
        <w:rPr>
          <w:rFonts w:cstheme="minorHAnsi"/>
          <w:bCs/>
          <w:color w:val="000000"/>
          <w:lang w:val="en-CA"/>
        </w:rPr>
        <w:t xml:space="preserve"> for the </w:t>
      </w:r>
      <w:r w:rsidRPr="00BF37DD">
        <w:rPr>
          <w:rFonts w:cstheme="minorHAnsi"/>
          <w:bCs/>
          <w:color w:val="000000"/>
          <w:lang w:val="en-CA"/>
        </w:rPr>
        <w:t>develop</w:t>
      </w:r>
      <w:r>
        <w:rPr>
          <w:rFonts w:cstheme="minorHAnsi"/>
          <w:bCs/>
          <w:color w:val="000000"/>
          <w:lang w:val="en-CA"/>
        </w:rPr>
        <w:t>ment of</w:t>
      </w:r>
      <w:r w:rsidRPr="00BF37DD">
        <w:rPr>
          <w:rFonts w:cstheme="minorHAnsi"/>
          <w:bCs/>
          <w:color w:val="000000"/>
          <w:lang w:val="en-CA"/>
        </w:rPr>
        <w:t xml:space="preserve"> a</w:t>
      </w:r>
      <w:r>
        <w:rPr>
          <w:rFonts w:cstheme="minorHAnsi"/>
          <w:bCs/>
          <w:color w:val="000000"/>
          <w:lang w:val="en-CA"/>
        </w:rPr>
        <w:t xml:space="preserve"> “Limitless functional beverage Brain h</w:t>
      </w:r>
      <w:r w:rsidRPr="00BF37DD">
        <w:rPr>
          <w:rFonts w:cstheme="minorHAnsi"/>
          <w:bCs/>
          <w:color w:val="000000"/>
          <w:lang w:val="en-CA"/>
        </w:rPr>
        <w:t>ealth</w:t>
      </w:r>
      <w:r>
        <w:rPr>
          <w:rFonts w:cstheme="minorHAnsi"/>
          <w:bCs/>
          <w:color w:val="000000"/>
          <w:lang w:val="en-CA"/>
        </w:rPr>
        <w:t xml:space="preserve"> and memory</w:t>
      </w:r>
      <w:r w:rsidRPr="00BF37DD">
        <w:rPr>
          <w:rFonts w:cstheme="minorHAnsi"/>
          <w:bCs/>
          <w:color w:val="000000"/>
          <w:lang w:val="en-CA"/>
        </w:rPr>
        <w:t xml:space="preserve"> Coffee" product</w:t>
      </w:r>
      <w:r>
        <w:rPr>
          <w:rFonts w:cstheme="minorHAnsi"/>
          <w:bCs/>
          <w:color w:val="000000"/>
          <w:lang w:val="en-CA"/>
        </w:rPr>
        <w:t xml:space="preserve">. Under the terms of the LOI all hard costs associated with the development of the brain health and memory coffee will be at Robert </w:t>
      </w:r>
      <w:proofErr w:type="spellStart"/>
      <w:r>
        <w:rPr>
          <w:rFonts w:cstheme="minorHAnsi"/>
          <w:bCs/>
          <w:color w:val="000000"/>
          <w:lang w:val="en-CA"/>
        </w:rPr>
        <w:t>Lamberton</w:t>
      </w:r>
      <w:proofErr w:type="spellEnd"/>
      <w:r>
        <w:rPr>
          <w:rFonts w:cstheme="minorHAnsi"/>
          <w:bCs/>
          <w:color w:val="000000"/>
          <w:lang w:val="en-CA"/>
        </w:rPr>
        <w:t xml:space="preserve"> </w:t>
      </w:r>
      <w:proofErr w:type="spellStart"/>
      <w:r>
        <w:rPr>
          <w:rFonts w:cstheme="minorHAnsi"/>
          <w:bCs/>
          <w:color w:val="000000"/>
          <w:lang w:val="en-CA"/>
        </w:rPr>
        <w:t>Consulting’s</w:t>
      </w:r>
      <w:proofErr w:type="spellEnd"/>
      <w:r>
        <w:rPr>
          <w:rFonts w:cstheme="minorHAnsi"/>
          <w:bCs/>
          <w:color w:val="000000"/>
          <w:lang w:val="en-CA"/>
        </w:rPr>
        <w:t xml:space="preserve"> expense. Laguna and Robert </w:t>
      </w:r>
      <w:proofErr w:type="spellStart"/>
      <w:r>
        <w:rPr>
          <w:rFonts w:cstheme="minorHAnsi"/>
          <w:bCs/>
          <w:color w:val="000000"/>
          <w:lang w:val="en-CA"/>
        </w:rPr>
        <w:t>Lamberton</w:t>
      </w:r>
      <w:proofErr w:type="spellEnd"/>
      <w:r>
        <w:rPr>
          <w:rFonts w:cstheme="minorHAnsi"/>
          <w:bCs/>
          <w:color w:val="000000"/>
          <w:lang w:val="en-CA"/>
        </w:rPr>
        <w:t xml:space="preserve"> Consulting intend on entering into a formal R&amp;D and development agreement outlining the details of the relationship before April 15, 2016.</w:t>
      </w:r>
    </w:p>
    <w:p w:rsidR="002160D8" w:rsidRDefault="002160D8" w:rsidP="002160D8">
      <w:pPr>
        <w:rPr>
          <w:color w:val="000000"/>
        </w:rPr>
      </w:pPr>
      <w:r>
        <w:rPr>
          <w:rFonts w:cstheme="minorHAnsi"/>
          <w:bCs/>
          <w:color w:val="000000"/>
          <w:lang w:val="en-CA"/>
        </w:rPr>
        <w:t xml:space="preserve">The Company </w:t>
      </w:r>
      <w:r w:rsidRPr="00D9496F">
        <w:rPr>
          <w:color w:val="000000"/>
        </w:rPr>
        <w:t>previously announced on</w:t>
      </w:r>
      <w:r>
        <w:rPr>
          <w:color w:val="000000"/>
        </w:rPr>
        <w:t xml:space="preserve"> March 2, 2016, that </w:t>
      </w:r>
      <w:r>
        <w:t>it</w:t>
      </w:r>
      <w:r w:rsidRPr="00D9496F">
        <w:rPr>
          <w:color w:val="000000"/>
        </w:rPr>
        <w:t xml:space="preserve"> is conducting a non-brokered private placement of up to </w:t>
      </w:r>
      <w:r>
        <w:rPr>
          <w:color w:val="000000"/>
        </w:rPr>
        <w:t>1,750,000 units at a price of $0.20</w:t>
      </w:r>
      <w:r w:rsidRPr="00D9496F">
        <w:rPr>
          <w:color w:val="000000"/>
        </w:rPr>
        <w:t xml:space="preserve"> per unit for aggregate gro</w:t>
      </w:r>
      <w:r>
        <w:rPr>
          <w:color w:val="000000"/>
        </w:rPr>
        <w:t>ss proceeds of up to $350,000.</w:t>
      </w:r>
      <w:r>
        <w:t xml:space="preserve"> </w:t>
      </w:r>
      <w:r w:rsidRPr="00D9496F">
        <w:rPr>
          <w:color w:val="000000"/>
        </w:rPr>
        <w:t xml:space="preserve">The Company has now closed the first tranche of this private placement consisting of </w:t>
      </w:r>
      <w:r>
        <w:rPr>
          <w:color w:val="000000"/>
        </w:rPr>
        <w:t>1,175,000</w:t>
      </w:r>
      <w:r w:rsidRPr="00D9496F">
        <w:rPr>
          <w:color w:val="000000"/>
        </w:rPr>
        <w:t xml:space="preserve"> units for gross proceeds of $</w:t>
      </w:r>
      <w:r>
        <w:rPr>
          <w:color w:val="000000"/>
        </w:rPr>
        <w:t>235,000</w:t>
      </w:r>
      <w:r w:rsidRPr="00D9496F">
        <w:rPr>
          <w:color w:val="000000"/>
        </w:rPr>
        <w:t xml:space="preserve">.  Each unit consists of one common share and one share purchase warrant, each warrant entitling the holder to acquire one </w:t>
      </w:r>
      <w:r>
        <w:rPr>
          <w:color w:val="000000"/>
        </w:rPr>
        <w:t>additional common share of the Company at a price of $0.25</w:t>
      </w:r>
      <w:r w:rsidRPr="00D9496F">
        <w:rPr>
          <w:color w:val="000000"/>
        </w:rPr>
        <w:t xml:space="preserve"> per warrant share until </w:t>
      </w:r>
      <w:r>
        <w:rPr>
          <w:color w:val="000000"/>
        </w:rPr>
        <w:t>March 10, 2018</w:t>
      </w:r>
      <w:r w:rsidRPr="00D01BDD">
        <w:rPr>
          <w:color w:val="000000"/>
        </w:rPr>
        <w:t xml:space="preserve">. </w:t>
      </w:r>
      <w:r w:rsidRPr="00D9496F">
        <w:rPr>
          <w:color w:val="000000"/>
        </w:rPr>
        <w:t xml:space="preserve">The units have a hold period expiring </w:t>
      </w:r>
      <w:r>
        <w:rPr>
          <w:color w:val="000000"/>
        </w:rPr>
        <w:t xml:space="preserve">on July 11, 2016. </w:t>
      </w:r>
    </w:p>
    <w:p w:rsidR="002160D8" w:rsidRPr="00D9496F" w:rsidRDefault="002160D8" w:rsidP="002160D8"/>
    <w:p w:rsidR="002160D8" w:rsidRPr="001C6EE0" w:rsidRDefault="002160D8" w:rsidP="002160D8">
      <w:pPr>
        <w:rPr>
          <w:rFonts w:cstheme="minorHAnsi"/>
        </w:rPr>
      </w:pPr>
      <w:r w:rsidRPr="00946E0D">
        <w:rPr>
          <w:rFonts w:cstheme="minorHAnsi"/>
          <w:b/>
          <w:bCs/>
          <w:color w:val="000000"/>
        </w:rPr>
        <w:t>About Laguna Blends Inc.</w:t>
      </w:r>
      <w:r w:rsidRPr="00946E0D">
        <w:rPr>
          <w:rFonts w:cstheme="minorHAnsi"/>
          <w:b/>
          <w:bCs/>
          <w:color w:val="000000"/>
        </w:rPr>
        <w:br/>
      </w:r>
      <w:r w:rsidRPr="00946E0D">
        <w:rPr>
          <w:rFonts w:cstheme="minorHAnsi"/>
          <w:color w:val="000000"/>
        </w:rPr>
        <w:t>Laguna is a network marketing company that generates retail sales through independent affiliates. Affiliates utilize tools and technology that enable them to build an international business from their own home or while travelling.  This</w:t>
      </w:r>
      <w:r>
        <w:rPr>
          <w:rFonts w:cstheme="minorHAnsi"/>
          <w:color w:val="000000"/>
        </w:rPr>
        <w:t xml:space="preserve"> technology</w:t>
      </w:r>
      <w:r w:rsidRPr="00946E0D">
        <w:rPr>
          <w:rFonts w:cstheme="minorHAnsi"/>
          <w:color w:val="000000"/>
        </w:rPr>
        <w:t xml:space="preserve"> replaces the need for</w:t>
      </w:r>
      <w:r>
        <w:rPr>
          <w:rFonts w:cstheme="minorHAnsi"/>
          <w:color w:val="000000"/>
        </w:rPr>
        <w:t xml:space="preserve"> expensive</w:t>
      </w:r>
      <w:r w:rsidRPr="00946E0D">
        <w:rPr>
          <w:rFonts w:cstheme="minorHAnsi"/>
          <w:color w:val="000000"/>
        </w:rPr>
        <w:t xml:space="preserve"> travel and hotel meetings. </w:t>
      </w:r>
      <w:r>
        <w:rPr>
          <w:rFonts w:cstheme="minorHAnsi"/>
          <w:color w:val="000000"/>
        </w:rPr>
        <w:br/>
      </w:r>
      <w:r>
        <w:rPr>
          <w:rFonts w:cstheme="minorHAnsi"/>
          <w:color w:val="000000"/>
        </w:rPr>
        <w:br/>
        <w:t xml:space="preserve">The Company is </w:t>
      </w:r>
      <w:r w:rsidRPr="00946E0D">
        <w:rPr>
          <w:rFonts w:cstheme="minorHAnsi"/>
          <w:color w:val="000000"/>
        </w:rPr>
        <w:t>currently</w:t>
      </w:r>
      <w:r>
        <w:rPr>
          <w:rFonts w:cstheme="minorHAnsi"/>
          <w:color w:val="000000"/>
        </w:rPr>
        <w:t xml:space="preserve"> </w:t>
      </w:r>
      <w:r w:rsidRPr="00946E0D">
        <w:rPr>
          <w:rFonts w:cstheme="minorHAnsi"/>
          <w:color w:val="000000"/>
        </w:rPr>
        <w:t>focused on the nutritional health benefits derived from hemp. Laguna’s first product category</w:t>
      </w:r>
      <w:r>
        <w:rPr>
          <w:rFonts w:cstheme="minorHAnsi"/>
          <w:color w:val="000000"/>
        </w:rPr>
        <w:t xml:space="preserve"> as an entry to market are</w:t>
      </w:r>
      <w:r w:rsidRPr="00946E0D">
        <w:rPr>
          <w:rFonts w:cstheme="minorHAnsi"/>
          <w:color w:val="000000"/>
        </w:rPr>
        <w:t xml:space="preserve"> functional beverage products that contain hemp and other </w:t>
      </w:r>
      <w:r w:rsidRPr="00946E0D">
        <w:rPr>
          <w:rFonts w:cstheme="minorHAnsi"/>
        </w:rPr>
        <w:t>efficacious ingredients.</w:t>
      </w:r>
      <w:r>
        <w:rPr>
          <w:rFonts w:cstheme="minorHAnsi"/>
          <w:color w:val="000000"/>
        </w:rPr>
        <w:t xml:space="preserve"> </w:t>
      </w:r>
      <w:r w:rsidRPr="00946E0D">
        <w:rPr>
          <w:rFonts w:cstheme="minorHAnsi"/>
          <w:color w:val="000000"/>
        </w:rPr>
        <w:t xml:space="preserve">Laguna’s </w:t>
      </w:r>
      <w:r>
        <w:rPr>
          <w:rFonts w:cstheme="minorHAnsi"/>
          <w:color w:val="000000"/>
        </w:rPr>
        <w:t xml:space="preserve">initial </w:t>
      </w:r>
      <w:r w:rsidRPr="00946E0D">
        <w:rPr>
          <w:rFonts w:cstheme="minorHAnsi"/>
          <w:color w:val="000000"/>
        </w:rPr>
        <w:t>products</w:t>
      </w:r>
      <w:r>
        <w:rPr>
          <w:rFonts w:cstheme="minorHAnsi"/>
          <w:color w:val="000000"/>
        </w:rPr>
        <w:t xml:space="preserve"> to market are the following:</w:t>
      </w:r>
      <w:r>
        <w:rPr>
          <w:rFonts w:cstheme="minorHAnsi"/>
          <w:color w:val="000000"/>
        </w:rPr>
        <w:br/>
      </w:r>
      <w:r>
        <w:rPr>
          <w:rFonts w:cstheme="minorHAnsi"/>
          <w:color w:val="000000"/>
        </w:rPr>
        <w:br/>
      </w:r>
      <w:r w:rsidRPr="00946E0D">
        <w:rPr>
          <w:rFonts w:cstheme="minorHAnsi"/>
          <w:color w:val="000000"/>
        </w:rPr>
        <w:t xml:space="preserve"> “</w:t>
      </w:r>
      <w:proofErr w:type="spellStart"/>
      <w:r w:rsidRPr="00946E0D">
        <w:rPr>
          <w:rFonts w:cstheme="minorHAnsi"/>
          <w:color w:val="000000"/>
        </w:rPr>
        <w:t>Caffe</w:t>
      </w:r>
      <w:proofErr w:type="spellEnd"/>
      <w:r w:rsidRPr="00946E0D">
        <w:rPr>
          <w:rFonts w:cstheme="minorHAnsi"/>
          <w:color w:val="000000"/>
        </w:rPr>
        <w:t>” is an instant, “just add water” h</w:t>
      </w:r>
      <w:r>
        <w:rPr>
          <w:rFonts w:cstheme="minorHAnsi"/>
          <w:color w:val="000000"/>
        </w:rPr>
        <w:t>ot coffee beverage that is infused with</w:t>
      </w:r>
      <w:r w:rsidRPr="00946E0D">
        <w:rPr>
          <w:rFonts w:cstheme="minorHAnsi"/>
          <w:color w:val="000000"/>
        </w:rPr>
        <w:t xml:space="preserve"> both whey and hemp protein.  </w:t>
      </w:r>
      <w:r w:rsidRPr="0007292E">
        <w:rPr>
          <w:rFonts w:cstheme="minorHAnsi"/>
          <w:color w:val="000000"/>
        </w:rPr>
        <w:t>With 20% protein</w:t>
      </w:r>
      <w:r>
        <w:rPr>
          <w:rFonts w:cstheme="minorHAnsi"/>
          <w:color w:val="000000"/>
        </w:rPr>
        <w:t xml:space="preserve"> (2 grams)</w:t>
      </w:r>
      <w:r w:rsidRPr="0007292E">
        <w:rPr>
          <w:rFonts w:cstheme="minorHAnsi"/>
          <w:color w:val="000000"/>
        </w:rPr>
        <w:t xml:space="preserve"> in every serving, our proprietary product packs a powerful protein punch</w:t>
      </w:r>
      <w:r>
        <w:rPr>
          <w:rFonts w:cstheme="minorHAnsi"/>
          <w:color w:val="000000"/>
        </w:rPr>
        <w:t xml:space="preserve">. </w:t>
      </w:r>
      <w:proofErr w:type="spellStart"/>
      <w:r>
        <w:rPr>
          <w:rFonts w:cstheme="minorHAnsi"/>
          <w:color w:val="000000"/>
          <w:lang w:val="en-CA"/>
        </w:rPr>
        <w:t>Caffe</w:t>
      </w:r>
      <w:proofErr w:type="spellEnd"/>
      <w:r>
        <w:rPr>
          <w:rFonts w:cstheme="minorHAnsi"/>
          <w:color w:val="000000"/>
          <w:lang w:val="en-CA"/>
        </w:rPr>
        <w:t xml:space="preserve">, contains </w:t>
      </w:r>
      <w:r w:rsidRPr="00745C67">
        <w:rPr>
          <w:rFonts w:cstheme="minorHAnsi"/>
          <w:color w:val="000000"/>
          <w:lang w:val="en-CA"/>
        </w:rPr>
        <w:t>Instant coffee, whey protein hydrolysate, hemp protein, natural flavors</w:t>
      </w:r>
      <w:r>
        <w:rPr>
          <w:rFonts w:cstheme="minorHAnsi"/>
          <w:color w:val="000000"/>
          <w:lang w:val="en-CA"/>
        </w:rPr>
        <w:t>.</w:t>
      </w:r>
      <w:r>
        <w:rPr>
          <w:rFonts w:cstheme="minorHAnsi"/>
          <w:color w:val="000000"/>
          <w:lang w:val="en-CA"/>
        </w:rPr>
        <w:br/>
      </w:r>
      <w:r>
        <w:rPr>
          <w:rFonts w:cstheme="minorHAnsi"/>
          <w:color w:val="000000"/>
          <w:lang w:val="en-CA"/>
        </w:rPr>
        <w:br/>
      </w:r>
      <w:r>
        <w:t>Starbucks is the only company in the world that’s a major player with a protein coffee beverage. Starbucks product is a ready to serve cold protein Coffee in a can. Laguna’s protein Coffee is an instant, just add hot water protein coffee.</w:t>
      </w:r>
    </w:p>
    <w:p w:rsidR="002160D8" w:rsidRPr="00CA0BB4" w:rsidRDefault="002160D8" w:rsidP="002160D8">
      <w:pPr>
        <w:jc w:val="both"/>
        <w:rPr>
          <w:rFonts w:cs="Calibri"/>
        </w:rPr>
      </w:pPr>
      <w:r w:rsidRPr="00640036">
        <w:rPr>
          <w:rFonts w:cs="Calibri"/>
        </w:rPr>
        <w:lastRenderedPageBreak/>
        <w:t>After water, the beverage that the largest proportion of adults reported consuming is Coffee</w:t>
      </w:r>
      <w:r>
        <w:rPr>
          <w:rFonts w:cs="Calibri"/>
        </w:rPr>
        <w:t>.</w:t>
      </w:r>
      <w:r>
        <w:rPr>
          <w:rFonts w:cs="Calibri"/>
        </w:rPr>
        <w:br/>
      </w:r>
      <w:r w:rsidRPr="00640036">
        <w:rPr>
          <w:rFonts w:cs="Calibri"/>
        </w:rPr>
        <w:t xml:space="preserve"> </w:t>
      </w:r>
      <w:r>
        <w:rPr>
          <w:rFonts w:cs="Calibri"/>
        </w:rPr>
        <w:t>*</w:t>
      </w:r>
      <w:r w:rsidRPr="00AA4574">
        <w:rPr>
          <w:rFonts w:cs="Calibri"/>
        </w:rPr>
        <w:t>According to the CAC’s newly released 2013 Canadian Coffee Drinking Study, coffee is a dominant beverage in the Canadian market. Only tap water enjoys equally high past-day penetration. The results of the research show that approximately two-thirds of adult Canadians (65%) consumed coffee in the past-day. Approximately three-quarters of Canadians aged 18-79 (78%) indicate they’ve consumed coffee in the past week.  A total of 83% of Canadians say they’ve enjoyed coffee in the past-year. Coffee drinkers consume on average 3.2 cups of coffee per day.</w:t>
      </w:r>
      <w:r>
        <w:rPr>
          <w:rFonts w:cs="Calibri"/>
        </w:rPr>
        <w:t xml:space="preserve"> </w:t>
      </w:r>
      <w:r w:rsidRPr="003D0A66">
        <w:rPr>
          <w:rFonts w:cs="Calibri"/>
        </w:rPr>
        <w:t>A cup of coffee before you exercise can boost performance, help you stay hydrated and reduce exercise related fatigue as well as deliver a number of other positive health impacts.</w:t>
      </w:r>
    </w:p>
    <w:p w:rsidR="002160D8" w:rsidRPr="00946E0D" w:rsidRDefault="002160D8" w:rsidP="002160D8">
      <w:pPr>
        <w:pStyle w:val="BodyText"/>
        <w:spacing w:after="240"/>
        <w:rPr>
          <w:rFonts w:cstheme="minorHAnsi"/>
          <w:color w:val="000000"/>
        </w:rPr>
      </w:pPr>
      <w:r w:rsidRPr="00946E0D">
        <w:rPr>
          <w:rFonts w:cstheme="minorHAnsi"/>
          <w:color w:val="000000"/>
        </w:rPr>
        <w:t>“Pro369”</w:t>
      </w:r>
      <w:r>
        <w:rPr>
          <w:rFonts w:cstheme="minorHAnsi"/>
          <w:color w:val="000000"/>
        </w:rPr>
        <w:t xml:space="preserve"> is a single serving,</w:t>
      </w:r>
      <w:r w:rsidRPr="000C5742">
        <w:rPr>
          <w:rFonts w:cstheme="minorHAnsi"/>
          <w:color w:val="000000"/>
        </w:rPr>
        <w:t xml:space="preserve"> </w:t>
      </w:r>
      <w:r w:rsidRPr="00946E0D">
        <w:rPr>
          <w:rFonts w:cstheme="minorHAnsi"/>
          <w:color w:val="000000"/>
        </w:rPr>
        <w:t>"on-the-go</w:t>
      </w:r>
      <w:r>
        <w:rPr>
          <w:rFonts w:cstheme="minorHAnsi"/>
          <w:color w:val="000000"/>
        </w:rPr>
        <w:t>,</w:t>
      </w:r>
      <w:r w:rsidRPr="00946E0D">
        <w:rPr>
          <w:rFonts w:cstheme="minorHAnsi"/>
          <w:color w:val="000000"/>
        </w:rPr>
        <w:t xml:space="preserve">" </w:t>
      </w:r>
      <w:r>
        <w:rPr>
          <w:rFonts w:cstheme="minorHAnsi"/>
          <w:color w:val="000000"/>
        </w:rPr>
        <w:t>plant based, hemp protein that</w:t>
      </w:r>
      <w:r w:rsidRPr="00946E0D">
        <w:rPr>
          <w:rFonts w:cstheme="minorHAnsi"/>
          <w:color w:val="000000"/>
        </w:rPr>
        <w:t xml:space="preserve"> is served cold and comes in 4 delicious flavors. Pro369 is water soluble and can be directly mixed in water, added to milk, almond milk or coconut milk. Pro369 can also be blended in a shake or smoothie. Pro369 is also a source of Omegas, 3, 6 and 9 and contains ginseng. </w:t>
      </w:r>
    </w:p>
    <w:p w:rsidR="002160D8" w:rsidRPr="00745C67" w:rsidRDefault="002160D8" w:rsidP="002160D8">
      <w:pPr>
        <w:rPr>
          <w:lang w:val="en-CA"/>
        </w:rPr>
      </w:pPr>
      <w:r w:rsidRPr="00946E0D">
        <w:t xml:space="preserve">Laguna Blends has been granted approval from Health Canada for four powdered </w:t>
      </w:r>
      <w:proofErr w:type="spellStart"/>
      <w:r w:rsidRPr="00946E0D">
        <w:t>flavours</w:t>
      </w:r>
      <w:proofErr w:type="spellEnd"/>
      <w:r w:rsidRPr="00946E0D">
        <w:t xml:space="preserve">: PRO369 Chocolate Banana, Mixed Berry and Vanilla Caramel and Tropical Powder. </w:t>
      </w:r>
    </w:p>
    <w:p w:rsidR="002160D8" w:rsidRPr="00745C67" w:rsidRDefault="002160D8" w:rsidP="002160D8">
      <w:pPr>
        <w:rPr>
          <w:lang w:val="en-CA"/>
        </w:rPr>
      </w:pPr>
      <w:r w:rsidRPr="00745C67">
        <w:rPr>
          <w:lang w:val="en-CA"/>
        </w:rPr>
        <w:t xml:space="preserve"> </w:t>
      </w:r>
      <w:r>
        <w:rPr>
          <w:lang w:val="en-CA"/>
        </w:rPr>
        <w:t xml:space="preserve">Pro369, contains </w:t>
      </w:r>
      <w:r w:rsidRPr="00745C67">
        <w:rPr>
          <w:lang w:val="en-CA"/>
        </w:rPr>
        <w:t>Hemp protein, natural flavors, stevia, American ginseng.</w:t>
      </w:r>
    </w:p>
    <w:p w:rsidR="002160D8" w:rsidRPr="00E80037" w:rsidRDefault="002160D8" w:rsidP="002160D8">
      <w:pPr>
        <w:autoSpaceDE w:val="0"/>
        <w:autoSpaceDN w:val="0"/>
        <w:adjustRightInd w:val="0"/>
        <w:rPr>
          <w:rFonts w:cstheme="minorHAnsi"/>
        </w:rPr>
      </w:pPr>
      <w:r w:rsidRPr="00E80037">
        <w:t>The Minister of Health</w:t>
      </w:r>
      <w:r>
        <w:t xml:space="preserve"> from Health Canada</w:t>
      </w:r>
      <w:r w:rsidRPr="00E80037">
        <w:t xml:space="preserve"> has granted Laguna a product license along with a Natural Product Number ("NPN") for all four of the Pro369 </w:t>
      </w:r>
      <w:proofErr w:type="spellStart"/>
      <w:r w:rsidRPr="00E80037">
        <w:t>Flavours</w:t>
      </w:r>
      <w:proofErr w:type="spellEnd"/>
      <w:r w:rsidRPr="00E80037">
        <w:t xml:space="preserve">. They are all listed under the same NPN. </w:t>
      </w:r>
    </w:p>
    <w:p w:rsidR="002160D8" w:rsidRPr="00946E0D" w:rsidRDefault="002160D8" w:rsidP="002160D8"/>
    <w:p w:rsidR="002160D8" w:rsidRPr="00946E0D" w:rsidRDefault="002160D8" w:rsidP="002160D8">
      <w:proofErr w:type="spellStart"/>
      <w:r w:rsidRPr="00946E0D">
        <w:t>i</w:t>
      </w:r>
      <w:proofErr w:type="spellEnd"/>
      <w:r w:rsidRPr="00946E0D">
        <w:t>.</w:t>
      </w:r>
      <w:r w:rsidRPr="00946E0D">
        <w:tab/>
        <w:t>A source of protein that helps build and repair body tissues.</w:t>
      </w:r>
    </w:p>
    <w:p w:rsidR="002160D8" w:rsidRPr="00946E0D" w:rsidRDefault="002160D8" w:rsidP="002160D8">
      <w:r w:rsidRPr="00946E0D">
        <w:t>ii.</w:t>
      </w:r>
      <w:r w:rsidRPr="00946E0D">
        <w:tab/>
        <w:t>Source of amino acids involved in muscle protein synthesis.</w:t>
      </w:r>
    </w:p>
    <w:p w:rsidR="002160D8" w:rsidRPr="00946E0D" w:rsidRDefault="002160D8" w:rsidP="002160D8">
      <w:r w:rsidRPr="00946E0D">
        <w:t>iii.</w:t>
      </w:r>
      <w:r w:rsidRPr="00946E0D">
        <w:tab/>
        <w:t>Assists in the building of lean muscle.</w:t>
      </w:r>
    </w:p>
    <w:p w:rsidR="002160D8" w:rsidRPr="00946E0D" w:rsidRDefault="002160D8" w:rsidP="002160D8">
      <w:r w:rsidRPr="00946E0D">
        <w:t>iv.</w:t>
      </w:r>
      <w:r w:rsidRPr="00946E0D">
        <w:tab/>
        <w:t xml:space="preserve">An </w:t>
      </w:r>
      <w:proofErr w:type="spellStart"/>
      <w:r w:rsidRPr="00946E0D">
        <w:t>adaptogen</w:t>
      </w:r>
      <w:proofErr w:type="spellEnd"/>
      <w:r w:rsidRPr="00946E0D">
        <w:t xml:space="preserve"> to help maintain a healthy immune system.</w:t>
      </w:r>
    </w:p>
    <w:p w:rsidR="002160D8" w:rsidRPr="00946E0D" w:rsidRDefault="002160D8" w:rsidP="002160D8">
      <w:r w:rsidRPr="00946E0D">
        <w:t>v.</w:t>
      </w:r>
      <w:r w:rsidRPr="00946E0D">
        <w:tab/>
        <w:t>Supportive therapy for the promotion of healthy glucose levels.</w:t>
      </w:r>
      <w:r w:rsidRPr="00946E0D">
        <w:br/>
      </w:r>
      <w:r w:rsidRPr="00946E0D">
        <w:br/>
      </w:r>
      <w:r>
        <w:rPr>
          <w:rFonts w:eastAsia="Calibri"/>
          <w:lang w:val="en-CA"/>
        </w:rPr>
        <w:t xml:space="preserve">Hemp has </w:t>
      </w:r>
      <w:r w:rsidRPr="00946E0D">
        <w:rPr>
          <w:rFonts w:eastAsia="Calibri"/>
          <w:lang w:val="en-CA"/>
        </w:rPr>
        <w:t xml:space="preserve">long been recognized by the health and nutrition industry as a super food, cited in many publications as a balanced source of all ingredients required to achieve health and wellness. </w:t>
      </w:r>
    </w:p>
    <w:p w:rsidR="002160D8" w:rsidRDefault="002160D8" w:rsidP="002160D8">
      <w:pPr>
        <w:rPr>
          <w:b/>
          <w:bCs/>
        </w:rPr>
      </w:pPr>
    </w:p>
    <w:p w:rsidR="002160D8" w:rsidRPr="00946E0D" w:rsidRDefault="002160D8" w:rsidP="002160D8">
      <w:pPr>
        <w:rPr>
          <w:bCs/>
        </w:rPr>
      </w:pPr>
      <w:proofErr w:type="spellStart"/>
      <w:r w:rsidRPr="00946E0D">
        <w:rPr>
          <w:b/>
          <w:bCs/>
        </w:rPr>
        <w:t>HempOmega</w:t>
      </w:r>
      <w:proofErr w:type="spellEnd"/>
      <w:r w:rsidRPr="00946E0D">
        <w:rPr>
          <w:b/>
          <w:bCs/>
        </w:rPr>
        <w:t>®</w:t>
      </w:r>
      <w:r w:rsidRPr="00946E0D">
        <w:t> </w:t>
      </w:r>
      <w:r w:rsidRPr="00946E0D">
        <w:rPr>
          <w:bCs/>
        </w:rPr>
        <w:br/>
      </w:r>
      <w:proofErr w:type="spellStart"/>
      <w:r w:rsidRPr="00946E0D">
        <w:rPr>
          <w:bCs/>
        </w:rPr>
        <w:t>HempOmega</w:t>
      </w:r>
      <w:proofErr w:type="spellEnd"/>
      <w:r w:rsidRPr="00946E0D">
        <w:rPr>
          <w:b/>
          <w:bCs/>
        </w:rPr>
        <w:t>®</w:t>
      </w:r>
      <w:r>
        <w:t xml:space="preserve">  </w:t>
      </w:r>
      <w:r w:rsidRPr="00946E0D">
        <w:t>is an environmentally sustainable, vegetarian source of Omegas 3 and 6 that boasts a superior nutrient profile. A water soluble, homogenous, powdered ingredient, it can be easily integrated and/or manipulated, with no unpleasant taste or chemical contamination – opening up entirely new product formulation opportunities. Hemp Omega’s greater ability to endure the digestive process delivers unmatched bioavailability, thereby maximizing its potential health benefits.</w:t>
      </w:r>
    </w:p>
    <w:p w:rsidR="002160D8" w:rsidRDefault="002160D8" w:rsidP="002160D8">
      <w:pPr>
        <w:pStyle w:val="BodyText"/>
        <w:jc w:val="both"/>
        <w:rPr>
          <w:rFonts w:cstheme="minorHAnsi"/>
          <w:color w:val="000000"/>
        </w:rPr>
      </w:pPr>
    </w:p>
    <w:p w:rsidR="002160D8" w:rsidRPr="00946E0D" w:rsidRDefault="002160D8" w:rsidP="002160D8">
      <w:pPr>
        <w:pStyle w:val="BodyText"/>
        <w:jc w:val="both"/>
        <w:rPr>
          <w:rFonts w:cstheme="minorHAnsi"/>
          <w:color w:val="000000"/>
        </w:rPr>
      </w:pPr>
      <w:r w:rsidRPr="00946E0D">
        <w:rPr>
          <w:rFonts w:cstheme="minorHAnsi"/>
          <w:color w:val="000000"/>
        </w:rPr>
        <w:t xml:space="preserve">The Company sells its products through its independent affiliates in the USA and Canada. </w:t>
      </w:r>
    </w:p>
    <w:p w:rsidR="002160D8" w:rsidRDefault="002160D8" w:rsidP="002160D8">
      <w:pPr>
        <w:rPr>
          <w:bCs/>
        </w:rPr>
      </w:pPr>
    </w:p>
    <w:p w:rsidR="002160D8" w:rsidRDefault="002160D8" w:rsidP="002160D8">
      <w:proofErr w:type="spellStart"/>
      <w:r w:rsidRPr="00946E0D">
        <w:rPr>
          <w:bCs/>
        </w:rPr>
        <w:t>HempOmega</w:t>
      </w:r>
      <w:proofErr w:type="spellEnd"/>
      <w:r w:rsidRPr="00946E0D">
        <w:rPr>
          <w:bCs/>
        </w:rPr>
        <w:t>®</w:t>
      </w:r>
      <w:r w:rsidRPr="00946E0D">
        <w:t xml:space="preserve"> is a Trademark owned by Naturally Splendid Enterprises, Ltd. and is used under license by Laguna Blends Inc. </w:t>
      </w:r>
    </w:p>
    <w:p w:rsidR="002160D8" w:rsidRPr="00F56A42" w:rsidRDefault="002160D8" w:rsidP="002160D8">
      <w:pPr>
        <w:rPr>
          <w:rFonts w:cs="Calibri"/>
        </w:rPr>
      </w:pPr>
      <w:r>
        <w:rPr>
          <w:b/>
        </w:rPr>
        <w:t>*</w:t>
      </w:r>
      <w:r w:rsidRPr="00AA4574">
        <w:rPr>
          <w:rFonts w:cs="Calibri"/>
        </w:rPr>
        <w:t>Canadian Coffee Drinking Study</w:t>
      </w:r>
      <w:r>
        <w:rPr>
          <w:rFonts w:cs="Calibri"/>
        </w:rPr>
        <w:br/>
      </w:r>
      <w:r w:rsidRPr="00460797">
        <w:rPr>
          <w:b/>
        </w:rPr>
        <w:t>http://www.coffeeassoc.com/contact-us/</w:t>
      </w:r>
    </w:p>
    <w:p w:rsidR="002160D8" w:rsidRDefault="002160D8" w:rsidP="002160D8">
      <w:pPr>
        <w:pStyle w:val="BodyText"/>
        <w:rPr>
          <w:rFonts w:cstheme="minorHAnsi"/>
          <w:b/>
          <w:bCs/>
          <w:color w:val="000000"/>
        </w:rPr>
      </w:pPr>
    </w:p>
    <w:p w:rsidR="002160D8" w:rsidRPr="00946E0D" w:rsidRDefault="002160D8" w:rsidP="004D40B1">
      <w:pPr>
        <w:pStyle w:val="BodyText"/>
        <w:keepNext/>
        <w:rPr>
          <w:rFonts w:cstheme="minorHAnsi"/>
          <w:color w:val="000000"/>
        </w:rPr>
      </w:pPr>
      <w:r w:rsidRPr="00946E0D">
        <w:rPr>
          <w:rFonts w:cstheme="minorHAnsi"/>
          <w:b/>
          <w:bCs/>
          <w:color w:val="000000"/>
        </w:rPr>
        <w:lastRenderedPageBreak/>
        <w:t>ON BEHALF OF THE BOARD</w:t>
      </w:r>
      <w:r w:rsidRPr="00946E0D">
        <w:rPr>
          <w:rFonts w:cstheme="minorHAnsi"/>
          <w:color w:val="000000"/>
        </w:rPr>
        <w:br/>
        <w:t>“Stuart Gray”</w:t>
      </w:r>
    </w:p>
    <w:p w:rsidR="002160D8" w:rsidRDefault="002160D8" w:rsidP="004D40B1">
      <w:pPr>
        <w:pStyle w:val="BodyText"/>
        <w:keepNext/>
        <w:rPr>
          <w:rFonts w:cstheme="minorHAnsi"/>
          <w:color w:val="000000"/>
        </w:rPr>
      </w:pPr>
      <w:r w:rsidRPr="00946E0D">
        <w:rPr>
          <w:rFonts w:cstheme="minorHAnsi"/>
          <w:color w:val="000000"/>
        </w:rPr>
        <w:t>President, Chief Executive Officer,</w:t>
      </w:r>
      <w:r w:rsidRPr="00946E0D">
        <w:rPr>
          <w:rFonts w:cstheme="minorHAnsi"/>
          <w:color w:val="000000"/>
        </w:rPr>
        <w:br/>
        <w:t>Chief Financial Officer and Director</w:t>
      </w:r>
    </w:p>
    <w:p w:rsidR="002160D8" w:rsidRPr="001C6EE0" w:rsidRDefault="002160D8" w:rsidP="004D40B1">
      <w:pPr>
        <w:keepNext/>
        <w:rPr>
          <w:rFonts w:cstheme="minorHAnsi"/>
          <w:color w:val="000000"/>
        </w:rPr>
      </w:pPr>
      <w:r w:rsidRPr="00946E0D">
        <w:rPr>
          <w:rFonts w:cstheme="minorHAnsi"/>
          <w:b/>
          <w:bCs/>
          <w:color w:val="000000"/>
        </w:rPr>
        <w:t>FOR INVESTOR RELATIONS INFORMATION PLEASE CONTACT:</w:t>
      </w:r>
      <w:r w:rsidRPr="00946E0D">
        <w:rPr>
          <w:rFonts w:cstheme="minorHAnsi"/>
          <w:color w:val="000000"/>
        </w:rPr>
        <w:br/>
      </w:r>
      <w:r>
        <w:rPr>
          <w:rFonts w:cstheme="minorHAnsi"/>
          <w:color w:val="000000"/>
        </w:rPr>
        <w:t xml:space="preserve">Investor Relations </w:t>
      </w:r>
      <w:r>
        <w:rPr>
          <w:rFonts w:cstheme="minorHAnsi"/>
          <w:color w:val="000000"/>
        </w:rPr>
        <w:br/>
        <w:t xml:space="preserve">Glenn Shand  /  Stuart Gray </w:t>
      </w:r>
      <w:r w:rsidRPr="00946E0D">
        <w:rPr>
          <w:rFonts w:cstheme="minorHAnsi"/>
          <w:color w:val="000000"/>
        </w:rPr>
        <w:br/>
        <w:t xml:space="preserve">1-949-424-2716 </w:t>
      </w:r>
      <w:r>
        <w:rPr>
          <w:rFonts w:cstheme="minorHAnsi"/>
          <w:color w:val="000000"/>
        </w:rPr>
        <w:t>Ext 2</w:t>
      </w:r>
      <w:r w:rsidRPr="00946E0D">
        <w:rPr>
          <w:rFonts w:cstheme="minorHAnsi"/>
          <w:color w:val="000000"/>
        </w:rPr>
        <w:br/>
      </w:r>
      <w:hyperlink r:id="rId14" w:tgtFrame="_blank" w:history="1">
        <w:r w:rsidRPr="00946E0D">
          <w:rPr>
            <w:rFonts w:cs="Arial"/>
            <w:color w:val="1155CC"/>
            <w:u w:val="single"/>
            <w:shd w:val="clear" w:color="auto" w:fill="FFFFFF"/>
          </w:rPr>
          <w:t>ir@lagunablends.com</w:t>
        </w:r>
      </w:hyperlink>
      <w:r w:rsidRPr="00946E0D">
        <w:rPr>
          <w:rFonts w:cs="Arial"/>
          <w:color w:val="222222"/>
          <w:shd w:val="clear" w:color="auto" w:fill="FFFFFF"/>
        </w:rPr>
        <w:t> </w:t>
      </w:r>
      <w:r>
        <w:rPr>
          <w:rFonts w:cs="Arial"/>
          <w:color w:val="222222"/>
          <w:shd w:val="clear" w:color="auto" w:fill="FFFFFF"/>
        </w:rPr>
        <w:br/>
      </w:r>
      <w:hyperlink r:id="rId15" w:history="1">
        <w:r w:rsidRPr="00A9508C">
          <w:rPr>
            <w:rStyle w:val="Hyperlink"/>
            <w:rFonts w:cs="Arial"/>
            <w:shd w:val="clear" w:color="auto" w:fill="FFFFFF"/>
          </w:rPr>
          <w:t>www.lagunablends.com</w:t>
        </w:r>
      </w:hyperlink>
      <w:r>
        <w:rPr>
          <w:rFonts w:cs="Arial"/>
          <w:color w:val="222222"/>
          <w:shd w:val="clear" w:color="auto" w:fill="FFFFFF"/>
        </w:rPr>
        <w:br/>
        <w:t xml:space="preserve">Join Us On Face Book: </w:t>
      </w:r>
      <w:hyperlink r:id="rId16" w:history="1">
        <w:r w:rsidRPr="00A9508C">
          <w:rPr>
            <w:rStyle w:val="Hyperlink"/>
            <w:rFonts w:cs="Arial"/>
            <w:shd w:val="clear" w:color="auto" w:fill="FFFFFF"/>
          </w:rPr>
          <w:t>https://www.facebook.com/LagunaBlends/</w:t>
        </w:r>
      </w:hyperlink>
      <w:r>
        <w:rPr>
          <w:rFonts w:cs="Arial"/>
          <w:color w:val="222222"/>
          <w:shd w:val="clear" w:color="auto" w:fill="FFFFFF"/>
        </w:rPr>
        <w:t xml:space="preserve"> </w:t>
      </w:r>
      <w:r>
        <w:rPr>
          <w:rFonts w:cs="Arial"/>
          <w:color w:val="222222"/>
          <w:shd w:val="clear" w:color="auto" w:fill="FFFFFF"/>
        </w:rPr>
        <w:br/>
        <w:t>Twitter: @</w:t>
      </w:r>
      <w:proofErr w:type="spellStart"/>
      <w:r>
        <w:rPr>
          <w:rFonts w:cs="Arial"/>
          <w:color w:val="222222"/>
          <w:shd w:val="clear" w:color="auto" w:fill="FFFFFF"/>
        </w:rPr>
        <w:t>LagunaBlends</w:t>
      </w:r>
      <w:proofErr w:type="spellEnd"/>
      <w:r>
        <w:rPr>
          <w:rFonts w:cs="Arial"/>
          <w:color w:val="222222"/>
          <w:shd w:val="clear" w:color="auto" w:fill="FFFFFF"/>
        </w:rPr>
        <w:t xml:space="preserve"> </w:t>
      </w:r>
    </w:p>
    <w:p w:rsidR="002160D8" w:rsidRPr="001C6EE0" w:rsidRDefault="002160D8" w:rsidP="002160D8">
      <w:pPr>
        <w:keepNext/>
        <w:keepLines/>
        <w:shd w:val="clear" w:color="auto" w:fill="FFFFFF"/>
        <w:spacing w:after="180"/>
        <w:rPr>
          <w:rFonts w:cstheme="minorHAnsi"/>
          <w:b/>
          <w:color w:val="000000"/>
        </w:rPr>
      </w:pPr>
      <w:r w:rsidRPr="00946E0D">
        <w:rPr>
          <w:rFonts w:cstheme="minorHAnsi"/>
          <w:b/>
          <w:color w:val="000000"/>
        </w:rPr>
        <w:t>Forward-Looking Information:</w:t>
      </w:r>
      <w:r>
        <w:rPr>
          <w:rFonts w:cstheme="minorHAnsi"/>
          <w:b/>
          <w:color w:val="000000"/>
        </w:rPr>
        <w:t>|</w:t>
      </w:r>
      <w:r>
        <w:rPr>
          <w:rFonts w:cstheme="minorHAnsi"/>
          <w:b/>
          <w:color w:val="000000"/>
        </w:rPr>
        <w:br/>
      </w:r>
      <w:r w:rsidRPr="00946E0D">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 use of proceeds,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p w:rsidR="005C73AE" w:rsidRPr="00426AB3" w:rsidRDefault="005C73AE" w:rsidP="00A85C7C">
      <w:pPr>
        <w:shd w:val="clear" w:color="auto" w:fill="FFFFFF"/>
        <w:spacing w:after="180"/>
        <w:jc w:val="both"/>
        <w:rPr>
          <w:rFonts w:cstheme="minorHAnsi"/>
          <w:color w:val="000000"/>
          <w:lang w:val="en-CA"/>
        </w:rPr>
      </w:pPr>
    </w:p>
    <w:sectPr w:rsidR="005C73AE" w:rsidRPr="00426AB3" w:rsidSect="002160D8">
      <w:headerReference w:type="even" r:id="rId17"/>
      <w:headerReference w:type="default" r:id="rId18"/>
      <w:footerReference w:type="even" r:id="rId19"/>
      <w:footerReference w:type="default" r:id="rId20"/>
      <w:headerReference w:type="first" r:id="rId21"/>
      <w:footerReference w:type="first" r:id="rId22"/>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60" w:rsidRDefault="00302D60" w:rsidP="000B78B9">
      <w:r>
        <w:separator/>
      </w:r>
    </w:p>
  </w:endnote>
  <w:endnote w:type="continuationSeparator" w:id="0">
    <w:p w:rsidR="00302D60" w:rsidRDefault="00302D60" w:rsidP="000B7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Aveni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B" w:rsidRDefault="007801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DD" w:rsidRPr="001150EF" w:rsidRDefault="00095927" w:rsidP="001150EF">
    <w:pPr>
      <w:pStyle w:val="Footer"/>
      <w:rPr>
        <w:color w:val="000000"/>
      </w:rPr>
    </w:pPr>
    <w:fldSimple w:instr=" KEYWORDS  \* MERGEFORMAT ">
      <w:r w:rsidR="000046DB">
        <w:rPr>
          <w:color w:val="000000"/>
        </w:rPr>
        <w:t>CW9684535.2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B" w:rsidRDefault="007801F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Default="00302D6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Pr="001150EF" w:rsidRDefault="00095927" w:rsidP="001150EF">
    <w:pPr>
      <w:pStyle w:val="Footer"/>
      <w:rPr>
        <w:color w:val="000000"/>
      </w:rPr>
    </w:pPr>
    <w:fldSimple w:instr=" KEYWORDS  \* MERGEFORMAT ">
      <w:r w:rsidR="000046DB">
        <w:rPr>
          <w:color w:val="000000"/>
        </w:rPr>
        <w:t>CW9684535.2</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Default="00302D60" w:rsidP="005372AA">
    <w:pPr>
      <w:pStyle w:val="Footer"/>
      <w:jc w:val="right"/>
      <w:rPr>
        <w:rFonts w:ascii="Times New Roman" w:hAnsi="Times New Roman"/>
        <w:color w:val="000000"/>
      </w:rPr>
    </w:pPr>
  </w:p>
  <w:p w:rsidR="005372AA" w:rsidRPr="001150EF" w:rsidRDefault="00095927" w:rsidP="001150EF">
    <w:pPr>
      <w:pStyle w:val="Footer"/>
      <w:rPr>
        <w:rFonts w:ascii="Times New Roman" w:hAnsi="Times New Roman"/>
        <w:color w:val="000000"/>
      </w:rPr>
    </w:pPr>
    <w:fldSimple w:instr=" KEYWORDS  \* MERGEFORMAT ">
      <w:r w:rsidR="000046DB">
        <w:rPr>
          <w:rFonts w:ascii="Times New Roman" w:hAnsi="Times New Roman"/>
          <w:color w:val="000000"/>
        </w:rPr>
        <w:t>CW9684535.2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60" w:rsidRDefault="00302D60" w:rsidP="000B78B9">
      <w:r>
        <w:separator/>
      </w:r>
    </w:p>
  </w:footnote>
  <w:footnote w:type="continuationSeparator" w:id="0">
    <w:p w:rsidR="00302D60" w:rsidRDefault="00302D60" w:rsidP="000B7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B" w:rsidRDefault="00780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B" w:rsidRDefault="00780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FB" w:rsidRDefault="007801F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Default="00302D6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Pr="003717FD" w:rsidRDefault="00302D60" w:rsidP="005372AA">
    <w:pPr>
      <w:spacing w:before="100" w:beforeAutospacing="1" w:after="100" w:afterAutospacing="1"/>
      <w:jc w:val="center"/>
      <w:rPr>
        <w:rFonts w:ascii="Avenir" w:hAnsi="Avenir"/>
        <w:b/>
        <w:sz w:val="21"/>
        <w:szCs w:val="21"/>
      </w:rPr>
    </w:pPr>
  </w:p>
  <w:p w:rsidR="005372AA" w:rsidRDefault="00302D6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2AA" w:rsidRDefault="00302D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A30E2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BAC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CED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56DA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2D9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722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C28F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6FA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98520CB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5"/>
      <w:numFmt w:val="decimal"/>
      <w:lvlText w:val="%1"/>
      <w:lvlJc w:val="left"/>
      <w:pPr>
        <w:ind w:left="1540" w:hanging="586"/>
      </w:pPr>
    </w:lvl>
    <w:lvl w:ilvl="1">
      <w:start w:val="1"/>
      <w:numFmt w:val="decimal"/>
      <w:lvlText w:val="%1.%2"/>
      <w:lvlJc w:val="left"/>
      <w:pPr>
        <w:ind w:left="1540" w:hanging="586"/>
      </w:pPr>
      <w:rPr>
        <w:rFonts w:ascii="Book Antiqua" w:hAnsi="Book Antiqua" w:cs="Book Antiqua"/>
        <w:b w:val="0"/>
        <w:bCs w:val="0"/>
        <w:i/>
        <w:iCs/>
        <w:spacing w:val="-2"/>
        <w:w w:val="99"/>
        <w:sz w:val="20"/>
        <w:szCs w:val="20"/>
      </w:rPr>
    </w:lvl>
    <w:lvl w:ilvl="2">
      <w:numFmt w:val="bullet"/>
      <w:lvlText w:val="•"/>
      <w:lvlJc w:val="left"/>
      <w:pPr>
        <w:ind w:left="3148" w:hanging="586"/>
      </w:pPr>
    </w:lvl>
    <w:lvl w:ilvl="3">
      <w:numFmt w:val="bullet"/>
      <w:lvlText w:val="•"/>
      <w:lvlJc w:val="left"/>
      <w:pPr>
        <w:ind w:left="3952" w:hanging="586"/>
      </w:pPr>
    </w:lvl>
    <w:lvl w:ilvl="4">
      <w:numFmt w:val="bullet"/>
      <w:lvlText w:val="•"/>
      <w:lvlJc w:val="left"/>
      <w:pPr>
        <w:ind w:left="4756" w:hanging="586"/>
      </w:pPr>
    </w:lvl>
    <w:lvl w:ilvl="5">
      <w:numFmt w:val="bullet"/>
      <w:lvlText w:val="•"/>
      <w:lvlJc w:val="left"/>
      <w:pPr>
        <w:ind w:left="5560" w:hanging="586"/>
      </w:pPr>
    </w:lvl>
    <w:lvl w:ilvl="6">
      <w:numFmt w:val="bullet"/>
      <w:lvlText w:val="•"/>
      <w:lvlJc w:val="left"/>
      <w:pPr>
        <w:ind w:left="6364" w:hanging="586"/>
      </w:pPr>
    </w:lvl>
    <w:lvl w:ilvl="7">
      <w:numFmt w:val="bullet"/>
      <w:lvlText w:val="•"/>
      <w:lvlJc w:val="left"/>
      <w:pPr>
        <w:ind w:left="7168" w:hanging="586"/>
      </w:pPr>
    </w:lvl>
    <w:lvl w:ilvl="8">
      <w:numFmt w:val="bullet"/>
      <w:lvlText w:val="•"/>
      <w:lvlJc w:val="left"/>
      <w:pPr>
        <w:ind w:left="7972" w:hanging="586"/>
      </w:pPr>
    </w:lvl>
  </w:abstractNum>
  <w:abstractNum w:abstractNumId="10">
    <w:nsid w:val="00004823"/>
    <w:multiLevelType w:val="multilevel"/>
    <w:tmpl w:val="00000029"/>
    <w:lvl w:ilvl="0">
      <w:start w:val="19"/>
      <w:numFmt w:val="upperLetter"/>
      <w:lvlText w:val="%1."/>
      <w:lvlJc w:val="left"/>
      <w:rPr>
        <w:rFonts w:ascii="Book Antiqua" w:hAnsi="Book Antiqua" w:cs="Book Antiqua"/>
      </w:rPr>
    </w:lvl>
    <w:lvl w:ilvl="1">
      <w:start w:val="1"/>
      <w:numFmt w:val="upperLetter"/>
      <w:lvlText w:val="%1.%2."/>
      <w:lvlJc w:val="left"/>
      <w:rPr>
        <w:rFonts w:ascii="Book Antiqua" w:hAnsi="Book Antiqua" w:cs="Book Antiqua"/>
      </w:rPr>
    </w:lvl>
    <w:lvl w:ilvl="2">
      <w:start w:val="1"/>
      <w:numFmt w:val="upperLetter"/>
      <w:lvlText w:val="%1.%2."/>
      <w:lvlJc w:val="left"/>
      <w:rPr>
        <w:rFonts w:ascii="Book Antiqua" w:hAnsi="Book Antiqua" w:cs="Book Antiqua"/>
      </w:rPr>
    </w:lvl>
    <w:lvl w:ilvl="3">
      <w:start w:val="1"/>
      <w:numFmt w:val="upperLetter"/>
      <w:lvlText w:val="%1.%2."/>
      <w:lvlJc w:val="left"/>
      <w:rPr>
        <w:rFonts w:ascii="Book Antiqua" w:hAnsi="Book Antiqua" w:cs="Book Antiqua"/>
      </w:rPr>
    </w:lvl>
    <w:lvl w:ilvl="4">
      <w:start w:val="1"/>
      <w:numFmt w:val="upperLetter"/>
      <w:lvlText w:val="%1.%2."/>
      <w:lvlJc w:val="left"/>
      <w:rPr>
        <w:rFonts w:ascii="Book Antiqua" w:hAnsi="Book Antiqua" w:cs="Book Antiqua"/>
      </w:rPr>
    </w:lvl>
    <w:lvl w:ilvl="5">
      <w:start w:val="1"/>
      <w:numFmt w:val="upperLetter"/>
      <w:lvlText w:val="%1.%2."/>
      <w:lvlJc w:val="left"/>
      <w:rPr>
        <w:rFonts w:ascii="Book Antiqua" w:hAnsi="Book Antiqua" w:cs="Book Antiqua"/>
      </w:rPr>
    </w:lvl>
    <w:lvl w:ilvl="6">
      <w:start w:val="1"/>
      <w:numFmt w:val="upperLetter"/>
      <w:lvlText w:val="%1.%2."/>
      <w:lvlJc w:val="left"/>
      <w:rPr>
        <w:rFonts w:ascii="Book Antiqua" w:hAnsi="Book Antiqua" w:cs="Book Antiqua"/>
      </w:rPr>
    </w:lvl>
    <w:lvl w:ilvl="7">
      <w:start w:val="1"/>
      <w:numFmt w:val="upperLetter"/>
      <w:lvlText w:val="%1.%2."/>
      <w:lvlJc w:val="left"/>
      <w:rPr>
        <w:rFonts w:ascii="Book Antiqua" w:hAnsi="Book Antiqua" w:cs="Book Antiqua"/>
      </w:rPr>
    </w:lvl>
    <w:lvl w:ilvl="8">
      <w:start w:val="1"/>
      <w:numFmt w:val="upperLetter"/>
      <w:lvlText w:val="%1.%2."/>
      <w:lvlJc w:val="left"/>
      <w:rPr>
        <w:rFonts w:ascii="Book Antiqua" w:hAnsi="Book Antiqua" w:cs="Book Antiqua"/>
      </w:rPr>
    </w:lvl>
  </w:abstractNum>
  <w:abstractNum w:abstractNumId="11">
    <w:nsid w:val="072D79CC"/>
    <w:multiLevelType w:val="hybridMultilevel"/>
    <w:tmpl w:val="C6A67202"/>
    <w:lvl w:ilvl="0" w:tplc="3084BA86">
      <w:start w:val="1"/>
      <w:numFmt w:val="bullet"/>
      <w:lvlText w:val=""/>
      <w:lvlJc w:val="left"/>
      <w:pPr>
        <w:ind w:left="1440" w:hanging="360"/>
      </w:pPr>
      <w:rPr>
        <w:rFonts w:ascii="Symbol" w:hAnsi="Symbol" w:hint="default"/>
      </w:rPr>
    </w:lvl>
    <w:lvl w:ilvl="1" w:tplc="5982675C" w:tentative="1">
      <w:start w:val="1"/>
      <w:numFmt w:val="bullet"/>
      <w:lvlText w:val="o"/>
      <w:lvlJc w:val="left"/>
      <w:pPr>
        <w:ind w:left="2160" w:hanging="360"/>
      </w:pPr>
      <w:rPr>
        <w:rFonts w:ascii="Courier New" w:hAnsi="Courier New" w:cs="Courier New" w:hint="default"/>
      </w:rPr>
    </w:lvl>
    <w:lvl w:ilvl="2" w:tplc="BA4A3B8C" w:tentative="1">
      <w:start w:val="1"/>
      <w:numFmt w:val="bullet"/>
      <w:lvlText w:val=""/>
      <w:lvlJc w:val="left"/>
      <w:pPr>
        <w:ind w:left="2880" w:hanging="360"/>
      </w:pPr>
      <w:rPr>
        <w:rFonts w:ascii="Wingdings" w:hAnsi="Wingdings" w:hint="default"/>
      </w:rPr>
    </w:lvl>
    <w:lvl w:ilvl="3" w:tplc="EC2AA18C" w:tentative="1">
      <w:start w:val="1"/>
      <w:numFmt w:val="bullet"/>
      <w:lvlText w:val=""/>
      <w:lvlJc w:val="left"/>
      <w:pPr>
        <w:ind w:left="3600" w:hanging="360"/>
      </w:pPr>
      <w:rPr>
        <w:rFonts w:ascii="Symbol" w:hAnsi="Symbol" w:hint="default"/>
      </w:rPr>
    </w:lvl>
    <w:lvl w:ilvl="4" w:tplc="2AAEA980" w:tentative="1">
      <w:start w:val="1"/>
      <w:numFmt w:val="bullet"/>
      <w:lvlText w:val="o"/>
      <w:lvlJc w:val="left"/>
      <w:pPr>
        <w:ind w:left="4320" w:hanging="360"/>
      </w:pPr>
      <w:rPr>
        <w:rFonts w:ascii="Courier New" w:hAnsi="Courier New" w:cs="Courier New" w:hint="default"/>
      </w:rPr>
    </w:lvl>
    <w:lvl w:ilvl="5" w:tplc="349487F4" w:tentative="1">
      <w:start w:val="1"/>
      <w:numFmt w:val="bullet"/>
      <w:lvlText w:val=""/>
      <w:lvlJc w:val="left"/>
      <w:pPr>
        <w:ind w:left="5040" w:hanging="360"/>
      </w:pPr>
      <w:rPr>
        <w:rFonts w:ascii="Wingdings" w:hAnsi="Wingdings" w:hint="default"/>
      </w:rPr>
    </w:lvl>
    <w:lvl w:ilvl="6" w:tplc="27740DAA" w:tentative="1">
      <w:start w:val="1"/>
      <w:numFmt w:val="bullet"/>
      <w:lvlText w:val=""/>
      <w:lvlJc w:val="left"/>
      <w:pPr>
        <w:ind w:left="5760" w:hanging="360"/>
      </w:pPr>
      <w:rPr>
        <w:rFonts w:ascii="Symbol" w:hAnsi="Symbol" w:hint="default"/>
      </w:rPr>
    </w:lvl>
    <w:lvl w:ilvl="7" w:tplc="A5C60F58" w:tentative="1">
      <w:start w:val="1"/>
      <w:numFmt w:val="bullet"/>
      <w:lvlText w:val="o"/>
      <w:lvlJc w:val="left"/>
      <w:pPr>
        <w:ind w:left="6480" w:hanging="360"/>
      </w:pPr>
      <w:rPr>
        <w:rFonts w:ascii="Courier New" w:hAnsi="Courier New" w:cs="Courier New" w:hint="default"/>
      </w:rPr>
    </w:lvl>
    <w:lvl w:ilvl="8" w:tplc="E626FCE6" w:tentative="1">
      <w:start w:val="1"/>
      <w:numFmt w:val="bullet"/>
      <w:lvlText w:val=""/>
      <w:lvlJc w:val="left"/>
      <w:pPr>
        <w:ind w:left="7200" w:hanging="360"/>
      </w:pPr>
      <w:rPr>
        <w:rFonts w:ascii="Wingdings" w:hAnsi="Wingdings" w:hint="default"/>
      </w:rPr>
    </w:lvl>
  </w:abstractNum>
  <w:abstractNum w:abstractNumId="12">
    <w:nsid w:val="12F45F03"/>
    <w:multiLevelType w:val="hybridMultilevel"/>
    <w:tmpl w:val="A6582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27BBC"/>
    <w:multiLevelType w:val="hybridMultilevel"/>
    <w:tmpl w:val="12DCD524"/>
    <w:lvl w:ilvl="0" w:tplc="C97078B0">
      <w:start w:val="1"/>
      <w:numFmt w:val="decimal"/>
      <w:pStyle w:val="NumList2"/>
      <w:lvlText w:val="%1."/>
      <w:lvlJc w:val="left"/>
      <w:pPr>
        <w:tabs>
          <w:tab w:val="num" w:pos="1440"/>
        </w:tabs>
        <w:ind w:left="1440" w:hanging="720"/>
      </w:pPr>
      <w:rPr>
        <w:rFonts w:hint="default"/>
      </w:rPr>
    </w:lvl>
    <w:lvl w:ilvl="1" w:tplc="930844D8" w:tentative="1">
      <w:start w:val="1"/>
      <w:numFmt w:val="lowerLetter"/>
      <w:lvlText w:val="%2."/>
      <w:lvlJc w:val="left"/>
      <w:pPr>
        <w:tabs>
          <w:tab w:val="num" w:pos="1440"/>
        </w:tabs>
        <w:ind w:left="1440" w:hanging="360"/>
      </w:pPr>
    </w:lvl>
    <w:lvl w:ilvl="2" w:tplc="8F00640E" w:tentative="1">
      <w:start w:val="1"/>
      <w:numFmt w:val="lowerRoman"/>
      <w:lvlText w:val="%3."/>
      <w:lvlJc w:val="right"/>
      <w:pPr>
        <w:tabs>
          <w:tab w:val="num" w:pos="2160"/>
        </w:tabs>
        <w:ind w:left="2160" w:hanging="180"/>
      </w:pPr>
    </w:lvl>
    <w:lvl w:ilvl="3" w:tplc="F4CCC5AE" w:tentative="1">
      <w:start w:val="1"/>
      <w:numFmt w:val="decimal"/>
      <w:lvlText w:val="%4."/>
      <w:lvlJc w:val="left"/>
      <w:pPr>
        <w:tabs>
          <w:tab w:val="num" w:pos="2880"/>
        </w:tabs>
        <w:ind w:left="2880" w:hanging="360"/>
      </w:pPr>
    </w:lvl>
    <w:lvl w:ilvl="4" w:tplc="3886E778" w:tentative="1">
      <w:start w:val="1"/>
      <w:numFmt w:val="lowerLetter"/>
      <w:lvlText w:val="%5."/>
      <w:lvlJc w:val="left"/>
      <w:pPr>
        <w:tabs>
          <w:tab w:val="num" w:pos="3600"/>
        </w:tabs>
        <w:ind w:left="3600" w:hanging="360"/>
      </w:pPr>
    </w:lvl>
    <w:lvl w:ilvl="5" w:tplc="7FAA243A" w:tentative="1">
      <w:start w:val="1"/>
      <w:numFmt w:val="lowerRoman"/>
      <w:lvlText w:val="%6."/>
      <w:lvlJc w:val="right"/>
      <w:pPr>
        <w:tabs>
          <w:tab w:val="num" w:pos="4320"/>
        </w:tabs>
        <w:ind w:left="4320" w:hanging="180"/>
      </w:pPr>
    </w:lvl>
    <w:lvl w:ilvl="6" w:tplc="2B0CCB3C" w:tentative="1">
      <w:start w:val="1"/>
      <w:numFmt w:val="decimal"/>
      <w:lvlText w:val="%7."/>
      <w:lvlJc w:val="left"/>
      <w:pPr>
        <w:tabs>
          <w:tab w:val="num" w:pos="5040"/>
        </w:tabs>
        <w:ind w:left="5040" w:hanging="360"/>
      </w:pPr>
    </w:lvl>
    <w:lvl w:ilvl="7" w:tplc="7162357C" w:tentative="1">
      <w:start w:val="1"/>
      <w:numFmt w:val="lowerLetter"/>
      <w:lvlText w:val="%8."/>
      <w:lvlJc w:val="left"/>
      <w:pPr>
        <w:tabs>
          <w:tab w:val="num" w:pos="5760"/>
        </w:tabs>
        <w:ind w:left="5760" w:hanging="360"/>
      </w:pPr>
    </w:lvl>
    <w:lvl w:ilvl="8" w:tplc="4EFEED02" w:tentative="1">
      <w:start w:val="1"/>
      <w:numFmt w:val="lowerRoman"/>
      <w:lvlText w:val="%9."/>
      <w:lvlJc w:val="right"/>
      <w:pPr>
        <w:tabs>
          <w:tab w:val="num" w:pos="6480"/>
        </w:tabs>
        <w:ind w:left="6480" w:hanging="180"/>
      </w:pPr>
    </w:lvl>
  </w:abstractNum>
  <w:abstractNum w:abstractNumId="14">
    <w:nsid w:val="25862FF0"/>
    <w:multiLevelType w:val="hybridMultilevel"/>
    <w:tmpl w:val="A824F61E"/>
    <w:lvl w:ilvl="0" w:tplc="900EF6FA">
      <w:start w:val="1"/>
      <w:numFmt w:val="lowerLetter"/>
      <w:pStyle w:val="NumListA1"/>
      <w:lvlText w:val="(%1)"/>
      <w:lvlJc w:val="left"/>
      <w:pPr>
        <w:tabs>
          <w:tab w:val="num" w:pos="720"/>
        </w:tabs>
        <w:ind w:left="720" w:hanging="720"/>
      </w:pPr>
      <w:rPr>
        <w:rFonts w:hint="default"/>
      </w:rPr>
    </w:lvl>
    <w:lvl w:ilvl="1" w:tplc="6BCE4E00" w:tentative="1">
      <w:start w:val="1"/>
      <w:numFmt w:val="lowerLetter"/>
      <w:lvlText w:val="%2."/>
      <w:lvlJc w:val="left"/>
      <w:pPr>
        <w:tabs>
          <w:tab w:val="num" w:pos="1440"/>
        </w:tabs>
        <w:ind w:left="1440" w:hanging="360"/>
      </w:pPr>
    </w:lvl>
    <w:lvl w:ilvl="2" w:tplc="D0ACF006" w:tentative="1">
      <w:start w:val="1"/>
      <w:numFmt w:val="lowerRoman"/>
      <w:lvlText w:val="%3."/>
      <w:lvlJc w:val="right"/>
      <w:pPr>
        <w:tabs>
          <w:tab w:val="num" w:pos="2160"/>
        </w:tabs>
        <w:ind w:left="2160" w:hanging="180"/>
      </w:pPr>
    </w:lvl>
    <w:lvl w:ilvl="3" w:tplc="BAC0D39C" w:tentative="1">
      <w:start w:val="1"/>
      <w:numFmt w:val="decimal"/>
      <w:lvlText w:val="%4."/>
      <w:lvlJc w:val="left"/>
      <w:pPr>
        <w:tabs>
          <w:tab w:val="num" w:pos="2880"/>
        </w:tabs>
        <w:ind w:left="2880" w:hanging="360"/>
      </w:pPr>
    </w:lvl>
    <w:lvl w:ilvl="4" w:tplc="A4F004CA" w:tentative="1">
      <w:start w:val="1"/>
      <w:numFmt w:val="lowerLetter"/>
      <w:lvlText w:val="%5."/>
      <w:lvlJc w:val="left"/>
      <w:pPr>
        <w:tabs>
          <w:tab w:val="num" w:pos="3600"/>
        </w:tabs>
        <w:ind w:left="3600" w:hanging="360"/>
      </w:pPr>
    </w:lvl>
    <w:lvl w:ilvl="5" w:tplc="3874464C" w:tentative="1">
      <w:start w:val="1"/>
      <w:numFmt w:val="lowerRoman"/>
      <w:lvlText w:val="%6."/>
      <w:lvlJc w:val="right"/>
      <w:pPr>
        <w:tabs>
          <w:tab w:val="num" w:pos="4320"/>
        </w:tabs>
        <w:ind w:left="4320" w:hanging="180"/>
      </w:pPr>
    </w:lvl>
    <w:lvl w:ilvl="6" w:tplc="680AD994" w:tentative="1">
      <w:start w:val="1"/>
      <w:numFmt w:val="decimal"/>
      <w:lvlText w:val="%7."/>
      <w:lvlJc w:val="left"/>
      <w:pPr>
        <w:tabs>
          <w:tab w:val="num" w:pos="5040"/>
        </w:tabs>
        <w:ind w:left="5040" w:hanging="360"/>
      </w:pPr>
    </w:lvl>
    <w:lvl w:ilvl="7" w:tplc="C0FE5CA8" w:tentative="1">
      <w:start w:val="1"/>
      <w:numFmt w:val="lowerLetter"/>
      <w:lvlText w:val="%8."/>
      <w:lvlJc w:val="left"/>
      <w:pPr>
        <w:tabs>
          <w:tab w:val="num" w:pos="5760"/>
        </w:tabs>
        <w:ind w:left="5760" w:hanging="360"/>
      </w:pPr>
    </w:lvl>
    <w:lvl w:ilvl="8" w:tplc="F01A96A4" w:tentative="1">
      <w:start w:val="1"/>
      <w:numFmt w:val="lowerRoman"/>
      <w:lvlText w:val="%9."/>
      <w:lvlJc w:val="right"/>
      <w:pPr>
        <w:tabs>
          <w:tab w:val="num" w:pos="6480"/>
        </w:tabs>
        <w:ind w:left="6480" w:hanging="180"/>
      </w:pPr>
    </w:lvl>
  </w:abstractNum>
  <w:abstractNum w:abstractNumId="15">
    <w:nsid w:val="2B6B6A84"/>
    <w:multiLevelType w:val="hybridMultilevel"/>
    <w:tmpl w:val="62A245CC"/>
    <w:lvl w:ilvl="0" w:tplc="B5AE481A">
      <w:start w:val="1"/>
      <w:numFmt w:val="decimal"/>
      <w:lvlText w:val="(%1)"/>
      <w:lvlJc w:val="left"/>
      <w:pPr>
        <w:ind w:left="720" w:hanging="360"/>
      </w:pPr>
      <w:rPr>
        <w:rFonts w:hint="default"/>
        <w:sz w:val="18"/>
        <w:szCs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8356D"/>
    <w:multiLevelType w:val="hybridMultilevel"/>
    <w:tmpl w:val="C994D210"/>
    <w:lvl w:ilvl="0" w:tplc="0414B1D6">
      <w:start w:val="1"/>
      <w:numFmt w:val="bullet"/>
      <w:lvlText w:val=""/>
      <w:lvlJc w:val="left"/>
      <w:pPr>
        <w:ind w:left="1440" w:hanging="360"/>
      </w:pPr>
      <w:rPr>
        <w:rFonts w:ascii="Symbol" w:hAnsi="Symbol" w:hint="default"/>
      </w:rPr>
    </w:lvl>
    <w:lvl w:ilvl="1" w:tplc="0EEA7ADE" w:tentative="1">
      <w:start w:val="1"/>
      <w:numFmt w:val="bullet"/>
      <w:lvlText w:val="o"/>
      <w:lvlJc w:val="left"/>
      <w:pPr>
        <w:ind w:left="2160" w:hanging="360"/>
      </w:pPr>
      <w:rPr>
        <w:rFonts w:ascii="Courier New" w:hAnsi="Courier New" w:cs="Courier New" w:hint="default"/>
      </w:rPr>
    </w:lvl>
    <w:lvl w:ilvl="2" w:tplc="F1AE3D2E" w:tentative="1">
      <w:start w:val="1"/>
      <w:numFmt w:val="bullet"/>
      <w:lvlText w:val=""/>
      <w:lvlJc w:val="left"/>
      <w:pPr>
        <w:ind w:left="2880" w:hanging="360"/>
      </w:pPr>
      <w:rPr>
        <w:rFonts w:ascii="Wingdings" w:hAnsi="Wingdings" w:hint="default"/>
      </w:rPr>
    </w:lvl>
    <w:lvl w:ilvl="3" w:tplc="6B9E1BB2" w:tentative="1">
      <w:start w:val="1"/>
      <w:numFmt w:val="bullet"/>
      <w:lvlText w:val=""/>
      <w:lvlJc w:val="left"/>
      <w:pPr>
        <w:ind w:left="3600" w:hanging="360"/>
      </w:pPr>
      <w:rPr>
        <w:rFonts w:ascii="Symbol" w:hAnsi="Symbol" w:hint="default"/>
      </w:rPr>
    </w:lvl>
    <w:lvl w:ilvl="4" w:tplc="BE0E9078" w:tentative="1">
      <w:start w:val="1"/>
      <w:numFmt w:val="bullet"/>
      <w:lvlText w:val="o"/>
      <w:lvlJc w:val="left"/>
      <w:pPr>
        <w:ind w:left="4320" w:hanging="360"/>
      </w:pPr>
      <w:rPr>
        <w:rFonts w:ascii="Courier New" w:hAnsi="Courier New" w:cs="Courier New" w:hint="default"/>
      </w:rPr>
    </w:lvl>
    <w:lvl w:ilvl="5" w:tplc="F7BA1BDE" w:tentative="1">
      <w:start w:val="1"/>
      <w:numFmt w:val="bullet"/>
      <w:lvlText w:val=""/>
      <w:lvlJc w:val="left"/>
      <w:pPr>
        <w:ind w:left="5040" w:hanging="360"/>
      </w:pPr>
      <w:rPr>
        <w:rFonts w:ascii="Wingdings" w:hAnsi="Wingdings" w:hint="default"/>
      </w:rPr>
    </w:lvl>
    <w:lvl w:ilvl="6" w:tplc="768E8402" w:tentative="1">
      <w:start w:val="1"/>
      <w:numFmt w:val="bullet"/>
      <w:lvlText w:val=""/>
      <w:lvlJc w:val="left"/>
      <w:pPr>
        <w:ind w:left="5760" w:hanging="360"/>
      </w:pPr>
      <w:rPr>
        <w:rFonts w:ascii="Symbol" w:hAnsi="Symbol" w:hint="default"/>
      </w:rPr>
    </w:lvl>
    <w:lvl w:ilvl="7" w:tplc="A69888CE" w:tentative="1">
      <w:start w:val="1"/>
      <w:numFmt w:val="bullet"/>
      <w:lvlText w:val="o"/>
      <w:lvlJc w:val="left"/>
      <w:pPr>
        <w:ind w:left="6480" w:hanging="360"/>
      </w:pPr>
      <w:rPr>
        <w:rFonts w:ascii="Courier New" w:hAnsi="Courier New" w:cs="Courier New" w:hint="default"/>
      </w:rPr>
    </w:lvl>
    <w:lvl w:ilvl="8" w:tplc="B6080350" w:tentative="1">
      <w:start w:val="1"/>
      <w:numFmt w:val="bullet"/>
      <w:lvlText w:val=""/>
      <w:lvlJc w:val="left"/>
      <w:pPr>
        <w:ind w:left="7200" w:hanging="360"/>
      </w:pPr>
      <w:rPr>
        <w:rFonts w:ascii="Wingdings" w:hAnsi="Wingdings" w:hint="default"/>
      </w:rPr>
    </w:lvl>
  </w:abstractNum>
  <w:abstractNum w:abstractNumId="17">
    <w:nsid w:val="3FF9738C"/>
    <w:multiLevelType w:val="multilevel"/>
    <w:tmpl w:val="1E642D30"/>
    <w:lvl w:ilvl="0">
      <w:start w:val="1"/>
      <w:numFmt w:val="upperLetter"/>
      <w:pStyle w:val="HeadAltA"/>
      <w:lvlText w:val="%1."/>
      <w:lvlJc w:val="left"/>
      <w:pPr>
        <w:tabs>
          <w:tab w:val="num" w:pos="0"/>
        </w:tabs>
        <w:ind w:left="0" w:firstLine="0"/>
      </w:pPr>
      <w:rPr>
        <w:rFonts w:hint="default"/>
      </w:rPr>
    </w:lvl>
    <w:lvl w:ilvl="1">
      <w:start w:val="1"/>
      <w:numFmt w:val="lowerLetter"/>
      <w:pStyle w:val="HeadAltB"/>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upperRoman"/>
      <w:lvlText w:val="%5."/>
      <w:lvlJc w:val="left"/>
      <w:pPr>
        <w:tabs>
          <w:tab w:val="num" w:pos="3600"/>
        </w:tabs>
        <w:ind w:left="3600" w:hanging="720"/>
      </w:pPr>
      <w:rPr>
        <w:rFonts w:hint="default"/>
      </w:rPr>
    </w:lvl>
    <w:lvl w:ilvl="5">
      <w:start w:val="1"/>
      <w:numFmt w:val="lowerLetter"/>
      <w:lvlText w:val="(%6)"/>
      <w:lvlJc w:val="left"/>
      <w:pPr>
        <w:tabs>
          <w:tab w:val="num" w:pos="5040"/>
        </w:tabs>
        <w:ind w:left="5040" w:hanging="720"/>
      </w:pPr>
      <w:rPr>
        <w:rFonts w:hint="default"/>
      </w:rPr>
    </w:lvl>
    <w:lvl w:ilvl="6">
      <w:start w:val="1"/>
      <w:numFmt w:val="decimal"/>
      <w:lvlText w:val="(%7)"/>
      <w:lvlJc w:val="left"/>
      <w:pPr>
        <w:tabs>
          <w:tab w:val="num" w:pos="6480"/>
        </w:tabs>
        <w:ind w:left="64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0327DC9"/>
    <w:multiLevelType w:val="hybridMultilevel"/>
    <w:tmpl w:val="983238E4"/>
    <w:lvl w:ilvl="0" w:tplc="24EA9B5A">
      <w:start w:val="1"/>
      <w:numFmt w:val="lowerLetter"/>
      <w:pStyle w:val="NumListA2"/>
      <w:lvlText w:val="(%1)"/>
      <w:lvlJc w:val="left"/>
      <w:pPr>
        <w:tabs>
          <w:tab w:val="num" w:pos="1440"/>
        </w:tabs>
        <w:ind w:left="1440" w:hanging="720"/>
      </w:pPr>
      <w:rPr>
        <w:rFonts w:hint="default"/>
      </w:rPr>
    </w:lvl>
    <w:lvl w:ilvl="1" w:tplc="533EE4B2" w:tentative="1">
      <w:start w:val="1"/>
      <w:numFmt w:val="lowerLetter"/>
      <w:lvlText w:val="%2."/>
      <w:lvlJc w:val="left"/>
      <w:pPr>
        <w:tabs>
          <w:tab w:val="num" w:pos="1440"/>
        </w:tabs>
        <w:ind w:left="1440" w:hanging="360"/>
      </w:pPr>
    </w:lvl>
    <w:lvl w:ilvl="2" w:tplc="3C145852" w:tentative="1">
      <w:start w:val="1"/>
      <w:numFmt w:val="lowerRoman"/>
      <w:lvlText w:val="%3."/>
      <w:lvlJc w:val="right"/>
      <w:pPr>
        <w:tabs>
          <w:tab w:val="num" w:pos="2160"/>
        </w:tabs>
        <w:ind w:left="2160" w:hanging="180"/>
      </w:pPr>
    </w:lvl>
    <w:lvl w:ilvl="3" w:tplc="C65C754A" w:tentative="1">
      <w:start w:val="1"/>
      <w:numFmt w:val="decimal"/>
      <w:lvlText w:val="%4."/>
      <w:lvlJc w:val="left"/>
      <w:pPr>
        <w:tabs>
          <w:tab w:val="num" w:pos="2880"/>
        </w:tabs>
        <w:ind w:left="2880" w:hanging="360"/>
      </w:pPr>
    </w:lvl>
    <w:lvl w:ilvl="4" w:tplc="F728566E" w:tentative="1">
      <w:start w:val="1"/>
      <w:numFmt w:val="lowerLetter"/>
      <w:lvlText w:val="%5."/>
      <w:lvlJc w:val="left"/>
      <w:pPr>
        <w:tabs>
          <w:tab w:val="num" w:pos="3600"/>
        </w:tabs>
        <w:ind w:left="3600" w:hanging="360"/>
      </w:pPr>
    </w:lvl>
    <w:lvl w:ilvl="5" w:tplc="37681C2E" w:tentative="1">
      <w:start w:val="1"/>
      <w:numFmt w:val="lowerRoman"/>
      <w:lvlText w:val="%6."/>
      <w:lvlJc w:val="right"/>
      <w:pPr>
        <w:tabs>
          <w:tab w:val="num" w:pos="4320"/>
        </w:tabs>
        <w:ind w:left="4320" w:hanging="180"/>
      </w:pPr>
    </w:lvl>
    <w:lvl w:ilvl="6" w:tplc="52B09DB4" w:tentative="1">
      <w:start w:val="1"/>
      <w:numFmt w:val="decimal"/>
      <w:lvlText w:val="%7."/>
      <w:lvlJc w:val="left"/>
      <w:pPr>
        <w:tabs>
          <w:tab w:val="num" w:pos="5040"/>
        </w:tabs>
        <w:ind w:left="5040" w:hanging="360"/>
      </w:pPr>
    </w:lvl>
    <w:lvl w:ilvl="7" w:tplc="6F2C58D6" w:tentative="1">
      <w:start w:val="1"/>
      <w:numFmt w:val="lowerLetter"/>
      <w:lvlText w:val="%8."/>
      <w:lvlJc w:val="left"/>
      <w:pPr>
        <w:tabs>
          <w:tab w:val="num" w:pos="5760"/>
        </w:tabs>
        <w:ind w:left="5760" w:hanging="360"/>
      </w:pPr>
    </w:lvl>
    <w:lvl w:ilvl="8" w:tplc="8264A8E6" w:tentative="1">
      <w:start w:val="1"/>
      <w:numFmt w:val="lowerRoman"/>
      <w:lvlText w:val="%9."/>
      <w:lvlJc w:val="right"/>
      <w:pPr>
        <w:tabs>
          <w:tab w:val="num" w:pos="6480"/>
        </w:tabs>
        <w:ind w:left="6480" w:hanging="180"/>
      </w:pPr>
    </w:lvl>
  </w:abstractNum>
  <w:abstractNum w:abstractNumId="19">
    <w:nsid w:val="5D6F257A"/>
    <w:multiLevelType w:val="multilevel"/>
    <w:tmpl w:val="CC38317C"/>
    <w:lvl w:ilvl="0">
      <w:start w:val="1"/>
      <w:numFmt w:val="none"/>
      <w:suff w:val="nothing"/>
      <w:lvlText w:val=""/>
      <w:lvlJc w:val="left"/>
      <w:pPr>
        <w:ind w:left="0" w:firstLine="0"/>
      </w:pPr>
      <w:rPr>
        <w:strike w:val="0"/>
        <w:dstrike w:val="0"/>
        <w:u w:val="none"/>
        <w:effect w:val="none"/>
      </w:rPr>
    </w:lvl>
    <w:lvl w:ilvl="1">
      <w:start w:val="1"/>
      <w:numFmt w:val="none"/>
      <w:suff w:val="nothing"/>
      <w:lvlText w:val=""/>
      <w:lvlJc w:val="left"/>
      <w:pPr>
        <w:ind w:left="0" w:firstLine="0"/>
      </w:pPr>
      <w:rPr>
        <w:strike w:val="0"/>
        <w:dstrike w:val="0"/>
        <w:u w:val="none"/>
        <w:effect w:val="none"/>
      </w:rPr>
    </w:lvl>
    <w:lvl w:ilvl="2">
      <w:start w:val="1"/>
      <w:numFmt w:val="none"/>
      <w:suff w:val="nothing"/>
      <w:lvlText w:val=""/>
      <w:lvlJc w:val="left"/>
      <w:pPr>
        <w:ind w:left="0" w:firstLine="0"/>
      </w:pPr>
      <w:rPr>
        <w:strike w:val="0"/>
        <w:dstrike w:val="0"/>
        <w:u w:val="none"/>
        <w:effect w:val="none"/>
      </w:rPr>
    </w:lvl>
    <w:lvl w:ilvl="3">
      <w:start w:val="1"/>
      <w:numFmt w:val="none"/>
      <w:suff w:val="nothing"/>
      <w:lvlText w:val=""/>
      <w:lvlJc w:val="left"/>
      <w:pPr>
        <w:ind w:left="0" w:firstLine="0"/>
      </w:pPr>
      <w:rPr>
        <w:strike w:val="0"/>
        <w:dstrike w:val="0"/>
        <w:u w:val="none"/>
        <w:effect w:val="none"/>
      </w:rPr>
    </w:lvl>
    <w:lvl w:ilvl="4">
      <w:start w:val="1"/>
      <w:numFmt w:val="decimal"/>
      <w:lvlText w:val="%5."/>
      <w:lvlJc w:val="left"/>
      <w:pPr>
        <w:tabs>
          <w:tab w:val="num" w:pos="720"/>
        </w:tabs>
        <w:ind w:left="720" w:hanging="720"/>
      </w:pPr>
      <w:rPr>
        <w:strike w:val="0"/>
        <w:dstrike w:val="0"/>
        <w:u w:val="none"/>
        <w:effect w:val="none"/>
      </w:rPr>
    </w:lvl>
    <w:lvl w:ilvl="5">
      <w:start w:val="1"/>
      <w:numFmt w:val="lowerLetter"/>
      <w:lvlText w:val="(%6)"/>
      <w:lvlJc w:val="left"/>
      <w:pPr>
        <w:tabs>
          <w:tab w:val="num" w:pos="1440"/>
        </w:tabs>
        <w:ind w:left="1440" w:hanging="720"/>
      </w:pPr>
      <w:rPr>
        <w:strike w:val="0"/>
        <w:dstrike w:val="0"/>
        <w:u w:val="none"/>
        <w:effect w:val="none"/>
      </w:rPr>
    </w:lvl>
    <w:lvl w:ilvl="6">
      <w:start w:val="1"/>
      <w:numFmt w:val="lowerRoman"/>
      <w:lvlText w:val="(%7)"/>
      <w:lvlJc w:val="left"/>
      <w:pPr>
        <w:tabs>
          <w:tab w:val="num" w:pos="2160"/>
        </w:tabs>
        <w:ind w:left="2160" w:hanging="720"/>
      </w:pPr>
      <w:rPr>
        <w:strike w:val="0"/>
        <w:dstrike w:val="0"/>
        <w:u w:val="none"/>
        <w:effect w:val="none"/>
      </w:rPr>
    </w:lvl>
    <w:lvl w:ilvl="7">
      <w:start w:val="1"/>
      <w:numFmt w:val="upperLetter"/>
      <w:suff w:val="nothing"/>
      <w:lvlText w:val="Schedule “%8&quot;"/>
      <w:lvlJc w:val="left"/>
      <w:pPr>
        <w:ind w:left="0" w:firstLine="0"/>
      </w:pPr>
      <w:rPr>
        <w:strike w:val="0"/>
        <w:dstrike w:val="0"/>
        <w:u w:val="none"/>
        <w:effect w:val="none"/>
      </w:rPr>
    </w:lvl>
    <w:lvl w:ilvl="8">
      <w:start w:val="1"/>
      <w:numFmt w:val="decimal"/>
      <w:lvlText w:val=".%9"/>
      <w:lvlJc w:val="left"/>
      <w:pPr>
        <w:tabs>
          <w:tab w:val="num" w:pos="720"/>
        </w:tabs>
        <w:ind w:left="720" w:hanging="720"/>
      </w:pPr>
      <w:rPr>
        <w:strike w:val="0"/>
        <w:dstrike w:val="0"/>
        <w:u w:val="none"/>
        <w:effect w:val="none"/>
      </w:rPr>
    </w:lvl>
  </w:abstractNum>
  <w:abstractNum w:abstractNumId="20">
    <w:nsid w:val="6F462619"/>
    <w:multiLevelType w:val="hybridMultilevel"/>
    <w:tmpl w:val="C090C4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6D8021D"/>
    <w:multiLevelType w:val="hybridMultilevel"/>
    <w:tmpl w:val="C980A7EE"/>
    <w:lvl w:ilvl="0" w:tplc="DBFCCF66">
      <w:start w:val="1"/>
      <w:numFmt w:val="decimal"/>
      <w:pStyle w:val="NumList1"/>
      <w:lvlText w:val="%1."/>
      <w:lvlJc w:val="left"/>
      <w:pPr>
        <w:tabs>
          <w:tab w:val="num" w:pos="720"/>
        </w:tabs>
        <w:ind w:left="720" w:hanging="720"/>
      </w:pPr>
      <w:rPr>
        <w:rFonts w:hint="default"/>
      </w:rPr>
    </w:lvl>
    <w:lvl w:ilvl="1" w:tplc="13C6D6B4" w:tentative="1">
      <w:start w:val="1"/>
      <w:numFmt w:val="lowerLetter"/>
      <w:lvlText w:val="%2."/>
      <w:lvlJc w:val="left"/>
      <w:pPr>
        <w:tabs>
          <w:tab w:val="num" w:pos="1440"/>
        </w:tabs>
        <w:ind w:left="1440" w:hanging="360"/>
      </w:pPr>
    </w:lvl>
    <w:lvl w:ilvl="2" w:tplc="6016955A" w:tentative="1">
      <w:start w:val="1"/>
      <w:numFmt w:val="lowerRoman"/>
      <w:lvlText w:val="%3."/>
      <w:lvlJc w:val="right"/>
      <w:pPr>
        <w:tabs>
          <w:tab w:val="num" w:pos="2160"/>
        </w:tabs>
        <w:ind w:left="2160" w:hanging="180"/>
      </w:pPr>
    </w:lvl>
    <w:lvl w:ilvl="3" w:tplc="11FEA9B8" w:tentative="1">
      <w:start w:val="1"/>
      <w:numFmt w:val="decimal"/>
      <w:lvlText w:val="%4."/>
      <w:lvlJc w:val="left"/>
      <w:pPr>
        <w:tabs>
          <w:tab w:val="num" w:pos="2880"/>
        </w:tabs>
        <w:ind w:left="2880" w:hanging="360"/>
      </w:pPr>
    </w:lvl>
    <w:lvl w:ilvl="4" w:tplc="839A3A3A" w:tentative="1">
      <w:start w:val="1"/>
      <w:numFmt w:val="lowerLetter"/>
      <w:lvlText w:val="%5."/>
      <w:lvlJc w:val="left"/>
      <w:pPr>
        <w:tabs>
          <w:tab w:val="num" w:pos="3600"/>
        </w:tabs>
        <w:ind w:left="3600" w:hanging="360"/>
      </w:pPr>
    </w:lvl>
    <w:lvl w:ilvl="5" w:tplc="3FAC2F66" w:tentative="1">
      <w:start w:val="1"/>
      <w:numFmt w:val="lowerRoman"/>
      <w:lvlText w:val="%6."/>
      <w:lvlJc w:val="right"/>
      <w:pPr>
        <w:tabs>
          <w:tab w:val="num" w:pos="4320"/>
        </w:tabs>
        <w:ind w:left="4320" w:hanging="180"/>
      </w:pPr>
    </w:lvl>
    <w:lvl w:ilvl="6" w:tplc="A9FCC308" w:tentative="1">
      <w:start w:val="1"/>
      <w:numFmt w:val="decimal"/>
      <w:lvlText w:val="%7."/>
      <w:lvlJc w:val="left"/>
      <w:pPr>
        <w:tabs>
          <w:tab w:val="num" w:pos="5040"/>
        </w:tabs>
        <w:ind w:left="5040" w:hanging="360"/>
      </w:pPr>
    </w:lvl>
    <w:lvl w:ilvl="7" w:tplc="C1F43A1C" w:tentative="1">
      <w:start w:val="1"/>
      <w:numFmt w:val="lowerLetter"/>
      <w:lvlText w:val="%8."/>
      <w:lvlJc w:val="left"/>
      <w:pPr>
        <w:tabs>
          <w:tab w:val="num" w:pos="5760"/>
        </w:tabs>
        <w:ind w:left="5760" w:hanging="360"/>
      </w:pPr>
    </w:lvl>
    <w:lvl w:ilvl="8" w:tplc="A59A9BB2" w:tentative="1">
      <w:start w:val="1"/>
      <w:numFmt w:val="lowerRoman"/>
      <w:lvlText w:val="%9."/>
      <w:lvlJc w:val="right"/>
      <w:pPr>
        <w:tabs>
          <w:tab w:val="num" w:pos="6480"/>
        </w:tabs>
        <w:ind w:left="6480" w:hanging="180"/>
      </w:pPr>
    </w:lvl>
  </w:abstractNum>
  <w:abstractNum w:abstractNumId="22">
    <w:nsid w:val="7D957FD4"/>
    <w:multiLevelType w:val="multilevel"/>
    <w:tmpl w:val="41722A98"/>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upperRoman"/>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suff w:val="nothing"/>
      <w:lvlText w:val="Schedule %8"/>
      <w:lvlJc w:val="left"/>
      <w:pPr>
        <w:ind w:left="0" w:firstLine="0"/>
      </w:pPr>
      <w:rPr>
        <w:rFonts w:hint="default"/>
        <w:u w:val="none"/>
      </w:rPr>
    </w:lvl>
    <w:lvl w:ilvl="8">
      <w:start w:val="1"/>
      <w:numFmt w:val="decimal"/>
      <w:pStyle w:val="Heading9"/>
      <w:lvlText w:val="%9."/>
      <w:lvlJc w:val="left"/>
      <w:pPr>
        <w:tabs>
          <w:tab w:val="num" w:pos="720"/>
        </w:tabs>
        <w:ind w:left="720" w:hanging="720"/>
      </w:pPr>
      <w:rPr>
        <w:rFonts w:hint="default"/>
        <w:u w:val="none"/>
      </w:rPr>
    </w:lvl>
  </w:abstractNum>
  <w:abstractNum w:abstractNumId="23">
    <w:nsid w:val="7F2D4849"/>
    <w:multiLevelType w:val="hybridMultilevel"/>
    <w:tmpl w:val="A350AB40"/>
    <w:lvl w:ilvl="0" w:tplc="C762B08E">
      <w:start w:val="1"/>
      <w:numFmt w:val="bullet"/>
      <w:lvlText w:val=""/>
      <w:lvlJc w:val="left"/>
      <w:pPr>
        <w:ind w:left="1440" w:hanging="360"/>
      </w:pPr>
      <w:rPr>
        <w:rFonts w:ascii="Symbol" w:hAnsi="Symbol" w:hint="default"/>
      </w:rPr>
    </w:lvl>
    <w:lvl w:ilvl="1" w:tplc="AD3C47F6" w:tentative="1">
      <w:start w:val="1"/>
      <w:numFmt w:val="bullet"/>
      <w:lvlText w:val="o"/>
      <w:lvlJc w:val="left"/>
      <w:pPr>
        <w:ind w:left="2160" w:hanging="360"/>
      </w:pPr>
      <w:rPr>
        <w:rFonts w:ascii="Courier New" w:hAnsi="Courier New" w:cs="Courier New" w:hint="default"/>
      </w:rPr>
    </w:lvl>
    <w:lvl w:ilvl="2" w:tplc="37B69096" w:tentative="1">
      <w:start w:val="1"/>
      <w:numFmt w:val="bullet"/>
      <w:lvlText w:val=""/>
      <w:lvlJc w:val="left"/>
      <w:pPr>
        <w:ind w:left="2880" w:hanging="360"/>
      </w:pPr>
      <w:rPr>
        <w:rFonts w:ascii="Wingdings" w:hAnsi="Wingdings" w:hint="default"/>
      </w:rPr>
    </w:lvl>
    <w:lvl w:ilvl="3" w:tplc="438A789C" w:tentative="1">
      <w:start w:val="1"/>
      <w:numFmt w:val="bullet"/>
      <w:lvlText w:val=""/>
      <w:lvlJc w:val="left"/>
      <w:pPr>
        <w:ind w:left="3600" w:hanging="360"/>
      </w:pPr>
      <w:rPr>
        <w:rFonts w:ascii="Symbol" w:hAnsi="Symbol" w:hint="default"/>
      </w:rPr>
    </w:lvl>
    <w:lvl w:ilvl="4" w:tplc="6C66E5E8" w:tentative="1">
      <w:start w:val="1"/>
      <w:numFmt w:val="bullet"/>
      <w:lvlText w:val="o"/>
      <w:lvlJc w:val="left"/>
      <w:pPr>
        <w:ind w:left="4320" w:hanging="360"/>
      </w:pPr>
      <w:rPr>
        <w:rFonts w:ascii="Courier New" w:hAnsi="Courier New" w:cs="Courier New" w:hint="default"/>
      </w:rPr>
    </w:lvl>
    <w:lvl w:ilvl="5" w:tplc="94DE92A2" w:tentative="1">
      <w:start w:val="1"/>
      <w:numFmt w:val="bullet"/>
      <w:lvlText w:val=""/>
      <w:lvlJc w:val="left"/>
      <w:pPr>
        <w:ind w:left="5040" w:hanging="360"/>
      </w:pPr>
      <w:rPr>
        <w:rFonts w:ascii="Wingdings" w:hAnsi="Wingdings" w:hint="default"/>
      </w:rPr>
    </w:lvl>
    <w:lvl w:ilvl="6" w:tplc="F7284242" w:tentative="1">
      <w:start w:val="1"/>
      <w:numFmt w:val="bullet"/>
      <w:lvlText w:val=""/>
      <w:lvlJc w:val="left"/>
      <w:pPr>
        <w:ind w:left="5760" w:hanging="360"/>
      </w:pPr>
      <w:rPr>
        <w:rFonts w:ascii="Symbol" w:hAnsi="Symbol" w:hint="default"/>
      </w:rPr>
    </w:lvl>
    <w:lvl w:ilvl="7" w:tplc="44BEBAB8" w:tentative="1">
      <w:start w:val="1"/>
      <w:numFmt w:val="bullet"/>
      <w:lvlText w:val="o"/>
      <w:lvlJc w:val="left"/>
      <w:pPr>
        <w:ind w:left="6480" w:hanging="360"/>
      </w:pPr>
      <w:rPr>
        <w:rFonts w:ascii="Courier New" w:hAnsi="Courier New" w:cs="Courier New" w:hint="default"/>
      </w:rPr>
    </w:lvl>
    <w:lvl w:ilvl="8" w:tplc="DADCE654" w:tentative="1">
      <w:start w:val="1"/>
      <w:numFmt w:val="bullet"/>
      <w:lvlText w:val=""/>
      <w:lvlJc w:val="left"/>
      <w:pPr>
        <w:ind w:left="7200" w:hanging="360"/>
      </w:pPr>
      <w:rPr>
        <w:rFonts w:ascii="Wingdings" w:hAnsi="Wingdings" w:hint="default"/>
      </w:rPr>
    </w:lvl>
  </w:abstractNum>
  <w:num w:numId="1">
    <w:abstractNumId w:val="9"/>
  </w:num>
  <w:num w:numId="2">
    <w:abstractNumId w:val="10"/>
  </w:num>
  <w:num w:numId="3">
    <w:abstractNumId w:val="17"/>
  </w:num>
  <w:num w:numId="4">
    <w:abstractNumId w:val="17"/>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22"/>
  </w:num>
  <w:num w:numId="12">
    <w:abstractNumId w:val="22"/>
  </w:num>
  <w:num w:numId="13">
    <w:abstractNumId w:val="22"/>
  </w:num>
  <w:num w:numId="14">
    <w:abstractNumId w:val="8"/>
  </w:num>
  <w:num w:numId="15">
    <w:abstractNumId w:val="8"/>
  </w:num>
  <w:num w:numId="16">
    <w:abstractNumId w:val="7"/>
  </w:num>
  <w:num w:numId="17">
    <w:abstractNumId w:val="7"/>
  </w:num>
  <w:num w:numId="18">
    <w:abstractNumId w:val="6"/>
  </w:num>
  <w:num w:numId="19">
    <w:abstractNumId w:val="6"/>
  </w:num>
  <w:num w:numId="20">
    <w:abstractNumId w:val="5"/>
  </w:num>
  <w:num w:numId="21">
    <w:abstractNumId w:val="5"/>
  </w:num>
  <w:num w:numId="22">
    <w:abstractNumId w:val="4"/>
  </w:num>
  <w:num w:numId="23">
    <w:abstractNumId w:val="4"/>
  </w:num>
  <w:num w:numId="24">
    <w:abstractNumId w:val="3"/>
  </w:num>
  <w:num w:numId="25">
    <w:abstractNumId w:val="3"/>
  </w:num>
  <w:num w:numId="26">
    <w:abstractNumId w:val="2"/>
  </w:num>
  <w:num w:numId="27">
    <w:abstractNumId w:val="2"/>
  </w:num>
  <w:num w:numId="28">
    <w:abstractNumId w:val="1"/>
  </w:num>
  <w:num w:numId="29">
    <w:abstractNumId w:val="1"/>
  </w:num>
  <w:num w:numId="30">
    <w:abstractNumId w:val="0"/>
  </w:num>
  <w:num w:numId="31">
    <w:abstractNumId w:val="0"/>
  </w:num>
  <w:num w:numId="32">
    <w:abstractNumId w:val="21"/>
  </w:num>
  <w:num w:numId="33">
    <w:abstractNumId w:val="13"/>
  </w:num>
  <w:num w:numId="34">
    <w:abstractNumId w:val="14"/>
  </w:num>
  <w:num w:numId="35">
    <w:abstractNumId w:val="18"/>
  </w:num>
  <w:num w:numId="36">
    <w:abstractNumId w:val="11"/>
  </w:num>
  <w:num w:numId="37">
    <w:abstractNumId w:val="16"/>
  </w:num>
  <w:num w:numId="38">
    <w:abstractNumId w:val="23"/>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2"/>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0B78B9"/>
    <w:rsid w:val="000046DB"/>
    <w:rsid w:val="00016B9A"/>
    <w:rsid w:val="00045C06"/>
    <w:rsid w:val="00061248"/>
    <w:rsid w:val="00064E99"/>
    <w:rsid w:val="00085A1D"/>
    <w:rsid w:val="00095927"/>
    <w:rsid w:val="000B0A39"/>
    <w:rsid w:val="000B78B9"/>
    <w:rsid w:val="001142E0"/>
    <w:rsid w:val="001150EF"/>
    <w:rsid w:val="00135586"/>
    <w:rsid w:val="00155418"/>
    <w:rsid w:val="001A0FE2"/>
    <w:rsid w:val="002160D8"/>
    <w:rsid w:val="00293B85"/>
    <w:rsid w:val="002D3733"/>
    <w:rsid w:val="00302D60"/>
    <w:rsid w:val="00365552"/>
    <w:rsid w:val="003806AB"/>
    <w:rsid w:val="0039434E"/>
    <w:rsid w:val="00433447"/>
    <w:rsid w:val="004469CE"/>
    <w:rsid w:val="004545BC"/>
    <w:rsid w:val="00493C31"/>
    <w:rsid w:val="00497BB0"/>
    <w:rsid w:val="004A7479"/>
    <w:rsid w:val="004D40B1"/>
    <w:rsid w:val="004E53CB"/>
    <w:rsid w:val="00523E34"/>
    <w:rsid w:val="0053799A"/>
    <w:rsid w:val="00574BA3"/>
    <w:rsid w:val="005C73AE"/>
    <w:rsid w:val="00606025"/>
    <w:rsid w:val="00634100"/>
    <w:rsid w:val="0066238C"/>
    <w:rsid w:val="00670B5C"/>
    <w:rsid w:val="00682B09"/>
    <w:rsid w:val="007020B1"/>
    <w:rsid w:val="007715BB"/>
    <w:rsid w:val="007801FB"/>
    <w:rsid w:val="00780341"/>
    <w:rsid w:val="007A0722"/>
    <w:rsid w:val="007B430D"/>
    <w:rsid w:val="007C378D"/>
    <w:rsid w:val="0082002E"/>
    <w:rsid w:val="00824093"/>
    <w:rsid w:val="00887DDA"/>
    <w:rsid w:val="008B5E0E"/>
    <w:rsid w:val="008C3F0F"/>
    <w:rsid w:val="008F26AE"/>
    <w:rsid w:val="008F732E"/>
    <w:rsid w:val="009C7CA1"/>
    <w:rsid w:val="009F2BC1"/>
    <w:rsid w:val="009F4BA3"/>
    <w:rsid w:val="009F5FBB"/>
    <w:rsid w:val="00A27874"/>
    <w:rsid w:val="00A85C7C"/>
    <w:rsid w:val="00B82799"/>
    <w:rsid w:val="00B8384A"/>
    <w:rsid w:val="00BC126B"/>
    <w:rsid w:val="00BE31C1"/>
    <w:rsid w:val="00BE6094"/>
    <w:rsid w:val="00BF519C"/>
    <w:rsid w:val="00C10646"/>
    <w:rsid w:val="00C35133"/>
    <w:rsid w:val="00C56021"/>
    <w:rsid w:val="00C630AE"/>
    <w:rsid w:val="00C75627"/>
    <w:rsid w:val="00C87E74"/>
    <w:rsid w:val="00CF54AC"/>
    <w:rsid w:val="00CF63F1"/>
    <w:rsid w:val="00D144AA"/>
    <w:rsid w:val="00D32E38"/>
    <w:rsid w:val="00D7536F"/>
    <w:rsid w:val="00DF1C19"/>
    <w:rsid w:val="00E23D18"/>
    <w:rsid w:val="00E25921"/>
    <w:rsid w:val="00E57266"/>
    <w:rsid w:val="00E70AA4"/>
    <w:rsid w:val="00ED6F02"/>
    <w:rsid w:val="00F27DCD"/>
    <w:rsid w:val="00F638DB"/>
    <w:rsid w:val="00F8734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2"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unhideWhenUsed="0" w:qFormat="1"/>
    <w:lsdException w:name="Body Text Indent" w:uiPriority="0" w:qFormat="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ody Text First Indent"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9D"/>
    <w:pPr>
      <w:spacing w:after="0" w:line="240" w:lineRule="auto"/>
    </w:pPr>
    <w:rPr>
      <w:rFonts w:ascii="Calibri" w:eastAsia="Times New Roman" w:hAnsi="Calibri" w:cs="Times New Roman"/>
      <w:szCs w:val="24"/>
    </w:rPr>
  </w:style>
  <w:style w:type="paragraph" w:styleId="Heading1">
    <w:name w:val="heading 1"/>
    <w:basedOn w:val="BodyText"/>
    <w:link w:val="Heading1Char"/>
    <w:qFormat/>
    <w:rsid w:val="00E87A9D"/>
    <w:pPr>
      <w:numPr>
        <w:numId w:val="13"/>
      </w:numPr>
      <w:outlineLvl w:val="0"/>
    </w:pPr>
    <w:rPr>
      <w:rFonts w:cs="Arial"/>
      <w:bCs/>
    </w:rPr>
  </w:style>
  <w:style w:type="paragraph" w:styleId="Heading2">
    <w:name w:val="heading 2"/>
    <w:basedOn w:val="BodyText"/>
    <w:link w:val="Heading2Char"/>
    <w:qFormat/>
    <w:rsid w:val="00E87A9D"/>
    <w:pPr>
      <w:numPr>
        <w:ilvl w:val="1"/>
        <w:numId w:val="13"/>
      </w:numPr>
      <w:outlineLvl w:val="1"/>
    </w:pPr>
    <w:rPr>
      <w:rFonts w:cs="Arial"/>
      <w:bCs/>
      <w:iCs/>
    </w:rPr>
  </w:style>
  <w:style w:type="paragraph" w:styleId="Heading3">
    <w:name w:val="heading 3"/>
    <w:basedOn w:val="BodyText"/>
    <w:link w:val="Heading3Char"/>
    <w:qFormat/>
    <w:rsid w:val="00E87A9D"/>
    <w:pPr>
      <w:numPr>
        <w:ilvl w:val="2"/>
        <w:numId w:val="13"/>
      </w:numPr>
      <w:outlineLvl w:val="2"/>
    </w:pPr>
    <w:rPr>
      <w:rFonts w:cs="Arial"/>
      <w:bCs/>
    </w:rPr>
  </w:style>
  <w:style w:type="paragraph" w:styleId="Heading4">
    <w:name w:val="heading 4"/>
    <w:basedOn w:val="BodyText"/>
    <w:link w:val="Heading4Char"/>
    <w:qFormat/>
    <w:rsid w:val="00E87A9D"/>
    <w:pPr>
      <w:numPr>
        <w:ilvl w:val="3"/>
        <w:numId w:val="13"/>
      </w:numPr>
      <w:outlineLvl w:val="3"/>
    </w:pPr>
    <w:rPr>
      <w:bCs/>
    </w:rPr>
  </w:style>
  <w:style w:type="paragraph" w:styleId="Heading5">
    <w:name w:val="heading 5"/>
    <w:basedOn w:val="BodyText"/>
    <w:link w:val="Heading5Char"/>
    <w:qFormat/>
    <w:rsid w:val="00E87A9D"/>
    <w:pPr>
      <w:numPr>
        <w:ilvl w:val="4"/>
        <w:numId w:val="13"/>
      </w:numPr>
      <w:outlineLvl w:val="4"/>
    </w:pPr>
    <w:rPr>
      <w:bCs/>
      <w:iCs/>
    </w:rPr>
  </w:style>
  <w:style w:type="paragraph" w:styleId="Heading6">
    <w:name w:val="heading 6"/>
    <w:basedOn w:val="BodyText"/>
    <w:link w:val="Heading6Char"/>
    <w:qFormat/>
    <w:rsid w:val="00E87A9D"/>
    <w:pPr>
      <w:numPr>
        <w:ilvl w:val="5"/>
        <w:numId w:val="13"/>
      </w:numPr>
      <w:outlineLvl w:val="5"/>
    </w:pPr>
    <w:rPr>
      <w:bCs/>
    </w:rPr>
  </w:style>
  <w:style w:type="paragraph" w:styleId="Heading7">
    <w:name w:val="heading 7"/>
    <w:basedOn w:val="BodyText"/>
    <w:link w:val="Heading7Char"/>
    <w:qFormat/>
    <w:rsid w:val="00E87A9D"/>
    <w:pPr>
      <w:numPr>
        <w:ilvl w:val="6"/>
        <w:numId w:val="13"/>
      </w:numPr>
      <w:outlineLvl w:val="6"/>
    </w:pPr>
  </w:style>
  <w:style w:type="paragraph" w:styleId="Heading8">
    <w:name w:val="heading 8"/>
    <w:basedOn w:val="Normal"/>
    <w:next w:val="BodyText"/>
    <w:link w:val="Heading8Char"/>
    <w:qFormat/>
    <w:rsid w:val="00E87A9D"/>
    <w:pPr>
      <w:keepNext/>
      <w:keepLines/>
      <w:numPr>
        <w:ilvl w:val="7"/>
        <w:numId w:val="13"/>
      </w:numPr>
      <w:spacing w:before="240"/>
      <w:jc w:val="center"/>
      <w:outlineLvl w:val="7"/>
    </w:pPr>
    <w:rPr>
      <w:b/>
      <w:iCs/>
      <w:caps/>
    </w:rPr>
  </w:style>
  <w:style w:type="paragraph" w:styleId="Heading9">
    <w:name w:val="heading 9"/>
    <w:basedOn w:val="BodyText"/>
    <w:link w:val="Heading9Char"/>
    <w:qFormat/>
    <w:rsid w:val="00E87A9D"/>
    <w:pPr>
      <w:numPr>
        <w:ilvl w:val="8"/>
        <w:numId w:val="1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87A9D"/>
    <w:pPr>
      <w:spacing w:before="240"/>
    </w:pPr>
  </w:style>
  <w:style w:type="character" w:customStyle="1" w:styleId="BodyTextChar">
    <w:name w:val="Body Text Char"/>
    <w:link w:val="BodyText"/>
    <w:rsid w:val="00E87A9D"/>
    <w:rPr>
      <w:rFonts w:ascii="Calibri" w:eastAsia="Times New Roman" w:hAnsi="Calibri" w:cs="Times New Roman"/>
      <w:szCs w:val="24"/>
    </w:rPr>
  </w:style>
  <w:style w:type="character" w:customStyle="1" w:styleId="Heading1Char">
    <w:name w:val="Heading 1 Char"/>
    <w:link w:val="Heading1"/>
    <w:rsid w:val="00E87A9D"/>
    <w:rPr>
      <w:rFonts w:ascii="Calibri" w:eastAsia="Times New Roman" w:hAnsi="Calibri" w:cs="Arial"/>
      <w:bCs/>
      <w:szCs w:val="24"/>
    </w:rPr>
  </w:style>
  <w:style w:type="paragraph" w:styleId="ListParagraph">
    <w:name w:val="List Paragraph"/>
    <w:basedOn w:val="Normal"/>
    <w:uiPriority w:val="34"/>
    <w:qFormat/>
    <w:rsid w:val="000B78B9"/>
  </w:style>
  <w:style w:type="paragraph" w:customStyle="1" w:styleId="TableParagraph">
    <w:name w:val="Table Paragraph"/>
    <w:basedOn w:val="Normal"/>
    <w:uiPriority w:val="1"/>
    <w:qFormat/>
    <w:rsid w:val="000B78B9"/>
  </w:style>
  <w:style w:type="paragraph" w:styleId="Header">
    <w:name w:val="header"/>
    <w:basedOn w:val="Normal"/>
    <w:link w:val="HeaderChar"/>
    <w:uiPriority w:val="99"/>
    <w:rsid w:val="00E87A9D"/>
    <w:pPr>
      <w:tabs>
        <w:tab w:val="center" w:pos="4680"/>
        <w:tab w:val="right" w:pos="9360"/>
      </w:tabs>
    </w:pPr>
  </w:style>
  <w:style w:type="character" w:customStyle="1" w:styleId="HeaderChar">
    <w:name w:val="Header Char"/>
    <w:link w:val="Header"/>
    <w:uiPriority w:val="99"/>
    <w:rsid w:val="00E87A9D"/>
    <w:rPr>
      <w:rFonts w:ascii="Calibri" w:eastAsia="Times New Roman" w:hAnsi="Calibri" w:cs="Times New Roman"/>
      <w:szCs w:val="24"/>
    </w:rPr>
  </w:style>
  <w:style w:type="paragraph" w:styleId="Footer">
    <w:name w:val="footer"/>
    <w:basedOn w:val="Normal"/>
    <w:link w:val="FooterChar"/>
    <w:uiPriority w:val="99"/>
    <w:rsid w:val="00E87A9D"/>
    <w:pPr>
      <w:tabs>
        <w:tab w:val="center" w:pos="4680"/>
        <w:tab w:val="right" w:pos="9360"/>
      </w:tabs>
    </w:pPr>
    <w:rPr>
      <w:sz w:val="16"/>
      <w:szCs w:val="14"/>
    </w:rPr>
  </w:style>
  <w:style w:type="character" w:customStyle="1" w:styleId="FooterChar">
    <w:name w:val="Footer Char"/>
    <w:link w:val="Footer"/>
    <w:uiPriority w:val="99"/>
    <w:rsid w:val="00E87A9D"/>
    <w:rPr>
      <w:rFonts w:ascii="Calibri" w:eastAsia="Times New Roman" w:hAnsi="Calibri" w:cs="Times New Roman"/>
      <w:sz w:val="16"/>
      <w:szCs w:val="14"/>
    </w:rPr>
  </w:style>
  <w:style w:type="character" w:styleId="PageNumber">
    <w:name w:val="page number"/>
    <w:rsid w:val="00E87A9D"/>
  </w:style>
  <w:style w:type="paragraph" w:customStyle="1" w:styleId="HeadingTitle1">
    <w:name w:val="Heading Title 1"/>
    <w:basedOn w:val="Normal"/>
    <w:next w:val="BodyText"/>
    <w:qFormat/>
    <w:rsid w:val="00E87A9D"/>
    <w:pPr>
      <w:keepNext/>
      <w:keepLines/>
      <w:spacing w:before="240"/>
      <w:jc w:val="center"/>
    </w:pPr>
    <w:rPr>
      <w:b/>
      <w:caps/>
    </w:rPr>
  </w:style>
  <w:style w:type="paragraph" w:styleId="BalloonText">
    <w:name w:val="Balloon Text"/>
    <w:basedOn w:val="Normal"/>
    <w:link w:val="BalloonTextChar"/>
    <w:uiPriority w:val="99"/>
    <w:semiHidden/>
    <w:unhideWhenUsed/>
    <w:rsid w:val="006A7A6E"/>
    <w:rPr>
      <w:rFonts w:ascii="Tahoma" w:hAnsi="Tahoma" w:cs="Tahoma"/>
      <w:sz w:val="16"/>
      <w:szCs w:val="16"/>
    </w:rPr>
  </w:style>
  <w:style w:type="character" w:customStyle="1" w:styleId="BalloonTextChar">
    <w:name w:val="Balloon Text Char"/>
    <w:basedOn w:val="DefaultParagraphFont"/>
    <w:link w:val="BalloonText"/>
    <w:uiPriority w:val="99"/>
    <w:semiHidden/>
    <w:rsid w:val="006A7A6E"/>
    <w:rPr>
      <w:rFonts w:ascii="Tahoma" w:hAnsi="Tahoma" w:cs="Tahoma"/>
      <w:sz w:val="16"/>
      <w:szCs w:val="16"/>
    </w:rPr>
  </w:style>
  <w:style w:type="paragraph" w:styleId="BodyTextFirstIndent">
    <w:name w:val="Body Text First Indent"/>
    <w:basedOn w:val="BodyText"/>
    <w:link w:val="BodyTextFirstIndentChar"/>
    <w:qFormat/>
    <w:rsid w:val="00E87A9D"/>
    <w:pPr>
      <w:ind w:firstLine="1440"/>
    </w:pPr>
  </w:style>
  <w:style w:type="character" w:customStyle="1" w:styleId="BodyTextFirstIndentChar">
    <w:name w:val="Body Text First Indent Char"/>
    <w:link w:val="BodyTextFirstIndent"/>
    <w:rsid w:val="00E87A9D"/>
    <w:rPr>
      <w:rFonts w:ascii="Calibri" w:eastAsia="Times New Roman" w:hAnsi="Calibri" w:cs="Times New Roman"/>
      <w:szCs w:val="24"/>
    </w:rPr>
  </w:style>
  <w:style w:type="paragraph" w:styleId="BodyTextIndent">
    <w:name w:val="Body Text Indent"/>
    <w:basedOn w:val="BodyText"/>
    <w:link w:val="BodyTextIndentChar"/>
    <w:qFormat/>
    <w:rsid w:val="00E87A9D"/>
    <w:pPr>
      <w:ind w:left="720"/>
    </w:pPr>
  </w:style>
  <w:style w:type="character" w:customStyle="1" w:styleId="BodyTextIndentChar">
    <w:name w:val="Body Text Indent Char"/>
    <w:link w:val="BodyTextIndent"/>
    <w:rsid w:val="00E87A9D"/>
    <w:rPr>
      <w:rFonts w:ascii="Calibri" w:eastAsia="Times New Roman" w:hAnsi="Calibri" w:cs="Times New Roman"/>
      <w:szCs w:val="24"/>
    </w:rPr>
  </w:style>
  <w:style w:type="paragraph" w:styleId="BodyTextIndent2">
    <w:name w:val="Body Text Indent 2"/>
    <w:basedOn w:val="Normal"/>
    <w:link w:val="BodyTextIndent2Char"/>
    <w:semiHidden/>
    <w:rsid w:val="00E87A9D"/>
    <w:pPr>
      <w:spacing w:after="120" w:line="480" w:lineRule="auto"/>
      <w:ind w:left="360"/>
    </w:pPr>
  </w:style>
  <w:style w:type="character" w:customStyle="1" w:styleId="BodyTextIndent2Char">
    <w:name w:val="Body Text Indent 2 Char"/>
    <w:link w:val="BodyTextIndent2"/>
    <w:semiHidden/>
    <w:rsid w:val="00E87A9D"/>
    <w:rPr>
      <w:rFonts w:ascii="Calibri" w:eastAsia="Times New Roman" w:hAnsi="Calibri" w:cs="Times New Roman"/>
      <w:szCs w:val="24"/>
    </w:rPr>
  </w:style>
  <w:style w:type="paragraph" w:styleId="BodyTextIndent3">
    <w:name w:val="Body Text Indent 3"/>
    <w:basedOn w:val="Normal"/>
    <w:link w:val="BodyTextIndent3Char"/>
    <w:semiHidden/>
    <w:rsid w:val="00E87A9D"/>
    <w:pPr>
      <w:spacing w:after="120"/>
      <w:ind w:left="360"/>
    </w:pPr>
    <w:rPr>
      <w:sz w:val="16"/>
      <w:szCs w:val="16"/>
    </w:rPr>
  </w:style>
  <w:style w:type="character" w:customStyle="1" w:styleId="BodyTextIndent3Char">
    <w:name w:val="Body Text Indent 3 Char"/>
    <w:link w:val="BodyTextIndent3"/>
    <w:semiHidden/>
    <w:rsid w:val="00E87A9D"/>
    <w:rPr>
      <w:rFonts w:ascii="Calibri" w:eastAsia="Times New Roman" w:hAnsi="Calibri" w:cs="Times New Roman"/>
      <w:sz w:val="16"/>
      <w:szCs w:val="16"/>
    </w:rPr>
  </w:style>
  <w:style w:type="paragraph" w:styleId="Caption">
    <w:name w:val="caption"/>
    <w:basedOn w:val="Normal"/>
    <w:next w:val="BodyText"/>
    <w:uiPriority w:val="2"/>
    <w:unhideWhenUsed/>
    <w:rsid w:val="00E87A9D"/>
    <w:pPr>
      <w:keepLines/>
      <w:spacing w:before="120"/>
    </w:pPr>
    <w:rPr>
      <w:b/>
      <w:bCs/>
    </w:rPr>
  </w:style>
  <w:style w:type="paragraph" w:customStyle="1" w:styleId="Citation">
    <w:name w:val="Citation"/>
    <w:basedOn w:val="Normal"/>
    <w:qFormat/>
    <w:rsid w:val="00E87A9D"/>
    <w:pPr>
      <w:keepLines/>
      <w:spacing w:before="240"/>
      <w:ind w:left="1440"/>
    </w:pPr>
  </w:style>
  <w:style w:type="paragraph" w:styleId="Closing">
    <w:name w:val="Closing"/>
    <w:basedOn w:val="Normal"/>
    <w:link w:val="ClosingChar"/>
    <w:semiHidden/>
    <w:rsid w:val="00E87A9D"/>
    <w:pPr>
      <w:ind w:left="4320"/>
    </w:pPr>
  </w:style>
  <w:style w:type="character" w:customStyle="1" w:styleId="ClosingChar">
    <w:name w:val="Closing Char"/>
    <w:link w:val="Closing"/>
    <w:semiHidden/>
    <w:rsid w:val="00E87A9D"/>
    <w:rPr>
      <w:rFonts w:ascii="Calibri" w:eastAsia="Times New Roman" w:hAnsi="Calibri" w:cs="Times New Roman"/>
      <w:szCs w:val="24"/>
    </w:rPr>
  </w:style>
  <w:style w:type="character" w:customStyle="1" w:styleId="CommentHidden">
    <w:name w:val="Comment (Hidden)"/>
    <w:rsid w:val="00E87A9D"/>
    <w:rPr>
      <w:rFonts w:ascii="Arial" w:hAnsi="Arial"/>
      <w:caps/>
      <w:vanish/>
      <w:color w:val="0000FF"/>
      <w:sz w:val="18"/>
      <w:szCs w:val="18"/>
    </w:rPr>
  </w:style>
  <w:style w:type="character" w:styleId="CommentReference">
    <w:name w:val="annotation reference"/>
    <w:semiHidden/>
    <w:rsid w:val="00E87A9D"/>
    <w:rPr>
      <w:sz w:val="16"/>
      <w:szCs w:val="16"/>
    </w:rPr>
  </w:style>
  <w:style w:type="paragraph" w:styleId="CommentText">
    <w:name w:val="annotation text"/>
    <w:basedOn w:val="Normal"/>
    <w:link w:val="CommentTextChar"/>
    <w:semiHidden/>
    <w:rsid w:val="00E87A9D"/>
    <w:rPr>
      <w:sz w:val="20"/>
      <w:szCs w:val="20"/>
    </w:rPr>
  </w:style>
  <w:style w:type="character" w:customStyle="1" w:styleId="CommentTextChar">
    <w:name w:val="Comment Text Char"/>
    <w:link w:val="CommentText"/>
    <w:semiHidden/>
    <w:rsid w:val="00E87A9D"/>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E87A9D"/>
    <w:rPr>
      <w:b/>
      <w:bCs/>
    </w:rPr>
  </w:style>
  <w:style w:type="character" w:customStyle="1" w:styleId="CommentSubjectChar">
    <w:name w:val="Comment Subject Char"/>
    <w:link w:val="CommentSubject"/>
    <w:semiHidden/>
    <w:rsid w:val="00E87A9D"/>
    <w:rPr>
      <w:rFonts w:ascii="Calibri" w:eastAsia="Times New Roman" w:hAnsi="Calibri" w:cs="Times New Roman"/>
      <w:b/>
      <w:bCs/>
      <w:sz w:val="20"/>
      <w:szCs w:val="20"/>
    </w:rPr>
  </w:style>
  <w:style w:type="paragraph" w:styleId="DocumentMap">
    <w:name w:val="Document Map"/>
    <w:basedOn w:val="Normal"/>
    <w:link w:val="DocumentMapChar"/>
    <w:semiHidden/>
    <w:rsid w:val="00E87A9D"/>
    <w:pPr>
      <w:shd w:val="clear" w:color="auto" w:fill="000080"/>
    </w:pPr>
    <w:rPr>
      <w:rFonts w:ascii="Tahoma" w:hAnsi="Tahoma" w:cs="Tahoma"/>
      <w:sz w:val="20"/>
      <w:szCs w:val="20"/>
    </w:rPr>
  </w:style>
  <w:style w:type="character" w:customStyle="1" w:styleId="DocumentMapChar">
    <w:name w:val="Document Map Char"/>
    <w:link w:val="DocumentMap"/>
    <w:semiHidden/>
    <w:rsid w:val="00E87A9D"/>
    <w:rPr>
      <w:rFonts w:ascii="Tahoma" w:eastAsia="Times New Roman" w:hAnsi="Tahoma" w:cs="Tahoma"/>
      <w:sz w:val="20"/>
      <w:szCs w:val="20"/>
      <w:shd w:val="clear" w:color="auto" w:fill="000080"/>
    </w:rPr>
  </w:style>
  <w:style w:type="character" w:styleId="EndnoteReference">
    <w:name w:val="endnote reference"/>
    <w:semiHidden/>
    <w:rsid w:val="00E87A9D"/>
    <w:rPr>
      <w:vertAlign w:val="superscript"/>
    </w:rPr>
  </w:style>
  <w:style w:type="paragraph" w:styleId="EndnoteText">
    <w:name w:val="endnote text"/>
    <w:basedOn w:val="Normal"/>
    <w:link w:val="EndnoteTextChar"/>
    <w:semiHidden/>
    <w:rsid w:val="00E87A9D"/>
    <w:rPr>
      <w:sz w:val="20"/>
      <w:szCs w:val="20"/>
    </w:rPr>
  </w:style>
  <w:style w:type="character" w:customStyle="1" w:styleId="EndnoteTextChar">
    <w:name w:val="Endnote Text Char"/>
    <w:link w:val="EndnoteText"/>
    <w:semiHidden/>
    <w:rsid w:val="00E87A9D"/>
    <w:rPr>
      <w:rFonts w:ascii="Calibri" w:eastAsia="Times New Roman" w:hAnsi="Calibri" w:cs="Times New Roman"/>
      <w:sz w:val="20"/>
      <w:szCs w:val="20"/>
    </w:rPr>
  </w:style>
  <w:style w:type="paragraph" w:styleId="EnvelopeAddress">
    <w:name w:val="envelope address"/>
    <w:basedOn w:val="Normal"/>
    <w:semiHidden/>
    <w:rsid w:val="00E87A9D"/>
    <w:pPr>
      <w:spacing w:before="240"/>
      <w:ind w:left="5040"/>
    </w:pPr>
    <w:rPr>
      <w:rFonts w:cs="Arial"/>
    </w:rPr>
  </w:style>
  <w:style w:type="paragraph" w:styleId="EnvelopeReturn">
    <w:name w:val="envelope return"/>
    <w:basedOn w:val="Normal"/>
    <w:semiHidden/>
    <w:rsid w:val="00E87A9D"/>
    <w:pPr>
      <w:spacing w:before="1200" w:after="480"/>
    </w:pPr>
    <w:rPr>
      <w:rFonts w:ascii="Arial" w:hAnsi="Arial" w:cs="Arial"/>
      <w:sz w:val="18"/>
      <w:szCs w:val="18"/>
    </w:rPr>
  </w:style>
  <w:style w:type="character" w:styleId="FootnoteReference">
    <w:name w:val="footnote reference"/>
    <w:semiHidden/>
    <w:rsid w:val="00E87A9D"/>
    <w:rPr>
      <w:vertAlign w:val="superscript"/>
    </w:rPr>
  </w:style>
  <w:style w:type="paragraph" w:styleId="FootnoteText">
    <w:name w:val="footnote text"/>
    <w:basedOn w:val="Normal"/>
    <w:link w:val="FootnoteTextChar"/>
    <w:semiHidden/>
    <w:rsid w:val="00E87A9D"/>
    <w:rPr>
      <w:sz w:val="20"/>
      <w:szCs w:val="20"/>
    </w:rPr>
  </w:style>
  <w:style w:type="character" w:customStyle="1" w:styleId="FootnoteTextChar">
    <w:name w:val="Footnote Text Char"/>
    <w:link w:val="FootnoteText"/>
    <w:semiHidden/>
    <w:rsid w:val="00E87A9D"/>
    <w:rPr>
      <w:rFonts w:ascii="Calibri" w:eastAsia="Times New Roman" w:hAnsi="Calibri" w:cs="Times New Roman"/>
      <w:sz w:val="20"/>
      <w:szCs w:val="20"/>
    </w:rPr>
  </w:style>
  <w:style w:type="paragraph" w:customStyle="1" w:styleId="HeadAltA">
    <w:name w:val="Head Alt A"/>
    <w:basedOn w:val="BodyText"/>
    <w:qFormat/>
    <w:rsid w:val="00E87A9D"/>
    <w:pPr>
      <w:numPr>
        <w:numId w:val="4"/>
      </w:numPr>
    </w:pPr>
  </w:style>
  <w:style w:type="paragraph" w:customStyle="1" w:styleId="HeadAltB">
    <w:name w:val="Head Alt B"/>
    <w:basedOn w:val="BodyText"/>
    <w:qFormat/>
    <w:rsid w:val="00E87A9D"/>
    <w:pPr>
      <w:numPr>
        <w:ilvl w:val="1"/>
        <w:numId w:val="4"/>
      </w:numPr>
    </w:pPr>
  </w:style>
  <w:style w:type="character" w:customStyle="1" w:styleId="Heading2Char">
    <w:name w:val="Heading 2 Char"/>
    <w:link w:val="Heading2"/>
    <w:rsid w:val="00E87A9D"/>
    <w:rPr>
      <w:rFonts w:ascii="Calibri" w:eastAsia="Times New Roman" w:hAnsi="Calibri" w:cs="Arial"/>
      <w:bCs/>
      <w:iCs/>
      <w:szCs w:val="24"/>
    </w:rPr>
  </w:style>
  <w:style w:type="character" w:customStyle="1" w:styleId="Heading3Char">
    <w:name w:val="Heading 3 Char"/>
    <w:link w:val="Heading3"/>
    <w:rsid w:val="00E87A9D"/>
    <w:rPr>
      <w:rFonts w:ascii="Calibri" w:eastAsia="Times New Roman" w:hAnsi="Calibri" w:cs="Arial"/>
      <w:bCs/>
      <w:szCs w:val="24"/>
    </w:rPr>
  </w:style>
  <w:style w:type="character" w:customStyle="1" w:styleId="Heading4Char">
    <w:name w:val="Heading 4 Char"/>
    <w:link w:val="Heading4"/>
    <w:rsid w:val="00E87A9D"/>
    <w:rPr>
      <w:rFonts w:ascii="Calibri" w:eastAsia="Times New Roman" w:hAnsi="Calibri" w:cs="Times New Roman"/>
      <w:bCs/>
      <w:szCs w:val="24"/>
    </w:rPr>
  </w:style>
  <w:style w:type="character" w:customStyle="1" w:styleId="Heading5Char">
    <w:name w:val="Heading 5 Char"/>
    <w:link w:val="Heading5"/>
    <w:rsid w:val="00E87A9D"/>
    <w:rPr>
      <w:rFonts w:ascii="Calibri" w:eastAsia="Times New Roman" w:hAnsi="Calibri" w:cs="Times New Roman"/>
      <w:bCs/>
      <w:iCs/>
      <w:szCs w:val="24"/>
    </w:rPr>
  </w:style>
  <w:style w:type="character" w:customStyle="1" w:styleId="Heading6Char">
    <w:name w:val="Heading 6 Char"/>
    <w:link w:val="Heading6"/>
    <w:rsid w:val="00E87A9D"/>
    <w:rPr>
      <w:rFonts w:ascii="Calibri" w:eastAsia="Times New Roman" w:hAnsi="Calibri" w:cs="Times New Roman"/>
      <w:bCs/>
      <w:szCs w:val="24"/>
    </w:rPr>
  </w:style>
  <w:style w:type="character" w:customStyle="1" w:styleId="Heading7Char">
    <w:name w:val="Heading 7 Char"/>
    <w:link w:val="Heading7"/>
    <w:rsid w:val="00E87A9D"/>
    <w:rPr>
      <w:rFonts w:ascii="Calibri" w:eastAsia="Times New Roman" w:hAnsi="Calibri" w:cs="Times New Roman"/>
      <w:szCs w:val="24"/>
    </w:rPr>
  </w:style>
  <w:style w:type="character" w:customStyle="1" w:styleId="Heading8Char">
    <w:name w:val="Heading 8 Char"/>
    <w:link w:val="Heading8"/>
    <w:rsid w:val="00E87A9D"/>
    <w:rPr>
      <w:rFonts w:ascii="Calibri" w:eastAsia="Times New Roman" w:hAnsi="Calibri" w:cs="Times New Roman"/>
      <w:b/>
      <w:iCs/>
      <w:caps/>
      <w:szCs w:val="24"/>
    </w:rPr>
  </w:style>
  <w:style w:type="character" w:customStyle="1" w:styleId="Heading9Char">
    <w:name w:val="Heading 9 Char"/>
    <w:link w:val="Heading9"/>
    <w:rsid w:val="00E87A9D"/>
    <w:rPr>
      <w:rFonts w:ascii="Calibri" w:eastAsia="Times New Roman" w:hAnsi="Calibri" w:cs="Arial"/>
      <w:szCs w:val="24"/>
    </w:rPr>
  </w:style>
  <w:style w:type="paragraph" w:customStyle="1" w:styleId="HeadingTitle2">
    <w:name w:val="Heading Title 2"/>
    <w:basedOn w:val="Normal"/>
    <w:next w:val="BodyText"/>
    <w:qFormat/>
    <w:rsid w:val="00E87A9D"/>
    <w:pPr>
      <w:keepNext/>
      <w:keepLines/>
      <w:spacing w:before="240"/>
    </w:pPr>
    <w:rPr>
      <w:b/>
    </w:rPr>
  </w:style>
  <w:style w:type="paragraph" w:customStyle="1" w:styleId="HeadingTitle3">
    <w:name w:val="Heading Title 3"/>
    <w:basedOn w:val="Normal"/>
    <w:next w:val="BodyText"/>
    <w:qFormat/>
    <w:rsid w:val="00E87A9D"/>
    <w:pPr>
      <w:keepNext/>
      <w:keepLines/>
      <w:spacing w:before="240"/>
    </w:pPr>
    <w:rPr>
      <w:i/>
    </w:rPr>
  </w:style>
  <w:style w:type="paragraph" w:customStyle="1" w:styleId="HeadingTitle4">
    <w:name w:val="Heading Title 4"/>
    <w:basedOn w:val="Normal"/>
    <w:next w:val="BodyText"/>
    <w:qFormat/>
    <w:rsid w:val="00E87A9D"/>
    <w:pPr>
      <w:keepNext/>
      <w:keepLines/>
      <w:spacing w:before="240"/>
    </w:pPr>
    <w:rPr>
      <w:u w:val="single"/>
    </w:rPr>
  </w:style>
  <w:style w:type="paragraph" w:customStyle="1" w:styleId="HeadingTitle5">
    <w:name w:val="Heading Title 5"/>
    <w:basedOn w:val="Normal"/>
    <w:next w:val="BodyText"/>
    <w:qFormat/>
    <w:rsid w:val="00E87A9D"/>
    <w:pPr>
      <w:keepNext/>
      <w:keepLines/>
      <w:spacing w:before="240"/>
    </w:pPr>
  </w:style>
  <w:style w:type="paragraph" w:styleId="Index1">
    <w:name w:val="index 1"/>
    <w:basedOn w:val="Normal"/>
    <w:next w:val="Normal"/>
    <w:autoRedefine/>
    <w:semiHidden/>
    <w:rsid w:val="00E87A9D"/>
    <w:pPr>
      <w:ind w:left="240" w:hanging="240"/>
    </w:pPr>
  </w:style>
  <w:style w:type="paragraph" w:styleId="Index2">
    <w:name w:val="index 2"/>
    <w:basedOn w:val="Normal"/>
    <w:next w:val="Normal"/>
    <w:autoRedefine/>
    <w:semiHidden/>
    <w:rsid w:val="00E87A9D"/>
    <w:pPr>
      <w:ind w:left="480" w:hanging="240"/>
    </w:pPr>
  </w:style>
  <w:style w:type="paragraph" w:styleId="Index3">
    <w:name w:val="index 3"/>
    <w:basedOn w:val="Normal"/>
    <w:next w:val="Normal"/>
    <w:autoRedefine/>
    <w:semiHidden/>
    <w:rsid w:val="00E87A9D"/>
    <w:pPr>
      <w:ind w:left="720" w:hanging="240"/>
    </w:pPr>
  </w:style>
  <w:style w:type="paragraph" w:styleId="Index4">
    <w:name w:val="index 4"/>
    <w:basedOn w:val="Normal"/>
    <w:next w:val="Normal"/>
    <w:autoRedefine/>
    <w:semiHidden/>
    <w:rsid w:val="00E87A9D"/>
    <w:pPr>
      <w:ind w:left="960" w:hanging="240"/>
    </w:pPr>
  </w:style>
  <w:style w:type="paragraph" w:styleId="Index5">
    <w:name w:val="index 5"/>
    <w:basedOn w:val="Normal"/>
    <w:next w:val="Normal"/>
    <w:autoRedefine/>
    <w:semiHidden/>
    <w:rsid w:val="00E87A9D"/>
    <w:pPr>
      <w:ind w:left="1200" w:hanging="240"/>
    </w:pPr>
  </w:style>
  <w:style w:type="paragraph" w:styleId="Index6">
    <w:name w:val="index 6"/>
    <w:basedOn w:val="Normal"/>
    <w:next w:val="Normal"/>
    <w:autoRedefine/>
    <w:semiHidden/>
    <w:rsid w:val="00E87A9D"/>
    <w:pPr>
      <w:ind w:left="1440" w:hanging="240"/>
    </w:pPr>
  </w:style>
  <w:style w:type="paragraph" w:styleId="Index7">
    <w:name w:val="index 7"/>
    <w:basedOn w:val="Normal"/>
    <w:next w:val="Normal"/>
    <w:autoRedefine/>
    <w:semiHidden/>
    <w:rsid w:val="00E87A9D"/>
    <w:pPr>
      <w:ind w:left="1680" w:hanging="240"/>
    </w:pPr>
  </w:style>
  <w:style w:type="paragraph" w:styleId="Index8">
    <w:name w:val="index 8"/>
    <w:basedOn w:val="Normal"/>
    <w:next w:val="Normal"/>
    <w:autoRedefine/>
    <w:semiHidden/>
    <w:rsid w:val="00E87A9D"/>
    <w:pPr>
      <w:ind w:left="1920" w:hanging="240"/>
    </w:pPr>
  </w:style>
  <w:style w:type="paragraph" w:styleId="Index9">
    <w:name w:val="index 9"/>
    <w:basedOn w:val="Normal"/>
    <w:next w:val="Normal"/>
    <w:autoRedefine/>
    <w:semiHidden/>
    <w:rsid w:val="00E87A9D"/>
    <w:pPr>
      <w:ind w:left="2160" w:hanging="240"/>
    </w:pPr>
  </w:style>
  <w:style w:type="paragraph" w:styleId="IndexHeading">
    <w:name w:val="index heading"/>
    <w:basedOn w:val="Normal"/>
    <w:next w:val="Index1"/>
    <w:semiHidden/>
    <w:rsid w:val="00E87A9D"/>
    <w:rPr>
      <w:rFonts w:ascii="Arial" w:hAnsi="Arial" w:cs="Arial"/>
      <w:b/>
      <w:bCs/>
    </w:rPr>
  </w:style>
  <w:style w:type="paragraph" w:styleId="List">
    <w:name w:val="List"/>
    <w:basedOn w:val="Normal"/>
    <w:semiHidden/>
    <w:rsid w:val="00E87A9D"/>
    <w:pPr>
      <w:ind w:left="360" w:hanging="360"/>
    </w:pPr>
  </w:style>
  <w:style w:type="paragraph" w:styleId="List2">
    <w:name w:val="List 2"/>
    <w:basedOn w:val="Normal"/>
    <w:semiHidden/>
    <w:rsid w:val="00E87A9D"/>
    <w:pPr>
      <w:ind w:left="720" w:hanging="360"/>
    </w:pPr>
  </w:style>
  <w:style w:type="paragraph" w:styleId="List3">
    <w:name w:val="List 3"/>
    <w:basedOn w:val="Normal"/>
    <w:semiHidden/>
    <w:rsid w:val="00E87A9D"/>
    <w:pPr>
      <w:ind w:left="1080" w:hanging="360"/>
    </w:pPr>
  </w:style>
  <w:style w:type="paragraph" w:styleId="List4">
    <w:name w:val="List 4"/>
    <w:basedOn w:val="Normal"/>
    <w:semiHidden/>
    <w:rsid w:val="00E87A9D"/>
    <w:pPr>
      <w:ind w:left="1440" w:hanging="360"/>
    </w:pPr>
  </w:style>
  <w:style w:type="paragraph" w:styleId="List5">
    <w:name w:val="List 5"/>
    <w:basedOn w:val="Normal"/>
    <w:semiHidden/>
    <w:rsid w:val="00E87A9D"/>
    <w:pPr>
      <w:ind w:left="1800" w:hanging="360"/>
    </w:pPr>
  </w:style>
  <w:style w:type="paragraph" w:styleId="ListBullet">
    <w:name w:val="List Bullet"/>
    <w:basedOn w:val="Normal"/>
    <w:semiHidden/>
    <w:rsid w:val="00E87A9D"/>
    <w:pPr>
      <w:numPr>
        <w:numId w:val="15"/>
      </w:numPr>
    </w:pPr>
  </w:style>
  <w:style w:type="paragraph" w:styleId="ListBullet2">
    <w:name w:val="List Bullet 2"/>
    <w:basedOn w:val="Normal"/>
    <w:semiHidden/>
    <w:rsid w:val="00E87A9D"/>
    <w:pPr>
      <w:numPr>
        <w:numId w:val="17"/>
      </w:numPr>
      <w:tabs>
        <w:tab w:val="left" w:pos="720"/>
      </w:tabs>
    </w:pPr>
  </w:style>
  <w:style w:type="paragraph" w:styleId="ListBullet3">
    <w:name w:val="List Bullet 3"/>
    <w:basedOn w:val="Normal"/>
    <w:semiHidden/>
    <w:rsid w:val="00E87A9D"/>
    <w:pPr>
      <w:numPr>
        <w:numId w:val="19"/>
      </w:numPr>
      <w:tabs>
        <w:tab w:val="left" w:pos="1080"/>
      </w:tabs>
    </w:pPr>
  </w:style>
  <w:style w:type="paragraph" w:styleId="ListBullet4">
    <w:name w:val="List Bullet 4"/>
    <w:basedOn w:val="Normal"/>
    <w:semiHidden/>
    <w:rsid w:val="00E87A9D"/>
    <w:pPr>
      <w:numPr>
        <w:numId w:val="21"/>
      </w:numPr>
      <w:tabs>
        <w:tab w:val="left" w:pos="1440"/>
      </w:tabs>
    </w:pPr>
  </w:style>
  <w:style w:type="paragraph" w:styleId="ListBullet5">
    <w:name w:val="List Bullet 5"/>
    <w:basedOn w:val="Normal"/>
    <w:semiHidden/>
    <w:rsid w:val="00E87A9D"/>
    <w:pPr>
      <w:numPr>
        <w:numId w:val="23"/>
      </w:numPr>
      <w:tabs>
        <w:tab w:val="left" w:pos="1800"/>
      </w:tabs>
    </w:pPr>
  </w:style>
  <w:style w:type="paragraph" w:styleId="ListContinue">
    <w:name w:val="List Continue"/>
    <w:basedOn w:val="Normal"/>
    <w:semiHidden/>
    <w:rsid w:val="00E87A9D"/>
    <w:pPr>
      <w:spacing w:after="120"/>
      <w:ind w:left="360"/>
    </w:pPr>
  </w:style>
  <w:style w:type="paragraph" w:styleId="ListContinue2">
    <w:name w:val="List Continue 2"/>
    <w:basedOn w:val="Normal"/>
    <w:semiHidden/>
    <w:rsid w:val="00E87A9D"/>
    <w:pPr>
      <w:spacing w:after="120"/>
      <w:ind w:left="720"/>
    </w:pPr>
  </w:style>
  <w:style w:type="paragraph" w:styleId="ListContinue3">
    <w:name w:val="List Continue 3"/>
    <w:basedOn w:val="Normal"/>
    <w:semiHidden/>
    <w:rsid w:val="00E87A9D"/>
    <w:pPr>
      <w:spacing w:after="120"/>
      <w:ind w:left="1080"/>
    </w:pPr>
  </w:style>
  <w:style w:type="paragraph" w:styleId="ListContinue4">
    <w:name w:val="List Continue 4"/>
    <w:basedOn w:val="Normal"/>
    <w:semiHidden/>
    <w:rsid w:val="00E87A9D"/>
    <w:pPr>
      <w:spacing w:after="120"/>
      <w:ind w:left="1440"/>
    </w:pPr>
  </w:style>
  <w:style w:type="paragraph" w:styleId="ListContinue5">
    <w:name w:val="List Continue 5"/>
    <w:basedOn w:val="Normal"/>
    <w:semiHidden/>
    <w:rsid w:val="00E87A9D"/>
    <w:pPr>
      <w:spacing w:after="120"/>
      <w:ind w:left="1800"/>
    </w:pPr>
  </w:style>
  <w:style w:type="paragraph" w:styleId="ListNumber2">
    <w:name w:val="List Number 2"/>
    <w:basedOn w:val="Normal"/>
    <w:semiHidden/>
    <w:rsid w:val="00E87A9D"/>
    <w:pPr>
      <w:numPr>
        <w:numId w:val="25"/>
      </w:numPr>
    </w:pPr>
  </w:style>
  <w:style w:type="paragraph" w:styleId="ListNumber3">
    <w:name w:val="List Number 3"/>
    <w:basedOn w:val="Normal"/>
    <w:semiHidden/>
    <w:rsid w:val="00E87A9D"/>
    <w:pPr>
      <w:numPr>
        <w:numId w:val="27"/>
      </w:numPr>
      <w:tabs>
        <w:tab w:val="left" w:pos="1080"/>
      </w:tabs>
    </w:pPr>
  </w:style>
  <w:style w:type="paragraph" w:styleId="ListNumber4">
    <w:name w:val="List Number 4"/>
    <w:basedOn w:val="Normal"/>
    <w:semiHidden/>
    <w:rsid w:val="00E87A9D"/>
    <w:pPr>
      <w:numPr>
        <w:numId w:val="29"/>
      </w:numPr>
      <w:tabs>
        <w:tab w:val="left" w:pos="1440"/>
      </w:tabs>
    </w:pPr>
  </w:style>
  <w:style w:type="paragraph" w:styleId="ListNumber5">
    <w:name w:val="List Number 5"/>
    <w:basedOn w:val="Normal"/>
    <w:semiHidden/>
    <w:rsid w:val="00E87A9D"/>
    <w:pPr>
      <w:numPr>
        <w:numId w:val="31"/>
      </w:numPr>
      <w:tabs>
        <w:tab w:val="left" w:pos="1800"/>
      </w:tabs>
    </w:pPr>
  </w:style>
  <w:style w:type="paragraph" w:styleId="MacroText">
    <w:name w:val="macro"/>
    <w:link w:val="MacroTextChar"/>
    <w:semiHidden/>
    <w:rsid w:val="00E87A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CA"/>
    </w:rPr>
  </w:style>
  <w:style w:type="character" w:customStyle="1" w:styleId="MacroTextChar">
    <w:name w:val="Macro Text Char"/>
    <w:link w:val="MacroText"/>
    <w:semiHidden/>
    <w:rsid w:val="00E87A9D"/>
    <w:rPr>
      <w:rFonts w:ascii="Courier New" w:eastAsia="Times New Roman" w:hAnsi="Courier New" w:cs="Courier New"/>
      <w:sz w:val="20"/>
      <w:szCs w:val="20"/>
      <w:lang w:val="en-CA"/>
    </w:rPr>
  </w:style>
  <w:style w:type="paragraph" w:customStyle="1" w:styleId="NumList1">
    <w:name w:val="Num List 1"/>
    <w:basedOn w:val="BodyText"/>
    <w:qFormat/>
    <w:rsid w:val="00E87A9D"/>
    <w:pPr>
      <w:numPr>
        <w:numId w:val="32"/>
      </w:numPr>
    </w:pPr>
  </w:style>
  <w:style w:type="paragraph" w:customStyle="1" w:styleId="NumList2">
    <w:name w:val="Num List 2"/>
    <w:basedOn w:val="BodyText"/>
    <w:qFormat/>
    <w:rsid w:val="00E87A9D"/>
    <w:pPr>
      <w:numPr>
        <w:numId w:val="33"/>
      </w:numPr>
    </w:pPr>
  </w:style>
  <w:style w:type="paragraph" w:customStyle="1" w:styleId="NumListA1">
    <w:name w:val="Num List A1"/>
    <w:basedOn w:val="BodyText"/>
    <w:qFormat/>
    <w:rsid w:val="00E87A9D"/>
    <w:pPr>
      <w:numPr>
        <w:numId w:val="34"/>
      </w:numPr>
    </w:pPr>
  </w:style>
  <w:style w:type="paragraph" w:customStyle="1" w:styleId="NumListA2">
    <w:name w:val="Num List A2"/>
    <w:basedOn w:val="BodyText"/>
    <w:qFormat/>
    <w:rsid w:val="00E87A9D"/>
    <w:pPr>
      <w:numPr>
        <w:numId w:val="35"/>
      </w:numPr>
    </w:pPr>
  </w:style>
  <w:style w:type="paragraph" w:customStyle="1" w:styleId="Quote1">
    <w:name w:val="Quote 1"/>
    <w:basedOn w:val="Normal"/>
    <w:qFormat/>
    <w:rsid w:val="00E87A9D"/>
    <w:pPr>
      <w:spacing w:before="240"/>
      <w:ind w:left="1440" w:right="1440"/>
    </w:pPr>
  </w:style>
  <w:style w:type="paragraph" w:customStyle="1" w:styleId="Quote2">
    <w:name w:val="Quote 2"/>
    <w:basedOn w:val="Normal"/>
    <w:qFormat/>
    <w:rsid w:val="00E87A9D"/>
    <w:pPr>
      <w:spacing w:before="240"/>
      <w:ind w:left="2160" w:right="1440"/>
    </w:pPr>
  </w:style>
  <w:style w:type="paragraph" w:customStyle="1" w:styleId="Quote3">
    <w:name w:val="Quote 3"/>
    <w:basedOn w:val="Normal"/>
    <w:qFormat/>
    <w:rsid w:val="00E87A9D"/>
    <w:pPr>
      <w:tabs>
        <w:tab w:val="left" w:pos="1440"/>
      </w:tabs>
      <w:spacing w:before="240"/>
      <w:ind w:left="1440" w:right="1440" w:hanging="720"/>
    </w:pPr>
  </w:style>
  <w:style w:type="paragraph" w:customStyle="1" w:styleId="Quote4">
    <w:name w:val="Quote 4"/>
    <w:basedOn w:val="Normal"/>
    <w:qFormat/>
    <w:rsid w:val="00E87A9D"/>
    <w:pPr>
      <w:spacing w:before="240"/>
      <w:ind w:left="720" w:right="720"/>
    </w:pPr>
  </w:style>
  <w:style w:type="paragraph" w:customStyle="1" w:styleId="Quote5">
    <w:name w:val="Quote 5"/>
    <w:basedOn w:val="Normal"/>
    <w:qFormat/>
    <w:rsid w:val="00E87A9D"/>
    <w:pPr>
      <w:spacing w:before="120"/>
      <w:ind w:left="720" w:right="720"/>
      <w:contextualSpacing/>
    </w:pPr>
    <w:rPr>
      <w:rFonts w:ascii="Arial" w:hAnsi="Arial"/>
      <w:sz w:val="20"/>
    </w:rPr>
  </w:style>
  <w:style w:type="paragraph" w:customStyle="1" w:styleId="Signatory">
    <w:name w:val="Signatory"/>
    <w:basedOn w:val="Normal"/>
    <w:next w:val="BodyText"/>
    <w:qFormat/>
    <w:rsid w:val="00E87A9D"/>
    <w:pPr>
      <w:keepNext/>
      <w:keepLines/>
      <w:tabs>
        <w:tab w:val="right" w:pos="4320"/>
        <w:tab w:val="left" w:pos="5040"/>
        <w:tab w:val="right" w:pos="9360"/>
      </w:tabs>
      <w:spacing w:before="240"/>
    </w:pPr>
  </w:style>
  <w:style w:type="paragraph" w:styleId="Signature">
    <w:name w:val="Signature"/>
    <w:basedOn w:val="Normal"/>
    <w:link w:val="SignatureChar"/>
    <w:semiHidden/>
    <w:rsid w:val="00E87A9D"/>
    <w:pPr>
      <w:keepNext/>
      <w:keepLines/>
      <w:spacing w:before="240"/>
      <w:ind w:left="5040"/>
    </w:pPr>
  </w:style>
  <w:style w:type="character" w:customStyle="1" w:styleId="SignatureChar">
    <w:name w:val="Signature Char"/>
    <w:link w:val="Signature"/>
    <w:semiHidden/>
    <w:rsid w:val="00E87A9D"/>
    <w:rPr>
      <w:rFonts w:ascii="Calibri" w:eastAsia="Times New Roman" w:hAnsi="Calibri" w:cs="Times New Roman"/>
      <w:szCs w:val="24"/>
    </w:rPr>
  </w:style>
  <w:style w:type="table" w:customStyle="1" w:styleId="TableCWNoLineswithHeader">
    <w:name w:val="Table CW No Lines with Header"/>
    <w:basedOn w:val="TableNormal"/>
    <w:rsid w:val="00E87A9D"/>
    <w:pPr>
      <w:spacing w:before="240"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rPr>
      <w:cantSplit/>
    </w:trPr>
    <w:tblStylePr w:type="firstRow">
      <w:pPr>
        <w:keepNext/>
        <w:keepLines/>
        <w:wordWrap/>
      </w:pPr>
      <w:rPr>
        <w:b/>
        <w:i w:val="0"/>
      </w:rPr>
      <w:tblPr/>
      <w:trPr>
        <w:tblHeader/>
      </w:trPr>
    </w:tblStylePr>
  </w:style>
  <w:style w:type="paragraph" w:styleId="TableofAuthorities">
    <w:name w:val="table of authorities"/>
    <w:basedOn w:val="Normal"/>
    <w:next w:val="BodyText"/>
    <w:semiHidden/>
    <w:rsid w:val="00E87A9D"/>
    <w:pPr>
      <w:keepLines/>
      <w:tabs>
        <w:tab w:val="left" w:pos="720"/>
        <w:tab w:val="right" w:leader="dot" w:pos="9360"/>
      </w:tabs>
      <w:spacing w:before="240"/>
      <w:ind w:left="720" w:right="1440" w:hanging="720"/>
    </w:pPr>
  </w:style>
  <w:style w:type="paragraph" w:styleId="TableofFigures">
    <w:name w:val="table of figures"/>
    <w:basedOn w:val="Normal"/>
    <w:next w:val="Normal"/>
    <w:semiHidden/>
    <w:rsid w:val="00E87A9D"/>
    <w:pPr>
      <w:ind w:left="475" w:hanging="475"/>
    </w:pPr>
  </w:style>
  <w:style w:type="paragraph" w:styleId="Title">
    <w:name w:val="Title"/>
    <w:basedOn w:val="Normal"/>
    <w:next w:val="BodyText"/>
    <w:link w:val="TitleChar"/>
    <w:qFormat/>
    <w:rsid w:val="00E87A9D"/>
    <w:pPr>
      <w:keepNext/>
      <w:keepLines/>
      <w:spacing w:after="120"/>
      <w:jc w:val="center"/>
      <w:outlineLvl w:val="0"/>
    </w:pPr>
    <w:rPr>
      <w:rFonts w:cs="Arial"/>
      <w:b/>
      <w:bCs/>
      <w:kern w:val="28"/>
      <w:sz w:val="28"/>
      <w:szCs w:val="28"/>
    </w:rPr>
  </w:style>
  <w:style w:type="character" w:customStyle="1" w:styleId="TitleChar">
    <w:name w:val="Title Char"/>
    <w:link w:val="Title"/>
    <w:rsid w:val="00E87A9D"/>
    <w:rPr>
      <w:rFonts w:ascii="Calibri" w:eastAsia="Times New Roman" w:hAnsi="Calibri" w:cs="Arial"/>
      <w:b/>
      <w:bCs/>
      <w:kern w:val="28"/>
      <w:sz w:val="28"/>
      <w:szCs w:val="28"/>
    </w:rPr>
  </w:style>
  <w:style w:type="paragraph" w:styleId="TOAHeading">
    <w:name w:val="toa heading"/>
    <w:basedOn w:val="Normal"/>
    <w:next w:val="Normal"/>
    <w:semiHidden/>
    <w:rsid w:val="00E87A9D"/>
    <w:pPr>
      <w:keepNext/>
      <w:spacing w:before="240"/>
    </w:pPr>
    <w:rPr>
      <w:rFonts w:cs="Arial"/>
      <w:b/>
      <w:bCs/>
    </w:rPr>
  </w:style>
  <w:style w:type="paragraph" w:styleId="TOC1">
    <w:name w:val="toc 1"/>
    <w:basedOn w:val="Normal"/>
    <w:next w:val="Normal"/>
    <w:autoRedefine/>
    <w:semiHidden/>
    <w:rsid w:val="00E87A9D"/>
    <w:pPr>
      <w:keepNext/>
      <w:tabs>
        <w:tab w:val="left" w:pos="720"/>
        <w:tab w:val="right" w:leader="dot" w:pos="9360"/>
      </w:tabs>
      <w:spacing w:before="360"/>
    </w:pPr>
    <w:rPr>
      <w:caps/>
    </w:rPr>
  </w:style>
  <w:style w:type="paragraph" w:styleId="TOC2">
    <w:name w:val="toc 2"/>
    <w:basedOn w:val="Normal"/>
    <w:next w:val="Normal"/>
    <w:autoRedefine/>
    <w:semiHidden/>
    <w:rsid w:val="00E87A9D"/>
    <w:pPr>
      <w:tabs>
        <w:tab w:val="left" w:pos="1440"/>
        <w:tab w:val="right" w:leader="dot" w:pos="9360"/>
      </w:tabs>
      <w:spacing w:before="120"/>
      <w:ind w:left="1440" w:hanging="720"/>
    </w:pPr>
  </w:style>
  <w:style w:type="paragraph" w:styleId="TOC3">
    <w:name w:val="toc 3"/>
    <w:basedOn w:val="Normal"/>
    <w:next w:val="Normal"/>
    <w:autoRedefine/>
    <w:semiHidden/>
    <w:rsid w:val="00E87A9D"/>
    <w:pPr>
      <w:tabs>
        <w:tab w:val="left" w:pos="2160"/>
        <w:tab w:val="right" w:leader="dot" w:pos="9360"/>
      </w:tabs>
      <w:spacing w:before="120"/>
      <w:ind w:left="2160" w:hanging="720"/>
    </w:pPr>
  </w:style>
  <w:style w:type="paragraph" w:styleId="TOC4">
    <w:name w:val="toc 4"/>
    <w:basedOn w:val="Normal"/>
    <w:next w:val="Normal"/>
    <w:autoRedefine/>
    <w:semiHidden/>
    <w:rsid w:val="00E87A9D"/>
    <w:pPr>
      <w:tabs>
        <w:tab w:val="left" w:pos="2880"/>
        <w:tab w:val="right" w:leader="dot" w:pos="9360"/>
      </w:tabs>
      <w:spacing w:before="120"/>
      <w:ind w:left="2880" w:hanging="720"/>
    </w:pPr>
  </w:style>
  <w:style w:type="paragraph" w:styleId="TOC5">
    <w:name w:val="toc 5"/>
    <w:basedOn w:val="Normal"/>
    <w:next w:val="Normal"/>
    <w:autoRedefine/>
    <w:semiHidden/>
    <w:rsid w:val="00E87A9D"/>
    <w:pPr>
      <w:tabs>
        <w:tab w:val="left" w:pos="3600"/>
        <w:tab w:val="right" w:leader="dot" w:pos="9360"/>
      </w:tabs>
      <w:spacing w:before="120"/>
      <w:ind w:left="3600" w:hanging="720"/>
    </w:pPr>
  </w:style>
  <w:style w:type="paragraph" w:styleId="TOC6">
    <w:name w:val="toc 6"/>
    <w:basedOn w:val="Normal"/>
    <w:next w:val="Normal"/>
    <w:autoRedefine/>
    <w:semiHidden/>
    <w:rsid w:val="00E87A9D"/>
    <w:pPr>
      <w:tabs>
        <w:tab w:val="left" w:pos="4320"/>
        <w:tab w:val="right" w:leader="dot" w:pos="9360"/>
      </w:tabs>
      <w:spacing w:before="120"/>
      <w:ind w:left="4320" w:hanging="720"/>
    </w:pPr>
  </w:style>
  <w:style w:type="paragraph" w:styleId="TOC7">
    <w:name w:val="toc 7"/>
    <w:basedOn w:val="Normal"/>
    <w:next w:val="Normal"/>
    <w:autoRedefine/>
    <w:semiHidden/>
    <w:rsid w:val="00E87A9D"/>
    <w:pPr>
      <w:tabs>
        <w:tab w:val="left" w:pos="5040"/>
        <w:tab w:val="right" w:leader="dot" w:pos="9360"/>
      </w:tabs>
      <w:spacing w:before="120"/>
      <w:ind w:left="5040" w:hanging="720"/>
    </w:pPr>
  </w:style>
  <w:style w:type="paragraph" w:styleId="TOC8">
    <w:name w:val="toc 8"/>
    <w:basedOn w:val="Normal"/>
    <w:next w:val="Normal"/>
    <w:autoRedefine/>
    <w:semiHidden/>
    <w:rsid w:val="00E87A9D"/>
    <w:pPr>
      <w:ind w:left="1680"/>
    </w:pPr>
  </w:style>
  <w:style w:type="paragraph" w:styleId="TOC9">
    <w:name w:val="toc 9"/>
    <w:basedOn w:val="Normal"/>
    <w:next w:val="Normal"/>
    <w:autoRedefine/>
    <w:semiHidden/>
    <w:rsid w:val="00E87A9D"/>
    <w:pPr>
      <w:ind w:left="1920"/>
    </w:pPr>
  </w:style>
  <w:style w:type="paragraph" w:styleId="NormalWeb">
    <w:name w:val="Normal (Web)"/>
    <w:basedOn w:val="Normal"/>
    <w:rsid w:val="008F13AD"/>
    <w:pPr>
      <w:spacing w:before="100" w:beforeAutospacing="1" w:after="100" w:afterAutospacing="1"/>
    </w:pPr>
    <w:rPr>
      <w:rFonts w:ascii="Book Antiqua" w:hAnsi="Book Antiqua"/>
    </w:rPr>
  </w:style>
  <w:style w:type="table" w:styleId="TableGrid">
    <w:name w:val="Table Grid"/>
    <w:basedOn w:val="TableNormal"/>
    <w:uiPriority w:val="59"/>
    <w:rsid w:val="0068518D"/>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5B1F"/>
    <w:rPr>
      <w:color w:val="0000FF" w:themeColor="hyperlink"/>
      <w:u w:val="single"/>
    </w:rPr>
  </w:style>
  <w:style w:type="character" w:customStyle="1" w:styleId="object">
    <w:name w:val="object"/>
    <w:basedOn w:val="DefaultParagraphFont"/>
    <w:rsid w:val="00493C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3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www.sedar.com" TargetMode="External"/><Relationship Id="rId12" Type="http://schemas.openxmlformats.org/officeDocument/2006/relationships/header" Target="header3.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facebook.com/LagunaBlends/"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gunablends.co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r@lagunablends.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CW9684535.2</cp:keywords>
  <dc:description>42734-0001</dc:description>
  <cp:lastModifiedBy>Negar</cp:lastModifiedBy>
  <cp:revision>2</cp:revision>
  <cp:lastPrinted>2016-03-24T21:20:00Z</cp:lastPrinted>
  <dcterms:created xsi:type="dcterms:W3CDTF">2016-04-05T21:25:00Z</dcterms:created>
  <dcterms:modified xsi:type="dcterms:W3CDTF">2016-04-05T21:25:00Z</dcterms:modified>
</cp:coreProperties>
</file>