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133" w:rsidRPr="0001060A" w:rsidRDefault="00ED65F8">
      <w:pPr>
        <w:pStyle w:val="Title"/>
        <w:spacing w:before="0"/>
        <w:rPr>
          <w:sz w:val="28"/>
          <w:lang w:val="en-CA"/>
        </w:rPr>
      </w:pPr>
      <w:r w:rsidRPr="0001060A">
        <w:rPr>
          <w:sz w:val="28"/>
          <w:lang w:val="en-CA"/>
        </w:rPr>
        <w:t>FORM 9</w:t>
      </w:r>
    </w:p>
    <w:p w:rsidR="00EA4133" w:rsidRPr="007568B3" w:rsidRDefault="00ED65F8">
      <w:pPr>
        <w:pStyle w:val="Title"/>
        <w:spacing w:before="0" w:after="0"/>
        <w:rPr>
          <w:sz w:val="28"/>
          <w:u w:val="single"/>
          <w:lang w:val="en-CA"/>
        </w:rPr>
      </w:pPr>
      <w:r w:rsidRPr="007568B3">
        <w:rPr>
          <w:sz w:val="28"/>
          <w:u w:val="single"/>
          <w:lang w:val="en-CA"/>
        </w:rPr>
        <w:t xml:space="preserve">NOTICE OF PROPOSED ISSUANCE OF </w:t>
      </w:r>
      <w:r>
        <w:rPr>
          <w:sz w:val="28"/>
          <w:u w:val="single"/>
          <w:lang w:val="en-CA"/>
        </w:rPr>
        <w:t>LISTED</w:t>
      </w:r>
      <w:r w:rsidRPr="007568B3">
        <w:rPr>
          <w:sz w:val="28"/>
          <w:u w:val="single"/>
          <w:lang w:val="en-CA"/>
        </w:rPr>
        <w:t xml:space="preserve"> SECURITIES </w:t>
      </w:r>
    </w:p>
    <w:p w:rsidR="00EA4133" w:rsidRDefault="00ED65F8">
      <w:pPr>
        <w:pStyle w:val="Title"/>
        <w:spacing w:before="0" w:after="0"/>
        <w:rPr>
          <w:sz w:val="28"/>
          <w:u w:val="single"/>
          <w:lang w:val="en-CA"/>
        </w:rPr>
      </w:pPr>
      <w:r>
        <w:rPr>
          <w:sz w:val="28"/>
          <w:u w:val="single"/>
          <w:lang w:val="en-CA"/>
        </w:rPr>
        <w:t xml:space="preserve">(or securities convertible or exchangeable into </w:t>
      </w:r>
      <w:r>
        <w:rPr>
          <w:sz w:val="28"/>
          <w:u w:val="single"/>
          <w:lang w:val="en-CA"/>
        </w:rPr>
        <w:t>listed</w:t>
      </w:r>
      <w:r>
        <w:rPr>
          <w:sz w:val="28"/>
          <w:u w:val="single"/>
          <w:lang w:val="en-CA"/>
        </w:rPr>
        <w:t xml:space="preserve"> securities</w:t>
      </w:r>
      <w:r>
        <w:rPr>
          <w:rStyle w:val="FootnoteReference"/>
        </w:rPr>
        <w:footnoteRef/>
      </w:r>
      <w:r>
        <w:rPr>
          <w:sz w:val="28"/>
          <w:u w:val="single"/>
          <w:lang w:val="en-CA"/>
        </w:rPr>
        <w:t>)</w:t>
      </w:r>
    </w:p>
    <w:p w:rsidR="00EA4133" w:rsidRDefault="00ED65F8">
      <w:pPr>
        <w:pStyle w:val="BodyText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Please complete the following:</w:t>
      </w:r>
    </w:p>
    <w:p w:rsidR="00EA4133" w:rsidRDefault="00ED65F8">
      <w:pPr>
        <w:pStyle w:val="BodyText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Name of </w:t>
      </w:r>
      <w:r>
        <w:rPr>
          <w:rFonts w:ascii="Arial" w:hAnsi="Arial"/>
          <w:lang w:val="en-CA"/>
        </w:rPr>
        <w:t>Listed</w:t>
      </w:r>
      <w:r>
        <w:rPr>
          <w:rFonts w:ascii="Arial" w:hAnsi="Arial"/>
          <w:lang w:val="en-CA"/>
        </w:rPr>
        <w:t xml:space="preserve"> Issuer:  </w:t>
      </w:r>
      <w:r w:rsidRPr="00264390">
        <w:rPr>
          <w:rFonts w:ascii="Arial" w:hAnsi="Arial"/>
          <w:u w:val="single"/>
          <w:lang w:val="en-CA"/>
        </w:rPr>
        <w:t>Laguna Blends Inc.</w:t>
      </w:r>
      <w:r>
        <w:rPr>
          <w:rFonts w:ascii="Arial" w:hAnsi="Arial"/>
          <w:u w:val="single"/>
          <w:lang w:val="en-CA"/>
        </w:rPr>
        <w:tab/>
      </w:r>
      <w:r>
        <w:rPr>
          <w:rFonts w:ascii="Arial" w:hAnsi="Arial"/>
          <w:u w:val="single"/>
          <w:lang w:val="en-CA"/>
        </w:rPr>
        <w:tab/>
      </w:r>
      <w:r>
        <w:rPr>
          <w:rFonts w:ascii="Arial" w:hAnsi="Arial"/>
          <w:u w:val="single"/>
          <w:lang w:val="en-CA"/>
        </w:rPr>
        <w:tab/>
      </w:r>
      <w:r>
        <w:rPr>
          <w:rFonts w:ascii="Arial" w:hAnsi="Arial"/>
          <w:u w:val="single"/>
          <w:lang w:val="en-CA"/>
        </w:rPr>
        <w:tab/>
      </w:r>
      <w:r>
        <w:rPr>
          <w:rFonts w:ascii="Arial" w:hAnsi="Arial"/>
          <w:lang w:val="en-CA"/>
        </w:rPr>
        <w:t xml:space="preserve">(the “Issuer”).  </w:t>
      </w:r>
    </w:p>
    <w:p w:rsidR="00EA4133" w:rsidRDefault="00ED65F8">
      <w:pPr>
        <w:pStyle w:val="BodyText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Trading Symbol:  </w:t>
      </w:r>
      <w:r w:rsidRPr="00264390">
        <w:rPr>
          <w:rFonts w:ascii="Arial" w:hAnsi="Arial"/>
          <w:u w:val="single"/>
          <w:lang w:val="en-CA"/>
        </w:rPr>
        <w:t>LAG</w:t>
      </w:r>
      <w:r w:rsidRPr="00264390">
        <w:rPr>
          <w:rFonts w:ascii="Arial" w:hAnsi="Arial"/>
          <w:u w:val="single"/>
          <w:lang w:val="en-CA"/>
        </w:rPr>
        <w:tab/>
      </w:r>
      <w:r>
        <w:rPr>
          <w:rFonts w:ascii="Arial" w:hAnsi="Arial"/>
          <w:u w:val="single"/>
          <w:lang w:val="en-CA"/>
        </w:rPr>
        <w:tab/>
      </w:r>
      <w:r>
        <w:rPr>
          <w:rFonts w:ascii="Arial" w:hAnsi="Arial"/>
          <w:u w:val="single"/>
          <w:lang w:val="en-CA"/>
        </w:rPr>
        <w:tab/>
      </w:r>
      <w:r>
        <w:rPr>
          <w:rFonts w:ascii="Arial" w:hAnsi="Arial"/>
          <w:u w:val="single"/>
          <w:lang w:val="en-CA"/>
        </w:rPr>
        <w:tab/>
      </w:r>
      <w:r>
        <w:rPr>
          <w:rFonts w:ascii="Arial" w:hAnsi="Arial"/>
          <w:lang w:val="en-CA"/>
        </w:rPr>
        <w:t xml:space="preserve"> .</w:t>
      </w:r>
    </w:p>
    <w:p w:rsidR="00EA4133" w:rsidRDefault="00ED65F8">
      <w:pPr>
        <w:pStyle w:val="BodyText"/>
        <w:spacing w:after="24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Date:  </w:t>
      </w:r>
      <w:r>
        <w:rPr>
          <w:rFonts w:ascii="Arial" w:hAnsi="Arial"/>
          <w:u w:val="single"/>
          <w:lang w:val="en-CA"/>
        </w:rPr>
        <w:tab/>
      </w:r>
      <w:r>
        <w:rPr>
          <w:rFonts w:ascii="Arial" w:hAnsi="Arial"/>
          <w:u w:val="single"/>
          <w:lang w:val="en-CA"/>
        </w:rPr>
        <w:t>March</w:t>
      </w:r>
      <w:r w:rsidR="00567DA0">
        <w:rPr>
          <w:rFonts w:ascii="Arial" w:hAnsi="Arial"/>
          <w:u w:val="single"/>
          <w:lang w:val="en-CA"/>
        </w:rPr>
        <w:t xml:space="preserve"> 23</w:t>
      </w:r>
      <w:r>
        <w:rPr>
          <w:rFonts w:ascii="Arial" w:hAnsi="Arial"/>
          <w:u w:val="single"/>
          <w:lang w:val="en-CA"/>
        </w:rPr>
        <w:t>, 2016</w:t>
      </w:r>
      <w:r>
        <w:rPr>
          <w:rFonts w:ascii="Arial" w:hAnsi="Arial"/>
          <w:u w:val="single"/>
          <w:lang w:val="en-CA"/>
        </w:rPr>
        <w:tab/>
      </w:r>
      <w:r>
        <w:rPr>
          <w:rFonts w:ascii="Arial" w:hAnsi="Arial"/>
          <w:u w:val="single"/>
          <w:lang w:val="en-CA"/>
        </w:rPr>
        <w:tab/>
      </w:r>
      <w:r>
        <w:rPr>
          <w:rFonts w:ascii="Arial" w:hAnsi="Arial"/>
          <w:u w:val="single"/>
          <w:lang w:val="en-CA"/>
        </w:rPr>
        <w:tab/>
      </w:r>
      <w:r>
        <w:rPr>
          <w:rFonts w:ascii="Arial" w:hAnsi="Arial"/>
          <w:u w:val="single"/>
          <w:lang w:val="en-CA"/>
        </w:rPr>
        <w:tab/>
      </w:r>
      <w:r>
        <w:rPr>
          <w:rFonts w:ascii="Arial" w:hAnsi="Arial"/>
          <w:u w:val="single"/>
          <w:lang w:val="en-CA"/>
        </w:rPr>
        <w:tab/>
      </w:r>
      <w:r>
        <w:rPr>
          <w:rFonts w:ascii="Arial" w:hAnsi="Arial"/>
          <w:lang w:val="en-CA"/>
        </w:rPr>
        <w:t xml:space="preserve"> .</w:t>
      </w:r>
    </w:p>
    <w:p w:rsidR="00EA4133" w:rsidRDefault="00ED65F8">
      <w:pPr>
        <w:pStyle w:val="BodyText"/>
        <w:tabs>
          <w:tab w:val="left" w:pos="2160"/>
        </w:tabs>
        <w:spacing w:after="240"/>
        <w:rPr>
          <w:rFonts w:ascii="Arial" w:hAnsi="Arial"/>
          <w:sz w:val="32"/>
          <w:lang w:val="en-CA"/>
        </w:rPr>
      </w:pPr>
      <w:r>
        <w:rPr>
          <w:rFonts w:ascii="Arial" w:hAnsi="Arial"/>
          <w:lang w:val="en-CA"/>
        </w:rPr>
        <w:t>Is this an updating or amending Notice:</w:t>
      </w: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</w:r>
      <w:r>
        <w:rPr>
          <w:rFonts w:ascii="Monotype Sorts" w:hAnsi="Monotype Sorts"/>
          <w:lang w:val="en-CA"/>
        </w:rPr>
        <w:sym w:font="Monotype Sorts" w:char="F07F"/>
      </w:r>
      <w:r>
        <w:rPr>
          <w:rFonts w:ascii="Arial" w:hAnsi="Arial"/>
          <w:lang w:val="en-CA"/>
        </w:rPr>
        <w:t>Yes</w:t>
      </w: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</w:r>
      <w:r>
        <w:rPr>
          <w:rFonts w:ascii="Wingdings" w:hAnsi="Wingdings"/>
          <w:lang w:val="en-CA"/>
        </w:rPr>
        <w:sym w:font="Wingdings" w:char="F078"/>
      </w:r>
      <w:r>
        <w:rPr>
          <w:rFonts w:ascii="Arial" w:hAnsi="Arial"/>
          <w:lang w:val="en-CA"/>
        </w:rPr>
        <w:t>No</w:t>
      </w:r>
      <w:r>
        <w:rPr>
          <w:rFonts w:ascii="Arial" w:hAnsi="Arial"/>
          <w:sz w:val="32"/>
          <w:lang w:val="en-CA"/>
        </w:rPr>
        <w:tab/>
      </w:r>
    </w:p>
    <w:p w:rsidR="00EA4133" w:rsidRDefault="00ED65F8">
      <w:pPr>
        <w:pStyle w:val="BodyText"/>
        <w:tabs>
          <w:tab w:val="left" w:pos="9180"/>
        </w:tabs>
        <w:spacing w:before="0" w:after="24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If yes provide date(s) of prior Notices:  </w:t>
      </w:r>
      <w:r w:rsidRPr="00264390">
        <w:rPr>
          <w:rFonts w:ascii="Arial" w:hAnsi="Arial"/>
          <w:u w:val="single"/>
          <w:lang w:val="en-CA"/>
        </w:rPr>
        <w:t>N/A</w:t>
      </w:r>
      <w:r w:rsidRPr="00264390">
        <w:rPr>
          <w:rFonts w:ascii="Arial" w:hAnsi="Arial"/>
          <w:u w:val="single"/>
          <w:lang w:val="en-CA"/>
        </w:rPr>
        <w:t>_</w:t>
      </w:r>
      <w:r>
        <w:rPr>
          <w:rFonts w:ascii="Arial" w:hAnsi="Arial"/>
          <w:lang w:val="en-CA"/>
        </w:rPr>
        <w:t>_______________________.</w:t>
      </w:r>
    </w:p>
    <w:p w:rsidR="00EA4133" w:rsidRDefault="00ED65F8">
      <w:pPr>
        <w:pStyle w:val="BodyText"/>
        <w:tabs>
          <w:tab w:val="left" w:pos="9180"/>
        </w:tabs>
        <w:spacing w:before="0" w:after="24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Issued and Outstanding Securities of Issuer Prior to Issuance:  </w:t>
      </w:r>
      <w:r w:rsidRPr="00264390">
        <w:rPr>
          <w:rFonts w:ascii="Arial" w:hAnsi="Arial"/>
          <w:u w:val="single"/>
          <w:lang w:val="en-CA"/>
        </w:rPr>
        <w:t>45,6</w:t>
      </w:r>
      <w:r>
        <w:rPr>
          <w:rFonts w:ascii="Arial" w:hAnsi="Arial"/>
          <w:u w:val="single"/>
          <w:lang w:val="en-CA"/>
        </w:rPr>
        <w:t>48</w:t>
      </w:r>
      <w:r w:rsidRPr="00264390">
        <w:rPr>
          <w:rFonts w:ascii="Arial" w:hAnsi="Arial"/>
          <w:u w:val="single"/>
          <w:lang w:val="en-CA"/>
        </w:rPr>
        <w:t>,</w:t>
      </w:r>
      <w:r>
        <w:rPr>
          <w:rFonts w:ascii="Arial" w:hAnsi="Arial"/>
          <w:u w:val="single"/>
          <w:lang w:val="en-CA"/>
        </w:rPr>
        <w:t>511</w:t>
      </w:r>
      <w:r>
        <w:rPr>
          <w:rFonts w:ascii="Arial" w:hAnsi="Arial"/>
          <w:u w:val="single"/>
          <w:lang w:val="en-CA"/>
        </w:rPr>
        <w:t xml:space="preserve"> common shares of the Issuer were outstanding </w:t>
      </w:r>
      <w:r>
        <w:rPr>
          <w:rFonts w:ascii="Arial" w:hAnsi="Arial"/>
          <w:u w:val="single"/>
          <w:lang w:val="en-CA"/>
        </w:rPr>
        <w:t>as of November 13</w:t>
      </w:r>
      <w:r w:rsidRPr="00264390">
        <w:rPr>
          <w:rFonts w:ascii="Arial" w:hAnsi="Arial"/>
          <w:u w:val="single"/>
          <w:lang w:val="en-CA"/>
        </w:rPr>
        <w:t>, 2015</w:t>
      </w:r>
      <w:r>
        <w:rPr>
          <w:rFonts w:ascii="Arial" w:hAnsi="Arial"/>
          <w:u w:val="single"/>
          <w:lang w:val="en-CA"/>
        </w:rPr>
        <w:t>, the day prior to the Issuer entering into the investor relations consulting agreement (the “</w:t>
      </w:r>
      <w:r w:rsidRPr="00DC1787">
        <w:rPr>
          <w:rFonts w:ascii="Arial" w:hAnsi="Arial"/>
          <w:b/>
          <w:u w:val="single"/>
          <w:lang w:val="en-CA"/>
        </w:rPr>
        <w:t>IR Agreement</w:t>
      </w:r>
      <w:r>
        <w:rPr>
          <w:rFonts w:ascii="Arial" w:hAnsi="Arial"/>
          <w:u w:val="single"/>
          <w:lang w:val="en-CA"/>
        </w:rPr>
        <w:t>”) with Glenn Shand and Associates, LLC (the “</w:t>
      </w:r>
      <w:r w:rsidRPr="00DC1787">
        <w:rPr>
          <w:rFonts w:ascii="Arial" w:hAnsi="Arial"/>
          <w:b/>
          <w:u w:val="single"/>
          <w:lang w:val="en-CA"/>
        </w:rPr>
        <w:t>Consultant</w:t>
      </w:r>
      <w:r>
        <w:rPr>
          <w:rFonts w:ascii="Arial" w:hAnsi="Arial"/>
          <w:u w:val="single"/>
          <w:lang w:val="en-CA"/>
        </w:rPr>
        <w:t>”)</w:t>
      </w:r>
      <w:r>
        <w:rPr>
          <w:rFonts w:ascii="Arial" w:hAnsi="Arial"/>
          <w:u w:val="single"/>
          <w:lang w:val="en-CA"/>
        </w:rPr>
        <w:t xml:space="preserve">; </w:t>
      </w:r>
      <w:r>
        <w:rPr>
          <w:rFonts w:ascii="Arial" w:hAnsi="Arial"/>
          <w:u w:val="single"/>
          <w:lang w:val="en-CA"/>
        </w:rPr>
        <w:t xml:space="preserve">19,184,226 </w:t>
      </w:r>
      <w:r>
        <w:rPr>
          <w:rFonts w:ascii="Arial" w:hAnsi="Arial"/>
          <w:u w:val="single"/>
          <w:lang w:val="en-CA"/>
        </w:rPr>
        <w:t xml:space="preserve">common shares of the Issuer </w:t>
      </w:r>
      <w:r>
        <w:rPr>
          <w:rFonts w:ascii="Arial" w:hAnsi="Arial"/>
          <w:u w:val="single"/>
          <w:lang w:val="en-CA"/>
        </w:rPr>
        <w:t xml:space="preserve">(on a post-consolidated basis) </w:t>
      </w:r>
      <w:r>
        <w:rPr>
          <w:rFonts w:ascii="Arial" w:hAnsi="Arial"/>
          <w:u w:val="single"/>
          <w:lang w:val="en-CA"/>
        </w:rPr>
        <w:t>were outstanding as of March 1, 2016, the day prior to the Issuer granting the stock options to the Consultant</w:t>
      </w:r>
      <w:r>
        <w:rPr>
          <w:rFonts w:ascii="Arial" w:hAnsi="Arial"/>
          <w:u w:val="single"/>
          <w:lang w:val="en-CA"/>
        </w:rPr>
        <w:tab/>
      </w:r>
      <w:r>
        <w:rPr>
          <w:rFonts w:ascii="Arial" w:hAnsi="Arial"/>
          <w:lang w:val="en-CA"/>
        </w:rPr>
        <w:t xml:space="preserve"> .</w:t>
      </w:r>
    </w:p>
    <w:p w:rsidR="00EA4133" w:rsidRDefault="00ED65F8">
      <w:pPr>
        <w:pStyle w:val="BodyText"/>
        <w:tabs>
          <w:tab w:val="left" w:pos="9180"/>
        </w:tabs>
        <w:spacing w:before="0" w:after="24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Date of News Release Announcing Private Placement:  </w:t>
      </w:r>
      <w:r w:rsidRPr="0067181E">
        <w:rPr>
          <w:rFonts w:ascii="Arial" w:hAnsi="Arial"/>
          <w:u w:val="single"/>
          <w:lang w:val="en-CA"/>
        </w:rPr>
        <w:t>The news release announcing the</w:t>
      </w:r>
      <w:r w:rsidRPr="0067181E">
        <w:rPr>
          <w:rFonts w:ascii="Arial" w:hAnsi="Arial"/>
          <w:u w:val="single"/>
          <w:lang w:val="en-CA"/>
        </w:rPr>
        <w:t xml:space="preserve"> IR Agreement was </w:t>
      </w:r>
      <w:r>
        <w:rPr>
          <w:rFonts w:ascii="Arial" w:hAnsi="Arial"/>
          <w:u w:val="single"/>
          <w:lang w:val="en-CA"/>
        </w:rPr>
        <w:t xml:space="preserve">disseminated on </w:t>
      </w:r>
      <w:r w:rsidRPr="0067181E">
        <w:rPr>
          <w:rFonts w:ascii="Arial" w:hAnsi="Arial"/>
          <w:u w:val="single"/>
          <w:lang w:val="en-CA"/>
        </w:rPr>
        <w:t>November 18, 2015</w:t>
      </w:r>
      <w:r w:rsidRPr="0067181E">
        <w:rPr>
          <w:rFonts w:ascii="Arial" w:hAnsi="Arial"/>
          <w:u w:val="single"/>
          <w:lang w:val="en-CA"/>
        </w:rPr>
        <w:tab/>
      </w:r>
      <w:r>
        <w:rPr>
          <w:rFonts w:ascii="Arial" w:hAnsi="Arial"/>
          <w:lang w:val="en-CA"/>
        </w:rPr>
        <w:t xml:space="preserve"> .</w:t>
      </w:r>
    </w:p>
    <w:p w:rsidR="00EA4133" w:rsidRPr="0041498B" w:rsidRDefault="00ED65F8">
      <w:pPr>
        <w:pStyle w:val="BodyText"/>
        <w:tabs>
          <w:tab w:val="left" w:pos="9180"/>
        </w:tabs>
        <w:spacing w:before="0" w:after="24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Closing Market Price on Day Preceding the Issuance of the News Release: </w:t>
      </w:r>
      <w:r w:rsidRPr="00264390">
        <w:rPr>
          <w:rFonts w:ascii="Arial" w:hAnsi="Arial"/>
          <w:u w:val="single"/>
          <w:lang w:val="en-CA"/>
        </w:rPr>
        <w:t>$0.205</w:t>
      </w:r>
      <w:r>
        <w:rPr>
          <w:rFonts w:ascii="Arial" w:hAnsi="Arial"/>
          <w:u w:val="single"/>
          <w:lang w:val="en-CA"/>
        </w:rPr>
        <w:t xml:space="preserve"> on November 17, 2015</w:t>
      </w:r>
      <w:r>
        <w:rPr>
          <w:rFonts w:ascii="Arial" w:hAnsi="Arial"/>
          <w:u w:val="single"/>
          <w:lang w:val="en-CA"/>
        </w:rPr>
        <w:t>; $</w:t>
      </w:r>
      <w:r w:rsidRPr="00940192">
        <w:rPr>
          <w:rFonts w:ascii="Arial" w:hAnsi="Arial"/>
          <w:u w:val="single"/>
          <w:lang w:val="en-CA"/>
        </w:rPr>
        <w:t>0.155</w:t>
      </w:r>
      <w:r>
        <w:rPr>
          <w:rFonts w:ascii="Arial" w:hAnsi="Arial"/>
          <w:u w:val="single"/>
          <w:lang w:val="en-CA"/>
        </w:rPr>
        <w:t xml:space="preserve"> on March 1, 2016</w:t>
      </w:r>
      <w:r>
        <w:rPr>
          <w:rFonts w:ascii="Arial" w:hAnsi="Arial"/>
          <w:lang w:val="en-CA"/>
        </w:rPr>
        <w:t xml:space="preserve"> .</w:t>
      </w:r>
    </w:p>
    <w:p w:rsidR="00A90670" w:rsidRDefault="00ED65F8">
      <w:pPr>
        <w:pStyle w:val="BodyText"/>
        <w:spacing w:before="0" w:after="240"/>
        <w:rPr>
          <w:rFonts w:ascii="Arial" w:hAnsi="Arial"/>
          <w:b/>
          <w:lang w:val="en-CA"/>
        </w:rPr>
      </w:pPr>
      <w:r>
        <w:rPr>
          <w:rFonts w:ascii="Arial" w:hAnsi="Arial"/>
          <w:b/>
          <w:lang w:val="en-CA"/>
        </w:rPr>
        <w:t>1.</w:t>
      </w:r>
      <w:r>
        <w:rPr>
          <w:rFonts w:ascii="Arial" w:hAnsi="Arial"/>
          <w:b/>
          <w:lang w:val="en-CA"/>
        </w:rPr>
        <w:tab/>
        <w:t xml:space="preserve">Private Placement (if shares are being issued in connection with an </w:t>
      </w:r>
      <w:r>
        <w:rPr>
          <w:rFonts w:ascii="Arial" w:hAnsi="Arial"/>
          <w:b/>
          <w:lang w:val="en-CA"/>
        </w:rPr>
        <w:t>acquisition (either as consideration or to raise funds for a cash acquisition), proceed to Part 2 of this form)</w:t>
      </w:r>
    </w:p>
    <w:tbl>
      <w:tblPr>
        <w:tblW w:w="106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4"/>
        <w:gridCol w:w="1376"/>
        <w:gridCol w:w="1192"/>
        <w:gridCol w:w="1376"/>
        <w:gridCol w:w="1250"/>
        <w:gridCol w:w="1800"/>
        <w:gridCol w:w="990"/>
        <w:gridCol w:w="1278"/>
      </w:tblGrid>
      <w:tr w:rsidR="003F1D9A" w:rsidTr="00B35C67">
        <w:trPr>
          <w:trHeight w:val="1965"/>
        </w:trPr>
        <w:tc>
          <w:tcPr>
            <w:tcW w:w="1394" w:type="dxa"/>
          </w:tcPr>
          <w:p w:rsidR="00EA4133" w:rsidRPr="00B35C67" w:rsidRDefault="00ED65F8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18"/>
                <w:szCs w:val="18"/>
                <w:lang w:val="en-CA"/>
              </w:rPr>
            </w:pPr>
          </w:p>
          <w:p w:rsidR="00EA4133" w:rsidRPr="00B35C67" w:rsidRDefault="00ED65F8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18"/>
                <w:szCs w:val="18"/>
                <w:lang w:val="en-CA"/>
              </w:rPr>
            </w:pPr>
            <w:r w:rsidRPr="00B35C67">
              <w:rPr>
                <w:rFonts w:ascii="Arial" w:hAnsi="Arial"/>
                <w:b/>
                <w:sz w:val="18"/>
                <w:szCs w:val="18"/>
                <w:lang w:val="en-CA"/>
              </w:rPr>
              <w:t>Full Name &amp; Residential Address of Placee</w:t>
            </w:r>
          </w:p>
        </w:tc>
        <w:tc>
          <w:tcPr>
            <w:tcW w:w="1376" w:type="dxa"/>
          </w:tcPr>
          <w:p w:rsidR="00EA4133" w:rsidRPr="00B35C67" w:rsidRDefault="00ED65F8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18"/>
                <w:szCs w:val="18"/>
                <w:lang w:val="en-CA"/>
              </w:rPr>
            </w:pPr>
          </w:p>
          <w:p w:rsidR="00EA4133" w:rsidRPr="00B35C67" w:rsidRDefault="00ED65F8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18"/>
                <w:szCs w:val="18"/>
                <w:lang w:val="en-CA"/>
              </w:rPr>
            </w:pPr>
            <w:r w:rsidRPr="00B35C67">
              <w:rPr>
                <w:rFonts w:ascii="Arial" w:hAnsi="Arial"/>
                <w:b/>
                <w:sz w:val="18"/>
                <w:szCs w:val="18"/>
                <w:lang w:val="en-CA"/>
              </w:rPr>
              <w:t>Number of Securities Purchased or to be Purchased</w:t>
            </w:r>
          </w:p>
        </w:tc>
        <w:tc>
          <w:tcPr>
            <w:tcW w:w="1192" w:type="dxa"/>
          </w:tcPr>
          <w:p w:rsidR="00EA4133" w:rsidRPr="00B35C67" w:rsidRDefault="00ED65F8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18"/>
                <w:szCs w:val="18"/>
                <w:lang w:val="en-CA"/>
              </w:rPr>
            </w:pPr>
          </w:p>
          <w:p w:rsidR="00EA4133" w:rsidRPr="00B35C67" w:rsidRDefault="00ED65F8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18"/>
                <w:szCs w:val="18"/>
                <w:lang w:val="en-CA"/>
              </w:rPr>
            </w:pPr>
            <w:r w:rsidRPr="00B35C67">
              <w:rPr>
                <w:rFonts w:ascii="Arial" w:hAnsi="Arial"/>
                <w:b/>
                <w:sz w:val="18"/>
                <w:szCs w:val="18"/>
                <w:lang w:val="en-CA"/>
              </w:rPr>
              <w:t>Purchase price per Security (CDN$)</w:t>
            </w:r>
          </w:p>
        </w:tc>
        <w:tc>
          <w:tcPr>
            <w:tcW w:w="1376" w:type="dxa"/>
          </w:tcPr>
          <w:p w:rsidR="00EA4133" w:rsidRPr="00B35C67" w:rsidRDefault="00ED65F8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18"/>
                <w:szCs w:val="18"/>
                <w:lang w:val="en-CA"/>
              </w:rPr>
            </w:pPr>
          </w:p>
          <w:p w:rsidR="00EA4133" w:rsidRPr="00B35C67" w:rsidRDefault="00ED65F8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18"/>
                <w:szCs w:val="18"/>
                <w:lang w:val="en-CA"/>
              </w:rPr>
            </w:pPr>
            <w:r w:rsidRPr="00B35C67">
              <w:rPr>
                <w:rFonts w:ascii="Arial" w:hAnsi="Arial"/>
                <w:b/>
                <w:sz w:val="18"/>
                <w:szCs w:val="18"/>
                <w:lang w:val="en-CA"/>
              </w:rPr>
              <w:t>Conversion</w:t>
            </w:r>
          </w:p>
          <w:p w:rsidR="00EA4133" w:rsidRPr="00B35C67" w:rsidRDefault="00ED65F8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18"/>
                <w:szCs w:val="18"/>
                <w:lang w:val="en-CA"/>
              </w:rPr>
            </w:pPr>
            <w:r w:rsidRPr="00B35C67">
              <w:rPr>
                <w:rFonts w:ascii="Arial" w:hAnsi="Arial"/>
                <w:b/>
                <w:sz w:val="18"/>
                <w:szCs w:val="18"/>
                <w:lang w:val="en-CA"/>
              </w:rPr>
              <w:t>Pr</w:t>
            </w:r>
            <w:r w:rsidRPr="00B35C67">
              <w:rPr>
                <w:rFonts w:ascii="Arial" w:hAnsi="Arial"/>
                <w:b/>
                <w:sz w:val="18"/>
                <w:szCs w:val="18"/>
                <w:lang w:val="en-CA"/>
              </w:rPr>
              <w:t>ice (if</w:t>
            </w:r>
          </w:p>
          <w:p w:rsidR="00EA4133" w:rsidRPr="00B35C67" w:rsidRDefault="00ED65F8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18"/>
                <w:szCs w:val="18"/>
                <w:lang w:val="en-CA"/>
              </w:rPr>
            </w:pPr>
            <w:r w:rsidRPr="00B35C67">
              <w:rPr>
                <w:rFonts w:ascii="Arial" w:hAnsi="Arial"/>
                <w:b/>
                <w:sz w:val="18"/>
                <w:szCs w:val="18"/>
                <w:lang w:val="en-CA"/>
              </w:rPr>
              <w:t>Applicable)</w:t>
            </w:r>
          </w:p>
        </w:tc>
        <w:tc>
          <w:tcPr>
            <w:tcW w:w="1250" w:type="dxa"/>
          </w:tcPr>
          <w:p w:rsidR="00EA4133" w:rsidRPr="00B35C67" w:rsidRDefault="00ED65F8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18"/>
                <w:szCs w:val="18"/>
                <w:lang w:val="en-CA"/>
              </w:rPr>
            </w:pPr>
          </w:p>
          <w:p w:rsidR="00EA4133" w:rsidRPr="00B35C67" w:rsidRDefault="00ED65F8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18"/>
                <w:szCs w:val="18"/>
                <w:lang w:val="en-CA"/>
              </w:rPr>
            </w:pPr>
            <w:r w:rsidRPr="00B35C67">
              <w:rPr>
                <w:rFonts w:ascii="Arial" w:hAnsi="Arial"/>
                <w:b/>
                <w:sz w:val="18"/>
                <w:szCs w:val="18"/>
                <w:lang w:val="en-CA"/>
              </w:rPr>
              <w:t>Prospectus Exemption</w:t>
            </w:r>
          </w:p>
        </w:tc>
        <w:tc>
          <w:tcPr>
            <w:tcW w:w="1800" w:type="dxa"/>
          </w:tcPr>
          <w:p w:rsidR="00EA4133" w:rsidRPr="00B35C67" w:rsidRDefault="00ED65F8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18"/>
                <w:szCs w:val="18"/>
                <w:lang w:val="en-CA"/>
              </w:rPr>
            </w:pPr>
            <w:r w:rsidRPr="00B35C67">
              <w:rPr>
                <w:rFonts w:ascii="Arial" w:hAnsi="Arial"/>
                <w:b/>
                <w:sz w:val="18"/>
                <w:szCs w:val="18"/>
              </w:rPr>
              <w:t>No. of Securities, directly or indirectly, Owned, Controlled or Directed</w:t>
            </w:r>
          </w:p>
        </w:tc>
        <w:tc>
          <w:tcPr>
            <w:tcW w:w="990" w:type="dxa"/>
          </w:tcPr>
          <w:p w:rsidR="00EA4133" w:rsidRPr="00B35C67" w:rsidRDefault="00ED65F8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18"/>
                <w:szCs w:val="18"/>
                <w:lang w:val="en-CA"/>
              </w:rPr>
            </w:pPr>
          </w:p>
          <w:p w:rsidR="00EA4133" w:rsidRPr="00B35C67" w:rsidRDefault="00ED65F8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18"/>
                <w:szCs w:val="18"/>
                <w:lang w:val="en-CA"/>
              </w:rPr>
            </w:pPr>
            <w:r w:rsidRPr="00B35C67">
              <w:rPr>
                <w:rFonts w:ascii="Arial" w:hAnsi="Arial"/>
                <w:b/>
                <w:sz w:val="18"/>
                <w:szCs w:val="18"/>
                <w:lang w:val="en-CA"/>
              </w:rPr>
              <w:t>Payment Date</w:t>
            </w:r>
          </w:p>
        </w:tc>
        <w:tc>
          <w:tcPr>
            <w:tcW w:w="1278" w:type="dxa"/>
          </w:tcPr>
          <w:p w:rsidR="00EA4133" w:rsidRPr="00B35C67" w:rsidRDefault="00ED65F8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val="en-CA"/>
              </w:rPr>
            </w:pPr>
          </w:p>
          <w:p w:rsidR="00EA4133" w:rsidRPr="00B35C67" w:rsidRDefault="00ED65F8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val="en-CA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  <w:lang w:val="en-CA"/>
              </w:rPr>
              <w:t>Describe relationship to Issuer</w:t>
            </w:r>
          </w:p>
        </w:tc>
      </w:tr>
      <w:tr w:rsidR="003F1D9A" w:rsidTr="0067181E">
        <w:trPr>
          <w:trHeight w:val="557"/>
        </w:trPr>
        <w:tc>
          <w:tcPr>
            <w:tcW w:w="1394" w:type="dxa"/>
          </w:tcPr>
          <w:p w:rsidR="00A90670" w:rsidRPr="00B35C67" w:rsidRDefault="00ED65F8" w:rsidP="00DC1787">
            <w:pPr>
              <w:pStyle w:val="BodyText"/>
              <w:spacing w:before="0" w:line="280" w:lineRule="exact"/>
              <w:rPr>
                <w:rFonts w:ascii="Arial" w:hAnsi="Arial"/>
                <w:sz w:val="18"/>
                <w:szCs w:val="18"/>
                <w:lang w:val="en-CA"/>
              </w:rPr>
            </w:pPr>
            <w:r w:rsidRPr="00B35C67">
              <w:rPr>
                <w:rFonts w:ascii="Arial" w:hAnsi="Arial"/>
                <w:sz w:val="18"/>
                <w:szCs w:val="18"/>
                <w:lang w:val="en-CA"/>
              </w:rPr>
              <w:t>N/A</w:t>
            </w:r>
          </w:p>
        </w:tc>
        <w:tc>
          <w:tcPr>
            <w:tcW w:w="1376" w:type="dxa"/>
          </w:tcPr>
          <w:p w:rsidR="00A90670" w:rsidRPr="00B35C67" w:rsidRDefault="00ED65F8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1192" w:type="dxa"/>
          </w:tcPr>
          <w:p w:rsidR="00A90670" w:rsidRPr="00B35C67" w:rsidRDefault="00ED65F8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1376" w:type="dxa"/>
          </w:tcPr>
          <w:p w:rsidR="00A90670" w:rsidRPr="00B35C67" w:rsidRDefault="00ED65F8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1250" w:type="dxa"/>
          </w:tcPr>
          <w:p w:rsidR="00A90670" w:rsidRPr="00B35C67" w:rsidRDefault="00ED65F8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1800" w:type="dxa"/>
          </w:tcPr>
          <w:p w:rsidR="00A90670" w:rsidRPr="00B35C67" w:rsidRDefault="00ED65F8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A90670" w:rsidRPr="00B35C67" w:rsidRDefault="00ED65F8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1278" w:type="dxa"/>
          </w:tcPr>
          <w:p w:rsidR="00A90670" w:rsidRPr="00B35C67" w:rsidRDefault="00ED65F8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val="en-CA"/>
              </w:rPr>
            </w:pPr>
          </w:p>
        </w:tc>
      </w:tr>
    </w:tbl>
    <w:p w:rsidR="00EA4133" w:rsidRPr="008003B9" w:rsidRDefault="00ED65F8" w:rsidP="0067181E">
      <w:pPr>
        <w:pStyle w:val="BodyText"/>
        <w:spacing w:before="120"/>
        <w:rPr>
          <w:rFonts w:ascii="Arial" w:hAnsi="Arial" w:cs="Arial"/>
          <w:sz w:val="20"/>
        </w:rPr>
      </w:pPr>
    </w:p>
    <w:p w:rsidR="00EA4133" w:rsidRPr="008003B9" w:rsidRDefault="00ED65F8">
      <w:pPr>
        <w:pStyle w:val="FootnoteText"/>
        <w:rPr>
          <w:rFonts w:ascii="Arial" w:hAnsi="Arial" w:cs="Arial"/>
          <w:sz w:val="24"/>
          <w:szCs w:val="24"/>
        </w:rPr>
      </w:pPr>
      <w:r w:rsidRPr="008003B9">
        <w:rPr>
          <w:rFonts w:ascii="Arial" w:hAnsi="Arial" w:cs="Arial"/>
          <w:vertAlign w:val="superscript"/>
        </w:rPr>
        <w:t>1</w:t>
      </w:r>
      <w:r w:rsidRPr="008003B9">
        <w:rPr>
          <w:rFonts w:ascii="Arial" w:hAnsi="Arial" w:cs="Arial"/>
        </w:rPr>
        <w:t>An issuance of non-convertible debt does not have to be reported unless it is a</w:t>
      </w:r>
      <w:r w:rsidRPr="008003B9">
        <w:rPr>
          <w:rFonts w:ascii="Arial" w:hAnsi="Arial" w:cs="Arial"/>
        </w:rPr>
        <w:t xml:space="preserve"> significant transaction as defined in Policy 7, in which case it is to be reported on Form 10</w:t>
      </w:r>
      <w:r w:rsidRPr="008003B9">
        <w:rPr>
          <w:rFonts w:ascii="Arial" w:hAnsi="Arial" w:cs="Arial"/>
          <w:sz w:val="24"/>
          <w:szCs w:val="24"/>
        </w:rPr>
        <w:t>.</w:t>
      </w:r>
    </w:p>
    <w:p w:rsidR="00EA4133" w:rsidRDefault="00ED65F8">
      <w:pPr>
        <w:pStyle w:val="List"/>
        <w:tabs>
          <w:tab w:val="left" w:pos="9162"/>
        </w:tabs>
        <w:rPr>
          <w:rFonts w:ascii="Arial" w:hAnsi="Arial"/>
        </w:rPr>
      </w:pPr>
      <w:r>
        <w:rPr>
          <w:rFonts w:ascii="Arial" w:hAnsi="Arial"/>
        </w:rPr>
        <w:lastRenderedPageBreak/>
        <w:t>1.</w:t>
      </w:r>
      <w:r>
        <w:rPr>
          <w:rFonts w:ascii="Arial" w:hAnsi="Arial"/>
        </w:rPr>
        <w:tab/>
        <w:t xml:space="preserve">Total amount of funds to be raised: </w:t>
      </w:r>
      <w:r w:rsidRPr="00DC1787">
        <w:rPr>
          <w:rFonts w:ascii="Arial" w:hAnsi="Arial"/>
          <w:u w:val="single"/>
        </w:rPr>
        <w:t>N/A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:rsidR="00EA4133" w:rsidRDefault="00ED65F8">
      <w:pPr>
        <w:pStyle w:val="BodyText"/>
        <w:tabs>
          <w:tab w:val="left" w:pos="1080"/>
          <w:tab w:val="left" w:pos="9180"/>
        </w:tabs>
        <w:ind w:left="1080" w:hanging="1080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Provide full details of the use of the proceeds.  The disclosure should be sufficiently complete to enable a re</w:t>
      </w:r>
      <w:r>
        <w:rPr>
          <w:rFonts w:ascii="Arial" w:hAnsi="Arial"/>
        </w:rPr>
        <w:t xml:space="preserve">ader to appreciate the significance of the transaction without reference to any other material.  </w:t>
      </w:r>
      <w:r w:rsidRPr="00DC1787">
        <w:rPr>
          <w:rFonts w:ascii="Arial" w:hAnsi="Arial"/>
          <w:u w:val="single"/>
        </w:rPr>
        <w:t>N/A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:rsidR="00EA4133" w:rsidRDefault="00ED65F8">
      <w:pPr>
        <w:pStyle w:val="BodyText"/>
        <w:numPr>
          <w:ilvl w:val="0"/>
          <w:numId w:val="10"/>
        </w:numPr>
        <w:tabs>
          <w:tab w:val="left" w:pos="9180"/>
        </w:tabs>
        <w:rPr>
          <w:rFonts w:ascii="Arial" w:hAnsi="Arial"/>
        </w:rPr>
      </w:pPr>
      <w:r>
        <w:rPr>
          <w:rFonts w:ascii="Arial" w:hAnsi="Arial"/>
        </w:rPr>
        <w:t xml:space="preserve">Provide particulars of any proceeds which are to be paid to Related Persons of the Issuer: </w:t>
      </w:r>
      <w:r w:rsidRPr="00DC1787">
        <w:rPr>
          <w:rFonts w:ascii="Arial" w:hAnsi="Arial"/>
          <w:u w:val="single"/>
        </w:rPr>
        <w:t>N/A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:rsidR="00EA4133" w:rsidRDefault="00ED65F8">
      <w:pPr>
        <w:pStyle w:val="BodyText"/>
        <w:numPr>
          <w:ilvl w:val="0"/>
          <w:numId w:val="10"/>
        </w:numPr>
        <w:tabs>
          <w:tab w:val="left" w:pos="9180"/>
        </w:tabs>
        <w:rPr>
          <w:rFonts w:ascii="Arial" w:hAnsi="Arial"/>
        </w:rPr>
      </w:pPr>
      <w:r>
        <w:rPr>
          <w:rFonts w:ascii="Arial" w:hAnsi="Arial"/>
        </w:rPr>
        <w:t>If securities are issued in forgiveness of indebtednes</w:t>
      </w:r>
      <w:r>
        <w:rPr>
          <w:rFonts w:ascii="Arial" w:hAnsi="Arial"/>
        </w:rPr>
        <w:t>s, provide details and attach the debt agreement(s) or other documentation evidencing the debt and the agreement to exchange the debt for securities.</w:t>
      </w:r>
    </w:p>
    <w:p w:rsidR="00EA4133" w:rsidRDefault="00ED65F8">
      <w:pPr>
        <w:pStyle w:val="BodyText"/>
        <w:numPr>
          <w:ilvl w:val="0"/>
          <w:numId w:val="10"/>
        </w:numPr>
        <w:tabs>
          <w:tab w:val="left" w:pos="9180"/>
        </w:tabs>
        <w:rPr>
          <w:rFonts w:ascii="Arial" w:hAnsi="Arial"/>
        </w:rPr>
      </w:pPr>
      <w:r>
        <w:rPr>
          <w:rFonts w:ascii="Arial" w:hAnsi="Arial"/>
        </w:rPr>
        <w:t>Description of securities to be issued:</w:t>
      </w:r>
    </w:p>
    <w:p w:rsidR="00EA4133" w:rsidRDefault="00ED65F8">
      <w:pPr>
        <w:pStyle w:val="BodyText"/>
        <w:keepNext/>
        <w:keepLines/>
        <w:tabs>
          <w:tab w:val="left" w:pos="1080"/>
          <w:tab w:val="left" w:pos="1440"/>
          <w:tab w:val="left" w:pos="21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ab/>
        <w:t>(a)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Class  </w:t>
      </w:r>
      <w:r w:rsidRPr="00DC1787">
        <w:rPr>
          <w:rFonts w:ascii="Arial" w:hAnsi="Arial"/>
          <w:u w:val="single"/>
        </w:rPr>
        <w:t>N/A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:rsidR="00EA4133" w:rsidRDefault="00ED65F8">
      <w:pPr>
        <w:pStyle w:val="BodyText"/>
        <w:tabs>
          <w:tab w:val="left" w:pos="1080"/>
          <w:tab w:val="left" w:pos="1440"/>
          <w:tab w:val="left" w:pos="21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ab/>
        <w:t>(b)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Number </w:t>
      </w:r>
      <w:r w:rsidRPr="00DC1787">
        <w:rPr>
          <w:rFonts w:ascii="Arial" w:hAnsi="Arial"/>
          <w:u w:val="single"/>
        </w:rPr>
        <w:t>N/A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:rsidR="00EA4133" w:rsidRDefault="00ED65F8">
      <w:pPr>
        <w:pStyle w:val="BodyText"/>
        <w:tabs>
          <w:tab w:val="left" w:pos="1080"/>
          <w:tab w:val="left" w:pos="1440"/>
          <w:tab w:val="left" w:pos="21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ab/>
        <w:t>(c)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Price per security </w:t>
      </w:r>
      <w:r w:rsidRPr="00DC1787">
        <w:rPr>
          <w:rFonts w:ascii="Arial" w:hAnsi="Arial"/>
          <w:u w:val="single"/>
        </w:rPr>
        <w:t>N/A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:rsidR="00EA4133" w:rsidRDefault="00ED65F8">
      <w:pPr>
        <w:pStyle w:val="BodyText"/>
        <w:tabs>
          <w:tab w:val="left" w:pos="1080"/>
          <w:tab w:val="left" w:pos="1440"/>
          <w:tab w:val="left" w:pos="21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ab/>
        <w:t>(d)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Voting rights </w:t>
      </w:r>
      <w:r w:rsidRPr="00DC1787">
        <w:rPr>
          <w:rFonts w:ascii="Arial" w:hAnsi="Arial"/>
          <w:u w:val="single"/>
        </w:rPr>
        <w:t>N/A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.</w:t>
      </w:r>
    </w:p>
    <w:p w:rsidR="00EA4133" w:rsidRDefault="00ED65F8">
      <w:pPr>
        <w:pStyle w:val="BodyText"/>
        <w:numPr>
          <w:ilvl w:val="0"/>
          <w:numId w:val="10"/>
        </w:numPr>
        <w:tabs>
          <w:tab w:val="left" w:pos="1440"/>
          <w:tab w:val="left" w:pos="21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>Provide the following information if Warrants, (options) or other convertible securities are to be issued:</w:t>
      </w:r>
    </w:p>
    <w:p w:rsidR="00EA4133" w:rsidRDefault="00ED65F8">
      <w:pPr>
        <w:pStyle w:val="List"/>
        <w:tabs>
          <w:tab w:val="left" w:pos="1440"/>
          <w:tab w:val="left" w:pos="21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ab/>
        <w:t>(a)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Number </w:t>
      </w:r>
      <w:r w:rsidRPr="00DC1787">
        <w:rPr>
          <w:rFonts w:ascii="Arial" w:hAnsi="Arial"/>
          <w:u w:val="single"/>
        </w:rPr>
        <w:t>N/A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:rsidR="00EA4133" w:rsidRPr="00DC1787" w:rsidRDefault="00ED65F8" w:rsidP="00DC1787">
      <w:pPr>
        <w:pStyle w:val="List"/>
        <w:numPr>
          <w:ilvl w:val="0"/>
          <w:numId w:val="11"/>
        </w:numPr>
        <w:tabs>
          <w:tab w:val="left" w:pos="1080"/>
          <w:tab w:val="left" w:pos="1440"/>
          <w:tab w:val="left" w:pos="9180"/>
        </w:tabs>
        <w:rPr>
          <w:rFonts w:ascii="Arial" w:hAnsi="Arial"/>
          <w:u w:val="single"/>
        </w:rPr>
      </w:pPr>
      <w:r>
        <w:rPr>
          <w:rFonts w:ascii="Arial" w:hAnsi="Arial"/>
        </w:rPr>
        <w:tab/>
        <w:t xml:space="preserve">Number of securities eligible to be purchased on exercise of Warrants (or options)  </w:t>
      </w:r>
      <w:r w:rsidRPr="00DC1787">
        <w:rPr>
          <w:rFonts w:ascii="Arial" w:hAnsi="Arial"/>
          <w:u w:val="single"/>
        </w:rPr>
        <w:t>N/A</w:t>
      </w:r>
      <w:r>
        <w:rPr>
          <w:rFonts w:ascii="Arial" w:hAnsi="Arial"/>
          <w:u w:val="single"/>
        </w:rPr>
        <w:tab/>
      </w:r>
      <w:r w:rsidRPr="00DC1787">
        <w:rPr>
          <w:rFonts w:ascii="Arial" w:hAnsi="Arial"/>
        </w:rPr>
        <w:t xml:space="preserve"> .</w:t>
      </w:r>
    </w:p>
    <w:p w:rsidR="00EA4133" w:rsidRDefault="00ED65F8">
      <w:pPr>
        <w:pStyle w:val="List"/>
        <w:tabs>
          <w:tab w:val="left" w:pos="1440"/>
          <w:tab w:val="left" w:pos="21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ab/>
        <w:t>(c</w:t>
      </w:r>
      <w:r>
        <w:rPr>
          <w:rFonts w:ascii="Arial" w:hAnsi="Arial"/>
        </w:rPr>
        <w:t>)</w:t>
      </w:r>
      <w:r>
        <w:rPr>
          <w:rFonts w:ascii="Arial" w:hAnsi="Arial"/>
        </w:rPr>
        <w:tab/>
      </w:r>
      <w:r>
        <w:rPr>
          <w:rFonts w:ascii="Arial" w:hAnsi="Arial"/>
        </w:rPr>
        <w:tab/>
        <w:t>Exercise price</w:t>
      </w:r>
      <w:r>
        <w:rPr>
          <w:rFonts w:ascii="Arial" w:hAnsi="Arial"/>
        </w:rPr>
        <w:t xml:space="preserve"> </w:t>
      </w:r>
      <w:r w:rsidRPr="00DC1787">
        <w:rPr>
          <w:rFonts w:ascii="Arial" w:hAnsi="Arial"/>
          <w:u w:val="single"/>
        </w:rPr>
        <w:t>N/A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:rsidR="00EA4133" w:rsidRDefault="00ED65F8">
      <w:pPr>
        <w:pStyle w:val="List"/>
        <w:tabs>
          <w:tab w:val="left" w:pos="1440"/>
          <w:tab w:val="left" w:pos="2160"/>
          <w:tab w:val="left" w:pos="3600"/>
          <w:tab w:val="left" w:pos="5040"/>
          <w:tab w:val="left" w:pos="75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ab/>
        <w:t xml:space="preserve">(d) </w:t>
      </w:r>
      <w:r>
        <w:rPr>
          <w:rFonts w:ascii="Arial" w:hAnsi="Arial"/>
        </w:rPr>
        <w:tab/>
        <w:t xml:space="preserve">Expiry date </w:t>
      </w:r>
      <w:bookmarkStart w:id="0" w:name="_GoBack"/>
      <w:r w:rsidRPr="00705EAA">
        <w:rPr>
          <w:rFonts w:ascii="Arial" w:hAnsi="Arial"/>
          <w:u w:val="single"/>
        </w:rPr>
        <w:t>N/A</w:t>
      </w:r>
      <w:bookmarkEnd w:id="0"/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</w:rPr>
        <w:t>.</w:t>
      </w:r>
    </w:p>
    <w:p w:rsidR="00EA4133" w:rsidRDefault="00ED65F8">
      <w:pPr>
        <w:pStyle w:val="Heading2"/>
        <w:numPr>
          <w:ilvl w:val="0"/>
          <w:numId w:val="10"/>
        </w:numPr>
        <w:tabs>
          <w:tab w:val="left" w:pos="1440"/>
          <w:tab w:val="left" w:pos="2160"/>
        </w:tabs>
        <w:rPr>
          <w:b w:val="0"/>
          <w:sz w:val="24"/>
        </w:rPr>
      </w:pPr>
      <w:bookmarkStart w:id="1" w:name="_Toc370788682"/>
      <w:bookmarkStart w:id="2" w:name="_Toc398005538"/>
      <w:bookmarkStart w:id="3" w:name="_Toc412279955"/>
      <w:bookmarkStart w:id="4" w:name="_Toc419096451"/>
      <w:r>
        <w:rPr>
          <w:b w:val="0"/>
          <w:sz w:val="24"/>
        </w:rPr>
        <w:t>Provide the following information if debt securities are to be issued:</w:t>
      </w:r>
      <w:bookmarkEnd w:id="1"/>
      <w:bookmarkEnd w:id="2"/>
      <w:bookmarkEnd w:id="3"/>
      <w:bookmarkEnd w:id="4"/>
    </w:p>
    <w:p w:rsidR="00EA4133" w:rsidRDefault="00ED65F8">
      <w:pPr>
        <w:pStyle w:val="List"/>
        <w:tabs>
          <w:tab w:val="left" w:pos="1440"/>
          <w:tab w:val="left" w:pos="21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ab/>
        <w:t>(a)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Aggregate principal amount </w:t>
      </w:r>
      <w:r w:rsidRPr="00DC1787">
        <w:rPr>
          <w:rFonts w:ascii="Arial" w:hAnsi="Arial"/>
          <w:u w:val="single"/>
        </w:rPr>
        <w:t>N/A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:rsidR="00EA4133" w:rsidRDefault="00ED65F8">
      <w:pPr>
        <w:pStyle w:val="List"/>
        <w:tabs>
          <w:tab w:val="left" w:pos="1440"/>
          <w:tab w:val="left" w:pos="21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ab/>
        <w:t xml:space="preserve">(b) </w:t>
      </w:r>
      <w:r>
        <w:rPr>
          <w:rFonts w:ascii="Arial" w:hAnsi="Arial"/>
        </w:rPr>
        <w:tab/>
        <w:t xml:space="preserve">Maturity date </w:t>
      </w:r>
      <w:r w:rsidRPr="00DC1787">
        <w:rPr>
          <w:rFonts w:ascii="Arial" w:hAnsi="Arial"/>
          <w:u w:val="single"/>
        </w:rPr>
        <w:t>N/A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:rsidR="00EA4133" w:rsidRDefault="00ED65F8">
      <w:pPr>
        <w:pStyle w:val="BodyText"/>
        <w:tabs>
          <w:tab w:val="left" w:pos="1080"/>
          <w:tab w:val="left" w:pos="1440"/>
          <w:tab w:val="left" w:pos="21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ab/>
        <w:t xml:space="preserve">(c)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Interest rate </w:t>
      </w:r>
      <w:r w:rsidRPr="00DC1787">
        <w:rPr>
          <w:rFonts w:ascii="Arial" w:hAnsi="Arial"/>
          <w:u w:val="single"/>
        </w:rPr>
        <w:t>N/A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:rsidR="00A00C54" w:rsidRDefault="00ED65F8">
      <w:pPr>
        <w:pStyle w:val="BodyText"/>
        <w:tabs>
          <w:tab w:val="left" w:pos="1080"/>
          <w:tab w:val="left" w:pos="1440"/>
          <w:tab w:val="left" w:pos="21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ab/>
        <w:t xml:space="preserve">(d) </w:t>
      </w:r>
      <w:r>
        <w:rPr>
          <w:rFonts w:ascii="Arial" w:hAnsi="Arial"/>
        </w:rPr>
        <w:tab/>
        <w:t xml:space="preserve">Conversion terms </w:t>
      </w:r>
      <w:r w:rsidRPr="00DC1787">
        <w:rPr>
          <w:rFonts w:ascii="Arial" w:hAnsi="Arial"/>
          <w:u w:val="single"/>
        </w:rPr>
        <w:t>N/A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:rsidR="00EA4133" w:rsidRDefault="00ED65F8">
      <w:pPr>
        <w:pStyle w:val="BodyText"/>
        <w:tabs>
          <w:tab w:val="left" w:pos="1080"/>
          <w:tab w:val="left" w:pos="1440"/>
          <w:tab w:val="left" w:pos="21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ab/>
        <w:t xml:space="preserve">(e) </w:t>
      </w:r>
      <w:r>
        <w:rPr>
          <w:rFonts w:ascii="Arial" w:hAnsi="Arial"/>
        </w:rPr>
        <w:tab/>
      </w:r>
      <w:r>
        <w:rPr>
          <w:rFonts w:ascii="Arial" w:hAnsi="Arial"/>
        </w:rPr>
        <w:t xml:space="preserve">Default provisions </w:t>
      </w:r>
      <w:r w:rsidRPr="00DC1787">
        <w:rPr>
          <w:rFonts w:ascii="Arial" w:hAnsi="Arial"/>
          <w:u w:val="single"/>
        </w:rPr>
        <w:t>N/A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:rsidR="00EA4133" w:rsidRDefault="00ED65F8">
      <w:pPr>
        <w:pStyle w:val="List"/>
        <w:numPr>
          <w:ilvl w:val="0"/>
          <w:numId w:val="10"/>
        </w:num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Provide the following information for any agent’s fee, commission, bonus or finder’s fee, or other compensation paid or to be paid in connection with the placement (including warrants, options, etc.):</w:t>
      </w:r>
    </w:p>
    <w:p w:rsidR="00EA4133" w:rsidRDefault="00ED65F8">
      <w:pPr>
        <w:pStyle w:val="List"/>
        <w:tabs>
          <w:tab w:val="left" w:pos="2160"/>
          <w:tab w:val="left" w:pos="9180"/>
        </w:tabs>
        <w:ind w:left="2160"/>
        <w:jc w:val="both"/>
        <w:rPr>
          <w:rFonts w:ascii="Arial" w:hAnsi="Arial"/>
          <w:u w:val="single"/>
        </w:rPr>
      </w:pPr>
      <w:r>
        <w:rPr>
          <w:rFonts w:ascii="Arial" w:hAnsi="Arial"/>
        </w:rPr>
        <w:t>(a)</w:t>
      </w:r>
      <w:r>
        <w:rPr>
          <w:rFonts w:ascii="Arial" w:hAnsi="Arial"/>
        </w:rPr>
        <w:tab/>
        <w:t>Details of any dealer, ag</w:t>
      </w:r>
      <w:r>
        <w:rPr>
          <w:rFonts w:ascii="Arial" w:hAnsi="Arial"/>
        </w:rPr>
        <w:t xml:space="preserve">ent, broker or other person receiving compensation in connection with the placement (name, address. If a corporation, identify persons owning or exercising voting control over 20% or more of the voting shares if known to the Issuer): </w:t>
      </w:r>
      <w:r w:rsidRPr="00DC1787">
        <w:rPr>
          <w:rFonts w:ascii="Arial" w:hAnsi="Arial"/>
          <w:u w:val="single"/>
        </w:rPr>
        <w:t>N/A</w:t>
      </w:r>
      <w:r w:rsidRPr="00DC1787"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:rsidR="00EA4133" w:rsidRDefault="00ED65F8">
      <w:pPr>
        <w:pStyle w:val="List"/>
        <w:tabs>
          <w:tab w:val="left" w:pos="2160"/>
          <w:tab w:val="left" w:pos="9180"/>
        </w:tabs>
        <w:ind w:left="2160"/>
        <w:rPr>
          <w:rFonts w:ascii="Arial" w:hAnsi="Arial"/>
        </w:rPr>
      </w:pPr>
      <w:r>
        <w:rPr>
          <w:rFonts w:ascii="Arial" w:hAnsi="Arial"/>
        </w:rPr>
        <w:t>(b)</w:t>
      </w:r>
      <w:r>
        <w:rPr>
          <w:rFonts w:ascii="Arial" w:hAnsi="Arial"/>
        </w:rPr>
        <w:tab/>
        <w:t xml:space="preserve">Cash </w:t>
      </w:r>
      <w:r w:rsidRPr="00DC1787">
        <w:rPr>
          <w:rFonts w:ascii="Arial" w:hAnsi="Arial"/>
          <w:u w:val="single"/>
        </w:rPr>
        <w:t>N/A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:rsidR="00EA4133" w:rsidRDefault="00ED65F8">
      <w:pPr>
        <w:pStyle w:val="List"/>
        <w:tabs>
          <w:tab w:val="left" w:pos="2160"/>
          <w:tab w:val="left" w:pos="9180"/>
        </w:tabs>
        <w:ind w:left="2160"/>
        <w:rPr>
          <w:rFonts w:ascii="Arial" w:hAnsi="Arial"/>
        </w:rPr>
      </w:pPr>
      <w:r>
        <w:rPr>
          <w:rFonts w:ascii="Arial" w:hAnsi="Arial"/>
        </w:rPr>
        <w:t>(c)</w:t>
      </w:r>
      <w:r>
        <w:rPr>
          <w:rFonts w:ascii="Arial" w:hAnsi="Arial"/>
        </w:rPr>
        <w:tab/>
        <w:t xml:space="preserve">Securities </w:t>
      </w:r>
      <w:r w:rsidRPr="00DC1787">
        <w:rPr>
          <w:rFonts w:ascii="Arial" w:hAnsi="Arial"/>
          <w:u w:val="single"/>
        </w:rPr>
        <w:t>N/A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:rsidR="00EA4133" w:rsidRDefault="00ED65F8">
      <w:pPr>
        <w:pStyle w:val="List"/>
        <w:tabs>
          <w:tab w:val="left" w:pos="2160"/>
          <w:tab w:val="left" w:pos="9180"/>
        </w:tabs>
        <w:ind w:left="2160"/>
        <w:rPr>
          <w:rFonts w:ascii="Arial" w:hAnsi="Arial"/>
        </w:rPr>
      </w:pPr>
      <w:r>
        <w:rPr>
          <w:rFonts w:ascii="Arial" w:hAnsi="Arial"/>
        </w:rPr>
        <w:t>(d)</w:t>
      </w:r>
      <w:r>
        <w:rPr>
          <w:rFonts w:ascii="Arial" w:hAnsi="Arial"/>
        </w:rPr>
        <w:tab/>
        <w:t xml:space="preserve">Other </w:t>
      </w:r>
      <w:r w:rsidRPr="00DC1787">
        <w:rPr>
          <w:rFonts w:ascii="Arial" w:hAnsi="Arial"/>
          <w:u w:val="single"/>
        </w:rPr>
        <w:t>N/A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:rsidR="00EA4133" w:rsidRDefault="00ED65F8">
      <w:pPr>
        <w:pStyle w:val="List"/>
        <w:tabs>
          <w:tab w:val="left" w:pos="2160"/>
          <w:tab w:val="left" w:pos="9180"/>
        </w:tabs>
        <w:ind w:left="2160"/>
        <w:rPr>
          <w:rFonts w:ascii="Arial" w:hAnsi="Arial"/>
        </w:rPr>
      </w:pPr>
      <w:r>
        <w:rPr>
          <w:rFonts w:ascii="Arial" w:hAnsi="Arial"/>
        </w:rPr>
        <w:t>(e)</w:t>
      </w:r>
      <w:r>
        <w:rPr>
          <w:rFonts w:ascii="Arial" w:hAnsi="Arial"/>
        </w:rPr>
        <w:tab/>
        <w:t xml:space="preserve">Expiry date of any options, warrants etc. </w:t>
      </w:r>
      <w:r w:rsidRPr="00DC1787">
        <w:rPr>
          <w:rFonts w:ascii="Arial" w:hAnsi="Arial"/>
          <w:u w:val="single"/>
        </w:rPr>
        <w:t>N/A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:rsidR="00EA4133" w:rsidRDefault="00ED65F8">
      <w:pPr>
        <w:pStyle w:val="List"/>
        <w:tabs>
          <w:tab w:val="num" w:pos="1080"/>
          <w:tab w:val="left" w:pos="2160"/>
          <w:tab w:val="left" w:pos="9180"/>
        </w:tabs>
        <w:ind w:left="2160"/>
        <w:rPr>
          <w:rFonts w:ascii="Arial" w:hAnsi="Arial"/>
        </w:rPr>
      </w:pPr>
      <w:r>
        <w:rPr>
          <w:rFonts w:ascii="Arial" w:hAnsi="Arial"/>
        </w:rPr>
        <w:t>(f)</w:t>
      </w:r>
      <w:r>
        <w:rPr>
          <w:rFonts w:ascii="Arial" w:hAnsi="Arial"/>
        </w:rPr>
        <w:tab/>
        <w:t xml:space="preserve">Exercise price of any options, warrants etc. </w:t>
      </w:r>
      <w:r w:rsidRPr="00DC1787">
        <w:rPr>
          <w:rFonts w:ascii="Arial" w:hAnsi="Arial"/>
          <w:u w:val="single"/>
        </w:rPr>
        <w:t>N/A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:rsidR="00EA4133" w:rsidRPr="00DC1787" w:rsidRDefault="00ED65F8" w:rsidP="00DC1787">
      <w:pPr>
        <w:pStyle w:val="List"/>
        <w:numPr>
          <w:ilvl w:val="0"/>
          <w:numId w:val="10"/>
        </w:numPr>
        <w:tabs>
          <w:tab w:val="left" w:pos="9180"/>
        </w:tabs>
        <w:jc w:val="both"/>
        <w:rPr>
          <w:rFonts w:ascii="Arial" w:hAnsi="Arial"/>
        </w:rPr>
      </w:pPr>
      <w:r>
        <w:rPr>
          <w:rFonts w:ascii="Arial" w:hAnsi="Arial"/>
        </w:rPr>
        <w:t>State whether the sales agent, broker, dealer or other person receiving compensation in connection with the</w:t>
      </w:r>
      <w:r>
        <w:rPr>
          <w:rFonts w:ascii="Arial" w:hAnsi="Arial"/>
        </w:rPr>
        <w:t xml:space="preserve"> placement is Related Person or has any other relationship with the Issuer and provide details of the relationship </w:t>
      </w:r>
      <w:r w:rsidRPr="00DC1787">
        <w:rPr>
          <w:rFonts w:ascii="Arial" w:hAnsi="Arial"/>
          <w:u w:val="single"/>
        </w:rPr>
        <w:t>N/A</w:t>
      </w:r>
      <w:r>
        <w:rPr>
          <w:rFonts w:ascii="Arial" w:hAnsi="Arial"/>
          <w:u w:val="single"/>
        </w:rPr>
        <w:tab/>
      </w:r>
      <w:r w:rsidRPr="00DC1787">
        <w:rPr>
          <w:rFonts w:ascii="Arial" w:hAnsi="Arial"/>
        </w:rPr>
        <w:t xml:space="preserve"> .</w:t>
      </w:r>
    </w:p>
    <w:p w:rsidR="00EA4133" w:rsidRDefault="00ED65F8">
      <w:pPr>
        <w:pStyle w:val="List"/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Describe any unusual particulars of the transaction (i.e. tax “flow through” shares, etc.).</w:t>
      </w:r>
    </w:p>
    <w:p w:rsidR="00EA4133" w:rsidRDefault="00ED65F8" w:rsidP="00DC1787">
      <w:pPr>
        <w:pStyle w:val="List"/>
        <w:tabs>
          <w:tab w:val="left" w:pos="1080"/>
          <w:tab w:val="left" w:pos="9180"/>
        </w:tabs>
        <w:ind w:firstLine="0"/>
        <w:jc w:val="both"/>
        <w:rPr>
          <w:rFonts w:ascii="Arial" w:hAnsi="Arial"/>
        </w:rPr>
      </w:pPr>
      <w:r w:rsidRPr="00DC1787">
        <w:rPr>
          <w:rFonts w:ascii="Arial" w:hAnsi="Arial"/>
          <w:u w:val="single"/>
        </w:rPr>
        <w:t>N/A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:rsidR="00EA4133" w:rsidRDefault="00ED65F8">
      <w:pPr>
        <w:pStyle w:val="List"/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State whether the private placement</w:t>
      </w:r>
      <w:r>
        <w:rPr>
          <w:rFonts w:ascii="Arial" w:hAnsi="Arial"/>
        </w:rPr>
        <w:t xml:space="preserve"> will result in a change of control.</w:t>
      </w:r>
    </w:p>
    <w:p w:rsidR="00EA4133" w:rsidRDefault="00ED65F8" w:rsidP="00DC1787">
      <w:pPr>
        <w:pStyle w:val="List"/>
        <w:tabs>
          <w:tab w:val="left" w:pos="1080"/>
          <w:tab w:val="left" w:pos="9180"/>
        </w:tabs>
        <w:ind w:firstLine="0"/>
        <w:jc w:val="both"/>
        <w:rPr>
          <w:rFonts w:ascii="Arial" w:hAnsi="Arial"/>
        </w:rPr>
      </w:pPr>
      <w:r w:rsidRPr="00DC1787">
        <w:rPr>
          <w:rFonts w:ascii="Arial" w:hAnsi="Arial"/>
          <w:u w:val="single"/>
        </w:rPr>
        <w:t>N/A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:rsidR="00EA4133" w:rsidRDefault="00ED65F8">
      <w:pPr>
        <w:pStyle w:val="List"/>
        <w:tabs>
          <w:tab w:val="left" w:pos="9180"/>
        </w:tabs>
        <w:spacing w:before="0"/>
        <w:jc w:val="both"/>
        <w:rPr>
          <w:rFonts w:ascii="Arial" w:hAnsi="Arial"/>
        </w:rPr>
      </w:pPr>
    </w:p>
    <w:p w:rsidR="00EA4133" w:rsidRPr="00B36DA4" w:rsidRDefault="00ED65F8" w:rsidP="00B36DA4">
      <w:pPr>
        <w:pStyle w:val="List"/>
        <w:numPr>
          <w:ilvl w:val="0"/>
          <w:numId w:val="10"/>
        </w:numPr>
        <w:tabs>
          <w:tab w:val="left" w:pos="9180"/>
        </w:tabs>
        <w:spacing w:before="0"/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Where there is a change in the control of the Issuer resulting from the issuance of the private placement shares, indicate the names of the new controlling shareholders.  </w:t>
      </w:r>
      <w:r w:rsidRPr="00DC1787">
        <w:rPr>
          <w:rFonts w:ascii="Arial" w:hAnsi="Arial"/>
          <w:u w:val="single"/>
        </w:rPr>
        <w:t>N/A</w:t>
      </w:r>
      <w:r w:rsidRPr="00B36DA4">
        <w:rPr>
          <w:rFonts w:ascii="Arial" w:hAnsi="Arial"/>
        </w:rPr>
        <w:t xml:space="preserve"> .</w:t>
      </w:r>
    </w:p>
    <w:p w:rsidR="00EA4133" w:rsidRDefault="00ED65F8">
      <w:pPr>
        <w:pStyle w:val="List"/>
        <w:tabs>
          <w:tab w:val="left" w:pos="1080"/>
          <w:tab w:val="left" w:pos="9180"/>
        </w:tabs>
        <w:spacing w:before="0"/>
        <w:ind w:left="0" w:firstLine="0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EA4133" w:rsidRDefault="00ED65F8">
      <w:pPr>
        <w:pStyle w:val="List"/>
        <w:numPr>
          <w:ilvl w:val="0"/>
          <w:numId w:val="10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Each purchaser has been advised </w:t>
      </w:r>
      <w:r>
        <w:rPr>
          <w:rFonts w:ascii="Arial" w:hAnsi="Arial"/>
        </w:rPr>
        <w:t>of the applicable securities legislation restricted or seasoning period.  All certificates for securities issued which are subject to a hold period bear the appropriate legend restricting their transfer until the expiry of the applicable hold period requir</w:t>
      </w:r>
      <w:r>
        <w:rPr>
          <w:rFonts w:ascii="Arial" w:hAnsi="Arial"/>
        </w:rPr>
        <w:t xml:space="preserve">ed by </w:t>
      </w:r>
      <w:r>
        <w:rPr>
          <w:rFonts w:ascii="Arial" w:hAnsi="Arial"/>
        </w:rPr>
        <w:t xml:space="preserve">National </w:t>
      </w:r>
      <w:r>
        <w:rPr>
          <w:rFonts w:ascii="Arial" w:hAnsi="Arial"/>
        </w:rPr>
        <w:t>Instrument 45-102.</w:t>
      </w:r>
    </w:p>
    <w:p w:rsidR="00EA4133" w:rsidRDefault="00ED65F8" w:rsidP="00C05CFB">
      <w:pPr>
        <w:pStyle w:val="BodyText"/>
        <w:keepNext/>
        <w:keepLines/>
        <w:tabs>
          <w:tab w:val="left" w:pos="1080"/>
          <w:tab w:val="left" w:pos="4230"/>
        </w:tabs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lastRenderedPageBreak/>
        <w:t>2.</w:t>
      </w:r>
      <w:r>
        <w:rPr>
          <w:rFonts w:ascii="Arial" w:hAnsi="Arial"/>
          <w:b/>
          <w:color w:val="000000"/>
        </w:rPr>
        <w:tab/>
        <w:t>Acquisition</w:t>
      </w:r>
    </w:p>
    <w:p w:rsidR="00EA4133" w:rsidRDefault="00ED65F8" w:rsidP="00C05CFB">
      <w:pPr>
        <w:pStyle w:val="List"/>
        <w:keepNext/>
        <w:keepLines/>
        <w:tabs>
          <w:tab w:val="left" w:pos="9180"/>
        </w:tabs>
        <w:spacing w:before="0"/>
        <w:ind w:left="0" w:firstLine="0"/>
        <w:jc w:val="both"/>
        <w:rPr>
          <w:rFonts w:ascii="Arial" w:hAnsi="Arial"/>
          <w:color w:val="000000"/>
        </w:rPr>
      </w:pPr>
    </w:p>
    <w:p w:rsidR="00EA4133" w:rsidRPr="00FC5988" w:rsidRDefault="00ED65F8" w:rsidP="00C05CFB">
      <w:pPr>
        <w:pStyle w:val="List"/>
        <w:keepNext/>
        <w:keepLines/>
        <w:numPr>
          <w:ilvl w:val="0"/>
          <w:numId w:val="14"/>
        </w:numPr>
        <w:tabs>
          <w:tab w:val="clear" w:pos="360"/>
          <w:tab w:val="num" w:pos="1080"/>
          <w:tab w:val="left" w:pos="9180"/>
        </w:tabs>
        <w:spacing w:before="0"/>
        <w:ind w:left="1080" w:hanging="108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Provide details of the assets to be acquired by the Issuer (including the location of the assets, if applicable).  The disclosure should be sufficiently complete to enable a reader to appreciate the significance of the transaction without reference to any </w:t>
      </w:r>
      <w:r>
        <w:rPr>
          <w:rFonts w:ascii="Arial" w:hAnsi="Arial"/>
          <w:color w:val="000000"/>
        </w:rPr>
        <w:t xml:space="preserve">other material: </w:t>
      </w:r>
      <w:r w:rsidRPr="00AA6EB3">
        <w:rPr>
          <w:rFonts w:ascii="Arial" w:hAnsi="Arial" w:cs="Arial"/>
          <w:u w:val="single"/>
        </w:rPr>
        <w:t xml:space="preserve">On November 15, 2015, the Issuer entered into </w:t>
      </w:r>
      <w:r w:rsidRPr="00DC1787">
        <w:rPr>
          <w:rFonts w:ascii="Arial" w:hAnsi="Arial" w:cs="Arial"/>
          <w:u w:val="single"/>
        </w:rPr>
        <w:t>the IR Agreement with the Consultant</w:t>
      </w:r>
      <w:r w:rsidRPr="00AA6EB3">
        <w:rPr>
          <w:rFonts w:ascii="Arial" w:hAnsi="Arial" w:cs="Arial"/>
          <w:u w:val="single"/>
        </w:rPr>
        <w:t>. The term of the IR Agreement commenced on November 15, 2015 and end</w:t>
      </w:r>
      <w:r>
        <w:rPr>
          <w:rFonts w:ascii="Arial" w:hAnsi="Arial" w:cs="Arial"/>
          <w:u w:val="single"/>
        </w:rPr>
        <w:t>ed</w:t>
      </w:r>
      <w:r w:rsidRPr="00AA6EB3">
        <w:rPr>
          <w:rFonts w:ascii="Arial" w:hAnsi="Arial" w:cs="Arial"/>
          <w:u w:val="single"/>
        </w:rPr>
        <w:t xml:space="preserve"> on February 29, 2016. Pursuant to th</w:t>
      </w:r>
      <w:r>
        <w:rPr>
          <w:rFonts w:ascii="Arial" w:hAnsi="Arial" w:cs="Arial"/>
          <w:u w:val="single"/>
        </w:rPr>
        <w:t xml:space="preserve">e IR Agreement, the Consultant </w:t>
      </w:r>
      <w:r w:rsidRPr="00AA6EB3">
        <w:rPr>
          <w:rFonts w:ascii="Arial" w:hAnsi="Arial" w:cs="Arial"/>
          <w:u w:val="single"/>
        </w:rPr>
        <w:t>provide</w:t>
      </w:r>
      <w:r>
        <w:rPr>
          <w:rFonts w:ascii="Arial" w:hAnsi="Arial" w:cs="Arial"/>
          <w:u w:val="single"/>
        </w:rPr>
        <w:t>d</w:t>
      </w:r>
      <w:r w:rsidRPr="00AA6EB3">
        <w:rPr>
          <w:rFonts w:ascii="Arial" w:hAnsi="Arial" w:cs="Arial"/>
          <w:u w:val="single"/>
        </w:rPr>
        <w:t xml:space="preserve"> various in</w:t>
      </w:r>
      <w:r w:rsidRPr="00AA6EB3">
        <w:rPr>
          <w:rFonts w:ascii="Arial" w:hAnsi="Arial" w:cs="Arial"/>
          <w:u w:val="single"/>
        </w:rPr>
        <w:t>vestor relations services to the Issuer in exchange for aggregate</w:t>
      </w:r>
      <w:r>
        <w:rPr>
          <w:rFonts w:ascii="Arial" w:hAnsi="Arial" w:cs="Arial"/>
          <w:u w:val="single"/>
        </w:rPr>
        <w:t xml:space="preserve"> consulting fees of US</w:t>
      </w:r>
      <w:r>
        <w:rPr>
          <w:rFonts w:ascii="Arial" w:hAnsi="Arial" w:cs="Arial"/>
          <w:u w:val="single"/>
        </w:rPr>
        <w:t xml:space="preserve">$15,000. </w:t>
      </w:r>
      <w:r w:rsidRPr="00AA6EB3">
        <w:rPr>
          <w:rFonts w:ascii="Arial" w:hAnsi="Arial" w:cs="Arial"/>
          <w:u w:val="single"/>
        </w:rPr>
        <w:t>The Issuer also grant</w:t>
      </w:r>
      <w:r>
        <w:rPr>
          <w:rFonts w:ascii="Arial" w:hAnsi="Arial" w:cs="Arial"/>
          <w:u w:val="single"/>
        </w:rPr>
        <w:t>ed</w:t>
      </w:r>
      <w:r w:rsidRPr="00AA6EB3">
        <w:rPr>
          <w:rFonts w:ascii="Arial" w:hAnsi="Arial" w:cs="Arial"/>
          <w:u w:val="single"/>
        </w:rPr>
        <w:t xml:space="preserve"> stock options to the Consultant to acquire </w:t>
      </w:r>
      <w:r>
        <w:rPr>
          <w:rFonts w:ascii="Arial" w:hAnsi="Arial" w:cs="Arial"/>
          <w:u w:val="single"/>
        </w:rPr>
        <w:t>40,000</w:t>
      </w:r>
      <w:r w:rsidRPr="00AA6EB3">
        <w:rPr>
          <w:rFonts w:ascii="Arial" w:hAnsi="Arial" w:cs="Arial"/>
          <w:u w:val="single"/>
        </w:rPr>
        <w:t xml:space="preserve"> common shares of the Iss</w:t>
      </w:r>
      <w:r>
        <w:rPr>
          <w:rFonts w:ascii="Arial" w:hAnsi="Arial" w:cs="Arial"/>
          <w:u w:val="single"/>
        </w:rPr>
        <w:t>uer (on a post-consolidated bas</w:t>
      </w:r>
      <w:r>
        <w:rPr>
          <w:rFonts w:ascii="Arial" w:hAnsi="Arial" w:cs="Arial"/>
          <w:u w:val="single"/>
        </w:rPr>
        <w:t>is) at an exercise price of CDN</w:t>
      </w:r>
      <w:r w:rsidRPr="00AA6EB3">
        <w:rPr>
          <w:rFonts w:ascii="Arial" w:hAnsi="Arial" w:cs="Arial"/>
          <w:u w:val="single"/>
        </w:rPr>
        <w:t>$0.28 per share for a period of one year from the date of gra</w:t>
      </w:r>
      <w:r>
        <w:rPr>
          <w:rFonts w:ascii="Arial" w:hAnsi="Arial" w:cs="Arial"/>
          <w:u w:val="single"/>
        </w:rPr>
        <w:t>nt.</w:t>
      </w:r>
    </w:p>
    <w:p w:rsidR="00EA4133" w:rsidRPr="00FC5988" w:rsidRDefault="00ED65F8" w:rsidP="00FC5988">
      <w:pPr>
        <w:pStyle w:val="List"/>
        <w:numPr>
          <w:ilvl w:val="0"/>
          <w:numId w:val="14"/>
        </w:numPr>
        <w:tabs>
          <w:tab w:val="clear" w:pos="360"/>
          <w:tab w:val="num" w:pos="1080"/>
          <w:tab w:val="left" w:pos="9180"/>
        </w:tabs>
        <w:ind w:left="1080" w:hanging="1080"/>
        <w:jc w:val="both"/>
        <w:rPr>
          <w:rFonts w:ascii="Arial" w:hAnsi="Arial"/>
          <w:color w:val="000000"/>
          <w:u w:val="single"/>
        </w:rPr>
      </w:pPr>
      <w:r>
        <w:rPr>
          <w:rFonts w:ascii="Arial" w:hAnsi="Arial"/>
          <w:color w:val="000000"/>
        </w:rPr>
        <w:t>Provide details of the acquisition including the date, parties to and type of agreement (eg: sale, option, license etc.) and relationship to the Issuer.</w:t>
      </w:r>
      <w:r w:rsidRPr="00A57D7A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The disclosure should be sufficiently complete to enable a reader to appreciate the significance of the acquisition without reference to any other material: </w:t>
      </w:r>
      <w:r w:rsidRPr="00FC5988">
        <w:rPr>
          <w:rFonts w:ascii="Arial" w:hAnsi="Arial"/>
          <w:color w:val="000000"/>
          <w:u w:val="single"/>
        </w:rPr>
        <w:t>See the description under Question 1 above with respect to the IR Agreement.</w:t>
      </w:r>
    </w:p>
    <w:p w:rsidR="00EA4133" w:rsidRDefault="00ED65F8">
      <w:pPr>
        <w:pStyle w:val="List"/>
        <w:numPr>
          <w:ilvl w:val="0"/>
          <w:numId w:val="16"/>
        </w:num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Provide the following </w:t>
      </w:r>
      <w:r>
        <w:rPr>
          <w:rFonts w:ascii="Arial" w:hAnsi="Arial"/>
          <w:color w:val="000000"/>
        </w:rPr>
        <w:t>information in relation to the total consideration for the acquisition (including details of all cash, securities or other consideration) and any required work commitments:</w:t>
      </w:r>
    </w:p>
    <w:p w:rsidR="00EA4133" w:rsidRDefault="00ED65F8" w:rsidP="0041498B">
      <w:pPr>
        <w:pStyle w:val="List"/>
        <w:numPr>
          <w:ilvl w:val="0"/>
          <w:numId w:val="13"/>
        </w:numPr>
        <w:tabs>
          <w:tab w:val="left" w:pos="9180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Total aggregate consideration in Canadian dollars: </w:t>
      </w:r>
      <w:r w:rsidRPr="001A577D">
        <w:rPr>
          <w:rFonts w:ascii="Arial" w:hAnsi="Arial"/>
          <w:color w:val="000000"/>
          <w:u w:val="single"/>
        </w:rPr>
        <w:t>Consulting fees of CDN$20,284.50</w:t>
      </w:r>
      <w:r w:rsidRPr="001A577D">
        <w:rPr>
          <w:rFonts w:ascii="Arial" w:hAnsi="Arial"/>
          <w:color w:val="000000"/>
          <w:u w:val="single"/>
        </w:rPr>
        <w:t xml:space="preserve"> (based on the Bank of Canada exchange</w:t>
      </w:r>
      <w:r>
        <w:rPr>
          <w:rFonts w:ascii="Arial" w:hAnsi="Arial"/>
          <w:color w:val="000000"/>
          <w:u w:val="single"/>
        </w:rPr>
        <w:t xml:space="preserve"> rate of $1.3523 on February 29, 2016) and </w:t>
      </w:r>
      <w:r w:rsidRPr="00BB0848">
        <w:rPr>
          <w:rFonts w:ascii="Arial" w:hAnsi="Arial"/>
          <w:color w:val="000000"/>
          <w:u w:val="single"/>
        </w:rPr>
        <w:t>40,000 stock options (each stock option entitling the Consultant to purchase one common share of the Issuer at a price of $0.28 per common share until March 2, 2017)</w:t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</w:rPr>
        <w:t xml:space="preserve"> . </w:t>
      </w:r>
    </w:p>
    <w:p w:rsidR="00EA4133" w:rsidRDefault="00ED65F8">
      <w:pPr>
        <w:pStyle w:val="List"/>
        <w:numPr>
          <w:ilvl w:val="0"/>
          <w:numId w:val="13"/>
        </w:numPr>
        <w:tabs>
          <w:tab w:val="left" w:pos="2160"/>
          <w:tab w:val="left" w:pos="918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Cash:</w:t>
      </w:r>
      <w:r>
        <w:rPr>
          <w:rFonts w:ascii="Arial" w:hAnsi="Arial"/>
          <w:color w:val="000000"/>
        </w:rPr>
        <w:t xml:space="preserve"> </w:t>
      </w:r>
      <w:r w:rsidRPr="00EB2468">
        <w:rPr>
          <w:rFonts w:ascii="Arial" w:hAnsi="Arial"/>
          <w:color w:val="000000"/>
          <w:u w:val="single"/>
        </w:rPr>
        <w:t>CDN$20,284.50</w:t>
      </w:r>
      <w:r>
        <w:rPr>
          <w:rFonts w:ascii="Arial" w:hAnsi="Arial"/>
          <w:color w:val="000000"/>
          <w:u w:val="single"/>
        </w:rPr>
        <w:t xml:space="preserve"> (based on the Bank of Canada exchange rate of $1.3523 on February 29, 2016)</w:t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</w:rPr>
        <w:t xml:space="preserve"> .</w:t>
      </w:r>
    </w:p>
    <w:p w:rsidR="00EA4133" w:rsidRPr="0041498B" w:rsidRDefault="00ED65F8" w:rsidP="0041498B">
      <w:pPr>
        <w:pStyle w:val="List"/>
        <w:numPr>
          <w:ilvl w:val="0"/>
          <w:numId w:val="13"/>
        </w:numPr>
        <w:tabs>
          <w:tab w:val="left" w:pos="2160"/>
          <w:tab w:val="left" w:pos="918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Securities (including options, warrants etc.) and dollar value: </w:t>
      </w:r>
      <w:r w:rsidRPr="003D4392">
        <w:rPr>
          <w:rFonts w:ascii="Arial" w:hAnsi="Arial"/>
          <w:color w:val="000000"/>
          <w:u w:val="single"/>
        </w:rPr>
        <w:t>40,000 stock options (each stock option entitling the Consultant to purchase one common share of t</w:t>
      </w:r>
      <w:r w:rsidRPr="003D4392">
        <w:rPr>
          <w:rFonts w:ascii="Arial" w:hAnsi="Arial"/>
          <w:color w:val="000000"/>
          <w:u w:val="single"/>
        </w:rPr>
        <w:t>he Issuer at a price of $0.28 per common share until March 2, 2017)</w:t>
      </w:r>
      <w:r>
        <w:rPr>
          <w:rFonts w:ascii="Arial" w:hAnsi="Arial"/>
          <w:color w:val="000000"/>
          <w:u w:val="single"/>
        </w:rPr>
        <w:tab/>
      </w:r>
      <w:r w:rsidRPr="0041498B">
        <w:rPr>
          <w:rFonts w:ascii="Arial" w:hAnsi="Arial"/>
          <w:color w:val="000000"/>
        </w:rPr>
        <w:t xml:space="preserve"> .</w:t>
      </w:r>
    </w:p>
    <w:p w:rsidR="00EA4133" w:rsidRDefault="00ED65F8">
      <w:pPr>
        <w:pStyle w:val="List"/>
        <w:numPr>
          <w:ilvl w:val="0"/>
          <w:numId w:val="13"/>
        </w:numPr>
        <w:tabs>
          <w:tab w:val="left" w:pos="2160"/>
          <w:tab w:val="left" w:pos="918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Other: </w:t>
      </w:r>
      <w:r w:rsidRPr="00FC5988">
        <w:rPr>
          <w:rFonts w:ascii="Arial" w:hAnsi="Arial"/>
          <w:color w:val="000000"/>
          <w:u w:val="single"/>
        </w:rPr>
        <w:t>N/A</w:t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</w:rPr>
        <w:t xml:space="preserve"> .</w:t>
      </w:r>
    </w:p>
    <w:p w:rsidR="00EA4133" w:rsidRDefault="00ED65F8">
      <w:pPr>
        <w:pStyle w:val="List"/>
        <w:numPr>
          <w:ilvl w:val="0"/>
          <w:numId w:val="13"/>
        </w:numPr>
        <w:tabs>
          <w:tab w:val="left" w:pos="2160"/>
          <w:tab w:val="left" w:pos="918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Expiry date of options, warrants, etc. if any: </w:t>
      </w:r>
      <w:r w:rsidRPr="00FC5988">
        <w:rPr>
          <w:rFonts w:ascii="Arial" w:hAnsi="Arial"/>
          <w:color w:val="000000"/>
          <w:u w:val="single"/>
        </w:rPr>
        <w:t>March 2, 2017</w:t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</w:rPr>
        <w:t xml:space="preserve"> .</w:t>
      </w:r>
    </w:p>
    <w:p w:rsidR="00EA4133" w:rsidRDefault="00ED65F8" w:rsidP="00B35C67">
      <w:pPr>
        <w:pStyle w:val="List"/>
        <w:keepNext/>
        <w:numPr>
          <w:ilvl w:val="0"/>
          <w:numId w:val="13"/>
        </w:numPr>
        <w:tabs>
          <w:tab w:val="left" w:pos="2160"/>
          <w:tab w:val="left" w:pos="918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lastRenderedPageBreak/>
        <w:t xml:space="preserve">Exercise price of options, warrants, etc. if any: </w:t>
      </w:r>
      <w:r w:rsidRPr="00FC5988">
        <w:rPr>
          <w:rFonts w:ascii="Arial" w:hAnsi="Arial"/>
          <w:color w:val="000000"/>
          <w:u w:val="single"/>
        </w:rPr>
        <w:t>$0.28</w:t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</w:rPr>
        <w:t xml:space="preserve"> .</w:t>
      </w:r>
    </w:p>
    <w:p w:rsidR="00EA4133" w:rsidRDefault="00ED65F8" w:rsidP="00B35C67">
      <w:pPr>
        <w:pStyle w:val="List"/>
        <w:keepNext/>
        <w:numPr>
          <w:ilvl w:val="0"/>
          <w:numId w:val="13"/>
        </w:numPr>
        <w:tabs>
          <w:tab w:val="left" w:pos="2160"/>
          <w:tab w:val="left" w:pos="9180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Work commitments: </w:t>
      </w:r>
      <w:r>
        <w:rPr>
          <w:rFonts w:ascii="Arial" w:hAnsi="Arial"/>
          <w:color w:val="000000"/>
          <w:u w:val="single"/>
        </w:rPr>
        <w:t>T</w:t>
      </w:r>
      <w:r w:rsidRPr="00B35C67">
        <w:rPr>
          <w:rFonts w:ascii="Arial" w:hAnsi="Arial"/>
          <w:color w:val="000000"/>
          <w:u w:val="single"/>
        </w:rPr>
        <w:t>erm of the IR Agreement was a</w:t>
      </w:r>
      <w:r w:rsidRPr="00B35C67">
        <w:rPr>
          <w:rFonts w:ascii="Arial" w:hAnsi="Arial"/>
          <w:color w:val="000000"/>
          <w:u w:val="single"/>
        </w:rPr>
        <w:t>pproximately 15 weeks</w:t>
      </w:r>
      <w:r w:rsidRPr="00B35C67"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</w:rPr>
        <w:t xml:space="preserve"> .</w:t>
      </w:r>
    </w:p>
    <w:p w:rsidR="00EA4133" w:rsidRDefault="00ED65F8" w:rsidP="00B35C67">
      <w:pPr>
        <w:pStyle w:val="List"/>
        <w:keepNext/>
        <w:numPr>
          <w:ilvl w:val="0"/>
          <w:numId w:val="16"/>
        </w:numPr>
        <w:tabs>
          <w:tab w:val="left" w:pos="918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State how the purchase or sale price was determined (e.g. arm’s-length negotiation, independent committee of the Board, third party valuation etc).</w:t>
      </w:r>
    </w:p>
    <w:p w:rsidR="00FC5988" w:rsidRDefault="00ED65F8" w:rsidP="00FC5988">
      <w:pPr>
        <w:pStyle w:val="List"/>
        <w:tabs>
          <w:tab w:val="left" w:pos="9180"/>
        </w:tabs>
        <w:ind w:firstLine="0"/>
        <w:rPr>
          <w:rFonts w:ascii="Arial" w:hAnsi="Arial"/>
          <w:color w:val="000000"/>
        </w:rPr>
      </w:pPr>
      <w:r w:rsidRPr="003F2A5F">
        <w:rPr>
          <w:rFonts w:ascii="Arial" w:hAnsi="Arial"/>
          <w:color w:val="000000"/>
          <w:szCs w:val="24"/>
          <w:u w:val="single"/>
        </w:rPr>
        <w:t>The terms of the IR Agreement were determined through arm’s-length negotiation.</w:t>
      </w:r>
    </w:p>
    <w:p w:rsidR="00EA4133" w:rsidRPr="00B36DA4" w:rsidRDefault="00ED65F8" w:rsidP="00B36DA4">
      <w:pPr>
        <w:pStyle w:val="List"/>
        <w:numPr>
          <w:ilvl w:val="0"/>
          <w:numId w:val="16"/>
        </w:numPr>
        <w:tabs>
          <w:tab w:val="left" w:pos="918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Pro</w:t>
      </w:r>
      <w:r>
        <w:rPr>
          <w:rFonts w:ascii="Arial" w:hAnsi="Arial"/>
          <w:color w:val="000000"/>
        </w:rPr>
        <w:t>vide details of any appraisal or valuation of the subject of the acquisition known to management of the Issuer:</w:t>
      </w:r>
      <w:r>
        <w:rPr>
          <w:rFonts w:ascii="Arial" w:hAnsi="Arial"/>
          <w:color w:val="000000"/>
        </w:rPr>
        <w:t xml:space="preserve"> </w:t>
      </w:r>
      <w:r w:rsidRPr="00B35C67">
        <w:rPr>
          <w:rFonts w:ascii="Arial" w:hAnsi="Arial"/>
          <w:color w:val="000000"/>
          <w:u w:val="single"/>
        </w:rPr>
        <w:t>N/A</w:t>
      </w:r>
      <w:r w:rsidRPr="00B36DA4">
        <w:rPr>
          <w:rFonts w:ascii="Arial" w:hAnsi="Arial"/>
          <w:color w:val="000000"/>
        </w:rPr>
        <w:t xml:space="preserve"> .</w:t>
      </w:r>
    </w:p>
    <w:p w:rsidR="00B35C67" w:rsidRDefault="00ED65F8" w:rsidP="00B35C67">
      <w:pPr>
        <w:pStyle w:val="List"/>
        <w:numPr>
          <w:ilvl w:val="0"/>
          <w:numId w:val="16"/>
        </w:numPr>
        <w:spacing w:after="24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The names of parties receiving securities of the Issuer pursuant to the acquisition and the number of securities to be issued are </w:t>
      </w:r>
      <w:r>
        <w:rPr>
          <w:rFonts w:ascii="Arial" w:hAnsi="Arial"/>
          <w:color w:val="000000"/>
        </w:rPr>
        <w:t>described as follows:</w:t>
      </w:r>
    </w:p>
    <w:tbl>
      <w:tblPr>
        <w:tblW w:w="10350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170"/>
        <w:gridCol w:w="1170"/>
        <w:gridCol w:w="1260"/>
        <w:gridCol w:w="1260"/>
        <w:gridCol w:w="1800"/>
        <w:gridCol w:w="1890"/>
      </w:tblGrid>
      <w:tr w:rsidR="003F1D9A" w:rsidTr="005D273C">
        <w:trPr>
          <w:trHeight w:val="1965"/>
        </w:trPr>
        <w:tc>
          <w:tcPr>
            <w:tcW w:w="1800" w:type="dxa"/>
          </w:tcPr>
          <w:p w:rsidR="00B35C67" w:rsidRPr="00B35C67" w:rsidRDefault="00ED65F8" w:rsidP="00B35C67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18"/>
                <w:szCs w:val="18"/>
                <w:lang w:val="en-CA"/>
              </w:rPr>
            </w:pPr>
          </w:p>
          <w:p w:rsidR="00B35C67" w:rsidRPr="00B35C67" w:rsidRDefault="00ED65F8" w:rsidP="00B35C67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18"/>
                <w:szCs w:val="18"/>
                <w:lang w:val="en-CA"/>
              </w:rPr>
            </w:pPr>
            <w:r w:rsidRPr="00B35C67">
              <w:rPr>
                <w:rFonts w:ascii="Arial" w:hAnsi="Arial"/>
                <w:b/>
                <w:sz w:val="18"/>
                <w:szCs w:val="18"/>
                <w:lang w:val="en-CA"/>
              </w:rPr>
              <w:t>Full Name &amp; Residential Address of Placee</w:t>
            </w:r>
          </w:p>
        </w:tc>
        <w:tc>
          <w:tcPr>
            <w:tcW w:w="1170" w:type="dxa"/>
          </w:tcPr>
          <w:p w:rsidR="00B35C67" w:rsidRPr="00B35C67" w:rsidRDefault="00ED65F8" w:rsidP="00B35C67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18"/>
                <w:szCs w:val="18"/>
                <w:lang w:val="en-CA"/>
              </w:rPr>
            </w:pPr>
          </w:p>
          <w:p w:rsidR="00B35C67" w:rsidRPr="00B35C67" w:rsidRDefault="00ED65F8" w:rsidP="00B35C67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18"/>
                <w:szCs w:val="18"/>
                <w:lang w:val="en-CA"/>
              </w:rPr>
            </w:pPr>
            <w:r w:rsidRPr="00B35C67">
              <w:rPr>
                <w:rFonts w:ascii="Arial" w:hAnsi="Arial"/>
                <w:b/>
                <w:sz w:val="18"/>
                <w:szCs w:val="18"/>
                <w:lang w:val="en-CA"/>
              </w:rPr>
              <w:t>Number of Securities Purchased or to be Purchased</w:t>
            </w:r>
          </w:p>
        </w:tc>
        <w:tc>
          <w:tcPr>
            <w:tcW w:w="1170" w:type="dxa"/>
          </w:tcPr>
          <w:p w:rsidR="00B35C67" w:rsidRPr="00B35C67" w:rsidRDefault="00ED65F8" w:rsidP="00B35C67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18"/>
                <w:szCs w:val="18"/>
                <w:lang w:val="en-CA"/>
              </w:rPr>
            </w:pPr>
          </w:p>
          <w:p w:rsidR="00B35C67" w:rsidRPr="00B35C67" w:rsidRDefault="00ED65F8" w:rsidP="00B35C67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18"/>
                <w:szCs w:val="18"/>
                <w:lang w:val="en-CA"/>
              </w:rPr>
            </w:pPr>
            <w:r w:rsidRPr="00B35C67">
              <w:rPr>
                <w:rFonts w:ascii="Arial" w:hAnsi="Arial"/>
                <w:b/>
                <w:sz w:val="18"/>
                <w:szCs w:val="18"/>
                <w:lang w:val="en-CA"/>
              </w:rPr>
              <w:t>Purchase price per Security (CDN$)</w:t>
            </w:r>
          </w:p>
        </w:tc>
        <w:tc>
          <w:tcPr>
            <w:tcW w:w="1260" w:type="dxa"/>
          </w:tcPr>
          <w:p w:rsidR="00B35C67" w:rsidRPr="00B35C67" w:rsidRDefault="00ED65F8" w:rsidP="00B35C67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18"/>
                <w:szCs w:val="18"/>
                <w:lang w:val="en-CA"/>
              </w:rPr>
            </w:pPr>
          </w:p>
          <w:p w:rsidR="00B35C67" w:rsidRPr="00B35C67" w:rsidRDefault="00ED65F8" w:rsidP="00B35C67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18"/>
                <w:szCs w:val="18"/>
                <w:lang w:val="en-CA"/>
              </w:rPr>
            </w:pPr>
            <w:r w:rsidRPr="00B35C67">
              <w:rPr>
                <w:rFonts w:ascii="Arial" w:hAnsi="Arial"/>
                <w:b/>
                <w:sz w:val="18"/>
                <w:szCs w:val="18"/>
                <w:lang w:val="en-CA"/>
              </w:rPr>
              <w:t>Conversion</w:t>
            </w:r>
          </w:p>
          <w:p w:rsidR="00B35C67" w:rsidRPr="00B35C67" w:rsidRDefault="00ED65F8" w:rsidP="00B35C67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18"/>
                <w:szCs w:val="18"/>
                <w:lang w:val="en-CA"/>
              </w:rPr>
            </w:pPr>
            <w:r w:rsidRPr="00B35C67">
              <w:rPr>
                <w:rFonts w:ascii="Arial" w:hAnsi="Arial"/>
                <w:b/>
                <w:sz w:val="18"/>
                <w:szCs w:val="18"/>
                <w:lang w:val="en-CA"/>
              </w:rPr>
              <w:t>Price (if</w:t>
            </w:r>
          </w:p>
          <w:p w:rsidR="00B35C67" w:rsidRPr="00B35C67" w:rsidRDefault="00ED65F8" w:rsidP="00B35C67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18"/>
                <w:szCs w:val="18"/>
                <w:lang w:val="en-CA"/>
              </w:rPr>
            </w:pPr>
            <w:r w:rsidRPr="00B35C67">
              <w:rPr>
                <w:rFonts w:ascii="Arial" w:hAnsi="Arial"/>
                <w:b/>
                <w:sz w:val="18"/>
                <w:szCs w:val="18"/>
                <w:lang w:val="en-CA"/>
              </w:rPr>
              <w:t>Applicable)</w:t>
            </w:r>
          </w:p>
        </w:tc>
        <w:tc>
          <w:tcPr>
            <w:tcW w:w="1260" w:type="dxa"/>
          </w:tcPr>
          <w:p w:rsidR="00B35C67" w:rsidRPr="00B35C67" w:rsidRDefault="00ED65F8" w:rsidP="00B35C67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18"/>
                <w:szCs w:val="18"/>
                <w:lang w:val="en-CA"/>
              </w:rPr>
            </w:pPr>
          </w:p>
          <w:p w:rsidR="00B35C67" w:rsidRPr="00B35C67" w:rsidRDefault="00ED65F8" w:rsidP="00B35C67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18"/>
                <w:szCs w:val="18"/>
                <w:lang w:val="en-CA"/>
              </w:rPr>
            </w:pPr>
            <w:r w:rsidRPr="00B35C67">
              <w:rPr>
                <w:rFonts w:ascii="Arial" w:hAnsi="Arial"/>
                <w:b/>
                <w:sz w:val="18"/>
                <w:szCs w:val="18"/>
                <w:lang w:val="en-CA"/>
              </w:rPr>
              <w:t>Prospectus Exemption</w:t>
            </w:r>
          </w:p>
        </w:tc>
        <w:tc>
          <w:tcPr>
            <w:tcW w:w="1800" w:type="dxa"/>
          </w:tcPr>
          <w:p w:rsidR="00B35C67" w:rsidRPr="00B35C67" w:rsidRDefault="00ED65F8" w:rsidP="00B35C67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18"/>
                <w:szCs w:val="18"/>
                <w:lang w:val="en-CA"/>
              </w:rPr>
            </w:pPr>
            <w:r w:rsidRPr="00B35C67">
              <w:rPr>
                <w:rFonts w:ascii="Arial" w:hAnsi="Arial"/>
                <w:b/>
                <w:sz w:val="18"/>
                <w:szCs w:val="18"/>
              </w:rPr>
              <w:t xml:space="preserve">No. of Securities, directly or indirectly, </w:t>
            </w:r>
            <w:r w:rsidRPr="00B35C67">
              <w:rPr>
                <w:rFonts w:ascii="Arial" w:hAnsi="Arial"/>
                <w:b/>
                <w:sz w:val="18"/>
                <w:szCs w:val="18"/>
              </w:rPr>
              <w:t>Owned, Controlled or Directed</w:t>
            </w:r>
          </w:p>
        </w:tc>
        <w:tc>
          <w:tcPr>
            <w:tcW w:w="1890" w:type="dxa"/>
          </w:tcPr>
          <w:p w:rsidR="00B35C67" w:rsidRPr="00B35C67" w:rsidRDefault="00ED65F8" w:rsidP="00B35C67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val="en-CA"/>
              </w:rPr>
            </w:pPr>
          </w:p>
          <w:p w:rsidR="00B35C67" w:rsidRPr="00B35C67" w:rsidRDefault="00ED65F8" w:rsidP="00B35C67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val="en-CA"/>
              </w:rPr>
            </w:pPr>
            <w:r w:rsidRPr="00B35C67">
              <w:rPr>
                <w:rFonts w:ascii="Arial" w:hAnsi="Arial"/>
                <w:b/>
                <w:color w:val="000000"/>
                <w:sz w:val="18"/>
                <w:szCs w:val="18"/>
                <w:lang w:val="en-CA"/>
              </w:rPr>
              <w:t xml:space="preserve">Describe relationship to Issuer 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vertAlign w:val="superscript"/>
                <w:lang w:val="en-CA"/>
              </w:rPr>
              <w:t>(1</w:t>
            </w:r>
            <w:r w:rsidRPr="00B35C67">
              <w:rPr>
                <w:rFonts w:ascii="Arial" w:hAnsi="Arial"/>
                <w:b/>
                <w:color w:val="000000"/>
                <w:sz w:val="18"/>
                <w:szCs w:val="18"/>
                <w:vertAlign w:val="superscript"/>
                <w:lang w:val="en-CA"/>
              </w:rPr>
              <w:t>)</w:t>
            </w:r>
          </w:p>
        </w:tc>
      </w:tr>
      <w:tr w:rsidR="003F1D9A" w:rsidTr="005D273C">
        <w:trPr>
          <w:trHeight w:val="864"/>
        </w:trPr>
        <w:tc>
          <w:tcPr>
            <w:tcW w:w="1800" w:type="dxa"/>
          </w:tcPr>
          <w:p w:rsidR="00B35C67" w:rsidRPr="00B35C67" w:rsidRDefault="00ED65F8" w:rsidP="00B35C67">
            <w:pPr>
              <w:pStyle w:val="BodyText"/>
              <w:spacing w:before="0" w:line="280" w:lineRule="exact"/>
              <w:rPr>
                <w:rFonts w:ascii="Arial" w:hAnsi="Arial"/>
                <w:sz w:val="18"/>
                <w:szCs w:val="18"/>
                <w:lang w:val="en-CA"/>
              </w:rPr>
            </w:pPr>
            <w:r w:rsidRPr="00B35C67">
              <w:rPr>
                <w:rFonts w:ascii="Arial" w:hAnsi="Arial"/>
                <w:sz w:val="18"/>
                <w:szCs w:val="18"/>
                <w:lang w:val="en-CA"/>
              </w:rPr>
              <w:t>Glenn Shand and Associates, LLC</w:t>
            </w:r>
            <w:r>
              <w:rPr>
                <w:rFonts w:ascii="Arial" w:hAnsi="Arial"/>
                <w:sz w:val="18"/>
                <w:szCs w:val="18"/>
                <w:lang w:val="en-CA"/>
              </w:rPr>
              <w:br/>
              <w:t>Phoenix, Arizona</w:t>
            </w:r>
          </w:p>
        </w:tc>
        <w:tc>
          <w:tcPr>
            <w:tcW w:w="1170" w:type="dxa"/>
          </w:tcPr>
          <w:p w:rsidR="00B35C67" w:rsidRPr="00B35C67" w:rsidRDefault="00ED65F8" w:rsidP="00B35C67">
            <w:pPr>
              <w:pStyle w:val="BodyText"/>
              <w:spacing w:before="0" w:line="280" w:lineRule="exact"/>
              <w:jc w:val="center"/>
              <w:rPr>
                <w:rFonts w:ascii="Arial" w:hAnsi="Arial"/>
                <w:sz w:val="18"/>
                <w:szCs w:val="18"/>
                <w:lang w:val="en-CA"/>
              </w:rPr>
            </w:pPr>
            <w:r w:rsidRPr="00B35C67">
              <w:rPr>
                <w:rFonts w:ascii="Arial" w:hAnsi="Arial"/>
                <w:sz w:val="18"/>
                <w:szCs w:val="18"/>
                <w:lang w:val="en-CA"/>
              </w:rPr>
              <w:t>40,000 stock options</w:t>
            </w:r>
          </w:p>
        </w:tc>
        <w:tc>
          <w:tcPr>
            <w:tcW w:w="1170" w:type="dxa"/>
          </w:tcPr>
          <w:p w:rsidR="00B35C67" w:rsidRPr="00B35C67" w:rsidRDefault="00ED65F8" w:rsidP="00B35C67">
            <w:pPr>
              <w:pStyle w:val="BodyText"/>
              <w:spacing w:before="0" w:line="280" w:lineRule="exact"/>
              <w:jc w:val="center"/>
              <w:rPr>
                <w:rFonts w:ascii="Arial" w:hAnsi="Arial"/>
                <w:sz w:val="18"/>
                <w:szCs w:val="18"/>
                <w:lang w:val="en-CA"/>
              </w:rPr>
            </w:pPr>
            <w:r w:rsidRPr="00B35C67">
              <w:rPr>
                <w:rFonts w:ascii="Arial" w:hAnsi="Arial"/>
                <w:sz w:val="18"/>
                <w:szCs w:val="18"/>
                <w:lang w:val="en-CA"/>
              </w:rPr>
              <w:t>N/A</w:t>
            </w:r>
          </w:p>
        </w:tc>
        <w:tc>
          <w:tcPr>
            <w:tcW w:w="1260" w:type="dxa"/>
          </w:tcPr>
          <w:p w:rsidR="00B35C67" w:rsidRPr="00B35C67" w:rsidRDefault="00ED65F8" w:rsidP="00B35C67">
            <w:pPr>
              <w:pStyle w:val="BodyText"/>
              <w:spacing w:before="0" w:line="280" w:lineRule="exact"/>
              <w:jc w:val="center"/>
              <w:rPr>
                <w:rFonts w:ascii="Arial" w:hAnsi="Arial"/>
                <w:sz w:val="18"/>
                <w:szCs w:val="18"/>
                <w:lang w:val="en-CA"/>
              </w:rPr>
            </w:pPr>
            <w:r>
              <w:rPr>
                <w:rFonts w:ascii="Arial" w:hAnsi="Arial"/>
                <w:sz w:val="18"/>
                <w:szCs w:val="18"/>
                <w:lang w:val="en-CA"/>
              </w:rPr>
              <w:t>$0.28</w:t>
            </w:r>
          </w:p>
        </w:tc>
        <w:tc>
          <w:tcPr>
            <w:tcW w:w="1260" w:type="dxa"/>
          </w:tcPr>
          <w:p w:rsidR="00B35C67" w:rsidRPr="00B35C67" w:rsidRDefault="00ED65F8" w:rsidP="00B35C67">
            <w:pPr>
              <w:pStyle w:val="BodyText"/>
              <w:spacing w:before="0" w:line="280" w:lineRule="exact"/>
              <w:jc w:val="center"/>
              <w:rPr>
                <w:rFonts w:ascii="Arial" w:hAnsi="Arial"/>
                <w:sz w:val="18"/>
                <w:szCs w:val="18"/>
                <w:lang w:val="en-CA"/>
              </w:rPr>
            </w:pPr>
            <w:r>
              <w:rPr>
                <w:rFonts w:ascii="Arial" w:hAnsi="Arial"/>
                <w:sz w:val="18"/>
                <w:szCs w:val="18"/>
                <w:lang w:val="en-CA"/>
              </w:rPr>
              <w:t>Section 2.24 of NI 45-106</w:t>
            </w:r>
          </w:p>
        </w:tc>
        <w:tc>
          <w:tcPr>
            <w:tcW w:w="1800" w:type="dxa"/>
          </w:tcPr>
          <w:p w:rsidR="00B35C67" w:rsidRPr="00B35C67" w:rsidRDefault="00ED65F8" w:rsidP="00B35C67">
            <w:pPr>
              <w:pStyle w:val="BodyText"/>
              <w:spacing w:before="0" w:line="280" w:lineRule="exac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65,000</w:t>
            </w:r>
          </w:p>
        </w:tc>
        <w:tc>
          <w:tcPr>
            <w:tcW w:w="1890" w:type="dxa"/>
          </w:tcPr>
          <w:p w:rsidR="00B35C67" w:rsidRPr="00B35C67" w:rsidRDefault="00ED65F8" w:rsidP="005D273C">
            <w:pPr>
              <w:pStyle w:val="BodyText"/>
              <w:spacing w:before="0" w:line="280" w:lineRule="exact"/>
              <w:jc w:val="center"/>
              <w:rPr>
                <w:rFonts w:ascii="Arial" w:hAnsi="Arial"/>
                <w:color w:val="000000"/>
                <w:sz w:val="18"/>
                <w:szCs w:val="18"/>
                <w:lang w:val="en-CA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en-CA"/>
              </w:rPr>
              <w:t>Related Person</w:t>
            </w:r>
            <w:r>
              <w:rPr>
                <w:rFonts w:ascii="Arial" w:hAnsi="Arial"/>
                <w:color w:val="000000"/>
                <w:sz w:val="18"/>
                <w:szCs w:val="18"/>
                <w:lang w:val="en-CA"/>
              </w:rPr>
              <w:br/>
              <w:t xml:space="preserve">(by virtue of performing investor relations activities for </w:t>
            </w:r>
            <w:r>
              <w:rPr>
                <w:rFonts w:ascii="Arial" w:hAnsi="Arial"/>
                <w:color w:val="000000"/>
                <w:sz w:val="18"/>
                <w:szCs w:val="18"/>
                <w:lang w:val="en-CA"/>
              </w:rPr>
              <w:t>the Issuer)</w:t>
            </w:r>
          </w:p>
        </w:tc>
      </w:tr>
    </w:tbl>
    <w:p w:rsidR="00EA4133" w:rsidRDefault="00ED65F8" w:rsidP="00B35C67">
      <w:pPr>
        <w:pStyle w:val="List"/>
        <w:spacing w:before="0"/>
        <w:ind w:left="0" w:firstLine="0"/>
        <w:jc w:val="both"/>
        <w:rPr>
          <w:rFonts w:ascii="Arial" w:hAnsi="Arial"/>
          <w:color w:val="000000"/>
        </w:rPr>
      </w:pPr>
    </w:p>
    <w:p w:rsidR="00EA4133" w:rsidRDefault="00ED65F8" w:rsidP="00B35C67">
      <w:pPr>
        <w:pStyle w:val="BodyText"/>
        <w:numPr>
          <w:ilvl w:val="0"/>
          <w:numId w:val="18"/>
        </w:numPr>
        <w:spacing w:befor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Indicate if </w:t>
      </w:r>
      <w:r w:rsidRPr="00B35C67">
        <w:rPr>
          <w:rFonts w:ascii="Arial" w:hAnsi="Arial" w:cs="Arial"/>
          <w:sz w:val="20"/>
        </w:rPr>
        <w:t>Related</w:t>
      </w:r>
      <w:r>
        <w:rPr>
          <w:rFonts w:ascii="Arial" w:hAnsi="Arial"/>
          <w:sz w:val="20"/>
        </w:rPr>
        <w:t xml:space="preserve"> Person</w:t>
      </w:r>
    </w:p>
    <w:p w:rsidR="00EA4133" w:rsidRPr="00B36DA4" w:rsidRDefault="00ED65F8" w:rsidP="00B36DA4">
      <w:pPr>
        <w:pStyle w:val="List"/>
        <w:numPr>
          <w:ilvl w:val="0"/>
          <w:numId w:val="16"/>
        </w:numPr>
        <w:tabs>
          <w:tab w:val="left" w:pos="9180"/>
        </w:tabs>
        <w:jc w:val="both"/>
        <w:rPr>
          <w:rFonts w:ascii="Arial" w:hAnsi="Arial"/>
          <w:color w:val="000000"/>
          <w:u w:val="single"/>
        </w:rPr>
      </w:pPr>
      <w:r>
        <w:rPr>
          <w:rFonts w:ascii="Arial" w:hAnsi="Arial"/>
          <w:color w:val="000000"/>
        </w:rPr>
        <w:t xml:space="preserve">Details of the steps taken by the Issuer to ensure that the vendor has good title to the assets being acquired: </w:t>
      </w:r>
      <w:r w:rsidRPr="00B35C67">
        <w:rPr>
          <w:rFonts w:ascii="Arial" w:hAnsi="Arial"/>
          <w:color w:val="000000"/>
          <w:u w:val="single"/>
        </w:rPr>
        <w:t>N/A</w:t>
      </w:r>
      <w:r w:rsidRPr="00B36DA4">
        <w:rPr>
          <w:rFonts w:ascii="Arial" w:hAnsi="Arial"/>
          <w:color w:val="000000"/>
        </w:rPr>
        <w:t xml:space="preserve"> . </w:t>
      </w:r>
    </w:p>
    <w:p w:rsidR="00EA4133" w:rsidRDefault="00ED65F8">
      <w:pPr>
        <w:pStyle w:val="List"/>
        <w:numPr>
          <w:ilvl w:val="0"/>
          <w:numId w:val="16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Provide the following information for any agent’s fee, commission, bonus or finder’s fee, or </w:t>
      </w:r>
      <w:r>
        <w:rPr>
          <w:rFonts w:ascii="Arial" w:hAnsi="Arial"/>
        </w:rPr>
        <w:t>other compensation paid or to be paid in connection with the acquisition (including warrants, options, etc.):</w:t>
      </w:r>
    </w:p>
    <w:p w:rsidR="00EA4133" w:rsidRDefault="00ED65F8">
      <w:pPr>
        <w:pStyle w:val="List"/>
        <w:tabs>
          <w:tab w:val="left" w:pos="2160"/>
          <w:tab w:val="left" w:pos="9180"/>
        </w:tabs>
        <w:ind w:left="2160"/>
        <w:jc w:val="both"/>
        <w:rPr>
          <w:rFonts w:ascii="Arial" w:hAnsi="Arial"/>
          <w:u w:val="single"/>
        </w:rPr>
      </w:pPr>
      <w:r>
        <w:rPr>
          <w:rFonts w:ascii="Arial" w:hAnsi="Arial"/>
        </w:rPr>
        <w:t>(a)</w:t>
      </w:r>
      <w:r>
        <w:rPr>
          <w:rFonts w:ascii="Arial" w:hAnsi="Arial"/>
        </w:rPr>
        <w:tab/>
        <w:t>Details of any dealer, agent, broker or other person receiving compensation in connection with the acquisition (name, address. If a corporatio</w:t>
      </w:r>
      <w:r>
        <w:rPr>
          <w:rFonts w:ascii="Arial" w:hAnsi="Arial"/>
        </w:rPr>
        <w:t xml:space="preserve">n, identify persons owning or exercising voting control over 20% or more of the voting shares if known to the Issuer): </w:t>
      </w:r>
      <w:r w:rsidRPr="0060632F">
        <w:rPr>
          <w:rFonts w:ascii="Arial" w:hAnsi="Arial"/>
          <w:u w:val="single"/>
        </w:rPr>
        <w:t>N/A</w:t>
      </w:r>
      <w:r w:rsidRPr="0060632F">
        <w:rPr>
          <w:rFonts w:ascii="Arial" w:hAnsi="Arial"/>
          <w:u w:val="single"/>
        </w:rPr>
        <w:tab/>
      </w:r>
      <w:r>
        <w:rPr>
          <w:rFonts w:ascii="Arial" w:hAnsi="Arial"/>
        </w:rPr>
        <w:t>.</w:t>
      </w:r>
    </w:p>
    <w:p w:rsidR="00EA4133" w:rsidRDefault="00ED65F8">
      <w:pPr>
        <w:pStyle w:val="List"/>
        <w:tabs>
          <w:tab w:val="left" w:pos="2160"/>
          <w:tab w:val="left" w:pos="9180"/>
        </w:tabs>
        <w:ind w:left="2160"/>
        <w:rPr>
          <w:rFonts w:ascii="Arial" w:hAnsi="Arial"/>
        </w:rPr>
      </w:pPr>
      <w:r>
        <w:rPr>
          <w:rFonts w:ascii="Arial" w:hAnsi="Arial"/>
        </w:rPr>
        <w:t>(b)</w:t>
      </w:r>
      <w:r>
        <w:rPr>
          <w:rFonts w:ascii="Arial" w:hAnsi="Arial"/>
        </w:rPr>
        <w:tab/>
        <w:t xml:space="preserve">Cash </w:t>
      </w:r>
      <w:r w:rsidRPr="0060632F">
        <w:rPr>
          <w:rFonts w:ascii="Arial" w:hAnsi="Arial"/>
          <w:u w:val="single"/>
        </w:rPr>
        <w:t>N/A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:rsidR="00EA4133" w:rsidRDefault="00ED65F8">
      <w:pPr>
        <w:pStyle w:val="List"/>
        <w:tabs>
          <w:tab w:val="left" w:pos="2160"/>
          <w:tab w:val="left" w:pos="9180"/>
        </w:tabs>
        <w:ind w:left="2160"/>
        <w:rPr>
          <w:rFonts w:ascii="Arial" w:hAnsi="Arial"/>
        </w:rPr>
      </w:pPr>
      <w:r>
        <w:rPr>
          <w:rFonts w:ascii="Arial" w:hAnsi="Arial"/>
        </w:rPr>
        <w:lastRenderedPageBreak/>
        <w:t>(c)</w:t>
      </w:r>
      <w:r>
        <w:rPr>
          <w:rFonts w:ascii="Arial" w:hAnsi="Arial"/>
        </w:rPr>
        <w:tab/>
        <w:t xml:space="preserve">Securities </w:t>
      </w:r>
      <w:r w:rsidRPr="0060632F">
        <w:rPr>
          <w:rFonts w:ascii="Arial" w:hAnsi="Arial"/>
          <w:u w:val="single"/>
        </w:rPr>
        <w:t>N/A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:rsidR="00EA4133" w:rsidRDefault="00ED65F8">
      <w:pPr>
        <w:pStyle w:val="List"/>
        <w:tabs>
          <w:tab w:val="left" w:pos="2160"/>
          <w:tab w:val="left" w:pos="9180"/>
        </w:tabs>
        <w:ind w:left="2160"/>
        <w:rPr>
          <w:rFonts w:ascii="Arial" w:hAnsi="Arial"/>
        </w:rPr>
      </w:pPr>
      <w:r>
        <w:rPr>
          <w:rFonts w:ascii="Arial" w:hAnsi="Arial"/>
        </w:rPr>
        <w:t>(d)</w:t>
      </w:r>
      <w:r>
        <w:rPr>
          <w:rFonts w:ascii="Arial" w:hAnsi="Arial"/>
        </w:rPr>
        <w:tab/>
        <w:t xml:space="preserve">Other </w:t>
      </w:r>
      <w:r w:rsidRPr="0060632F">
        <w:rPr>
          <w:rFonts w:ascii="Arial" w:hAnsi="Arial"/>
          <w:u w:val="single"/>
        </w:rPr>
        <w:t>N/A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:rsidR="00EA4133" w:rsidRDefault="00ED65F8">
      <w:pPr>
        <w:pStyle w:val="List"/>
        <w:numPr>
          <w:ilvl w:val="0"/>
          <w:numId w:val="15"/>
        </w:numPr>
        <w:tabs>
          <w:tab w:val="left" w:pos="9180"/>
        </w:tabs>
        <w:rPr>
          <w:rFonts w:ascii="Arial" w:hAnsi="Arial"/>
        </w:rPr>
      </w:pPr>
      <w:r>
        <w:rPr>
          <w:rFonts w:ascii="Arial" w:hAnsi="Arial"/>
        </w:rPr>
        <w:t xml:space="preserve">Expiry date of any options, warrants etc. </w:t>
      </w:r>
      <w:r w:rsidRPr="0060632F">
        <w:rPr>
          <w:rFonts w:ascii="Arial" w:hAnsi="Arial"/>
          <w:u w:val="single"/>
        </w:rPr>
        <w:t>N/A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</w:t>
      </w:r>
      <w:r w:rsidRPr="0060632F">
        <w:rPr>
          <w:rFonts w:ascii="Arial" w:hAnsi="Arial"/>
        </w:rPr>
        <w:t>.</w:t>
      </w:r>
    </w:p>
    <w:p w:rsidR="00CF2A90" w:rsidRPr="0060632F" w:rsidRDefault="00ED65F8" w:rsidP="0060632F">
      <w:pPr>
        <w:pStyle w:val="List"/>
        <w:numPr>
          <w:ilvl w:val="0"/>
          <w:numId w:val="15"/>
        </w:numPr>
        <w:tabs>
          <w:tab w:val="left" w:pos="2160"/>
          <w:tab w:val="left" w:pos="9180"/>
        </w:tabs>
        <w:rPr>
          <w:rFonts w:ascii="Arial" w:hAnsi="Arial"/>
          <w:color w:val="000000"/>
        </w:rPr>
      </w:pPr>
      <w:r>
        <w:rPr>
          <w:rFonts w:ascii="Arial" w:hAnsi="Arial"/>
        </w:rPr>
        <w:t xml:space="preserve">Exercise price of any options, warrants etc. </w:t>
      </w:r>
      <w:r w:rsidRPr="0060632F">
        <w:rPr>
          <w:rFonts w:ascii="Arial" w:hAnsi="Arial"/>
          <w:u w:val="single"/>
        </w:rPr>
        <w:t>N/A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:rsidR="00EA4133" w:rsidRDefault="00ED65F8">
      <w:pPr>
        <w:pStyle w:val="List"/>
        <w:numPr>
          <w:ilvl w:val="0"/>
          <w:numId w:val="16"/>
        </w:numPr>
        <w:tabs>
          <w:tab w:val="left" w:pos="918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State whether the sales agent, broker or other person receiving compensation in connection with the acquisition is a Related Person or has any other relationship with the Issuer and provide details of the</w:t>
      </w:r>
      <w:r>
        <w:rPr>
          <w:rFonts w:ascii="Arial" w:hAnsi="Arial"/>
          <w:color w:val="000000"/>
        </w:rPr>
        <w:t xml:space="preserve"> relationship. </w:t>
      </w:r>
      <w:r w:rsidRPr="0060632F">
        <w:rPr>
          <w:rFonts w:ascii="Arial" w:hAnsi="Arial"/>
          <w:color w:val="000000"/>
          <w:u w:val="single"/>
        </w:rPr>
        <w:t>N/A</w:t>
      </w:r>
      <w:r>
        <w:rPr>
          <w:rFonts w:ascii="Arial" w:hAnsi="Arial"/>
          <w:color w:val="000000"/>
        </w:rPr>
        <w:t xml:space="preserve"> </w:t>
      </w:r>
      <w:r w:rsidRPr="0041498B">
        <w:rPr>
          <w:rFonts w:ascii="Arial" w:hAnsi="Arial"/>
          <w:color w:val="000000"/>
        </w:rPr>
        <w:t>.</w:t>
      </w:r>
    </w:p>
    <w:p w:rsidR="00EA4133" w:rsidRPr="0041498B" w:rsidRDefault="00ED65F8" w:rsidP="0041498B">
      <w:pPr>
        <w:pStyle w:val="List"/>
        <w:numPr>
          <w:ilvl w:val="0"/>
          <w:numId w:val="16"/>
        </w:numPr>
        <w:tabs>
          <w:tab w:val="left" w:pos="9180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If applicable, indicate whether the acquisition is the acquisition of an interest in property contiguous to or otherwise related to any other asset acquired in the last 12 months. </w:t>
      </w:r>
      <w:r w:rsidRPr="0060632F">
        <w:rPr>
          <w:rFonts w:ascii="Arial" w:hAnsi="Arial"/>
          <w:color w:val="000000"/>
          <w:u w:val="single"/>
        </w:rPr>
        <w:t>N/A</w:t>
      </w:r>
      <w:r w:rsidRPr="0041498B">
        <w:rPr>
          <w:rFonts w:ascii="Arial" w:hAnsi="Arial"/>
          <w:color w:val="000000"/>
        </w:rPr>
        <w:t xml:space="preserve"> .</w:t>
      </w:r>
    </w:p>
    <w:p w:rsidR="00EA4133" w:rsidRDefault="00ED65F8" w:rsidP="0060632F">
      <w:pPr>
        <w:pStyle w:val="List"/>
        <w:keepNext/>
        <w:tabs>
          <w:tab w:val="left" w:pos="1080"/>
        </w:tabs>
        <w:ind w:left="0" w:firstLine="0"/>
        <w:rPr>
          <w:rFonts w:ascii="Arial" w:hAnsi="Arial"/>
        </w:rPr>
      </w:pPr>
      <w:r>
        <w:rPr>
          <w:rFonts w:ascii="Arial" w:hAnsi="Arial"/>
          <w:b/>
        </w:rPr>
        <w:t>Certificate Of Compliance</w:t>
      </w:r>
    </w:p>
    <w:p w:rsidR="00EA4133" w:rsidRDefault="00ED65F8" w:rsidP="0060632F">
      <w:pPr>
        <w:pStyle w:val="BodyText"/>
        <w:keepNext/>
        <w:rPr>
          <w:rFonts w:ascii="Arial" w:hAnsi="Arial"/>
        </w:rPr>
      </w:pPr>
      <w:r>
        <w:rPr>
          <w:rFonts w:ascii="Arial" w:hAnsi="Arial"/>
        </w:rPr>
        <w:t xml:space="preserve">The undersigned hereby </w:t>
      </w:r>
      <w:r>
        <w:rPr>
          <w:rFonts w:ascii="Arial" w:hAnsi="Arial"/>
        </w:rPr>
        <w:t>certifies that:</w:t>
      </w:r>
    </w:p>
    <w:p w:rsidR="00EA4133" w:rsidRDefault="00ED65F8" w:rsidP="0060632F">
      <w:pPr>
        <w:pStyle w:val="List"/>
        <w:keepNext/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The undersigned is a director and/or senior officer of the Issuer and has been duly authorized by a resolution of the board of directors of the Issuer to sign this Certificate of Compliance on behalf of the Issuer.</w:t>
      </w:r>
    </w:p>
    <w:p w:rsidR="00EA4133" w:rsidRDefault="00ED65F8" w:rsidP="0060632F">
      <w:pPr>
        <w:pStyle w:val="List"/>
        <w:keepNext/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As of the date hereof </w:t>
      </w:r>
      <w:r>
        <w:rPr>
          <w:rFonts w:ascii="Arial" w:hAnsi="Arial"/>
        </w:rPr>
        <w:t>there is not material information concerning the Issuer which has not been publicly disclosed.</w:t>
      </w:r>
    </w:p>
    <w:p w:rsidR="00EA4133" w:rsidRDefault="00ED65F8" w:rsidP="0060632F">
      <w:pPr>
        <w:pStyle w:val="List"/>
        <w:keepNext/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The undersigned hereby certifies to </w:t>
      </w:r>
      <w:r>
        <w:rPr>
          <w:rFonts w:ascii="Arial" w:hAnsi="Arial"/>
        </w:rPr>
        <w:t>the Exchange</w:t>
      </w:r>
      <w:r>
        <w:rPr>
          <w:rFonts w:ascii="Arial" w:hAnsi="Arial"/>
        </w:rPr>
        <w:t xml:space="preserve"> that the Issuer is in compliance with the requirements of </w:t>
      </w:r>
      <w:r>
        <w:rPr>
          <w:rFonts w:ascii="Arial" w:hAnsi="Arial"/>
        </w:rPr>
        <w:t>applicable securities legislation (as such term is def</w:t>
      </w:r>
      <w:r>
        <w:rPr>
          <w:rFonts w:ascii="Arial" w:hAnsi="Arial"/>
        </w:rPr>
        <w:t xml:space="preserve">ined in National Instrument 14-101) </w:t>
      </w:r>
      <w:r>
        <w:rPr>
          <w:rFonts w:ascii="Arial" w:hAnsi="Arial"/>
        </w:rPr>
        <w:t xml:space="preserve">and all </w:t>
      </w:r>
      <w:r>
        <w:rPr>
          <w:rFonts w:ascii="Arial" w:hAnsi="Arial"/>
        </w:rPr>
        <w:t>Exchange</w:t>
      </w:r>
      <w:r>
        <w:rPr>
          <w:rFonts w:ascii="Arial" w:hAnsi="Arial"/>
        </w:rPr>
        <w:t xml:space="preserve"> Requirements (as defined in </w:t>
      </w:r>
      <w:r>
        <w:rPr>
          <w:rFonts w:ascii="Arial" w:hAnsi="Arial"/>
        </w:rPr>
        <w:t>CS</w:t>
      </w:r>
      <w:r>
        <w:rPr>
          <w:rFonts w:ascii="Arial" w:hAnsi="Arial"/>
        </w:rPr>
        <w:t>E</w:t>
      </w:r>
      <w:r>
        <w:rPr>
          <w:rFonts w:ascii="Arial" w:hAnsi="Arial"/>
        </w:rPr>
        <w:t xml:space="preserve"> Policy 1).</w:t>
      </w:r>
    </w:p>
    <w:p w:rsidR="00EA4133" w:rsidRDefault="00ED65F8" w:rsidP="0060632F">
      <w:pPr>
        <w:pStyle w:val="List"/>
        <w:keepNext/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All of the information in this Form 9 Notice of </w:t>
      </w:r>
      <w:r>
        <w:rPr>
          <w:rFonts w:ascii="Arial" w:hAnsi="Arial"/>
        </w:rPr>
        <w:t>Issuance of Securities</w:t>
      </w:r>
      <w:r>
        <w:rPr>
          <w:rFonts w:ascii="Arial" w:hAnsi="Arial"/>
        </w:rPr>
        <w:t xml:space="preserve"> is true.</w:t>
      </w:r>
    </w:p>
    <w:p w:rsidR="00EA4133" w:rsidRDefault="00ED65F8" w:rsidP="0060632F">
      <w:pPr>
        <w:pStyle w:val="BodyText"/>
        <w:keepNext/>
        <w:tabs>
          <w:tab w:val="left" w:pos="4680"/>
          <w:tab w:val="left" w:pos="7200"/>
        </w:tabs>
        <w:spacing w:before="480"/>
        <w:jc w:val="both"/>
        <w:rPr>
          <w:rFonts w:ascii="Arial" w:hAnsi="Arial"/>
        </w:rPr>
      </w:pPr>
      <w:r>
        <w:rPr>
          <w:rFonts w:ascii="Arial" w:hAnsi="Arial"/>
        </w:rPr>
        <w:t xml:space="preserve">Dated </w:t>
      </w:r>
      <w:r w:rsidRPr="002C1222">
        <w:rPr>
          <w:rFonts w:ascii="Arial" w:hAnsi="Arial"/>
          <w:u w:val="single"/>
        </w:rPr>
        <w:t>March</w:t>
      </w:r>
      <w:r w:rsidR="001E61A0">
        <w:rPr>
          <w:rFonts w:ascii="Arial" w:hAnsi="Arial"/>
          <w:u w:val="single"/>
        </w:rPr>
        <w:t xml:space="preserve"> 23</w:t>
      </w:r>
      <w:r w:rsidRPr="002C1222">
        <w:rPr>
          <w:rFonts w:ascii="Arial" w:hAnsi="Arial"/>
          <w:u w:val="single"/>
        </w:rPr>
        <w:t>, 2016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.</w:t>
      </w:r>
    </w:p>
    <w:p w:rsidR="00EA4133" w:rsidRDefault="00ED65F8" w:rsidP="0060632F">
      <w:pPr>
        <w:pStyle w:val="List"/>
        <w:keepNext/>
        <w:tabs>
          <w:tab w:val="left" w:pos="9180"/>
        </w:tabs>
        <w:ind w:left="5760" w:hanging="5760"/>
        <w:rPr>
          <w:rFonts w:ascii="Arial" w:hAnsi="Arial"/>
        </w:rPr>
      </w:pPr>
      <w:r>
        <w:rPr>
          <w:rFonts w:ascii="Arial" w:hAnsi="Arial"/>
        </w:rPr>
        <w:tab/>
      </w:r>
      <w:r w:rsidRPr="002C1222">
        <w:rPr>
          <w:rFonts w:ascii="Arial" w:hAnsi="Arial"/>
          <w:u w:val="single"/>
        </w:rPr>
        <w:t>Negar Adam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br/>
      </w:r>
      <w:r>
        <w:rPr>
          <w:rFonts w:ascii="Arial" w:hAnsi="Arial"/>
        </w:rPr>
        <w:t>Name of Director or Senior Officer</w:t>
      </w:r>
    </w:p>
    <w:p w:rsidR="00EA4133" w:rsidRDefault="00ED65F8" w:rsidP="0060632F">
      <w:pPr>
        <w:pStyle w:val="List"/>
        <w:keepNext/>
        <w:tabs>
          <w:tab w:val="left" w:pos="9180"/>
          <w:tab w:val="left" w:pos="9360"/>
        </w:tabs>
        <w:ind w:left="5760" w:hanging="5760"/>
        <w:rPr>
          <w:rFonts w:ascii="Arial" w:hAnsi="Arial"/>
        </w:rPr>
      </w:pPr>
      <w:r>
        <w:rPr>
          <w:rFonts w:ascii="Arial" w:hAnsi="Arial"/>
        </w:rPr>
        <w:tab/>
      </w:r>
      <w:r w:rsidR="00EF5EAA" w:rsidRPr="00EF5EAA">
        <w:rPr>
          <w:rFonts w:ascii="Arial" w:hAnsi="Arial"/>
          <w:i/>
          <w:u w:val="single"/>
        </w:rPr>
        <w:t>"Negar Adam"</w:t>
      </w:r>
      <w:r>
        <w:rPr>
          <w:rFonts w:ascii="Arial" w:hAnsi="Arial"/>
        </w:rPr>
        <w:br/>
        <w:t>Signature</w:t>
      </w:r>
    </w:p>
    <w:p w:rsidR="00EA4133" w:rsidRDefault="00ED65F8" w:rsidP="0060632F">
      <w:pPr>
        <w:pStyle w:val="List"/>
        <w:keepNext/>
        <w:tabs>
          <w:tab w:val="left" w:pos="9180"/>
          <w:tab w:val="left" w:pos="9360"/>
        </w:tabs>
        <w:ind w:left="5760" w:hanging="5760"/>
        <w:rPr>
          <w:rFonts w:ascii="Arial" w:hAnsi="Arial"/>
        </w:rPr>
      </w:pPr>
      <w:r>
        <w:rPr>
          <w:rFonts w:ascii="Arial" w:hAnsi="Arial"/>
        </w:rPr>
        <w:tab/>
      </w:r>
      <w:r w:rsidRPr="002C1222">
        <w:rPr>
          <w:rFonts w:ascii="Arial" w:hAnsi="Arial"/>
          <w:u w:val="single"/>
        </w:rPr>
        <w:t>Corporate Secretary and Director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br/>
        <w:t>Official Capacity</w:t>
      </w:r>
    </w:p>
    <w:sectPr w:rsidR="00EA4133" w:rsidSect="008003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1440" w:bottom="1152" w:left="1440" w:header="720" w:footer="936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5F8" w:rsidRDefault="00ED65F8" w:rsidP="003F1D9A">
      <w:r>
        <w:separator/>
      </w:r>
    </w:p>
  </w:endnote>
  <w:endnote w:type="continuationSeparator" w:id="0">
    <w:p w:rsidR="00ED65F8" w:rsidRDefault="00ED65F8" w:rsidP="003F1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C67" w:rsidRDefault="00ED65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C67" w:rsidRDefault="003F1D9A" w:rsidP="008003B9">
    <w:pPr>
      <w:tabs>
        <w:tab w:val="center" w:pos="4674"/>
        <w:tab w:val="left" w:pos="8460"/>
      </w:tabs>
      <w:jc w:val="center"/>
      <w:rPr>
        <w:rStyle w:val="PageNumber"/>
        <w:rFonts w:ascii="Arial" w:hAnsi="Arial" w:cs="Arial"/>
        <w:b/>
      </w:rPr>
    </w:pPr>
    <w:r w:rsidRPr="003F1D9A">
      <w:rPr>
        <w:b/>
        <w:noProof/>
      </w:rPr>
      <w:pict>
        <v:line id="Line 3" o:spid="_x0000_s2049" style="position:absolute;left:0;text-align:left;flip:x;z-index:251659264;visibility:visible" from="4.05pt,-1.6pt" to="465.75pt,-1.6pt"/>
      </w:pict>
    </w:r>
    <w:r w:rsidR="00ED65F8">
      <w:rPr>
        <w:rFonts w:ascii="Arial" w:hAnsi="Arial" w:cs="Arial"/>
        <w:b/>
      </w:rPr>
      <w:t>FORM 9 – NOTICE OF PROPOSED ISSUANCE OF</w:t>
    </w:r>
  </w:p>
  <w:p w:rsidR="00B35C67" w:rsidRDefault="00ED65F8" w:rsidP="008003B9">
    <w:pPr>
      <w:tabs>
        <w:tab w:val="center" w:pos="4674"/>
        <w:tab w:val="left" w:pos="8460"/>
      </w:tabs>
      <w:jc w:val="center"/>
      <w:rPr>
        <w:rStyle w:val="PageNumber"/>
        <w:rFonts w:ascii="Arial" w:hAnsi="Arial" w:cs="Arial"/>
        <w:b/>
      </w:rPr>
    </w:pPr>
    <w:r>
      <w:rPr>
        <w:rFonts w:ascii="Arial" w:hAnsi="Arial" w:cs="Arial"/>
        <w:b/>
      </w:rPr>
      <w:t>LISTED SECURITIES</w:t>
    </w:r>
  </w:p>
  <w:p w:rsidR="00B35C67" w:rsidRDefault="00ED65F8" w:rsidP="008003B9">
    <w:pPr>
      <w:pStyle w:val="Footer"/>
      <w:tabs>
        <w:tab w:val="clear" w:pos="4320"/>
        <w:tab w:val="clear" w:pos="8640"/>
        <w:tab w:val="center" w:pos="4860"/>
        <w:tab w:val="right" w:pos="936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  <w:p w:rsidR="00B35C67" w:rsidRPr="002557FD" w:rsidRDefault="00ED65F8" w:rsidP="008003B9">
    <w:pPr>
      <w:pStyle w:val="Footer"/>
      <w:jc w:val="center"/>
      <w:rPr>
        <w:rFonts w:ascii="Arial" w:hAnsi="Arial" w:cs="Arial"/>
        <w:sz w:val="16"/>
        <w:szCs w:val="16"/>
      </w:rPr>
    </w:pPr>
    <w:r w:rsidRPr="002557FD">
      <w:rPr>
        <w:rStyle w:val="PageNumber"/>
        <w:rFonts w:ascii="Arial" w:hAnsi="Arial" w:cs="Arial"/>
        <w:sz w:val="16"/>
        <w:szCs w:val="16"/>
      </w:rPr>
      <w:t xml:space="preserve">Page </w:t>
    </w:r>
    <w:r w:rsidR="003F1D9A" w:rsidRPr="002557FD">
      <w:rPr>
        <w:rStyle w:val="PageNumber"/>
        <w:rFonts w:ascii="Arial" w:hAnsi="Arial" w:cs="Arial"/>
        <w:sz w:val="16"/>
        <w:szCs w:val="16"/>
      </w:rPr>
      <w:fldChar w:fldCharType="begin"/>
    </w:r>
    <w:r w:rsidRPr="002557FD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3F1D9A" w:rsidRPr="002557FD">
      <w:rPr>
        <w:rStyle w:val="PageNumber"/>
        <w:rFonts w:ascii="Arial" w:hAnsi="Arial" w:cs="Arial"/>
        <w:sz w:val="16"/>
        <w:szCs w:val="16"/>
      </w:rPr>
      <w:fldChar w:fldCharType="separate"/>
    </w:r>
    <w:r w:rsidR="00EF5EAA">
      <w:rPr>
        <w:rStyle w:val="PageNumber"/>
        <w:rFonts w:ascii="Arial" w:hAnsi="Arial" w:cs="Arial"/>
        <w:noProof/>
        <w:sz w:val="16"/>
        <w:szCs w:val="16"/>
      </w:rPr>
      <w:t>6</w:t>
    </w:r>
    <w:r w:rsidR="003F1D9A" w:rsidRPr="002557FD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C67" w:rsidRDefault="00ED65F8">
    <w:pPr>
      <w:pStyle w:val="Footer"/>
    </w:pPr>
    <w:r>
      <w:t>3214.001\0180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5F8" w:rsidRDefault="00ED65F8" w:rsidP="003F1D9A">
      <w:r>
        <w:separator/>
      </w:r>
    </w:p>
  </w:footnote>
  <w:footnote w:type="continuationSeparator" w:id="0">
    <w:p w:rsidR="00ED65F8" w:rsidRDefault="00ED65F8" w:rsidP="003F1D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C67" w:rsidRDefault="00ED65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C67" w:rsidRDefault="00ED65F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C67" w:rsidRDefault="00ED65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CAE"/>
    <w:multiLevelType w:val="singleLevel"/>
    <w:tmpl w:val="9F2606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b/>
      </w:rPr>
    </w:lvl>
  </w:abstractNum>
  <w:abstractNum w:abstractNumId="1">
    <w:nsid w:val="04DF1A06"/>
    <w:multiLevelType w:val="singleLevel"/>
    <w:tmpl w:val="0622BA54"/>
    <w:lvl w:ilvl="0">
      <w:start w:val="5"/>
      <w:numFmt w:val="lowerLetter"/>
      <w:lvlText w:val="(%1)"/>
      <w:lvlJc w:val="left"/>
      <w:pPr>
        <w:tabs>
          <w:tab w:val="num" w:pos="2160"/>
        </w:tabs>
        <w:ind w:left="2160" w:hanging="1080"/>
      </w:pPr>
      <w:rPr>
        <w:rFonts w:hint="default"/>
      </w:rPr>
    </w:lvl>
  </w:abstractNum>
  <w:abstractNum w:abstractNumId="2">
    <w:nsid w:val="124D4E82"/>
    <w:multiLevelType w:val="singleLevel"/>
    <w:tmpl w:val="EC1E0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">
    <w:nsid w:val="29655154"/>
    <w:multiLevelType w:val="singleLevel"/>
    <w:tmpl w:val="6FF8E312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1080"/>
      </w:pPr>
      <w:rPr>
        <w:rFonts w:hint="default"/>
      </w:rPr>
    </w:lvl>
  </w:abstractNum>
  <w:abstractNum w:abstractNumId="4">
    <w:nsid w:val="2CC81F21"/>
    <w:multiLevelType w:val="singleLevel"/>
    <w:tmpl w:val="0DEA0E4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</w:abstractNum>
  <w:abstractNum w:abstractNumId="5">
    <w:nsid w:val="2E3D0C37"/>
    <w:multiLevelType w:val="singleLevel"/>
    <w:tmpl w:val="BF14FF5C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  <w:vertAlign w:val="superscript"/>
      </w:rPr>
    </w:lvl>
  </w:abstractNum>
  <w:abstractNum w:abstractNumId="6">
    <w:nsid w:val="30C64A38"/>
    <w:multiLevelType w:val="singleLevel"/>
    <w:tmpl w:val="BF14FF5C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  <w:vertAlign w:val="superscript"/>
      </w:rPr>
    </w:lvl>
  </w:abstractNum>
  <w:abstractNum w:abstractNumId="7">
    <w:nsid w:val="385C6C5B"/>
    <w:multiLevelType w:val="hybridMultilevel"/>
    <w:tmpl w:val="FD8EF024"/>
    <w:lvl w:ilvl="0" w:tplc="4FA02C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629C6D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D4D0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EA3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6D0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3A34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AA8A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A804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6D2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631143"/>
    <w:multiLevelType w:val="singleLevel"/>
    <w:tmpl w:val="A6E4F7D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5932F2D"/>
    <w:multiLevelType w:val="singleLevel"/>
    <w:tmpl w:val="707EF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10">
    <w:nsid w:val="56F94763"/>
    <w:multiLevelType w:val="singleLevel"/>
    <w:tmpl w:val="B790C5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1">
    <w:nsid w:val="5E5520AE"/>
    <w:multiLevelType w:val="singleLevel"/>
    <w:tmpl w:val="DCBEE5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2">
    <w:nsid w:val="6B0621FB"/>
    <w:multiLevelType w:val="singleLevel"/>
    <w:tmpl w:val="8BE43614"/>
    <w:lvl w:ilvl="0">
      <w:start w:val="4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1290289"/>
    <w:multiLevelType w:val="singleLevel"/>
    <w:tmpl w:val="8E8E52B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19834E1"/>
    <w:multiLevelType w:val="singleLevel"/>
    <w:tmpl w:val="99E42FCE"/>
    <w:lvl w:ilvl="0">
      <w:start w:val="4"/>
      <w:numFmt w:val="upperLetter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5">
    <w:nsid w:val="76BB4793"/>
    <w:multiLevelType w:val="singleLevel"/>
    <w:tmpl w:val="39E8C6C8"/>
    <w:lvl w:ilvl="0">
      <w:start w:val="2"/>
      <w:numFmt w:val="lowerLetter"/>
      <w:lvlText w:val="(%1)"/>
      <w:lvlJc w:val="left"/>
      <w:pPr>
        <w:tabs>
          <w:tab w:val="num" w:pos="2160"/>
        </w:tabs>
        <w:ind w:left="2160" w:hanging="1080"/>
      </w:pPr>
      <w:rPr>
        <w:rFonts w:hint="default"/>
        <w:u w:val="none"/>
      </w:rPr>
    </w:lvl>
  </w:abstractNum>
  <w:abstractNum w:abstractNumId="16">
    <w:nsid w:val="79D94BAD"/>
    <w:multiLevelType w:val="hybridMultilevel"/>
    <w:tmpl w:val="266EA8F8"/>
    <w:lvl w:ilvl="0" w:tplc="FF5CFF96">
      <w:start w:val="3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1" w:tplc="C510B37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064C0D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D96893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324707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D8BE4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D446E8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6D4454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41E64A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7D7422CE"/>
    <w:multiLevelType w:val="singleLevel"/>
    <w:tmpl w:val="E2567878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ascii="Century Gothic" w:hAnsi="Century Gothic" w:hint="default"/>
        <w:b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14"/>
  </w:num>
  <w:num w:numId="5">
    <w:abstractNumId w:val="12"/>
  </w:num>
  <w:num w:numId="6">
    <w:abstractNumId w:val="0"/>
  </w:num>
  <w:num w:numId="7">
    <w:abstractNumId w:val="11"/>
  </w:num>
  <w:num w:numId="8">
    <w:abstractNumId w:val="6"/>
  </w:num>
  <w:num w:numId="9">
    <w:abstractNumId w:val="8"/>
  </w:num>
  <w:num w:numId="10">
    <w:abstractNumId w:val="4"/>
  </w:num>
  <w:num w:numId="11">
    <w:abstractNumId w:val="15"/>
  </w:num>
  <w:num w:numId="12">
    <w:abstractNumId w:val="17"/>
  </w:num>
  <w:num w:numId="13">
    <w:abstractNumId w:val="3"/>
  </w:num>
  <w:num w:numId="14">
    <w:abstractNumId w:val="9"/>
  </w:num>
  <w:num w:numId="15">
    <w:abstractNumId w:val="1"/>
  </w:num>
  <w:num w:numId="16">
    <w:abstractNumId w:val="16"/>
  </w:num>
  <w:num w:numId="17">
    <w:abstractNumId w:val="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8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3F1D9A"/>
    <w:rsid w:val="000F4F4D"/>
    <w:rsid w:val="001E61A0"/>
    <w:rsid w:val="003F1D9A"/>
    <w:rsid w:val="004902EE"/>
    <w:rsid w:val="00567DA0"/>
    <w:rsid w:val="00ED65F8"/>
    <w:rsid w:val="00EF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D9A"/>
  </w:style>
  <w:style w:type="paragraph" w:styleId="Heading2">
    <w:name w:val="heading 2"/>
    <w:basedOn w:val="BodyText"/>
    <w:next w:val="BodyText"/>
    <w:qFormat/>
    <w:rsid w:val="003F1D9A"/>
    <w:pPr>
      <w:keepNext/>
      <w:ind w:left="1080" w:hanging="1080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F1D9A"/>
    <w:pPr>
      <w:spacing w:before="240"/>
    </w:pPr>
    <w:rPr>
      <w:sz w:val="24"/>
      <w:lang w:val="en-GB"/>
    </w:rPr>
  </w:style>
  <w:style w:type="paragraph" w:styleId="List">
    <w:name w:val="List"/>
    <w:basedOn w:val="BodyText"/>
    <w:rsid w:val="003F1D9A"/>
    <w:pPr>
      <w:ind w:left="1080" w:hanging="1080"/>
    </w:pPr>
  </w:style>
  <w:style w:type="paragraph" w:styleId="List2">
    <w:name w:val="List 2"/>
    <w:basedOn w:val="List"/>
    <w:rsid w:val="003F1D9A"/>
    <w:pPr>
      <w:ind w:left="1800" w:hanging="720"/>
    </w:pPr>
  </w:style>
  <w:style w:type="paragraph" w:styleId="Title">
    <w:name w:val="Title"/>
    <w:basedOn w:val="BodyText"/>
    <w:qFormat/>
    <w:rsid w:val="003F1D9A"/>
    <w:pPr>
      <w:spacing w:after="240"/>
      <w:jc w:val="center"/>
    </w:pPr>
    <w:rPr>
      <w:rFonts w:ascii="Arial" w:hAnsi="Arial"/>
      <w:b/>
      <w:sz w:val="40"/>
    </w:rPr>
  </w:style>
  <w:style w:type="paragraph" w:customStyle="1" w:styleId="amend">
    <w:name w:val="amend"/>
    <w:basedOn w:val="Normal"/>
    <w:rsid w:val="003F1D9A"/>
    <w:pPr>
      <w:tabs>
        <w:tab w:val="left" w:pos="1080"/>
      </w:tabs>
      <w:spacing w:before="40" w:after="40"/>
      <w:jc w:val="right"/>
    </w:pPr>
    <w:rPr>
      <w:rFonts w:ascii="Arial" w:hAnsi="Arial"/>
      <w:b/>
      <w:sz w:val="24"/>
      <w:vertAlign w:val="superscript"/>
      <w:lang w:val="en-GB"/>
    </w:rPr>
  </w:style>
  <w:style w:type="paragraph" w:styleId="Header">
    <w:name w:val="header"/>
    <w:basedOn w:val="Normal"/>
    <w:rsid w:val="003F1D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1D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1D9A"/>
  </w:style>
  <w:style w:type="paragraph" w:styleId="EndnoteText">
    <w:name w:val="endnote text"/>
    <w:basedOn w:val="Normal"/>
    <w:semiHidden/>
    <w:rsid w:val="003F1D9A"/>
    <w:pPr>
      <w:widowControl w:val="0"/>
    </w:pPr>
    <w:rPr>
      <w:rFonts w:ascii="Helv 12pt" w:hAnsi="Helv 12pt"/>
      <w:sz w:val="24"/>
    </w:rPr>
  </w:style>
  <w:style w:type="paragraph" w:styleId="BalloonText">
    <w:name w:val="Balloon Text"/>
    <w:basedOn w:val="Normal"/>
    <w:semiHidden/>
    <w:rsid w:val="003F1D9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3F1D9A"/>
  </w:style>
  <w:style w:type="character" w:styleId="FootnoteReference">
    <w:name w:val="footnote reference"/>
    <w:semiHidden/>
    <w:rsid w:val="003F1D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Negar</dc:creator>
  <cp:lastModifiedBy>Negar</cp:lastModifiedBy>
  <cp:revision>3</cp:revision>
  <cp:lastPrinted>2016-03-23T22:24:00Z</cp:lastPrinted>
  <dcterms:created xsi:type="dcterms:W3CDTF">2016-03-23T22:24:00Z</dcterms:created>
  <dcterms:modified xsi:type="dcterms:W3CDTF">2016-03-23T22:25:00Z</dcterms:modified>
</cp:coreProperties>
</file>