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3E0" w:rsidRPr="00FE75FB" w:rsidRDefault="004769EF" w:rsidP="00FE75FB">
      <w:pPr>
        <w:jc w:val="center"/>
        <w:rPr>
          <w:rFonts w:cs="Arial"/>
          <w:b/>
          <w:lang w:val="en-CA"/>
        </w:rPr>
      </w:pPr>
      <w:r w:rsidRPr="00FE75FB">
        <w:rPr>
          <w:rFonts w:cs="Arial"/>
          <w:b/>
          <w:lang w:val="en-CA"/>
        </w:rPr>
        <w:t xml:space="preserve">EUROPEAN METALS CORP. ANNOUNCES LETTER OF INTENT </w:t>
      </w:r>
      <w:r w:rsidR="00FE75FB">
        <w:rPr>
          <w:rFonts w:cs="Arial"/>
          <w:b/>
          <w:lang w:val="en-CA"/>
        </w:rPr>
        <w:t>TO ACQUIRE MAJORITY INTEREST IN EUROGAS AG</w:t>
      </w:r>
    </w:p>
    <w:p w:rsidR="00A43A33" w:rsidRDefault="00357658" w:rsidP="00A43A33">
      <w:pPr>
        <w:jc w:val="both"/>
      </w:pPr>
      <w:r>
        <w:t>January</w:t>
      </w:r>
      <w:r w:rsidR="004769EF">
        <w:t xml:space="preserve"> </w:t>
      </w:r>
      <w:r>
        <w:t>5</w:t>
      </w:r>
      <w:r w:rsidR="004769EF">
        <w:t>, 201</w:t>
      </w:r>
      <w:r>
        <w:t>6</w:t>
      </w:r>
      <w:bookmarkStart w:id="0" w:name="_GoBack"/>
      <w:bookmarkEnd w:id="0"/>
      <w:r w:rsidR="004769EF">
        <w:t xml:space="preserve"> (Toronto, Ontario): </w:t>
      </w:r>
      <w:r w:rsidR="004769EF" w:rsidRPr="00391308">
        <w:rPr>
          <w:b/>
        </w:rPr>
        <w:t>EUROPEAN METALS CORP.</w:t>
      </w:r>
      <w:r w:rsidR="004769EF">
        <w:t xml:space="preserve"> </w:t>
      </w:r>
      <w:r w:rsidR="004769EF" w:rsidRPr="00BA4A7D">
        <w:t>(</w:t>
      </w:r>
      <w:r w:rsidR="004769EF">
        <w:t>“</w:t>
      </w:r>
      <w:r w:rsidR="004769EF" w:rsidRPr="00391308">
        <w:t>EMC</w:t>
      </w:r>
      <w:r w:rsidR="004769EF">
        <w:t>” or the “</w:t>
      </w:r>
      <w:r w:rsidR="004769EF" w:rsidRPr="00391308">
        <w:t>Company</w:t>
      </w:r>
      <w:r w:rsidR="004769EF">
        <w:t xml:space="preserve">”) (CSE: ECU) is pleased to announce that it has </w:t>
      </w:r>
      <w:r w:rsidR="00391308">
        <w:t xml:space="preserve">signed a non-binding </w:t>
      </w:r>
      <w:r w:rsidR="004F21C1">
        <w:t xml:space="preserve">letter of intent </w:t>
      </w:r>
      <w:r w:rsidR="00391308">
        <w:t>(“</w:t>
      </w:r>
      <w:r w:rsidR="00391308" w:rsidRPr="00391308">
        <w:t>LOI</w:t>
      </w:r>
      <w:r w:rsidR="00391308">
        <w:t xml:space="preserve">”) which sets out the proposed terms and conditions of a transaction </w:t>
      </w:r>
      <w:r w:rsidR="00787B18">
        <w:t xml:space="preserve">(the “Transaction”) </w:t>
      </w:r>
      <w:r w:rsidR="00391308">
        <w:t xml:space="preserve">whereby EMC will acquire approximately 78% of the issued and outstanding shares of </w:t>
      </w:r>
      <w:proofErr w:type="spellStart"/>
      <w:r w:rsidR="004F21C1">
        <w:t>EuroGas</w:t>
      </w:r>
      <w:proofErr w:type="spellEnd"/>
      <w:r w:rsidR="004F21C1">
        <w:t xml:space="preserve"> AG, a private Swiss company </w:t>
      </w:r>
      <w:r w:rsidR="00C740FE" w:rsidRPr="0039780E">
        <w:t xml:space="preserve">in the business of </w:t>
      </w:r>
      <w:r w:rsidR="00C740FE">
        <w:t xml:space="preserve">mining and </w:t>
      </w:r>
      <w:r w:rsidR="00C740FE" w:rsidRPr="0039780E">
        <w:t xml:space="preserve">oil and gas exploration and </w:t>
      </w:r>
      <w:r w:rsidR="00C740FE">
        <w:t xml:space="preserve">development </w:t>
      </w:r>
      <w:r w:rsidR="004F21C1">
        <w:t>(“</w:t>
      </w:r>
      <w:proofErr w:type="spellStart"/>
      <w:r w:rsidR="004F21C1" w:rsidRPr="00391308">
        <w:t>EuroGas</w:t>
      </w:r>
      <w:proofErr w:type="spellEnd"/>
      <w:r w:rsidR="004F21C1">
        <w:t>”)</w:t>
      </w:r>
      <w:r w:rsidR="009F6A0E">
        <w:t xml:space="preserve">, from </w:t>
      </w:r>
      <w:r w:rsidR="004F21C1">
        <w:t xml:space="preserve">ZB Capital AG, a private Swiss company and the majority shareholder of </w:t>
      </w:r>
      <w:proofErr w:type="spellStart"/>
      <w:r w:rsidR="004F21C1">
        <w:t>EuroGas</w:t>
      </w:r>
      <w:proofErr w:type="spellEnd"/>
      <w:r w:rsidR="004F21C1">
        <w:t xml:space="preserve"> (“</w:t>
      </w:r>
      <w:r w:rsidR="004F21C1" w:rsidRPr="00391308">
        <w:t>ZBC</w:t>
      </w:r>
      <w:r w:rsidR="004F21C1">
        <w:t>”)</w:t>
      </w:r>
      <w:r w:rsidR="009F6A0E">
        <w:t>.</w:t>
      </w:r>
    </w:p>
    <w:p w:rsidR="003E0085" w:rsidRPr="003E0085" w:rsidRDefault="003E0085" w:rsidP="007330E0">
      <w:pPr>
        <w:jc w:val="both"/>
        <w:rPr>
          <w:u w:val="single"/>
        </w:rPr>
      </w:pPr>
      <w:r w:rsidRPr="003E0085">
        <w:rPr>
          <w:u w:val="single"/>
        </w:rPr>
        <w:t xml:space="preserve">Overview of </w:t>
      </w:r>
      <w:proofErr w:type="spellStart"/>
      <w:r w:rsidRPr="003E0085">
        <w:rPr>
          <w:u w:val="single"/>
        </w:rPr>
        <w:t>EuroGas</w:t>
      </w:r>
      <w:proofErr w:type="spellEnd"/>
    </w:p>
    <w:p w:rsidR="00003D22" w:rsidRDefault="00BA4A7D" w:rsidP="007330E0">
      <w:pPr>
        <w:jc w:val="both"/>
      </w:pPr>
      <w:proofErr w:type="spellStart"/>
      <w:r>
        <w:t>EuroGas</w:t>
      </w:r>
      <w:proofErr w:type="spellEnd"/>
      <w:r>
        <w:t xml:space="preserve"> was incorporated in the Swiss canton of Zurich on August 12, 2009 and currently has </w:t>
      </w:r>
      <w:r w:rsidR="00003D22">
        <w:t>three wholly owned subsidiaries as well as a number of directly-held assets.</w:t>
      </w:r>
    </w:p>
    <w:p w:rsidR="00003D22" w:rsidDel="00592118" w:rsidRDefault="00003D22" w:rsidP="007330E0">
      <w:pPr>
        <w:jc w:val="both"/>
      </w:pPr>
      <w:r w:rsidDel="00592118">
        <w:t xml:space="preserve">The first subsidiary, </w:t>
      </w:r>
      <w:proofErr w:type="spellStart"/>
      <w:r w:rsidDel="00592118">
        <w:t>EuroGas</w:t>
      </w:r>
      <w:proofErr w:type="spellEnd"/>
      <w:r w:rsidDel="00592118">
        <w:t xml:space="preserve"> Silver &amp; Gold Inc.</w:t>
      </w:r>
      <w:r w:rsidRPr="00003D22" w:rsidDel="00592118">
        <w:t xml:space="preserve"> </w:t>
      </w:r>
      <w:r w:rsidDel="00592118">
        <w:t xml:space="preserve">(“ESG”), is a Nevada corporation that owns approximately 150 gold/silver claims in the Banner Mining District, located 60 miles east of Boise, Idaho, USA, as well as an option to purchase an interest in the Banner Silver Mine from </w:t>
      </w:r>
      <w:r w:rsidDel="00592118">
        <w:rPr>
          <w:rFonts w:cs="Arial"/>
        </w:rPr>
        <w:t xml:space="preserve">a private Montana, USA </w:t>
      </w:r>
      <w:proofErr w:type="gramStart"/>
      <w:r w:rsidDel="00592118">
        <w:rPr>
          <w:rFonts w:cs="Arial"/>
        </w:rPr>
        <w:t>corporation</w:t>
      </w:r>
      <w:proofErr w:type="gramEnd"/>
      <w:r w:rsidDel="00592118">
        <w:rPr>
          <w:rFonts w:cs="Arial"/>
        </w:rPr>
        <w:t xml:space="preserve">.  ESG has completed extensive preparatory work on the claims since it acquired them in 2011 and plans to undertake an ambitious exploration program on the property in the spring of </w:t>
      </w:r>
      <w:r w:rsidR="00997184" w:rsidDel="00592118">
        <w:rPr>
          <w:rFonts w:cs="Arial"/>
        </w:rPr>
        <w:t>2016.</w:t>
      </w:r>
    </w:p>
    <w:p w:rsidR="00D97C6C" w:rsidRDefault="00266A7A" w:rsidP="007330E0">
      <w:pPr>
        <w:jc w:val="both"/>
        <w:rPr>
          <w:rFonts w:cs="Arial"/>
          <w:color w:val="000000"/>
          <w:shd w:val="clear" w:color="auto" w:fill="FFFFFF"/>
        </w:rPr>
      </w:pPr>
      <w:r>
        <w:t xml:space="preserve">The second subsidiary, </w:t>
      </w:r>
      <w:proofErr w:type="spellStart"/>
      <w:r w:rsidR="00003D22">
        <w:t>EuroGas</w:t>
      </w:r>
      <w:proofErr w:type="spellEnd"/>
      <w:r w:rsidR="00003D22">
        <w:t xml:space="preserve"> GmbH Austria</w:t>
      </w:r>
      <w:r>
        <w:t>,</w:t>
      </w:r>
      <w:r w:rsidR="00530465">
        <w:t xml:space="preserve"> is</w:t>
      </w:r>
      <w:r w:rsidR="00003D22">
        <w:t xml:space="preserve"> an Austrian corporation</w:t>
      </w:r>
      <w:r w:rsidR="00530465">
        <w:t xml:space="preserve"> that serves as the administration company for </w:t>
      </w:r>
      <w:proofErr w:type="spellStart"/>
      <w:r w:rsidR="00530465">
        <w:t>EuroGas</w:t>
      </w:r>
      <w:proofErr w:type="spellEnd"/>
      <w:r w:rsidR="00530465">
        <w:t xml:space="preserve"> and owns a 33% interest in </w:t>
      </w:r>
      <w:proofErr w:type="spellStart"/>
      <w:r w:rsidR="00530465">
        <w:t>Rozmin</w:t>
      </w:r>
      <w:proofErr w:type="spellEnd"/>
      <w:r w:rsidR="00530465">
        <w:t xml:space="preserve"> </w:t>
      </w:r>
      <w:proofErr w:type="spellStart"/>
      <w:r w:rsidR="00530465">
        <w:t>s.r.o</w:t>
      </w:r>
      <w:proofErr w:type="spellEnd"/>
      <w:r w:rsidR="00530465">
        <w:t>., a Slovakian mining company (“</w:t>
      </w:r>
      <w:proofErr w:type="spellStart"/>
      <w:r w:rsidR="00530465">
        <w:t>Rozmin</w:t>
      </w:r>
      <w:proofErr w:type="spellEnd"/>
      <w:r w:rsidR="00530465">
        <w:t xml:space="preserve">”), which in turn formerly owned the exploration rights to the </w:t>
      </w:r>
      <w:proofErr w:type="spellStart"/>
      <w:r w:rsidR="00530465">
        <w:t>Gemersk</w:t>
      </w:r>
      <w:r w:rsidR="00CD72F5">
        <w:rPr>
          <w:rFonts w:cs="Arial"/>
        </w:rPr>
        <w:t>á</w:t>
      </w:r>
      <w:proofErr w:type="spellEnd"/>
      <w:r w:rsidR="00530465">
        <w:t xml:space="preserve"> </w:t>
      </w:r>
      <w:proofErr w:type="spellStart"/>
      <w:r w:rsidR="00530465">
        <w:t>Poloma</w:t>
      </w:r>
      <w:proofErr w:type="spellEnd"/>
      <w:r w:rsidR="00530465">
        <w:t xml:space="preserve"> </w:t>
      </w:r>
      <w:r>
        <w:t xml:space="preserve">soapstone </w:t>
      </w:r>
      <w:r w:rsidR="00530465">
        <w:t xml:space="preserve">talc </w:t>
      </w:r>
      <w:r>
        <w:t>mineral deposit</w:t>
      </w:r>
      <w:r w:rsidR="00530465">
        <w:t xml:space="preserve"> in </w:t>
      </w:r>
      <w:proofErr w:type="spellStart"/>
      <w:r w:rsidR="00530465">
        <w:t>Roznava</w:t>
      </w:r>
      <w:proofErr w:type="spellEnd"/>
      <w:r w:rsidR="00530465">
        <w:t>, Slovak Republic</w:t>
      </w:r>
      <w:r w:rsidR="00CA0F20">
        <w:t>.  These rights</w:t>
      </w:r>
      <w:r w:rsidR="00D97C6C">
        <w:t xml:space="preserve"> were revoked by the Slovak government in 2005</w:t>
      </w:r>
      <w:r w:rsidR="00CA0F20">
        <w:t>, and</w:t>
      </w:r>
      <w:r w:rsidR="00D97C6C">
        <w:t xml:space="preserve"> </w:t>
      </w:r>
      <w:proofErr w:type="spellStart"/>
      <w:r w:rsidR="00D97C6C">
        <w:t>EuroGas</w:t>
      </w:r>
      <w:proofErr w:type="spellEnd"/>
      <w:r w:rsidR="00D97C6C">
        <w:t xml:space="preserve"> is currently involved in </w:t>
      </w:r>
      <w:r w:rsidR="005742FB">
        <w:t xml:space="preserve">an </w:t>
      </w:r>
      <w:r w:rsidR="00CA0F20">
        <w:t xml:space="preserve">arbitration case at the </w:t>
      </w:r>
      <w:r w:rsidR="005742FB">
        <w:t xml:space="preserve">International Centre for Settlement of Investment Disputes (ICSID) </w:t>
      </w:r>
      <w:r w:rsidR="00D97C6C">
        <w:t>against the Sl</w:t>
      </w:r>
      <w:r w:rsidR="00FE5D02">
        <w:t>o</w:t>
      </w:r>
      <w:r w:rsidR="00D97C6C">
        <w:t xml:space="preserve">vak Republic (No. ARB/14/14) </w:t>
      </w:r>
      <w:r w:rsidR="00F17339" w:rsidRPr="00D97C6C">
        <w:rPr>
          <w:rFonts w:cs="Arial"/>
          <w:color w:val="000000"/>
          <w:shd w:val="clear" w:color="auto" w:fill="FFFFFF"/>
        </w:rPr>
        <w:t xml:space="preserve">under </w:t>
      </w:r>
      <w:r w:rsidR="00F17339">
        <w:rPr>
          <w:rFonts w:cs="Arial"/>
          <w:color w:val="000000"/>
          <w:shd w:val="clear" w:color="auto" w:fill="FFFFFF"/>
        </w:rPr>
        <w:t>a pair of</w:t>
      </w:r>
      <w:r w:rsidR="00F17339" w:rsidRPr="00D97C6C">
        <w:rPr>
          <w:rFonts w:cs="Arial"/>
          <w:color w:val="000000"/>
          <w:shd w:val="clear" w:color="auto" w:fill="FFFFFF"/>
        </w:rPr>
        <w:t xml:space="preserve"> bilateral investment treaties</w:t>
      </w:r>
      <w:r w:rsidR="00F17339">
        <w:rPr>
          <w:rFonts w:cs="Arial"/>
          <w:color w:val="000000"/>
          <w:shd w:val="clear" w:color="auto" w:fill="FFFFFF"/>
        </w:rPr>
        <w:t xml:space="preserve"> </w:t>
      </w:r>
      <w:r w:rsidR="005742FB">
        <w:rPr>
          <w:rFonts w:cs="Arial"/>
          <w:color w:val="000000"/>
          <w:shd w:val="clear" w:color="auto" w:fill="FFFFFF"/>
        </w:rPr>
        <w:t xml:space="preserve">to </w:t>
      </w:r>
      <w:r w:rsidR="00CA0F20">
        <w:rPr>
          <w:rFonts w:cs="Arial"/>
          <w:color w:val="000000"/>
          <w:shd w:val="clear" w:color="auto" w:fill="FFFFFF"/>
        </w:rPr>
        <w:t xml:space="preserve">recover damages arising from </w:t>
      </w:r>
      <w:r w:rsidR="005742FB">
        <w:rPr>
          <w:rFonts w:cs="Arial"/>
          <w:color w:val="000000"/>
          <w:shd w:val="clear" w:color="auto" w:fill="FFFFFF"/>
        </w:rPr>
        <w:t xml:space="preserve">this revocation </w:t>
      </w:r>
      <w:r w:rsidR="00CA0F20">
        <w:rPr>
          <w:rFonts w:cs="Arial"/>
          <w:color w:val="000000"/>
          <w:shd w:val="clear" w:color="auto" w:fill="FFFFFF"/>
        </w:rPr>
        <w:t xml:space="preserve"> T</w:t>
      </w:r>
      <w:r w:rsidR="00F17339">
        <w:rPr>
          <w:rFonts w:cs="Arial"/>
          <w:color w:val="000000"/>
          <w:shd w:val="clear" w:color="auto" w:fill="FFFFFF"/>
        </w:rPr>
        <w:t xml:space="preserve">he </w:t>
      </w:r>
      <w:r w:rsidR="005742FB">
        <w:rPr>
          <w:rFonts w:cs="Arial"/>
          <w:color w:val="000000"/>
          <w:shd w:val="clear" w:color="auto" w:fill="FFFFFF"/>
        </w:rPr>
        <w:t xml:space="preserve">potential </w:t>
      </w:r>
      <w:r w:rsidR="00F17339">
        <w:rPr>
          <w:rFonts w:cs="Arial"/>
          <w:color w:val="000000"/>
          <w:shd w:val="clear" w:color="auto" w:fill="FFFFFF"/>
        </w:rPr>
        <w:t>award</w:t>
      </w:r>
      <w:r w:rsidR="005742FB">
        <w:rPr>
          <w:rFonts w:cs="Arial"/>
          <w:color w:val="000000"/>
          <w:shd w:val="clear" w:color="auto" w:fill="FFFFFF"/>
        </w:rPr>
        <w:t xml:space="preserve"> </w:t>
      </w:r>
      <w:r w:rsidR="00CA0F20">
        <w:rPr>
          <w:rFonts w:cs="Arial"/>
          <w:color w:val="000000"/>
          <w:shd w:val="clear" w:color="auto" w:fill="FFFFFF"/>
        </w:rPr>
        <w:t xml:space="preserve">has been </w:t>
      </w:r>
      <w:r w:rsidR="005742FB">
        <w:rPr>
          <w:rFonts w:cs="Arial"/>
          <w:color w:val="000000"/>
          <w:shd w:val="clear" w:color="auto" w:fill="FFFFFF"/>
        </w:rPr>
        <w:t xml:space="preserve">estimated </w:t>
      </w:r>
      <w:r w:rsidR="00F17339">
        <w:rPr>
          <w:rFonts w:cs="Arial"/>
          <w:color w:val="000000"/>
          <w:shd w:val="clear" w:color="auto" w:fill="FFFFFF"/>
        </w:rPr>
        <w:t>at over $200 million</w:t>
      </w:r>
      <w:r w:rsidR="00CA0F20">
        <w:rPr>
          <w:rFonts w:cs="Arial"/>
          <w:color w:val="000000"/>
          <w:shd w:val="clear" w:color="auto" w:fill="FFFFFF"/>
        </w:rPr>
        <w:t>, and</w:t>
      </w:r>
      <w:r w:rsidR="00F17339">
        <w:rPr>
          <w:rFonts w:cs="Arial"/>
          <w:color w:val="000000"/>
          <w:shd w:val="clear" w:color="auto" w:fill="FFFFFF"/>
        </w:rPr>
        <w:t xml:space="preserve"> </w:t>
      </w:r>
      <w:proofErr w:type="spellStart"/>
      <w:r w:rsidR="00F17339">
        <w:rPr>
          <w:rFonts w:cs="Arial"/>
          <w:color w:val="000000"/>
          <w:shd w:val="clear" w:color="auto" w:fill="FFFFFF"/>
        </w:rPr>
        <w:t>EuroGas</w:t>
      </w:r>
      <w:proofErr w:type="spellEnd"/>
      <w:r w:rsidR="00F17339">
        <w:rPr>
          <w:rFonts w:cs="Arial"/>
          <w:color w:val="000000"/>
          <w:shd w:val="clear" w:color="auto" w:fill="FFFFFF"/>
        </w:rPr>
        <w:t xml:space="preserve"> is in the process of obtaining an independent evaluation report from KPMG </w:t>
      </w:r>
      <w:r w:rsidR="00AC13E9">
        <w:rPr>
          <w:rFonts w:cs="Arial"/>
          <w:color w:val="000000"/>
          <w:shd w:val="clear" w:color="auto" w:fill="FFFFFF"/>
        </w:rPr>
        <w:t xml:space="preserve">LLP </w:t>
      </w:r>
      <w:r w:rsidR="00F17339">
        <w:rPr>
          <w:rFonts w:cs="Arial"/>
          <w:color w:val="000000"/>
          <w:shd w:val="clear" w:color="auto" w:fill="FFFFFF"/>
        </w:rPr>
        <w:t xml:space="preserve">and </w:t>
      </w:r>
      <w:r w:rsidR="00F17339" w:rsidRPr="00F17339">
        <w:rPr>
          <w:rFonts w:eastAsia="Times New Roman" w:cs="Arial"/>
          <w:color w:val="000000"/>
        </w:rPr>
        <w:t xml:space="preserve">Wardell Armstrong International </w:t>
      </w:r>
      <w:r w:rsidR="00AC13E9">
        <w:rPr>
          <w:rFonts w:eastAsia="Times New Roman" w:cs="Arial"/>
          <w:color w:val="000000"/>
        </w:rPr>
        <w:t>to</w:t>
      </w:r>
      <w:r w:rsidR="00F17339">
        <w:rPr>
          <w:rFonts w:eastAsia="Times New Roman" w:cs="Arial"/>
          <w:color w:val="000000"/>
        </w:rPr>
        <w:t xml:space="preserve"> support this figure.</w:t>
      </w:r>
    </w:p>
    <w:p w:rsidR="00955A14" w:rsidRDefault="005227AF" w:rsidP="007330E0">
      <w:pPr>
        <w:jc w:val="both"/>
      </w:pPr>
      <w:r>
        <w:t>T</w:t>
      </w:r>
      <w:r w:rsidR="00955A14">
        <w:t xml:space="preserve">he initial request for arbitration was filed against the Slovak Republic by </w:t>
      </w:r>
      <w:proofErr w:type="spellStart"/>
      <w:r w:rsidR="00955A14">
        <w:t>EuroGas</w:t>
      </w:r>
      <w:proofErr w:type="spellEnd"/>
      <w:r w:rsidR="00955A14">
        <w:t xml:space="preserve"> and Belmont </w:t>
      </w:r>
      <w:r w:rsidR="0008372A">
        <w:t xml:space="preserve">Resources Inc., </w:t>
      </w:r>
      <w:r w:rsidR="00B820BA">
        <w:t xml:space="preserve">a British Columbia corporation with its shares listed for trading on the TSX Venture Exchange, </w:t>
      </w:r>
      <w:r w:rsidR="0008372A">
        <w:t xml:space="preserve">as the owners of an aggregate 90% interest in </w:t>
      </w:r>
      <w:proofErr w:type="spellStart"/>
      <w:r w:rsidR="0008372A">
        <w:t>Rozmin</w:t>
      </w:r>
      <w:proofErr w:type="spellEnd"/>
      <w:r w:rsidR="0008372A">
        <w:t xml:space="preserve">, </w:t>
      </w:r>
      <w:r w:rsidR="00955A14">
        <w:t>on June 25, 2014, and the unlawfulness of the government’s actions has repeatedly been confirmed in a series of Slovakian internal court decisions.</w:t>
      </w:r>
    </w:p>
    <w:p w:rsidR="003E0085" w:rsidRDefault="00E51288" w:rsidP="007330E0">
      <w:pPr>
        <w:jc w:val="both"/>
      </w:pPr>
      <w:r>
        <w:t xml:space="preserve">The third </w:t>
      </w:r>
      <w:proofErr w:type="spellStart"/>
      <w:r w:rsidR="00F42491">
        <w:t>EuroGas</w:t>
      </w:r>
      <w:proofErr w:type="spellEnd"/>
      <w:r w:rsidR="00F42491">
        <w:t xml:space="preserve"> </w:t>
      </w:r>
      <w:r>
        <w:t xml:space="preserve">subsidiary, </w:t>
      </w:r>
      <w:proofErr w:type="spellStart"/>
      <w:r w:rsidR="00003D22">
        <w:t>EuroGas</w:t>
      </w:r>
      <w:proofErr w:type="spellEnd"/>
      <w:r w:rsidR="00003D22">
        <w:t xml:space="preserve"> Minerals Ukraine</w:t>
      </w:r>
      <w:r>
        <w:t>, is a Ukrainian corporation that holds rights and options to enter into several existing oil and gas joint ventures in western Ukraine</w:t>
      </w:r>
      <w:r w:rsidR="00BD7001">
        <w:t>.</w:t>
      </w:r>
      <w:r w:rsidR="00E52300">
        <w:t xml:space="preserve">  It is also in the process of carrying out an exploration program for gold, silver, uranium, rare earths, chromium spinel and related materials on a property in central Ukraine. </w:t>
      </w:r>
    </w:p>
    <w:p w:rsidR="00FD5425" w:rsidRDefault="00BD7001" w:rsidP="007330E0">
      <w:pPr>
        <w:jc w:val="both"/>
      </w:pPr>
      <w:r>
        <w:t xml:space="preserve">In addition, </w:t>
      </w:r>
      <w:proofErr w:type="spellStart"/>
      <w:r>
        <w:t>EuroGas</w:t>
      </w:r>
      <w:proofErr w:type="spellEnd"/>
      <w:r>
        <w:t xml:space="preserve"> holds the rights to various gold mining claims in the Yukon Territory, Canada, including a 33% interest in a placer gold mining operation.</w:t>
      </w:r>
    </w:p>
    <w:p w:rsidR="003E0085" w:rsidRPr="003E0085" w:rsidRDefault="003E0085" w:rsidP="007330E0">
      <w:pPr>
        <w:jc w:val="both"/>
        <w:rPr>
          <w:u w:val="single"/>
        </w:rPr>
      </w:pPr>
      <w:r w:rsidRPr="003E0085">
        <w:rPr>
          <w:u w:val="single"/>
        </w:rPr>
        <w:t>The Transaction</w:t>
      </w:r>
    </w:p>
    <w:p w:rsidR="00391308" w:rsidRDefault="007330E0" w:rsidP="007330E0">
      <w:pPr>
        <w:jc w:val="both"/>
      </w:pPr>
      <w:r>
        <w:lastRenderedPageBreak/>
        <w:t xml:space="preserve">The </w:t>
      </w:r>
      <w:r w:rsidR="00787B18">
        <w:t>T</w:t>
      </w:r>
      <w:r>
        <w:t xml:space="preserve">ransaction </w:t>
      </w:r>
      <w:r w:rsidR="003E0085">
        <w:t>will</w:t>
      </w:r>
      <w:r>
        <w:t xml:space="preserve"> take the form of a contractual share exchange pursuant to which EMC will acquire 100% of the </w:t>
      </w:r>
      <w:proofErr w:type="spellStart"/>
      <w:r>
        <w:t>EuroGas</w:t>
      </w:r>
      <w:proofErr w:type="spellEnd"/>
      <w:r>
        <w:t xml:space="preserve"> shares held by ZBC in exchange for the issuance to ZBC of units of the Company (each, an “EMC Unit”)</w:t>
      </w:r>
      <w:r w:rsidR="00D475E6">
        <w:t xml:space="preserve"> on a 1:1 basis</w:t>
      </w:r>
      <w:r>
        <w:t>.</w:t>
      </w:r>
      <w:r w:rsidR="00800585" w:rsidRPr="00800585">
        <w:t xml:space="preserve"> </w:t>
      </w:r>
      <w:r w:rsidR="003E0085">
        <w:t xml:space="preserve"> </w:t>
      </w:r>
      <w:r w:rsidR="00800585">
        <w:t xml:space="preserve">Upon the completion of the </w:t>
      </w:r>
      <w:r w:rsidR="00787B18">
        <w:t>T</w:t>
      </w:r>
      <w:r w:rsidR="00800585">
        <w:t xml:space="preserve">ransaction, </w:t>
      </w:r>
      <w:proofErr w:type="spellStart"/>
      <w:r w:rsidR="00800585">
        <w:t>EuroGas</w:t>
      </w:r>
      <w:proofErr w:type="spellEnd"/>
      <w:r w:rsidR="00800585">
        <w:t xml:space="preserve"> will become a majority-owned subsidiary of the Company.</w:t>
      </w:r>
    </w:p>
    <w:p w:rsidR="004769EF" w:rsidRDefault="00C4051D" w:rsidP="007330E0">
      <w:pPr>
        <w:jc w:val="both"/>
      </w:pPr>
      <w:r w:rsidRPr="002A39CC">
        <w:t>It is expected</w:t>
      </w:r>
      <w:r w:rsidR="00787B18">
        <w:t xml:space="preserve"> that the T</w:t>
      </w:r>
      <w:r w:rsidRPr="002A39CC">
        <w:t xml:space="preserve">ransaction will be </w:t>
      </w:r>
      <w:r w:rsidR="00A43A33">
        <w:t xml:space="preserve">treated as a reverse takeover within the meaning of applicable Canadian securities laws and be </w:t>
      </w:r>
      <w:r w:rsidRPr="002A39CC">
        <w:t xml:space="preserve">considered a </w:t>
      </w:r>
      <w:r>
        <w:t>fundamental change</w:t>
      </w:r>
      <w:r w:rsidRPr="002A39CC">
        <w:t xml:space="preserve"> under the policies of the </w:t>
      </w:r>
      <w:r>
        <w:t>Canadian Securities</w:t>
      </w:r>
      <w:r w:rsidRPr="002A39CC">
        <w:t xml:space="preserve"> Exchange (the “</w:t>
      </w:r>
      <w:r w:rsidRPr="00C4051D">
        <w:rPr>
          <w:bCs/>
          <w:lang w:val="en-GB"/>
        </w:rPr>
        <w:t>CSE</w:t>
      </w:r>
      <w:r w:rsidR="00A43A33">
        <w:t xml:space="preserve">”).  As a result, </w:t>
      </w:r>
      <w:r w:rsidR="00787B18">
        <w:t>it</w:t>
      </w:r>
      <w:r w:rsidR="00A43A33">
        <w:t xml:space="preserve"> </w:t>
      </w:r>
      <w:r w:rsidRPr="002A39CC">
        <w:t xml:space="preserve">will </w:t>
      </w:r>
      <w:r w:rsidR="00787B18">
        <w:t>be necessary for the Company to obtain</w:t>
      </w:r>
      <w:r w:rsidRPr="002A39CC">
        <w:t xml:space="preserve"> regulatory approval </w:t>
      </w:r>
      <w:r>
        <w:t>from</w:t>
      </w:r>
      <w:r w:rsidRPr="002A39CC">
        <w:t xml:space="preserve"> the </w:t>
      </w:r>
      <w:r>
        <w:t>CSE</w:t>
      </w:r>
      <w:r w:rsidRPr="002A39CC">
        <w:t xml:space="preserve"> </w:t>
      </w:r>
      <w:r w:rsidR="00A43A33">
        <w:t>as well as</w:t>
      </w:r>
      <w:r w:rsidRPr="002A39CC">
        <w:t xml:space="preserve"> approval </w:t>
      </w:r>
      <w:r w:rsidR="00DC14BF">
        <w:t>from</w:t>
      </w:r>
      <w:r w:rsidRPr="002A39CC">
        <w:t xml:space="preserve"> </w:t>
      </w:r>
      <w:r>
        <w:t>EMC’s</w:t>
      </w:r>
      <w:r w:rsidRPr="002A39CC">
        <w:t xml:space="preserve"> shareholders</w:t>
      </w:r>
      <w:r>
        <w:t>.</w:t>
      </w:r>
    </w:p>
    <w:p w:rsidR="00FE75FB" w:rsidRDefault="00A43A33" w:rsidP="007330E0">
      <w:pPr>
        <w:jc w:val="both"/>
      </w:pPr>
      <w:r>
        <w:t>The material terms of the LOI include:</w:t>
      </w:r>
    </w:p>
    <w:p w:rsidR="00A43A33" w:rsidRDefault="00A43A33" w:rsidP="00A43A33">
      <w:pPr>
        <w:pStyle w:val="ListParagraph"/>
        <w:numPr>
          <w:ilvl w:val="0"/>
          <w:numId w:val="1"/>
        </w:numPr>
        <w:ind w:hanging="720"/>
        <w:contextualSpacing w:val="0"/>
        <w:jc w:val="both"/>
      </w:pPr>
      <w:r>
        <w:t>On or prior to the c</w:t>
      </w:r>
      <w:r w:rsidRPr="0039780E">
        <w:t xml:space="preserve">losing </w:t>
      </w:r>
      <w:r>
        <w:t>d</w:t>
      </w:r>
      <w:r w:rsidRPr="0039780E">
        <w:t>ate</w:t>
      </w:r>
      <w:r>
        <w:t xml:space="preserve"> </w:t>
      </w:r>
      <w:r w:rsidR="00182E58">
        <w:t>of the T</w:t>
      </w:r>
      <w:r>
        <w:t>ransaction</w:t>
      </w:r>
      <w:r w:rsidR="009D03B6">
        <w:t xml:space="preserve"> (the “Closing Date”)</w:t>
      </w:r>
      <w:r w:rsidRPr="0039780E">
        <w:t xml:space="preserve">, </w:t>
      </w:r>
      <w:r>
        <w:t xml:space="preserve">EMC will </w:t>
      </w:r>
      <w:r w:rsidRPr="0039780E">
        <w:t xml:space="preserve">consolidate its </w:t>
      </w:r>
      <w:r>
        <w:t xml:space="preserve">outstanding </w:t>
      </w:r>
      <w:r w:rsidRPr="0039780E">
        <w:t xml:space="preserve">share capital on the basis of one (1) new </w:t>
      </w:r>
      <w:r>
        <w:t>common s</w:t>
      </w:r>
      <w:r w:rsidRPr="0039780E">
        <w:t xml:space="preserve">hare </w:t>
      </w:r>
      <w:r w:rsidR="00182E58">
        <w:t xml:space="preserve">(each, an “EMC Share”) </w:t>
      </w:r>
      <w:r w:rsidRPr="0039780E">
        <w:t xml:space="preserve">for every </w:t>
      </w:r>
      <w:r>
        <w:t>10</w:t>
      </w:r>
      <w:r w:rsidRPr="0039780E">
        <w:t xml:space="preserve"> </w:t>
      </w:r>
      <w:r>
        <w:t xml:space="preserve">old </w:t>
      </w:r>
      <w:r w:rsidR="00841C34">
        <w:t>EMC S</w:t>
      </w:r>
      <w:r>
        <w:t xml:space="preserve">hares </w:t>
      </w:r>
      <w:r w:rsidRPr="0039780E">
        <w:t>(the “</w:t>
      </w:r>
      <w:r w:rsidRPr="009D03B6">
        <w:t>Consolidation</w:t>
      </w:r>
      <w:r w:rsidRPr="0039780E">
        <w:t>”)</w:t>
      </w:r>
      <w:r w:rsidR="009E1DC9">
        <w:t>;</w:t>
      </w:r>
    </w:p>
    <w:p w:rsidR="001B46A8" w:rsidRDefault="004518E0" w:rsidP="00A43A33">
      <w:pPr>
        <w:pStyle w:val="ListParagraph"/>
        <w:numPr>
          <w:ilvl w:val="0"/>
          <w:numId w:val="1"/>
        </w:numPr>
        <w:ind w:hanging="720"/>
        <w:contextualSpacing w:val="0"/>
        <w:jc w:val="both"/>
      </w:pPr>
      <w:r>
        <w:t xml:space="preserve">At the closing, </w:t>
      </w:r>
      <w:r w:rsidR="001B46A8">
        <w:t>EMC will allot and issue 721,250,000 post-Consolidation EMC Units to ZBC</w:t>
      </w:r>
      <w:r>
        <w:t>, with e</w:t>
      </w:r>
      <w:r w:rsidR="001B46A8">
        <w:t>ach EMC Unit consist</w:t>
      </w:r>
      <w:r>
        <w:t>ing</w:t>
      </w:r>
      <w:r w:rsidR="001B46A8">
        <w:t xml:space="preserve"> of one </w:t>
      </w:r>
      <w:r w:rsidR="006E701F">
        <w:t>EMC S</w:t>
      </w:r>
      <w:r w:rsidR="001B46A8">
        <w:t xml:space="preserve">hare </w:t>
      </w:r>
      <w:r w:rsidR="006E701F">
        <w:t>and th</w:t>
      </w:r>
      <w:r w:rsidR="001B46A8">
        <w:rPr>
          <w:rFonts w:cs="Arial"/>
        </w:rPr>
        <w:t xml:space="preserve">ree-quarters of a </w:t>
      </w:r>
      <w:r w:rsidR="001B46A8">
        <w:t>warrant to purchase one EMC Share, with each whole warrant exercisable at a price of $</w:t>
      </w:r>
      <w:r w:rsidR="001B46A8">
        <w:rPr>
          <w:rFonts w:cs="Arial"/>
        </w:rPr>
        <w:t>0.05 per EMC Share</w:t>
      </w:r>
      <w:r w:rsidR="001B46A8">
        <w:t xml:space="preserve"> for a period of </w:t>
      </w:r>
      <w:r w:rsidR="001B46A8">
        <w:rPr>
          <w:rFonts w:cs="Arial"/>
        </w:rPr>
        <w:t>12</w:t>
      </w:r>
      <w:r w:rsidR="001B46A8">
        <w:t xml:space="preserve"> months, $</w:t>
      </w:r>
      <w:r w:rsidR="001B46A8">
        <w:rPr>
          <w:rFonts w:cs="Arial"/>
        </w:rPr>
        <w:t>0.075 per EMC Share</w:t>
      </w:r>
      <w:r w:rsidR="001B46A8">
        <w:t xml:space="preserve"> for the next </w:t>
      </w:r>
      <w:r w:rsidR="001B46A8">
        <w:rPr>
          <w:rFonts w:cs="Arial"/>
        </w:rPr>
        <w:t>12</w:t>
      </w:r>
      <w:r w:rsidR="001B46A8">
        <w:t xml:space="preserve"> months, and $</w:t>
      </w:r>
      <w:r w:rsidR="001B46A8">
        <w:rPr>
          <w:rFonts w:cs="Arial"/>
        </w:rPr>
        <w:t>0.10 per EMC Share</w:t>
      </w:r>
      <w:r w:rsidR="001B46A8">
        <w:t xml:space="preserve"> for a period of </w:t>
      </w:r>
      <w:r w:rsidR="001B46A8">
        <w:rPr>
          <w:rFonts w:cs="Arial"/>
        </w:rPr>
        <w:t>12</w:t>
      </w:r>
      <w:r w:rsidR="001B46A8">
        <w:t xml:space="preserve"> months thereafter</w:t>
      </w:r>
      <w:r w:rsidR="009E1DC9">
        <w:t>;</w:t>
      </w:r>
    </w:p>
    <w:p w:rsidR="004518E0" w:rsidRDefault="004518E0" w:rsidP="004518E0">
      <w:pPr>
        <w:pStyle w:val="ListParagraph"/>
        <w:numPr>
          <w:ilvl w:val="0"/>
          <w:numId w:val="1"/>
        </w:numPr>
        <w:ind w:hanging="720"/>
        <w:contextualSpacing w:val="0"/>
        <w:jc w:val="both"/>
      </w:pPr>
      <w:r>
        <w:t xml:space="preserve">On or </w:t>
      </w:r>
      <w:r w:rsidRPr="0039780E">
        <w:t xml:space="preserve">prior to the Closing Date, </w:t>
      </w:r>
      <w:r>
        <w:rPr>
          <w:lang w:val="en-GB"/>
        </w:rPr>
        <w:t>EMC will</w:t>
      </w:r>
      <w:r w:rsidRPr="0039780E">
        <w:t xml:space="preserve"> enter into binding debt settlement agreement</w:t>
      </w:r>
      <w:r>
        <w:t>s</w:t>
      </w:r>
      <w:r w:rsidRPr="0039780E">
        <w:t xml:space="preserve"> and release</w:t>
      </w:r>
      <w:r>
        <w:t>s</w:t>
      </w:r>
      <w:r w:rsidRPr="0039780E">
        <w:t xml:space="preserve"> with </w:t>
      </w:r>
      <w:r>
        <w:t xml:space="preserve">certain of its creditors </w:t>
      </w:r>
      <w:r w:rsidRPr="0039780E">
        <w:t xml:space="preserve">in form and substance satisfactory to </w:t>
      </w:r>
      <w:proofErr w:type="spellStart"/>
      <w:r>
        <w:t>EuroGas</w:t>
      </w:r>
      <w:proofErr w:type="spellEnd"/>
      <w:r w:rsidR="009E1DC9">
        <w:t xml:space="preserve"> (the “Debt Settlement”)</w:t>
      </w:r>
      <w:r>
        <w:t>, with the result that the accounts payable and accrued liabilities of EMC will be no greater than $150,000 at the closing</w:t>
      </w:r>
      <w:r w:rsidR="009E1DC9">
        <w:t>;</w:t>
      </w:r>
    </w:p>
    <w:p w:rsidR="00182E58" w:rsidRDefault="00182E58" w:rsidP="004518E0">
      <w:pPr>
        <w:pStyle w:val="ListParagraph"/>
        <w:numPr>
          <w:ilvl w:val="0"/>
          <w:numId w:val="1"/>
        </w:numPr>
        <w:ind w:hanging="720"/>
        <w:contextualSpacing w:val="0"/>
        <w:jc w:val="both"/>
      </w:pPr>
      <w:proofErr w:type="spellStart"/>
      <w:r>
        <w:t>EuroGas</w:t>
      </w:r>
      <w:proofErr w:type="spellEnd"/>
      <w:r>
        <w:t xml:space="preserve"> will assign to the holders of EMC Shares as of December 8, 201</w:t>
      </w:r>
      <w:r w:rsidR="00D32A39">
        <w:t>5</w:t>
      </w:r>
      <w:r>
        <w:t xml:space="preserve"> and in proportion to their </w:t>
      </w:r>
      <w:r w:rsidRPr="00902556">
        <w:t xml:space="preserve">ownership of </w:t>
      </w:r>
      <w:r w:rsidR="00FD5425">
        <w:t>EMC</w:t>
      </w:r>
      <w:r w:rsidRPr="00902556">
        <w:t xml:space="preserve"> Shares,</w:t>
      </w:r>
      <w:r>
        <w:t xml:space="preserve"> the right to receive an aggregate of US</w:t>
      </w:r>
      <w:r w:rsidRPr="00902556">
        <w:t xml:space="preserve">$5,000,000 in cash from any award received by </w:t>
      </w:r>
      <w:proofErr w:type="spellStart"/>
      <w:r w:rsidRPr="00902556">
        <w:t>EuroGas</w:t>
      </w:r>
      <w:proofErr w:type="spellEnd"/>
      <w:r w:rsidRPr="00902556">
        <w:t xml:space="preserve"> in connection with the </w:t>
      </w:r>
      <w:r w:rsidR="00F8798D">
        <w:t>a</w:t>
      </w:r>
      <w:r w:rsidR="009E1DC9">
        <w:t>rbitration</w:t>
      </w:r>
      <w:r w:rsidR="00F8798D">
        <w:t xml:space="preserve"> proceeding described above</w:t>
      </w:r>
      <w:r w:rsidR="009E1DC9">
        <w:t>;</w:t>
      </w:r>
    </w:p>
    <w:p w:rsidR="008E1CE4" w:rsidRPr="00FD1DD9" w:rsidRDefault="008E1CE4" w:rsidP="004518E0">
      <w:pPr>
        <w:pStyle w:val="ListParagraph"/>
        <w:numPr>
          <w:ilvl w:val="0"/>
          <w:numId w:val="1"/>
        </w:numPr>
        <w:ind w:hanging="720"/>
        <w:contextualSpacing w:val="0"/>
        <w:jc w:val="both"/>
      </w:pPr>
      <w:r>
        <w:t xml:space="preserve">On or </w:t>
      </w:r>
      <w:r w:rsidRPr="0039780E">
        <w:t>prior to the Closing Date</w:t>
      </w:r>
      <w:r>
        <w:t xml:space="preserve">, EMC will appoint two nominees of </w:t>
      </w:r>
      <w:proofErr w:type="spellStart"/>
      <w:r>
        <w:t>EuroGas</w:t>
      </w:r>
      <w:proofErr w:type="spellEnd"/>
      <w:r>
        <w:t xml:space="preserve"> to its board of directors</w:t>
      </w:r>
      <w:r w:rsidR="001B7CF2">
        <w:t xml:space="preserve">, with an additional director </w:t>
      </w:r>
      <w:r w:rsidR="001B7CF2">
        <w:rPr>
          <w:lang w:val="en-GB"/>
        </w:rPr>
        <w:t>agreed upon by the parties to b</w:t>
      </w:r>
      <w:r w:rsidR="00757A44">
        <w:rPr>
          <w:lang w:val="en-GB"/>
        </w:rPr>
        <w:t>e appointed on the Closing Date;</w:t>
      </w:r>
      <w:r w:rsidR="00FD1DD9">
        <w:rPr>
          <w:lang w:val="en-GB"/>
        </w:rPr>
        <w:t xml:space="preserve"> and</w:t>
      </w:r>
    </w:p>
    <w:p w:rsidR="00FD1DD9" w:rsidRDefault="00FD1DD9" w:rsidP="004518E0">
      <w:pPr>
        <w:pStyle w:val="ListParagraph"/>
        <w:numPr>
          <w:ilvl w:val="0"/>
          <w:numId w:val="1"/>
        </w:numPr>
        <w:ind w:hanging="720"/>
        <w:contextualSpacing w:val="0"/>
        <w:jc w:val="both"/>
      </w:pPr>
      <w:r>
        <w:t xml:space="preserve">Upon the completion of the Transaction and subject to the approval of the CSE, a finder’s fee of </w:t>
      </w:r>
      <w:r>
        <w:rPr>
          <w:lang w:val="en-GB"/>
        </w:rPr>
        <w:t xml:space="preserve">a maximum of 46,250,000 post-Consolidation </w:t>
      </w:r>
      <w:r>
        <w:t>EMC Shares will be payable to an arm’s length third party.</w:t>
      </w:r>
    </w:p>
    <w:p w:rsidR="009833B3" w:rsidRDefault="00182E58">
      <w:pPr>
        <w:jc w:val="both"/>
        <w:rPr>
          <w:rFonts w:cs="Arial"/>
        </w:rPr>
      </w:pPr>
      <w:r>
        <w:t xml:space="preserve">The Company and </w:t>
      </w:r>
      <w:proofErr w:type="spellStart"/>
      <w:r>
        <w:t>EuroGas</w:t>
      </w:r>
      <w:proofErr w:type="spellEnd"/>
      <w:r>
        <w:t xml:space="preserve"> will use their reasonable best efforts to </w:t>
      </w:r>
      <w:r w:rsidRPr="005525CB">
        <w:t xml:space="preserve">complete due diligence </w:t>
      </w:r>
      <w:r>
        <w:t xml:space="preserve">by January 8, 2016 and enter into </w:t>
      </w:r>
      <w:r w:rsidR="00841C34">
        <w:t xml:space="preserve">a mutually satisfactory definitive agreement </w:t>
      </w:r>
      <w:r w:rsidR="00FD1DD9">
        <w:t xml:space="preserve">with ZBC </w:t>
      </w:r>
      <w:r w:rsidR="00841C34">
        <w:t>(the “</w:t>
      </w:r>
      <w:r>
        <w:t>Definitiv</w:t>
      </w:r>
      <w:r w:rsidR="009E1DC9">
        <w:t>e Agreement</w:t>
      </w:r>
      <w:r w:rsidR="00841C34">
        <w:t>”)</w:t>
      </w:r>
      <w:r w:rsidR="009E1DC9">
        <w:t xml:space="preserve"> </w:t>
      </w:r>
      <w:r w:rsidR="00841C34">
        <w:t xml:space="preserve">to reflect the complete terms of the Transaction </w:t>
      </w:r>
      <w:r w:rsidR="009E1DC9">
        <w:t>by January 29, 2016</w:t>
      </w:r>
      <w:r w:rsidR="00841C34">
        <w:t>.</w:t>
      </w:r>
      <w:r w:rsidR="00BC31F5">
        <w:t xml:space="preserve">  </w:t>
      </w:r>
      <w:r w:rsidR="00AA0149" w:rsidRPr="00BC31F5">
        <w:rPr>
          <w:rFonts w:cs="Arial"/>
        </w:rPr>
        <w:t xml:space="preserve">The LOI may be terminated by either EMC or </w:t>
      </w:r>
      <w:proofErr w:type="spellStart"/>
      <w:r w:rsidR="00AA0149" w:rsidRPr="00BC31F5">
        <w:rPr>
          <w:rFonts w:cs="Arial"/>
        </w:rPr>
        <w:t>EuroGas</w:t>
      </w:r>
      <w:proofErr w:type="spellEnd"/>
      <w:r w:rsidR="00AA0149" w:rsidRPr="00BC31F5">
        <w:rPr>
          <w:rFonts w:cs="Arial"/>
        </w:rPr>
        <w:t xml:space="preserve"> </w:t>
      </w:r>
      <w:r w:rsidR="001D0D98" w:rsidRPr="00BC31F5">
        <w:rPr>
          <w:rFonts w:cs="Arial"/>
        </w:rPr>
        <w:t>as a result of</w:t>
      </w:r>
      <w:r w:rsidR="00AA0149" w:rsidRPr="00BC31F5">
        <w:rPr>
          <w:rFonts w:cs="Arial"/>
        </w:rPr>
        <w:t xml:space="preserve"> unsatisfactory due diligence results </w:t>
      </w:r>
      <w:r w:rsidR="001D0D98" w:rsidRPr="00BC31F5">
        <w:rPr>
          <w:rFonts w:cs="Arial"/>
        </w:rPr>
        <w:t xml:space="preserve">or if the Definitive Agreement is not </w:t>
      </w:r>
      <w:r w:rsidR="001D0D98">
        <w:t>executed on or before January 29, 2016.</w:t>
      </w:r>
    </w:p>
    <w:p w:rsidR="00A43A33" w:rsidRDefault="001D0D98" w:rsidP="007330E0">
      <w:pPr>
        <w:jc w:val="both"/>
      </w:pPr>
      <w:r>
        <w:t>The completion of the Transaction is subject t</w:t>
      </w:r>
      <w:r w:rsidR="009E1DC9">
        <w:t>o various conditions, including:</w:t>
      </w:r>
    </w:p>
    <w:p w:rsidR="009E1DC9" w:rsidRDefault="00CA0BD8" w:rsidP="009E1DC9">
      <w:pPr>
        <w:pStyle w:val="ListParagraph"/>
        <w:numPr>
          <w:ilvl w:val="0"/>
          <w:numId w:val="2"/>
        </w:numPr>
        <w:ind w:hanging="720"/>
        <w:contextualSpacing w:val="0"/>
        <w:jc w:val="both"/>
      </w:pPr>
      <w:r>
        <w:t>T</w:t>
      </w:r>
      <w:r w:rsidR="009E1DC9">
        <w:t xml:space="preserve">he completion by each of EMC and </w:t>
      </w:r>
      <w:proofErr w:type="spellStart"/>
      <w:r w:rsidR="009E1DC9">
        <w:t>EuroGas</w:t>
      </w:r>
      <w:proofErr w:type="spellEnd"/>
      <w:r w:rsidR="009E1DC9">
        <w:t xml:space="preserve"> of their due diligence investigation of the other party;</w:t>
      </w:r>
    </w:p>
    <w:p w:rsidR="009E1DC9" w:rsidRDefault="00CA0BD8" w:rsidP="009E1DC9">
      <w:pPr>
        <w:pStyle w:val="ListParagraph"/>
        <w:numPr>
          <w:ilvl w:val="0"/>
          <w:numId w:val="2"/>
        </w:numPr>
        <w:ind w:hanging="720"/>
        <w:contextualSpacing w:val="0"/>
        <w:jc w:val="both"/>
      </w:pPr>
      <w:r>
        <w:lastRenderedPageBreak/>
        <w:t>T</w:t>
      </w:r>
      <w:r w:rsidR="009E1DC9" w:rsidRPr="005525CB">
        <w:t xml:space="preserve">he delivery by </w:t>
      </w:r>
      <w:proofErr w:type="spellStart"/>
      <w:r w:rsidR="009E1DC9">
        <w:t>EuroGas</w:t>
      </w:r>
      <w:proofErr w:type="spellEnd"/>
      <w:r w:rsidR="009E1DC9" w:rsidRPr="005525CB">
        <w:t xml:space="preserve"> to </w:t>
      </w:r>
      <w:r w:rsidR="009E1DC9">
        <w:t>EMC</w:t>
      </w:r>
      <w:r w:rsidR="009E1DC9" w:rsidRPr="005525CB">
        <w:t xml:space="preserve"> of </w:t>
      </w:r>
      <w:r w:rsidR="009E1DC9" w:rsidRPr="008C2B5B">
        <w:t>engineering reports</w:t>
      </w:r>
      <w:r w:rsidR="009E1DC9">
        <w:t xml:space="preserve"> on</w:t>
      </w:r>
      <w:r w:rsidR="009E1DC9" w:rsidRPr="008C2B5B">
        <w:t xml:space="preserve"> </w:t>
      </w:r>
      <w:r w:rsidR="009E1DC9">
        <w:t>its</w:t>
      </w:r>
      <w:r w:rsidR="009E1DC9" w:rsidRPr="008C2B5B">
        <w:t xml:space="preserve"> oil and gas properties in accordance with National Instrument 51-101 </w:t>
      </w:r>
      <w:r w:rsidR="009E1DC9" w:rsidRPr="008C2B5B">
        <w:rPr>
          <w:i/>
        </w:rPr>
        <w:t>Standards of Disclosure for Oil and Gas Activities</w:t>
      </w:r>
      <w:r w:rsidR="009E1DC9">
        <w:t>;</w:t>
      </w:r>
    </w:p>
    <w:p w:rsidR="009E1DC9" w:rsidRDefault="00CA0BD8" w:rsidP="009E1DC9">
      <w:pPr>
        <w:pStyle w:val="ListParagraph"/>
        <w:numPr>
          <w:ilvl w:val="0"/>
          <w:numId w:val="2"/>
        </w:numPr>
        <w:ind w:hanging="720"/>
        <w:contextualSpacing w:val="0"/>
        <w:jc w:val="both"/>
      </w:pPr>
      <w:r>
        <w:t>T</w:t>
      </w:r>
      <w:r w:rsidR="009E1DC9" w:rsidRPr="005525CB">
        <w:t xml:space="preserve">he delivery by </w:t>
      </w:r>
      <w:proofErr w:type="spellStart"/>
      <w:r w:rsidR="009E1DC9">
        <w:t>EuroGas</w:t>
      </w:r>
      <w:proofErr w:type="spellEnd"/>
      <w:r w:rsidR="009E1DC9" w:rsidRPr="005525CB">
        <w:t xml:space="preserve"> to </w:t>
      </w:r>
      <w:r w:rsidR="009E1DC9">
        <w:t>EMC</w:t>
      </w:r>
      <w:r w:rsidR="009E1DC9" w:rsidRPr="005525CB">
        <w:t xml:space="preserve"> of audited financial statements of </w:t>
      </w:r>
      <w:proofErr w:type="spellStart"/>
      <w:r w:rsidR="009E1DC9">
        <w:t>EuroGas</w:t>
      </w:r>
      <w:proofErr w:type="spellEnd"/>
      <w:r w:rsidR="009E1DC9" w:rsidRPr="005525CB">
        <w:t xml:space="preserve"> for those fiscal periods</w:t>
      </w:r>
      <w:r w:rsidR="009E1DC9">
        <w:t xml:space="preserve"> </w:t>
      </w:r>
      <w:r w:rsidR="009E1DC9" w:rsidRPr="005525CB">
        <w:t xml:space="preserve">required </w:t>
      </w:r>
      <w:r w:rsidR="009E1DC9">
        <w:t xml:space="preserve">under applicable securities laws or </w:t>
      </w:r>
      <w:r w:rsidR="009E1DC9" w:rsidRPr="005525CB">
        <w:t xml:space="preserve">the policies of the </w:t>
      </w:r>
      <w:r w:rsidR="009E1DC9">
        <w:t>CSE;</w:t>
      </w:r>
    </w:p>
    <w:p w:rsidR="009E1DC9" w:rsidRDefault="00CA0BD8" w:rsidP="009E1DC9">
      <w:pPr>
        <w:pStyle w:val="ListParagraph"/>
        <w:numPr>
          <w:ilvl w:val="0"/>
          <w:numId w:val="2"/>
        </w:numPr>
        <w:ind w:hanging="720"/>
        <w:contextualSpacing w:val="0"/>
        <w:jc w:val="both"/>
      </w:pPr>
      <w:r>
        <w:t>T</w:t>
      </w:r>
      <w:r w:rsidR="009E1DC9">
        <w:t>he completion of the Consolidation and the Debt Settlement;</w:t>
      </w:r>
    </w:p>
    <w:p w:rsidR="009E1DC9" w:rsidRDefault="009E1DC9" w:rsidP="009E1DC9">
      <w:pPr>
        <w:pStyle w:val="ListParagraph"/>
        <w:numPr>
          <w:ilvl w:val="0"/>
          <w:numId w:val="2"/>
        </w:numPr>
        <w:ind w:hanging="720"/>
        <w:contextualSpacing w:val="0"/>
        <w:jc w:val="both"/>
      </w:pPr>
      <w:proofErr w:type="spellStart"/>
      <w:r>
        <w:t>EuroGas</w:t>
      </w:r>
      <w:proofErr w:type="spellEnd"/>
      <w:r>
        <w:t xml:space="preserve">, </w:t>
      </w:r>
      <w:r w:rsidR="00E3060F">
        <w:t>EMC</w:t>
      </w:r>
      <w:r w:rsidRPr="005525CB">
        <w:t xml:space="preserve"> </w:t>
      </w:r>
      <w:r>
        <w:t xml:space="preserve">and ZBC </w:t>
      </w:r>
      <w:r w:rsidRPr="005525CB">
        <w:t>obtaining all required directors, regulatory, shareholder and third party approvals</w:t>
      </w:r>
      <w:r>
        <w:t>;</w:t>
      </w:r>
      <w:r w:rsidR="00E3060F">
        <w:t xml:space="preserve"> and</w:t>
      </w:r>
    </w:p>
    <w:p w:rsidR="009E1DC9" w:rsidRDefault="00CA0BD8" w:rsidP="009E1DC9">
      <w:pPr>
        <w:pStyle w:val="ListParagraph"/>
        <w:numPr>
          <w:ilvl w:val="0"/>
          <w:numId w:val="2"/>
        </w:numPr>
        <w:ind w:hanging="720"/>
        <w:contextualSpacing w:val="0"/>
        <w:jc w:val="both"/>
      </w:pPr>
      <w:r>
        <w:t>I</w:t>
      </w:r>
      <w:r w:rsidR="00E3060F">
        <w:t>f necessary, the receipt by EMC of a valuation and fairness opinion in respect of the Transaction that is satisfactory to EMC, which opinion has not been subsequently withdrawn.</w:t>
      </w:r>
    </w:p>
    <w:p w:rsidR="00E3060F" w:rsidRDefault="00E3060F" w:rsidP="00E3060F">
      <w:pPr>
        <w:jc w:val="both"/>
      </w:pPr>
      <w:r>
        <w:t>Following the successful negotiation of the Definitive Agreement</w:t>
      </w:r>
      <w:r w:rsidRPr="00E3060F">
        <w:t xml:space="preserve"> </w:t>
      </w:r>
      <w:r>
        <w:t xml:space="preserve">and </w:t>
      </w:r>
      <w:r w:rsidRPr="0039780E">
        <w:t>subject to regulatory and shareholder approval</w:t>
      </w:r>
      <w:r>
        <w:t>, the Transaction is expected to close no later than February 26, 2016.</w:t>
      </w:r>
    </w:p>
    <w:p w:rsidR="004769EF" w:rsidRDefault="004769EF" w:rsidP="007330E0">
      <w:pPr>
        <w:jc w:val="both"/>
        <w:rPr>
          <w:rFonts w:cs="Arial"/>
          <w:lang w:val="en-CA"/>
        </w:rPr>
      </w:pPr>
      <w:r>
        <w:t>For further information:</w:t>
      </w:r>
    </w:p>
    <w:p w:rsidR="004769EF" w:rsidRDefault="004769EF">
      <w:r>
        <w:t>European Metals Corp</w:t>
      </w:r>
      <w:proofErr w:type="gramStart"/>
      <w:r>
        <w:t>.</w:t>
      </w:r>
      <w:proofErr w:type="gramEnd"/>
      <w:r>
        <w:br/>
        <w:t>Ms. Vicki Rosenthal</w:t>
      </w:r>
      <w:r>
        <w:br/>
        <w:t>Chairman and Chief Executive Officer</w:t>
      </w:r>
      <w:r>
        <w:br/>
        <w:t>(647) 478-1255</w:t>
      </w:r>
    </w:p>
    <w:p w:rsidR="004769EF" w:rsidRDefault="009F1219">
      <w:hyperlink r:id="rId8" w:history="1">
        <w:r w:rsidR="004769EF" w:rsidRPr="00C316E0">
          <w:rPr>
            <w:rStyle w:val="Hyperlink"/>
          </w:rPr>
          <w:t>http://www.europeanmetalscorp.com</w:t>
        </w:r>
      </w:hyperlink>
      <w:r w:rsidR="004769EF">
        <w:br/>
      </w:r>
      <w:hyperlink r:id="rId9" w:history="1">
        <w:r w:rsidR="004769EF" w:rsidRPr="00C316E0">
          <w:rPr>
            <w:rStyle w:val="Hyperlink"/>
          </w:rPr>
          <w:t>vrosenthal@europeanmetalscorp.com</w:t>
        </w:r>
      </w:hyperlink>
    </w:p>
    <w:p w:rsidR="004769EF" w:rsidRPr="004769EF" w:rsidRDefault="004769EF" w:rsidP="007330E0">
      <w:pPr>
        <w:jc w:val="both"/>
        <w:rPr>
          <w:i/>
        </w:rPr>
      </w:pPr>
      <w:r w:rsidRPr="004769EF">
        <w:rPr>
          <w:i/>
        </w:rPr>
        <w:t>The CSE has not reviewed, approved or disapproved the content of this press release.</w:t>
      </w:r>
    </w:p>
    <w:p w:rsidR="004769EF" w:rsidRPr="00017447" w:rsidRDefault="004769EF" w:rsidP="007330E0">
      <w:pPr>
        <w:jc w:val="both"/>
        <w:rPr>
          <w:b/>
          <w:i/>
        </w:rPr>
      </w:pPr>
      <w:r w:rsidRPr="00017447">
        <w:rPr>
          <w:b/>
          <w:i/>
        </w:rPr>
        <w:t>Forward-Looking Statements</w:t>
      </w:r>
    </w:p>
    <w:p w:rsidR="004769EF" w:rsidRPr="00D93497" w:rsidRDefault="004769EF" w:rsidP="007330E0">
      <w:pPr>
        <w:jc w:val="both"/>
        <w:rPr>
          <w:rFonts w:cs="Arial"/>
          <w:i/>
          <w:lang w:val="en-CA"/>
        </w:rPr>
      </w:pPr>
      <w:r w:rsidRPr="004769EF">
        <w:rPr>
          <w:i/>
        </w:rPr>
        <w:t xml:space="preserve">Certain information set forth in this news release may contain forward-looking statements that involve substantial known and unknown risks and uncertainties. These forward-looking statements are subject to numerous risks and uncertainties, certain of which are beyond the control of </w:t>
      </w:r>
      <w:r w:rsidR="007850B2">
        <w:rPr>
          <w:i/>
        </w:rPr>
        <w:t>EMC</w:t>
      </w:r>
      <w:r w:rsidRPr="004769EF">
        <w:rPr>
          <w:i/>
        </w:rPr>
        <w:t xml:space="preserve">, including, but not limited to, the impact of general economic conditions, industry conditions, </w:t>
      </w:r>
      <w:r w:rsidR="00D93497">
        <w:rPr>
          <w:i/>
        </w:rPr>
        <w:t xml:space="preserve">and the </w:t>
      </w:r>
      <w:r w:rsidRPr="004769EF">
        <w:rPr>
          <w:i/>
        </w:rPr>
        <w:t xml:space="preserve">dependence upon regulatory approvals. Readers are cautioned that the assumptions used in the preparation of such information, although considered reasonable at the time of preparation, may prove to be imprecise and, as such, undue reliance should not be placed on </w:t>
      </w:r>
      <w:r w:rsidR="00D93497">
        <w:rPr>
          <w:i/>
        </w:rPr>
        <w:t xml:space="preserve">the </w:t>
      </w:r>
      <w:r w:rsidRPr="004769EF">
        <w:rPr>
          <w:i/>
        </w:rPr>
        <w:t>forward-looking statements.</w:t>
      </w:r>
      <w:r w:rsidR="00D93497" w:rsidRPr="00D93497">
        <w:t xml:space="preserve"> </w:t>
      </w:r>
      <w:r w:rsidR="00D93497" w:rsidRPr="00D93497">
        <w:rPr>
          <w:i/>
        </w:rPr>
        <w:t xml:space="preserve">The forward-looking </w:t>
      </w:r>
      <w:r w:rsidR="00D93497">
        <w:rPr>
          <w:i/>
        </w:rPr>
        <w:t>statements</w:t>
      </w:r>
      <w:r w:rsidR="00D93497" w:rsidRPr="00D93497">
        <w:rPr>
          <w:i/>
        </w:rPr>
        <w:t xml:space="preserve"> contained in this </w:t>
      </w:r>
      <w:r w:rsidR="00D93497">
        <w:rPr>
          <w:i/>
        </w:rPr>
        <w:t>news</w:t>
      </w:r>
      <w:r w:rsidR="00D93497" w:rsidRPr="00D93497">
        <w:rPr>
          <w:i/>
        </w:rPr>
        <w:t xml:space="preserve"> release </w:t>
      </w:r>
      <w:r w:rsidR="00D93497">
        <w:rPr>
          <w:i/>
        </w:rPr>
        <w:t xml:space="preserve">speak only </w:t>
      </w:r>
      <w:r w:rsidR="00D93497" w:rsidRPr="00D93497">
        <w:rPr>
          <w:i/>
        </w:rPr>
        <w:t>as of the date o</w:t>
      </w:r>
      <w:r w:rsidR="00D93497">
        <w:rPr>
          <w:i/>
        </w:rPr>
        <w:t xml:space="preserve">n which they are made, and </w:t>
      </w:r>
      <w:r w:rsidR="007850B2">
        <w:rPr>
          <w:i/>
        </w:rPr>
        <w:t>the Company</w:t>
      </w:r>
      <w:r w:rsidR="00D93497">
        <w:rPr>
          <w:i/>
        </w:rPr>
        <w:t xml:space="preserve"> undertakes no obliga</w:t>
      </w:r>
      <w:r w:rsidR="00D93497" w:rsidRPr="00D93497">
        <w:rPr>
          <w:i/>
        </w:rPr>
        <w:t xml:space="preserve">tion to update </w:t>
      </w:r>
      <w:r w:rsidR="00D93497">
        <w:rPr>
          <w:i/>
        </w:rPr>
        <w:t xml:space="preserve">them </w:t>
      </w:r>
      <w:r w:rsidR="00D93497" w:rsidRPr="00D93497">
        <w:rPr>
          <w:i/>
        </w:rPr>
        <w:t xml:space="preserve">publicly </w:t>
      </w:r>
      <w:r w:rsidR="00D93497">
        <w:rPr>
          <w:i/>
        </w:rPr>
        <w:t xml:space="preserve">to reflect any </w:t>
      </w:r>
      <w:r w:rsidR="00D93497" w:rsidRPr="00D93497">
        <w:rPr>
          <w:i/>
        </w:rPr>
        <w:t>new information</w:t>
      </w:r>
      <w:r w:rsidR="00D93497">
        <w:rPr>
          <w:i/>
        </w:rPr>
        <w:t xml:space="preserve"> or the occurrence of </w:t>
      </w:r>
      <w:r w:rsidR="00D93497" w:rsidRPr="00D93497">
        <w:rPr>
          <w:i/>
        </w:rPr>
        <w:t xml:space="preserve">future events or </w:t>
      </w:r>
      <w:r w:rsidR="00D93497">
        <w:rPr>
          <w:i/>
        </w:rPr>
        <w:t>circumstances</w:t>
      </w:r>
      <w:r w:rsidR="00D93497" w:rsidRPr="00D93497">
        <w:rPr>
          <w:i/>
        </w:rPr>
        <w:t>, other than as required by applicable laws.</w:t>
      </w:r>
    </w:p>
    <w:sectPr w:rsidR="004769EF" w:rsidRPr="00D93497" w:rsidSect="00A22A06">
      <w:footerReference w:type="default" r:id="rId10"/>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219" w:rsidRDefault="009F1219" w:rsidP="00A22A06">
      <w:pPr>
        <w:spacing w:after="0"/>
      </w:pPr>
      <w:r>
        <w:separator/>
      </w:r>
    </w:p>
  </w:endnote>
  <w:endnote w:type="continuationSeparator" w:id="0">
    <w:p w:rsidR="009F1219" w:rsidRDefault="009F1219" w:rsidP="00A22A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5FB" w:rsidRPr="00FE75FB" w:rsidRDefault="00FE75FB">
    <w:pPr>
      <w:pStyle w:val="Footer"/>
      <w:rPr>
        <w:sz w:val="16"/>
        <w:szCs w:val="16"/>
        <w:lang w:val="en-CA"/>
      </w:rPr>
    </w:pPr>
    <w:r w:rsidRPr="00FE75FB">
      <w:rPr>
        <w:sz w:val="16"/>
        <w:szCs w:val="16"/>
        <w:lang w:val="en-CA"/>
      </w:rPr>
      <w:t>#138477-1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219" w:rsidRDefault="009F1219" w:rsidP="00A22A06">
      <w:pPr>
        <w:spacing w:after="0"/>
      </w:pPr>
      <w:r>
        <w:separator/>
      </w:r>
    </w:p>
  </w:footnote>
  <w:footnote w:type="continuationSeparator" w:id="0">
    <w:p w:rsidR="009F1219" w:rsidRDefault="009F1219" w:rsidP="00A22A0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634E3"/>
    <w:multiLevelType w:val="hybridMultilevel"/>
    <w:tmpl w:val="6C28AB4C"/>
    <w:lvl w:ilvl="0" w:tplc="815C33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3C2CB1"/>
    <w:multiLevelType w:val="hybridMultilevel"/>
    <w:tmpl w:val="6C28AB4C"/>
    <w:lvl w:ilvl="0" w:tplc="815C33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769EF"/>
    <w:rsid w:val="00003D22"/>
    <w:rsid w:val="00010786"/>
    <w:rsid w:val="00017447"/>
    <w:rsid w:val="0008372A"/>
    <w:rsid w:val="00182E58"/>
    <w:rsid w:val="001B46A8"/>
    <w:rsid w:val="001B7CF2"/>
    <w:rsid w:val="001D0D98"/>
    <w:rsid w:val="00205389"/>
    <w:rsid w:val="00266A7A"/>
    <w:rsid w:val="00357658"/>
    <w:rsid w:val="00391308"/>
    <w:rsid w:val="003B5D8A"/>
    <w:rsid w:val="003D0EBA"/>
    <w:rsid w:val="003E0085"/>
    <w:rsid w:val="004518E0"/>
    <w:rsid w:val="004769EF"/>
    <w:rsid w:val="00480B9C"/>
    <w:rsid w:val="00484FF6"/>
    <w:rsid w:val="004C6BCC"/>
    <w:rsid w:val="004D3AB3"/>
    <w:rsid w:val="004F21C1"/>
    <w:rsid w:val="005015EA"/>
    <w:rsid w:val="005073E0"/>
    <w:rsid w:val="005227AF"/>
    <w:rsid w:val="00530228"/>
    <w:rsid w:val="00530465"/>
    <w:rsid w:val="00573DBE"/>
    <w:rsid w:val="005742FB"/>
    <w:rsid w:val="0057670C"/>
    <w:rsid w:val="00592118"/>
    <w:rsid w:val="006A70F5"/>
    <w:rsid w:val="006E701F"/>
    <w:rsid w:val="00707CD0"/>
    <w:rsid w:val="007330E0"/>
    <w:rsid w:val="00757A44"/>
    <w:rsid w:val="007850B2"/>
    <w:rsid w:val="00787B18"/>
    <w:rsid w:val="007D6C2E"/>
    <w:rsid w:val="007E7D5D"/>
    <w:rsid w:val="00800585"/>
    <w:rsid w:val="00832048"/>
    <w:rsid w:val="00841C34"/>
    <w:rsid w:val="00876369"/>
    <w:rsid w:val="008E1CE4"/>
    <w:rsid w:val="00955A14"/>
    <w:rsid w:val="009833B3"/>
    <w:rsid w:val="00997184"/>
    <w:rsid w:val="009B747F"/>
    <w:rsid w:val="009B74CC"/>
    <w:rsid w:val="009D03B6"/>
    <w:rsid w:val="009E1DC9"/>
    <w:rsid w:val="009F1219"/>
    <w:rsid w:val="009F6A0E"/>
    <w:rsid w:val="00A22A06"/>
    <w:rsid w:val="00A24030"/>
    <w:rsid w:val="00A2570C"/>
    <w:rsid w:val="00A43A33"/>
    <w:rsid w:val="00AA0149"/>
    <w:rsid w:val="00AC13E9"/>
    <w:rsid w:val="00B820BA"/>
    <w:rsid w:val="00BA4A7D"/>
    <w:rsid w:val="00BC31F5"/>
    <w:rsid w:val="00BD7001"/>
    <w:rsid w:val="00C4051D"/>
    <w:rsid w:val="00C740FE"/>
    <w:rsid w:val="00CA0BD8"/>
    <w:rsid w:val="00CA0F20"/>
    <w:rsid w:val="00CD2291"/>
    <w:rsid w:val="00CD72F5"/>
    <w:rsid w:val="00D14ECC"/>
    <w:rsid w:val="00D32A39"/>
    <w:rsid w:val="00D475E6"/>
    <w:rsid w:val="00D93497"/>
    <w:rsid w:val="00D97C6C"/>
    <w:rsid w:val="00DC14BF"/>
    <w:rsid w:val="00E3060F"/>
    <w:rsid w:val="00E51288"/>
    <w:rsid w:val="00E52300"/>
    <w:rsid w:val="00EC41F9"/>
    <w:rsid w:val="00F11BF5"/>
    <w:rsid w:val="00F17339"/>
    <w:rsid w:val="00F42491"/>
    <w:rsid w:val="00F42D4E"/>
    <w:rsid w:val="00F8798D"/>
    <w:rsid w:val="00F97934"/>
    <w:rsid w:val="00FD1DD9"/>
    <w:rsid w:val="00FD5425"/>
    <w:rsid w:val="00FE5D02"/>
    <w:rsid w:val="00FE75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A06"/>
    <w:pPr>
      <w:spacing w:after="24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A06"/>
    <w:pPr>
      <w:tabs>
        <w:tab w:val="center" w:pos="4680"/>
        <w:tab w:val="right" w:pos="9360"/>
      </w:tabs>
      <w:spacing w:after="0"/>
    </w:pPr>
  </w:style>
  <w:style w:type="character" w:customStyle="1" w:styleId="HeaderChar">
    <w:name w:val="Header Char"/>
    <w:basedOn w:val="DefaultParagraphFont"/>
    <w:link w:val="Header"/>
    <w:uiPriority w:val="99"/>
    <w:rsid w:val="00A22A06"/>
    <w:rPr>
      <w:rFonts w:ascii="Arial" w:hAnsi="Arial"/>
    </w:rPr>
  </w:style>
  <w:style w:type="paragraph" w:styleId="Footer">
    <w:name w:val="footer"/>
    <w:basedOn w:val="Normal"/>
    <w:link w:val="FooterChar"/>
    <w:uiPriority w:val="99"/>
    <w:unhideWhenUsed/>
    <w:rsid w:val="00A22A06"/>
    <w:pPr>
      <w:tabs>
        <w:tab w:val="center" w:pos="4680"/>
        <w:tab w:val="right" w:pos="9360"/>
      </w:tabs>
      <w:spacing w:after="0"/>
    </w:pPr>
  </w:style>
  <w:style w:type="character" w:customStyle="1" w:styleId="FooterChar">
    <w:name w:val="Footer Char"/>
    <w:basedOn w:val="DefaultParagraphFont"/>
    <w:link w:val="Footer"/>
    <w:uiPriority w:val="99"/>
    <w:rsid w:val="00A22A06"/>
    <w:rPr>
      <w:rFonts w:ascii="Arial" w:hAnsi="Arial"/>
    </w:rPr>
  </w:style>
  <w:style w:type="paragraph" w:styleId="BalloonText">
    <w:name w:val="Balloon Text"/>
    <w:basedOn w:val="Normal"/>
    <w:link w:val="BalloonTextChar"/>
    <w:uiPriority w:val="99"/>
    <w:semiHidden/>
    <w:unhideWhenUsed/>
    <w:rsid w:val="00A22A0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A06"/>
    <w:rPr>
      <w:rFonts w:ascii="Tahoma" w:hAnsi="Tahoma" w:cs="Tahoma"/>
      <w:sz w:val="16"/>
      <w:szCs w:val="16"/>
    </w:rPr>
  </w:style>
  <w:style w:type="character" w:styleId="Hyperlink">
    <w:name w:val="Hyperlink"/>
    <w:basedOn w:val="DefaultParagraphFont"/>
    <w:uiPriority w:val="99"/>
    <w:unhideWhenUsed/>
    <w:rsid w:val="004769EF"/>
    <w:rPr>
      <w:color w:val="0000FF" w:themeColor="hyperlink"/>
      <w:u w:val="single"/>
    </w:rPr>
  </w:style>
  <w:style w:type="paragraph" w:styleId="ListParagraph">
    <w:name w:val="List Paragraph"/>
    <w:basedOn w:val="Normal"/>
    <w:uiPriority w:val="34"/>
    <w:qFormat/>
    <w:rsid w:val="00A43A33"/>
    <w:pPr>
      <w:ind w:left="720"/>
      <w:contextualSpacing/>
    </w:pPr>
  </w:style>
  <w:style w:type="character" w:styleId="CommentReference">
    <w:name w:val="annotation reference"/>
    <w:basedOn w:val="DefaultParagraphFont"/>
    <w:uiPriority w:val="99"/>
    <w:semiHidden/>
    <w:unhideWhenUsed/>
    <w:rsid w:val="00E3060F"/>
    <w:rPr>
      <w:sz w:val="16"/>
      <w:szCs w:val="16"/>
    </w:rPr>
  </w:style>
  <w:style w:type="paragraph" w:styleId="CommentText">
    <w:name w:val="annotation text"/>
    <w:basedOn w:val="Normal"/>
    <w:link w:val="CommentTextChar"/>
    <w:uiPriority w:val="99"/>
    <w:semiHidden/>
    <w:unhideWhenUsed/>
    <w:rsid w:val="00E3060F"/>
    <w:rPr>
      <w:sz w:val="20"/>
      <w:szCs w:val="20"/>
    </w:rPr>
  </w:style>
  <w:style w:type="character" w:customStyle="1" w:styleId="CommentTextChar">
    <w:name w:val="Comment Text Char"/>
    <w:basedOn w:val="DefaultParagraphFont"/>
    <w:link w:val="CommentText"/>
    <w:uiPriority w:val="99"/>
    <w:semiHidden/>
    <w:rsid w:val="00E3060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3060F"/>
    <w:rPr>
      <w:b/>
      <w:bCs/>
    </w:rPr>
  </w:style>
  <w:style w:type="character" w:customStyle="1" w:styleId="CommentSubjectChar">
    <w:name w:val="Comment Subject Char"/>
    <w:basedOn w:val="CommentTextChar"/>
    <w:link w:val="CommentSubject"/>
    <w:uiPriority w:val="99"/>
    <w:semiHidden/>
    <w:rsid w:val="00E3060F"/>
    <w:rPr>
      <w:rFonts w:ascii="Arial" w:hAnsi="Arial"/>
      <w:b/>
      <w:bCs/>
      <w:sz w:val="20"/>
      <w:szCs w:val="20"/>
    </w:rPr>
  </w:style>
  <w:style w:type="paragraph" w:customStyle="1" w:styleId="Default">
    <w:name w:val="Default"/>
    <w:rsid w:val="00EC41F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CD72F5"/>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A06"/>
    <w:pPr>
      <w:spacing w:after="24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A06"/>
    <w:pPr>
      <w:tabs>
        <w:tab w:val="center" w:pos="4680"/>
        <w:tab w:val="right" w:pos="9360"/>
      </w:tabs>
      <w:spacing w:after="0"/>
    </w:pPr>
  </w:style>
  <w:style w:type="character" w:customStyle="1" w:styleId="HeaderChar">
    <w:name w:val="Header Char"/>
    <w:basedOn w:val="DefaultParagraphFont"/>
    <w:link w:val="Header"/>
    <w:uiPriority w:val="99"/>
    <w:rsid w:val="00A22A06"/>
    <w:rPr>
      <w:rFonts w:ascii="Arial" w:hAnsi="Arial"/>
    </w:rPr>
  </w:style>
  <w:style w:type="paragraph" w:styleId="Footer">
    <w:name w:val="footer"/>
    <w:basedOn w:val="Normal"/>
    <w:link w:val="FooterChar"/>
    <w:uiPriority w:val="99"/>
    <w:unhideWhenUsed/>
    <w:rsid w:val="00A22A06"/>
    <w:pPr>
      <w:tabs>
        <w:tab w:val="center" w:pos="4680"/>
        <w:tab w:val="right" w:pos="9360"/>
      </w:tabs>
      <w:spacing w:after="0"/>
    </w:pPr>
  </w:style>
  <w:style w:type="character" w:customStyle="1" w:styleId="FooterChar">
    <w:name w:val="Footer Char"/>
    <w:basedOn w:val="DefaultParagraphFont"/>
    <w:link w:val="Footer"/>
    <w:uiPriority w:val="99"/>
    <w:rsid w:val="00A22A06"/>
    <w:rPr>
      <w:rFonts w:ascii="Arial" w:hAnsi="Arial"/>
    </w:rPr>
  </w:style>
  <w:style w:type="paragraph" w:styleId="BalloonText">
    <w:name w:val="Balloon Text"/>
    <w:basedOn w:val="Normal"/>
    <w:link w:val="BalloonTextChar"/>
    <w:uiPriority w:val="99"/>
    <w:semiHidden/>
    <w:unhideWhenUsed/>
    <w:rsid w:val="00A22A0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A06"/>
    <w:rPr>
      <w:rFonts w:ascii="Tahoma" w:hAnsi="Tahoma" w:cs="Tahoma"/>
      <w:sz w:val="16"/>
      <w:szCs w:val="16"/>
    </w:rPr>
  </w:style>
  <w:style w:type="character" w:styleId="Hyperlink">
    <w:name w:val="Hyperlink"/>
    <w:basedOn w:val="DefaultParagraphFont"/>
    <w:uiPriority w:val="99"/>
    <w:unhideWhenUsed/>
    <w:rsid w:val="004769EF"/>
    <w:rPr>
      <w:color w:val="0000FF" w:themeColor="hyperlink"/>
      <w:u w:val="single"/>
    </w:rPr>
  </w:style>
  <w:style w:type="paragraph" w:styleId="ListParagraph">
    <w:name w:val="List Paragraph"/>
    <w:basedOn w:val="Normal"/>
    <w:uiPriority w:val="34"/>
    <w:qFormat/>
    <w:rsid w:val="00A43A33"/>
    <w:pPr>
      <w:ind w:left="720"/>
      <w:contextualSpacing/>
    </w:pPr>
  </w:style>
  <w:style w:type="character" w:styleId="CommentReference">
    <w:name w:val="annotation reference"/>
    <w:basedOn w:val="DefaultParagraphFont"/>
    <w:uiPriority w:val="99"/>
    <w:semiHidden/>
    <w:unhideWhenUsed/>
    <w:rsid w:val="00E3060F"/>
    <w:rPr>
      <w:sz w:val="16"/>
      <w:szCs w:val="16"/>
    </w:rPr>
  </w:style>
  <w:style w:type="paragraph" w:styleId="CommentText">
    <w:name w:val="annotation text"/>
    <w:basedOn w:val="Normal"/>
    <w:link w:val="CommentTextChar"/>
    <w:uiPriority w:val="99"/>
    <w:semiHidden/>
    <w:unhideWhenUsed/>
    <w:rsid w:val="00E3060F"/>
    <w:rPr>
      <w:sz w:val="20"/>
      <w:szCs w:val="20"/>
    </w:rPr>
  </w:style>
  <w:style w:type="character" w:customStyle="1" w:styleId="CommentTextChar">
    <w:name w:val="Comment Text Char"/>
    <w:basedOn w:val="DefaultParagraphFont"/>
    <w:link w:val="CommentText"/>
    <w:uiPriority w:val="99"/>
    <w:semiHidden/>
    <w:rsid w:val="00E3060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3060F"/>
    <w:rPr>
      <w:b/>
      <w:bCs/>
    </w:rPr>
  </w:style>
  <w:style w:type="character" w:customStyle="1" w:styleId="CommentSubjectChar">
    <w:name w:val="Comment Subject Char"/>
    <w:basedOn w:val="CommentTextChar"/>
    <w:link w:val="CommentSubject"/>
    <w:uiPriority w:val="99"/>
    <w:semiHidden/>
    <w:rsid w:val="00E3060F"/>
    <w:rPr>
      <w:rFonts w:ascii="Arial" w:hAnsi="Arial"/>
      <w:b/>
      <w:bCs/>
      <w:sz w:val="20"/>
      <w:szCs w:val="20"/>
    </w:rPr>
  </w:style>
  <w:style w:type="paragraph" w:customStyle="1" w:styleId="Default">
    <w:name w:val="Default"/>
    <w:rsid w:val="00EC41F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CD72F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53878">
      <w:bodyDiv w:val="1"/>
      <w:marLeft w:val="0"/>
      <w:marRight w:val="0"/>
      <w:marTop w:val="0"/>
      <w:marBottom w:val="0"/>
      <w:divBdr>
        <w:top w:val="none" w:sz="0" w:space="0" w:color="auto"/>
        <w:left w:val="none" w:sz="0" w:space="0" w:color="auto"/>
        <w:bottom w:val="none" w:sz="0" w:space="0" w:color="auto"/>
        <w:right w:val="none" w:sz="0" w:space="0" w:color="auto"/>
      </w:divBdr>
    </w:div>
    <w:div w:id="170964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metalscorp.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rosenthal@europeanmetalsco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Little</dc:creator>
  <cp:lastModifiedBy>VickiRosenthal</cp:lastModifiedBy>
  <cp:revision>2</cp:revision>
  <cp:lastPrinted>2015-12-16T22:12:00Z</cp:lastPrinted>
  <dcterms:created xsi:type="dcterms:W3CDTF">2016-01-05T21:53:00Z</dcterms:created>
  <dcterms:modified xsi:type="dcterms:W3CDTF">2016-01-05T21:53:00Z</dcterms:modified>
</cp:coreProperties>
</file>