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9A2273">
      <w:pPr>
        <w:pStyle w:val="Title"/>
        <w:rPr>
          <w:rFonts w:ascii="Arial" w:hAnsi="Arial" w:cs="Arial"/>
          <w:b w:val="0"/>
          <w:sz w:val="18"/>
          <w:szCs w:val="18"/>
        </w:rPr>
      </w:pPr>
      <w:r>
        <w:rPr>
          <w:noProof/>
          <w:sz w:val="24"/>
          <w:lang w:val="en-CA" w:eastAsia="en-CA"/>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87629</wp:posOffset>
                </wp:positionV>
                <wp:extent cx="596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38D3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pt" to="4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" strokecolor="black [3040]" strokeweight="1.5pt">
                <o:lock v:ext="edit" shapetype="f"/>
              </v:line>
            </w:pict>
          </mc:Fallback>
        </mc:AlternateContent>
      </w: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88"/>
      </w:tblGrid>
      <w:tr w:rsidR="00DB7471" w:rsidRPr="00AA71C8">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Fax: (604) </w:t>
            </w:r>
            <w:r w:rsidR="00DB7471" w:rsidRPr="00AA71C8">
              <w:rPr>
                <w:rFonts w:ascii="Arial" w:hAnsi="Arial" w:cs="Arial"/>
                <w:sz w:val="18"/>
                <w:szCs w:val="18"/>
              </w:rPr>
              <w:t>559-4443</w:t>
            </w:r>
          </w:p>
          <w:p w:rsidR="00DB7471" w:rsidRPr="00AA71C8" w:rsidRDefault="00DB7471" w:rsidP="00DB7471">
            <w:pPr>
              <w:rPr>
                <w:rFonts w:ascii="Arial" w:hAnsi="Arial" w:cs="Arial"/>
                <w:sz w:val="18"/>
                <w:szCs w:val="18"/>
              </w:rPr>
            </w:pPr>
          </w:p>
        </w:tc>
        <w:tc>
          <w:tcPr>
            <w:tcW w:w="4788"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AA71C8">
            <w:pPr>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AA71C8">
            <w:pPr>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E74A3F" w:rsidRPr="001B4AEF" w:rsidRDefault="00C75CCA" w:rsidP="005B307E">
      <w:pPr>
        <w:jc w:val="center"/>
        <w:rPr>
          <w:rFonts w:ascii="Arial" w:hAnsi="Arial" w:cs="Arial"/>
          <w:b/>
          <w:sz w:val="28"/>
          <w:szCs w:val="28"/>
        </w:rPr>
      </w:pPr>
      <w:r w:rsidRPr="001B4AEF">
        <w:rPr>
          <w:rFonts w:ascii="Arial" w:hAnsi="Arial" w:cs="Arial"/>
          <w:bCs/>
          <w:sz w:val="36"/>
          <w:szCs w:val="36"/>
        </w:rPr>
        <w:t xml:space="preserve">Wildflower </w:t>
      </w:r>
      <w:r w:rsidR="001C4594">
        <w:rPr>
          <w:rFonts w:ascii="Arial" w:hAnsi="Arial" w:cs="Arial"/>
          <w:bCs/>
          <w:sz w:val="36"/>
          <w:szCs w:val="36"/>
        </w:rPr>
        <w:t>To Conduct Medical Research</w:t>
      </w:r>
    </w:p>
    <w:p w:rsidR="00D428C6" w:rsidRDefault="00D428C6" w:rsidP="002B1CE6">
      <w:pPr>
        <w:pStyle w:val="NormalWeb"/>
        <w:spacing w:before="0" w:beforeAutospacing="0" w:after="0" w:afterAutospacing="0"/>
        <w:jc w:val="both"/>
        <w:rPr>
          <w:rFonts w:ascii="Arial" w:hAnsi="Arial" w:cs="Arial"/>
          <w:sz w:val="20"/>
          <w:szCs w:val="20"/>
        </w:rPr>
      </w:pPr>
    </w:p>
    <w:p w:rsidR="002B1CE6" w:rsidRPr="001B4AEF" w:rsidRDefault="00B06E31" w:rsidP="002B1CE6">
      <w:pPr>
        <w:pStyle w:val="NormalWeb"/>
        <w:spacing w:before="0" w:beforeAutospacing="0" w:after="0" w:afterAutospacing="0"/>
        <w:jc w:val="both"/>
        <w:rPr>
          <w:rFonts w:ascii="Arial" w:hAnsi="Arial" w:cs="Arial"/>
          <w:sz w:val="20"/>
          <w:szCs w:val="20"/>
        </w:rPr>
      </w:pPr>
      <w:r w:rsidRPr="001B4AEF">
        <w:rPr>
          <w:rFonts w:ascii="Arial" w:hAnsi="Arial" w:cs="Arial"/>
          <w:sz w:val="20"/>
          <w:szCs w:val="20"/>
        </w:rPr>
        <w:t xml:space="preserve">VANCOUVER, British Columbia, </w:t>
      </w:r>
      <w:r w:rsidR="00637917" w:rsidRPr="001B4AEF">
        <w:rPr>
          <w:rFonts w:ascii="Arial" w:hAnsi="Arial" w:cs="Arial"/>
          <w:sz w:val="20"/>
          <w:szCs w:val="20"/>
        </w:rPr>
        <w:t xml:space="preserve">December </w:t>
      </w:r>
      <w:r w:rsidR="001B4AEF">
        <w:rPr>
          <w:rFonts w:ascii="Arial" w:hAnsi="Arial" w:cs="Arial"/>
          <w:sz w:val="20"/>
          <w:szCs w:val="20"/>
        </w:rPr>
        <w:t>9</w:t>
      </w:r>
      <w:r w:rsidR="004B3FAA" w:rsidRPr="001B4AEF">
        <w:rPr>
          <w:rFonts w:ascii="Arial" w:hAnsi="Arial" w:cs="Arial"/>
          <w:sz w:val="20"/>
          <w:szCs w:val="20"/>
        </w:rPr>
        <w:t>,</w:t>
      </w:r>
      <w:r w:rsidR="00A05B64" w:rsidRPr="001B4AEF">
        <w:rPr>
          <w:rFonts w:ascii="Arial" w:hAnsi="Arial" w:cs="Arial"/>
          <w:sz w:val="20"/>
          <w:szCs w:val="20"/>
        </w:rPr>
        <w:t xml:space="preserve"> </w:t>
      </w:r>
      <w:r w:rsidRPr="001B4AEF">
        <w:rPr>
          <w:rFonts w:ascii="Arial" w:hAnsi="Arial" w:cs="Arial"/>
          <w:sz w:val="20"/>
          <w:szCs w:val="20"/>
        </w:rPr>
        <w:t xml:space="preserve">2015: Wildflower Marijuana Inc. (CSE: SUN) </w:t>
      </w:r>
      <w:r w:rsidR="0073033B" w:rsidRPr="001B4AEF">
        <w:rPr>
          <w:rFonts w:ascii="Arial" w:hAnsi="Arial" w:cs="Arial"/>
          <w:sz w:val="20"/>
          <w:szCs w:val="20"/>
        </w:rPr>
        <w:t xml:space="preserve">(FWB:RSP) </w:t>
      </w:r>
      <w:r w:rsidRPr="001B4AEF">
        <w:rPr>
          <w:rFonts w:ascii="Arial" w:hAnsi="Arial" w:cs="Arial"/>
          <w:sz w:val="20"/>
          <w:szCs w:val="20"/>
        </w:rPr>
        <w:t>(the "</w:t>
      </w:r>
      <w:r w:rsidRPr="001B4AEF">
        <w:rPr>
          <w:rFonts w:ascii="Arial" w:hAnsi="Arial" w:cs="Arial"/>
          <w:b/>
          <w:sz w:val="20"/>
          <w:szCs w:val="20"/>
        </w:rPr>
        <w:t>Company</w:t>
      </w:r>
      <w:r w:rsidRPr="001B4AEF">
        <w:rPr>
          <w:rFonts w:ascii="Arial" w:hAnsi="Arial" w:cs="Arial"/>
          <w:sz w:val="20"/>
          <w:szCs w:val="20"/>
        </w:rPr>
        <w:t>")</w:t>
      </w:r>
      <w:r w:rsidR="004B3FAA" w:rsidRPr="001B4AEF">
        <w:rPr>
          <w:rFonts w:ascii="Arial" w:hAnsi="Arial" w:cs="Arial"/>
          <w:sz w:val="20"/>
          <w:szCs w:val="20"/>
        </w:rPr>
        <w:t xml:space="preserve"> </w:t>
      </w:r>
      <w:r w:rsidR="00A05B64" w:rsidRPr="001B4AEF">
        <w:rPr>
          <w:rFonts w:ascii="Arial" w:hAnsi="Arial" w:cs="Arial"/>
          <w:sz w:val="20"/>
          <w:szCs w:val="20"/>
        </w:rPr>
        <w:t xml:space="preserve">has entered </w:t>
      </w:r>
      <w:r w:rsidR="00C75CCA" w:rsidRPr="001B4AEF">
        <w:rPr>
          <w:rFonts w:ascii="Arial" w:hAnsi="Arial" w:cs="Arial"/>
          <w:sz w:val="20"/>
          <w:szCs w:val="20"/>
        </w:rPr>
        <w:t>an agreement with Biologic Nutrigenomics Resear</w:t>
      </w:r>
      <w:r w:rsidR="008379AF" w:rsidRPr="001B4AEF">
        <w:rPr>
          <w:rFonts w:ascii="Arial" w:hAnsi="Arial" w:cs="Arial"/>
          <w:sz w:val="20"/>
          <w:szCs w:val="20"/>
        </w:rPr>
        <w:t>ch Corporation</w:t>
      </w:r>
      <w:r w:rsidR="00586F27" w:rsidRPr="001B4AEF">
        <w:rPr>
          <w:rFonts w:ascii="Arial" w:hAnsi="Arial" w:cs="Arial"/>
          <w:sz w:val="20"/>
          <w:szCs w:val="20"/>
        </w:rPr>
        <w:t xml:space="preserve"> (</w:t>
      </w:r>
      <w:r w:rsidR="00637917" w:rsidRPr="001B4AEF">
        <w:rPr>
          <w:rFonts w:ascii="Arial" w:hAnsi="Arial" w:cs="Arial"/>
          <w:sz w:val="20"/>
          <w:szCs w:val="20"/>
        </w:rPr>
        <w:t>“</w:t>
      </w:r>
      <w:r w:rsidR="00586F27" w:rsidRPr="001B4AEF">
        <w:rPr>
          <w:rFonts w:ascii="Arial" w:hAnsi="Arial" w:cs="Arial"/>
          <w:b/>
          <w:sz w:val="20"/>
          <w:szCs w:val="20"/>
        </w:rPr>
        <w:t>BNRC</w:t>
      </w:r>
      <w:r w:rsidR="00637917" w:rsidRPr="001B4AEF">
        <w:rPr>
          <w:rFonts w:ascii="Arial" w:hAnsi="Arial" w:cs="Arial"/>
          <w:sz w:val="20"/>
          <w:szCs w:val="20"/>
        </w:rPr>
        <w:t>”</w:t>
      </w:r>
      <w:r w:rsidR="00586F27" w:rsidRPr="001B4AEF">
        <w:rPr>
          <w:rFonts w:ascii="Arial" w:hAnsi="Arial" w:cs="Arial"/>
          <w:sz w:val="20"/>
          <w:szCs w:val="20"/>
        </w:rPr>
        <w:t xml:space="preserve">) to </w:t>
      </w:r>
      <w:r w:rsidR="00DD7905">
        <w:rPr>
          <w:rFonts w:ascii="Arial" w:hAnsi="Arial" w:cs="Arial"/>
          <w:sz w:val="20"/>
          <w:szCs w:val="20"/>
        </w:rPr>
        <w:t xml:space="preserve">conduct </w:t>
      </w:r>
      <w:r w:rsidR="00716368">
        <w:rPr>
          <w:rFonts w:ascii="Arial" w:hAnsi="Arial" w:cs="Arial"/>
          <w:sz w:val="20"/>
          <w:szCs w:val="20"/>
        </w:rPr>
        <w:t>medical research</w:t>
      </w:r>
      <w:r w:rsidR="00637917" w:rsidRPr="001B4AEF">
        <w:rPr>
          <w:rFonts w:ascii="Arial" w:hAnsi="Arial" w:cs="Arial"/>
          <w:sz w:val="20"/>
          <w:szCs w:val="20"/>
        </w:rPr>
        <w:t xml:space="preserve"> on </w:t>
      </w:r>
      <w:r w:rsidR="00586F27" w:rsidRPr="001B4AEF">
        <w:rPr>
          <w:rFonts w:ascii="Arial" w:hAnsi="Arial" w:cs="Arial"/>
          <w:sz w:val="20"/>
          <w:szCs w:val="20"/>
        </w:rPr>
        <w:t>Wildflower</w:t>
      </w:r>
      <w:r w:rsidR="00637917" w:rsidRPr="001B4AEF">
        <w:rPr>
          <w:rFonts w:ascii="Arial" w:hAnsi="Arial" w:cs="Arial"/>
          <w:sz w:val="20"/>
          <w:szCs w:val="20"/>
        </w:rPr>
        <w:t>’s</w:t>
      </w:r>
      <w:r w:rsidR="00586F27" w:rsidRPr="001B4AEF">
        <w:rPr>
          <w:rFonts w:ascii="Arial" w:hAnsi="Arial" w:cs="Arial"/>
          <w:sz w:val="20"/>
          <w:szCs w:val="20"/>
        </w:rPr>
        <w:t xml:space="preserve"> products and to assist in new product development </w:t>
      </w:r>
      <w:r w:rsidR="008379AF" w:rsidRPr="001B4AEF">
        <w:rPr>
          <w:rFonts w:ascii="Arial" w:hAnsi="Arial" w:cs="Arial"/>
          <w:sz w:val="20"/>
          <w:szCs w:val="20"/>
        </w:rPr>
        <w:t>.  Wildflower has been developing cannabis products to address demands in the nutraceutical</w:t>
      </w:r>
      <w:r w:rsidR="002B1CE6" w:rsidRPr="001B4AEF">
        <w:rPr>
          <w:rFonts w:ascii="Arial" w:hAnsi="Arial" w:cs="Arial"/>
          <w:sz w:val="20"/>
          <w:szCs w:val="20"/>
        </w:rPr>
        <w:t>, pharmacological</w:t>
      </w:r>
      <w:r w:rsidR="008379AF" w:rsidRPr="001B4AEF">
        <w:rPr>
          <w:rFonts w:ascii="Arial" w:hAnsi="Arial" w:cs="Arial"/>
          <w:sz w:val="20"/>
          <w:szCs w:val="20"/>
        </w:rPr>
        <w:t xml:space="preserve"> and recreational cannabis sectors.  </w:t>
      </w:r>
      <w:r w:rsidR="00637917" w:rsidRPr="001B4AEF">
        <w:rPr>
          <w:rFonts w:ascii="Arial" w:hAnsi="Arial" w:cs="Arial"/>
          <w:sz w:val="20"/>
          <w:szCs w:val="20"/>
        </w:rPr>
        <w:t xml:space="preserve">The Company intends to bring products to market that are </w:t>
      </w:r>
      <w:r w:rsidR="00586F27" w:rsidRPr="001B4AEF">
        <w:rPr>
          <w:rFonts w:ascii="Arial" w:hAnsi="Arial" w:cs="Arial"/>
          <w:sz w:val="20"/>
          <w:szCs w:val="20"/>
        </w:rPr>
        <w:t>backed by</w:t>
      </w:r>
      <w:r w:rsidR="008379AF" w:rsidRPr="001B4AEF">
        <w:rPr>
          <w:rFonts w:ascii="Arial" w:hAnsi="Arial" w:cs="Arial"/>
          <w:sz w:val="20"/>
          <w:szCs w:val="20"/>
        </w:rPr>
        <w:t xml:space="preserve"> solid scientific study </w:t>
      </w:r>
      <w:r w:rsidR="00637917" w:rsidRPr="001B4AEF">
        <w:rPr>
          <w:rFonts w:ascii="Arial" w:hAnsi="Arial" w:cs="Arial"/>
          <w:sz w:val="20"/>
          <w:szCs w:val="20"/>
        </w:rPr>
        <w:t xml:space="preserve">demonstrating their </w:t>
      </w:r>
      <w:r w:rsidR="008379AF" w:rsidRPr="001B4AEF">
        <w:rPr>
          <w:rFonts w:ascii="Arial" w:hAnsi="Arial" w:cs="Arial"/>
          <w:sz w:val="20"/>
          <w:szCs w:val="20"/>
        </w:rPr>
        <w:t>efficacy.</w:t>
      </w:r>
      <w:r w:rsidR="00586F27" w:rsidRPr="001B4AEF">
        <w:rPr>
          <w:rFonts w:ascii="Arial" w:hAnsi="Arial" w:cs="Arial"/>
          <w:sz w:val="20"/>
          <w:szCs w:val="20"/>
        </w:rPr>
        <w:t xml:space="preserve">  By using </w:t>
      </w:r>
      <w:r w:rsidR="00637917" w:rsidRPr="001B4AEF">
        <w:rPr>
          <w:rFonts w:ascii="Arial" w:hAnsi="Arial" w:cs="Arial"/>
          <w:sz w:val="20"/>
          <w:szCs w:val="20"/>
        </w:rPr>
        <w:t>a</w:t>
      </w:r>
      <w:r w:rsidR="00586F27" w:rsidRPr="001B4AEF">
        <w:rPr>
          <w:rFonts w:ascii="Arial" w:hAnsi="Arial" w:cs="Arial"/>
          <w:sz w:val="20"/>
          <w:szCs w:val="20"/>
        </w:rPr>
        <w:t xml:space="preserve"> science based approach we will be able to further enhance the effectiveness of </w:t>
      </w:r>
      <w:r w:rsidR="002B1CE6" w:rsidRPr="001B4AEF">
        <w:rPr>
          <w:rFonts w:ascii="Arial" w:hAnsi="Arial" w:cs="Arial"/>
          <w:sz w:val="20"/>
          <w:szCs w:val="20"/>
        </w:rPr>
        <w:t xml:space="preserve">all </w:t>
      </w:r>
      <w:r w:rsidR="00586F27" w:rsidRPr="001B4AEF">
        <w:rPr>
          <w:rFonts w:ascii="Arial" w:hAnsi="Arial" w:cs="Arial"/>
          <w:sz w:val="20"/>
          <w:szCs w:val="20"/>
        </w:rPr>
        <w:t>our products.</w:t>
      </w:r>
    </w:p>
    <w:p w:rsidR="002B1CE6" w:rsidRPr="001B4AEF" w:rsidRDefault="002B1CE6" w:rsidP="002B1CE6">
      <w:pPr>
        <w:pStyle w:val="NormalWeb"/>
        <w:spacing w:before="0" w:beforeAutospacing="0" w:after="0" w:afterAutospacing="0"/>
        <w:jc w:val="both"/>
        <w:rPr>
          <w:rFonts w:ascii="Arial" w:hAnsi="Arial" w:cs="Arial"/>
          <w:sz w:val="20"/>
          <w:szCs w:val="20"/>
        </w:rPr>
      </w:pPr>
    </w:p>
    <w:p w:rsidR="002B1CE6" w:rsidRPr="001B4AEF" w:rsidRDefault="002B1CE6" w:rsidP="001B4AEF">
      <w:pPr>
        <w:jc w:val="both"/>
        <w:rPr>
          <w:rFonts w:ascii="Arial" w:hAnsi="Arial" w:cs="Arial"/>
        </w:rPr>
      </w:pPr>
      <w:r w:rsidRPr="001B4AEF">
        <w:rPr>
          <w:rFonts w:ascii="Arial" w:hAnsi="Arial" w:cs="Arial"/>
        </w:rPr>
        <w:t>Franco Cavaleri, President and Chief</w:t>
      </w:r>
      <w:r w:rsidR="001B4AEF">
        <w:rPr>
          <w:rFonts w:ascii="Arial" w:hAnsi="Arial" w:cs="Arial"/>
        </w:rPr>
        <w:t xml:space="preserve"> Science Officer at BNRC states </w:t>
      </w:r>
      <w:r w:rsidR="00637917" w:rsidRPr="001B4AEF">
        <w:rPr>
          <w:rFonts w:ascii="Arial" w:hAnsi="Arial" w:cs="Arial"/>
        </w:rPr>
        <w:t>”</w:t>
      </w:r>
      <w:r w:rsidRPr="001B4AEF">
        <w:rPr>
          <w:rFonts w:ascii="Arial" w:hAnsi="Arial" w:cs="Arial"/>
        </w:rPr>
        <w:t>As much as the current movement to legalize and make cannabis more readily available is an exciting business prospect</w:t>
      </w:r>
      <w:r w:rsidR="00716368">
        <w:rPr>
          <w:rFonts w:ascii="Arial" w:hAnsi="Arial" w:cs="Arial"/>
        </w:rPr>
        <w:t>,</w:t>
      </w:r>
      <w:r w:rsidRPr="001B4AEF">
        <w:rPr>
          <w:rFonts w:ascii="Arial" w:hAnsi="Arial" w:cs="Arial"/>
        </w:rPr>
        <w:t xml:space="preserve"> </w:t>
      </w:r>
      <w:r w:rsidR="00D67B1D" w:rsidRPr="001B4AEF">
        <w:rPr>
          <w:rFonts w:ascii="Arial" w:hAnsi="Arial" w:cs="Arial"/>
        </w:rPr>
        <w:t xml:space="preserve">it is more important </w:t>
      </w:r>
      <w:r w:rsidRPr="001B4AEF">
        <w:rPr>
          <w:rFonts w:ascii="Arial" w:hAnsi="Arial" w:cs="Arial"/>
        </w:rPr>
        <w:t xml:space="preserve">to take a serious leadership role in the mining of this natural medicine’s full therapeutic potential to advance medical research and treatment of disease.  Cannabis comprises a plethora of constituents that range in pharmacological activity from anti-inflammatory, analgesic (pain killing) and anticancer to neuro-protective and neuro-corrective.  However, clinical and wet lab research reliability and repeatability has fallen short due to lack of standardization and sophistication of historical research models.  With a corporate mission dedicated to extract the full pharmacological potential of this medicinal agent, and some insight that gives us a head start with the right biological mechanisms and models, research </w:t>
      </w:r>
      <w:r w:rsidR="00716368">
        <w:rPr>
          <w:rFonts w:ascii="Arial" w:hAnsi="Arial" w:cs="Arial"/>
        </w:rPr>
        <w:t>using formal medical models</w:t>
      </w:r>
      <w:r w:rsidRPr="001B4AEF">
        <w:rPr>
          <w:rFonts w:ascii="Arial" w:hAnsi="Arial" w:cs="Arial"/>
        </w:rPr>
        <w:t xml:space="preserve"> to investigate novel cannabinoid </w:t>
      </w:r>
      <w:r w:rsidR="00857E4E" w:rsidRPr="001B4AEF">
        <w:rPr>
          <w:rFonts w:ascii="Arial" w:hAnsi="Arial" w:cs="Arial"/>
        </w:rPr>
        <w:t>signaling</w:t>
      </w:r>
      <w:r w:rsidRPr="001B4AEF">
        <w:rPr>
          <w:rFonts w:ascii="Arial" w:hAnsi="Arial" w:cs="Arial"/>
        </w:rPr>
        <w:t xml:space="preserve"> pathways in the framework of complex disease pathologies to improve efficacy, reliability and acceptability in mainstream medicine; to better serve humanity and global health care with reliable, low risk medicines exclusive to </w:t>
      </w:r>
      <w:r w:rsidR="00716368">
        <w:rPr>
          <w:rFonts w:ascii="Arial" w:hAnsi="Arial" w:cs="Arial"/>
        </w:rPr>
        <w:t>the</w:t>
      </w:r>
      <w:r w:rsidR="00716368" w:rsidRPr="001B4AEF">
        <w:rPr>
          <w:rFonts w:ascii="Arial" w:hAnsi="Arial" w:cs="Arial"/>
        </w:rPr>
        <w:t xml:space="preserve"> </w:t>
      </w:r>
      <w:r w:rsidRPr="001B4AEF">
        <w:rPr>
          <w:rFonts w:ascii="Arial" w:hAnsi="Arial" w:cs="Arial"/>
        </w:rPr>
        <w:t>Wildflower brand.”</w:t>
      </w:r>
    </w:p>
    <w:p w:rsidR="00D67B1D" w:rsidRPr="001B4AEF" w:rsidRDefault="00857E4E" w:rsidP="00857E4E">
      <w:pPr>
        <w:pStyle w:val="NormalWeb"/>
        <w:spacing w:after="0" w:afterAutospacing="0"/>
        <w:jc w:val="both"/>
        <w:rPr>
          <w:rFonts w:ascii="Arial" w:hAnsi="Arial" w:cs="Arial"/>
          <w:sz w:val="20"/>
          <w:szCs w:val="20"/>
        </w:rPr>
      </w:pPr>
      <w:r w:rsidRPr="001B4AEF">
        <w:rPr>
          <w:rFonts w:ascii="Arial" w:hAnsi="Arial" w:cs="Arial"/>
          <w:sz w:val="20"/>
          <w:szCs w:val="20"/>
        </w:rPr>
        <w:t xml:space="preserve">As part of this </w:t>
      </w:r>
      <w:r w:rsidR="00716368">
        <w:rPr>
          <w:rFonts w:ascii="Arial" w:hAnsi="Arial" w:cs="Arial"/>
          <w:sz w:val="20"/>
          <w:szCs w:val="20"/>
        </w:rPr>
        <w:t>collaboration</w:t>
      </w:r>
      <w:r w:rsidR="00716368" w:rsidRPr="001B4AEF">
        <w:rPr>
          <w:rFonts w:ascii="Arial" w:hAnsi="Arial" w:cs="Arial"/>
          <w:sz w:val="20"/>
          <w:szCs w:val="20"/>
        </w:rPr>
        <w:t xml:space="preserve"> </w:t>
      </w:r>
      <w:r w:rsidRPr="001B4AEF">
        <w:rPr>
          <w:rFonts w:ascii="Arial" w:hAnsi="Arial" w:cs="Arial"/>
          <w:sz w:val="20"/>
          <w:szCs w:val="20"/>
        </w:rPr>
        <w:t xml:space="preserve">Franco Cavaleri will be added to the Wildflower advisory board as its Scientific and Product </w:t>
      </w:r>
      <w:r w:rsidR="00D428C6" w:rsidRPr="001B4AEF">
        <w:rPr>
          <w:rFonts w:ascii="Arial" w:hAnsi="Arial" w:cs="Arial"/>
          <w:sz w:val="20"/>
          <w:szCs w:val="20"/>
        </w:rPr>
        <w:t>D</w:t>
      </w:r>
      <w:r w:rsidRPr="001B4AEF">
        <w:rPr>
          <w:rFonts w:ascii="Arial" w:hAnsi="Arial" w:cs="Arial"/>
          <w:sz w:val="20"/>
          <w:szCs w:val="20"/>
        </w:rPr>
        <w:t>evelopment Advisor.</w:t>
      </w:r>
      <w:r w:rsidR="00B33EE4" w:rsidRPr="001B4AEF">
        <w:rPr>
          <w:rFonts w:ascii="Arial" w:hAnsi="Arial" w:cs="Arial"/>
          <w:sz w:val="20"/>
          <w:szCs w:val="20"/>
        </w:rPr>
        <w:t xml:space="preserve">  As a prominent Nutraceutical Biochemist</w:t>
      </w:r>
      <w:r w:rsidR="00D67B1D" w:rsidRPr="001B4AEF">
        <w:rPr>
          <w:rFonts w:ascii="Arial" w:hAnsi="Arial" w:cs="Arial"/>
          <w:sz w:val="20"/>
          <w:szCs w:val="20"/>
        </w:rPr>
        <w:t xml:space="preserve">, </w:t>
      </w:r>
      <w:r w:rsidR="00D428C6" w:rsidRPr="001B4AEF">
        <w:rPr>
          <w:rFonts w:ascii="Arial" w:hAnsi="Arial" w:cs="Arial"/>
          <w:sz w:val="20"/>
          <w:szCs w:val="20"/>
        </w:rPr>
        <w:t>Mr. Cavaleri</w:t>
      </w:r>
      <w:r w:rsidR="008C78CF" w:rsidRPr="001B4AEF">
        <w:rPr>
          <w:rFonts w:ascii="Arial" w:hAnsi="Arial" w:cs="Arial"/>
          <w:sz w:val="20"/>
          <w:szCs w:val="20"/>
        </w:rPr>
        <w:t xml:space="preserve"> has had much success in developing products for the nutraceutical industry</w:t>
      </w:r>
      <w:r w:rsidR="00D67B1D" w:rsidRPr="001B4AEF">
        <w:rPr>
          <w:rFonts w:ascii="Arial" w:hAnsi="Arial" w:cs="Arial"/>
          <w:sz w:val="20"/>
          <w:szCs w:val="20"/>
        </w:rPr>
        <w:t xml:space="preserve"> garnering him widespread recognition in the health industry.  He has won Gold, Silver and Bronze Alive Formulation awards</w:t>
      </w:r>
      <w:r w:rsidR="00D428C6" w:rsidRPr="001B4AEF">
        <w:rPr>
          <w:rFonts w:ascii="Arial" w:hAnsi="Arial" w:cs="Arial"/>
          <w:sz w:val="20"/>
          <w:szCs w:val="20"/>
        </w:rPr>
        <w:t>, an annual event put on by the Alive Publishing Group that promotes and recognizes outstanding product innovation while enhancing the credibility of natural health products</w:t>
      </w:r>
      <w:r w:rsidR="008C78CF" w:rsidRPr="001B4AEF">
        <w:rPr>
          <w:rFonts w:ascii="Arial" w:hAnsi="Arial" w:cs="Arial"/>
          <w:sz w:val="20"/>
          <w:szCs w:val="20"/>
        </w:rPr>
        <w:t>.  As a</w:t>
      </w:r>
      <w:r w:rsidR="00B33EE4" w:rsidRPr="001B4AEF">
        <w:rPr>
          <w:rFonts w:ascii="Arial" w:hAnsi="Arial" w:cs="Arial"/>
          <w:sz w:val="20"/>
          <w:szCs w:val="20"/>
        </w:rPr>
        <w:t>n</w:t>
      </w:r>
      <w:r w:rsidR="008C78CF" w:rsidRPr="001B4AEF">
        <w:rPr>
          <w:rFonts w:ascii="Arial" w:hAnsi="Arial" w:cs="Arial"/>
          <w:sz w:val="20"/>
          <w:szCs w:val="20"/>
        </w:rPr>
        <w:t xml:space="preserve"> </w:t>
      </w:r>
      <w:r w:rsidR="00B33EE4" w:rsidRPr="001B4AEF">
        <w:rPr>
          <w:rFonts w:ascii="Arial" w:hAnsi="Arial" w:cs="Arial"/>
          <w:sz w:val="20"/>
          <w:szCs w:val="20"/>
        </w:rPr>
        <w:t>entrepreneur he was successful in various startups from conceptualization to acquisition and merger.  As a writer he wrote the best-selling book, Potential Within, A Guide to Nutritional Empowerment.</w:t>
      </w:r>
    </w:p>
    <w:p w:rsidR="00A05B64" w:rsidRPr="001B4AEF" w:rsidRDefault="009037E7" w:rsidP="00857E4E">
      <w:pPr>
        <w:pStyle w:val="NormalWeb"/>
        <w:spacing w:after="0" w:afterAutospacing="0"/>
        <w:jc w:val="both"/>
        <w:rPr>
          <w:rFonts w:ascii="Arial" w:hAnsi="Arial" w:cs="Arial"/>
          <w:sz w:val="20"/>
          <w:szCs w:val="20"/>
        </w:rPr>
      </w:pPr>
      <w:r w:rsidRPr="001B4AEF">
        <w:rPr>
          <w:rFonts w:ascii="Arial" w:hAnsi="Arial" w:cs="Arial"/>
          <w:sz w:val="20"/>
          <w:szCs w:val="20"/>
        </w:rPr>
        <w:t>President and CEO of Wildflower William MacLean states, “</w:t>
      </w:r>
      <w:r w:rsidR="008C78CF" w:rsidRPr="001B4AEF">
        <w:rPr>
          <w:rFonts w:ascii="Arial" w:hAnsi="Arial" w:cs="Arial"/>
          <w:sz w:val="20"/>
          <w:szCs w:val="20"/>
        </w:rPr>
        <w:t xml:space="preserve">This new </w:t>
      </w:r>
      <w:r w:rsidR="00716368">
        <w:rPr>
          <w:rFonts w:ascii="Arial" w:hAnsi="Arial" w:cs="Arial"/>
          <w:sz w:val="20"/>
          <w:szCs w:val="20"/>
        </w:rPr>
        <w:t>alliance</w:t>
      </w:r>
      <w:r w:rsidR="00716368" w:rsidRPr="001B4AEF">
        <w:rPr>
          <w:rFonts w:ascii="Arial" w:hAnsi="Arial" w:cs="Arial"/>
          <w:sz w:val="20"/>
          <w:szCs w:val="20"/>
        </w:rPr>
        <w:t xml:space="preserve"> </w:t>
      </w:r>
      <w:r w:rsidR="008C78CF" w:rsidRPr="001B4AEF">
        <w:rPr>
          <w:rFonts w:ascii="Arial" w:hAnsi="Arial" w:cs="Arial"/>
          <w:sz w:val="20"/>
          <w:szCs w:val="20"/>
        </w:rPr>
        <w:t>is the launching pad for the next stage in our business plan.  Franco</w:t>
      </w:r>
      <w:r w:rsidR="00860760" w:rsidRPr="001B4AEF">
        <w:rPr>
          <w:rFonts w:ascii="Arial" w:hAnsi="Arial" w:cs="Arial"/>
          <w:sz w:val="20"/>
          <w:szCs w:val="20"/>
        </w:rPr>
        <w:t xml:space="preserve"> brings a unique combination of academia and private sector experience that will </w:t>
      </w:r>
      <w:r w:rsidR="008C78CF" w:rsidRPr="001B4AEF">
        <w:rPr>
          <w:rFonts w:ascii="Arial" w:hAnsi="Arial" w:cs="Arial"/>
          <w:sz w:val="20"/>
          <w:szCs w:val="20"/>
        </w:rPr>
        <w:t>provide an invaluable asset as we make a scientific approach to our product development a corner stone of the company.</w:t>
      </w:r>
      <w:r w:rsidR="00D428C6" w:rsidRPr="001B4AEF">
        <w:rPr>
          <w:rFonts w:ascii="Arial" w:hAnsi="Arial" w:cs="Arial"/>
          <w:sz w:val="20"/>
          <w:szCs w:val="20"/>
        </w:rPr>
        <w:t>”</w:t>
      </w:r>
    </w:p>
    <w:p w:rsidR="00D428C6" w:rsidRPr="001B4AEF" w:rsidRDefault="00D428C6" w:rsidP="00D428C6">
      <w:pPr>
        <w:pStyle w:val="NormalWeb"/>
        <w:spacing w:after="0" w:afterAutospacing="0"/>
        <w:jc w:val="both"/>
        <w:rPr>
          <w:rFonts w:ascii="Arial" w:hAnsi="Arial" w:cs="Arial"/>
          <w:sz w:val="20"/>
          <w:szCs w:val="20"/>
        </w:rPr>
      </w:pPr>
      <w:r w:rsidRPr="001B4AEF">
        <w:rPr>
          <w:rFonts w:ascii="Arial" w:hAnsi="Arial" w:cs="Arial"/>
          <w:sz w:val="20"/>
          <w:szCs w:val="20"/>
        </w:rPr>
        <w:t>The agreement with BNRC is for a period of one year with automatic annual renewals.  The Company will issue 400,000 common shares as consideration for the agreement and grant 300,000 stock options at a price of $0.20 for a period of five years.  The agreement is subject to raising sufficient proceeds to fund the first year of testing, including lab space, clinical technicians and other costs.  The agreement also provides that if the Company does a deal with a pharmaceutical company or another interested party based on the work done by BNRC, the Company shall pay to BNRC 7.5% of any consideration received from such deal with that company and 100,000 common shares.</w:t>
      </w:r>
    </w:p>
    <w:p w:rsidR="00BF6D1C" w:rsidRPr="001B4AEF" w:rsidRDefault="00BF6D1C" w:rsidP="00307E64">
      <w:pPr>
        <w:pStyle w:val="NormalWeb"/>
        <w:keepNext/>
        <w:keepLines/>
        <w:spacing w:after="0" w:afterAutospacing="0"/>
        <w:jc w:val="both"/>
        <w:rPr>
          <w:rFonts w:ascii="Arial" w:hAnsi="Arial" w:cs="Arial"/>
          <w:b/>
          <w:color w:val="333333"/>
          <w:sz w:val="20"/>
          <w:szCs w:val="20"/>
        </w:rPr>
      </w:pPr>
      <w:r w:rsidRPr="001B4AEF">
        <w:rPr>
          <w:rFonts w:ascii="Arial" w:hAnsi="Arial" w:cs="Arial"/>
          <w:b/>
          <w:color w:val="333333"/>
          <w:sz w:val="20"/>
          <w:szCs w:val="20"/>
        </w:rPr>
        <w:lastRenderedPageBreak/>
        <w:t>About Wildflower Marijuana Inc.</w:t>
      </w:r>
    </w:p>
    <w:p w:rsidR="00BF6D1C" w:rsidRPr="001B4AEF" w:rsidRDefault="00D428C6" w:rsidP="00307E64">
      <w:pPr>
        <w:pStyle w:val="NormalWeb"/>
        <w:keepNext/>
        <w:keepLines/>
        <w:spacing w:before="0" w:beforeAutospacing="0"/>
        <w:jc w:val="both"/>
        <w:rPr>
          <w:rFonts w:ascii="Arial" w:hAnsi="Arial" w:cs="Arial"/>
          <w:sz w:val="20"/>
          <w:szCs w:val="20"/>
        </w:rPr>
      </w:pPr>
      <w:r w:rsidRPr="001B4AEF">
        <w:rPr>
          <w:rFonts w:ascii="Arial" w:hAnsi="Arial" w:cs="Arial"/>
          <w:sz w:val="20"/>
          <w:szCs w:val="20"/>
        </w:rPr>
        <w:t>Wildflower is a cannabis company focused on developing and designing branded products in the cannabis and healthcare sectors.  We develop proprietary product lines using THC or CBD by taking traditional herbal medicines and applying the most advanced science, technology and know-how to create quality products for the health conscious consumer. Wildflower works exclusively in jurisdictions where cannabis is legal or regulated</w:t>
      </w:r>
      <w:r w:rsidR="00BF6D1C" w:rsidRPr="001B4AEF">
        <w:rPr>
          <w:rFonts w:ascii="Arial" w:hAnsi="Arial" w:cs="Arial"/>
          <w:sz w:val="20"/>
          <w:szCs w:val="20"/>
        </w:rPr>
        <w:t>.</w:t>
      </w:r>
      <w:r w:rsidR="005A76EA" w:rsidRPr="001B4AEF">
        <w:rPr>
          <w:rFonts w:ascii="Arial" w:hAnsi="Arial" w:cs="Arial"/>
          <w:sz w:val="20"/>
          <w:szCs w:val="20"/>
        </w:rPr>
        <w:t xml:space="preserve"> </w:t>
      </w:r>
    </w:p>
    <w:p w:rsidR="00356FA7" w:rsidRPr="00D428C6" w:rsidRDefault="00914394">
      <w:pPr>
        <w:tabs>
          <w:tab w:val="left" w:pos="-90"/>
          <w:tab w:val="left" w:pos="0"/>
        </w:tabs>
        <w:rPr>
          <w:rFonts w:ascii="Arial" w:hAnsi="Arial" w:cs="Arial"/>
          <w:b/>
        </w:rPr>
      </w:pPr>
      <w:r w:rsidRPr="00D428C6">
        <w:rPr>
          <w:rFonts w:ascii="Arial" w:hAnsi="Arial" w:cs="Arial"/>
          <w:b/>
          <w:bCs/>
        </w:rPr>
        <w:t>On Behalf of the Board of Directors</w:t>
      </w:r>
    </w:p>
    <w:p w:rsidR="00356FA7" w:rsidRPr="00D428C6" w:rsidRDefault="00356FA7">
      <w:pPr>
        <w:tabs>
          <w:tab w:val="left" w:pos="-90"/>
          <w:tab w:val="left" w:pos="0"/>
        </w:tabs>
        <w:rPr>
          <w:rFonts w:ascii="Arial" w:hAnsi="Arial" w:cs="Arial"/>
        </w:rPr>
      </w:pPr>
    </w:p>
    <w:p w:rsidR="00356FA7" w:rsidRPr="00D428C6" w:rsidRDefault="00914394">
      <w:pPr>
        <w:pStyle w:val="BodyText"/>
        <w:tabs>
          <w:tab w:val="left" w:pos="-90"/>
          <w:tab w:val="left" w:pos="0"/>
        </w:tabs>
        <w:jc w:val="both"/>
        <w:rPr>
          <w:rFonts w:ascii="Arial" w:hAnsi="Arial" w:cs="Arial"/>
          <w:sz w:val="20"/>
        </w:rPr>
      </w:pPr>
      <w:r w:rsidRPr="00D428C6">
        <w:rPr>
          <w:rFonts w:ascii="Arial" w:hAnsi="Arial" w:cs="Arial"/>
          <w:sz w:val="20"/>
        </w:rPr>
        <w:t>“</w:t>
      </w:r>
      <w:r w:rsidRPr="00D428C6">
        <w:rPr>
          <w:rFonts w:ascii="Arial" w:hAnsi="Arial" w:cs="Arial"/>
          <w:i/>
          <w:sz w:val="20"/>
        </w:rPr>
        <w:t>William MacLean</w:t>
      </w:r>
      <w:r w:rsidRPr="00D428C6">
        <w:rPr>
          <w:rFonts w:ascii="Arial" w:hAnsi="Arial" w:cs="Arial"/>
          <w:sz w:val="20"/>
        </w:rPr>
        <w:t>”</w:t>
      </w:r>
    </w:p>
    <w:p w:rsidR="00356FA7" w:rsidRPr="00D428C6" w:rsidRDefault="00914394">
      <w:pPr>
        <w:tabs>
          <w:tab w:val="left" w:pos="-90"/>
          <w:tab w:val="left" w:pos="0"/>
        </w:tabs>
        <w:rPr>
          <w:rFonts w:ascii="Arial" w:hAnsi="Arial" w:cs="Arial"/>
          <w:b/>
        </w:rPr>
      </w:pPr>
      <w:r w:rsidRPr="00D428C6">
        <w:rPr>
          <w:rFonts w:ascii="Arial" w:hAnsi="Arial" w:cs="Arial"/>
          <w:b/>
        </w:rPr>
        <w:t>____________________________________</w:t>
      </w:r>
    </w:p>
    <w:p w:rsidR="00356FA7" w:rsidRPr="00D428C6" w:rsidRDefault="00914394">
      <w:pPr>
        <w:tabs>
          <w:tab w:val="left" w:pos="-90"/>
          <w:tab w:val="left" w:pos="0"/>
        </w:tabs>
        <w:rPr>
          <w:rFonts w:ascii="Arial" w:hAnsi="Arial" w:cs="Arial"/>
          <w:b/>
        </w:rPr>
      </w:pPr>
      <w:r w:rsidRPr="00D428C6">
        <w:rPr>
          <w:rFonts w:ascii="Arial" w:hAnsi="Arial" w:cs="Arial"/>
          <w:b/>
        </w:rPr>
        <w:t>William MacLean</w:t>
      </w:r>
    </w:p>
    <w:p w:rsidR="00356FA7" w:rsidRPr="00D428C6" w:rsidRDefault="00914394">
      <w:pPr>
        <w:tabs>
          <w:tab w:val="left" w:pos="-90"/>
          <w:tab w:val="left" w:pos="0"/>
        </w:tabs>
        <w:rPr>
          <w:rFonts w:ascii="Arial" w:hAnsi="Arial" w:cs="Arial"/>
          <w:b/>
        </w:rPr>
      </w:pPr>
      <w:r w:rsidRPr="00D428C6">
        <w:rPr>
          <w:rFonts w:ascii="Arial" w:hAnsi="Arial" w:cs="Arial"/>
          <w:b/>
        </w:rPr>
        <w:t>Director and CEO</w:t>
      </w:r>
    </w:p>
    <w:p w:rsidR="00356FA7" w:rsidRDefault="00356FA7">
      <w:pPr>
        <w:pStyle w:val="Heading2"/>
        <w:jc w:val="both"/>
        <w:rPr>
          <w:rFonts w:ascii="Arial" w:hAnsi="Arial" w:cs="Arial"/>
          <w:sz w:val="20"/>
        </w:rPr>
      </w:pP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THIS NEWS RELEASE, PROVIDED PURSUANT T</w:t>
      </w:r>
      <w:bookmarkStart w:id="0" w:name="_GoBack"/>
      <w:bookmarkEnd w:id="0"/>
      <w:r w:rsidRPr="00127D0E">
        <w:rPr>
          <w:rStyle w:val="Strong"/>
          <w:rFonts w:ascii="Arial" w:hAnsi="Arial" w:cs="Arial"/>
          <w:sz w:val="18"/>
          <w:szCs w:val="18"/>
        </w:rPr>
        <w: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Cautionary and Forward-Looking Statements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This news release contains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forward</w:t>
      </w:r>
      <w:r w:rsidRPr="00127D0E">
        <w:rPr>
          <w:rStyle w:val="Emphasis"/>
          <w:rFonts w:ascii="Cambria Math" w:hAnsi="Cambria Math" w:cs="Arial"/>
          <w:sz w:val="18"/>
          <w:szCs w:val="18"/>
        </w:rPr>
        <w:t>‐</w:t>
      </w:r>
      <w:r w:rsidRPr="00127D0E">
        <w:rPr>
          <w:rStyle w:val="Emphasis"/>
          <w:rFonts w:ascii="Arial" w:hAnsi="Arial" w:cs="Arial"/>
          <w:sz w:val="18"/>
          <w:szCs w:val="18"/>
        </w:rPr>
        <w:t>looking information within the meaning of applicable securities laws. These statements relate to future events or future performance. All statements other than statements of historical fact may be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or information.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are often, but not always, identified by the use of words such as "appear", "seek", "anticipate", "plan", "continue", "estimate", "approximate", "expect", "may", "will", "project", "predict", "potential", "targeting", "intend", "could", "might", "should", "believe", "would" and similar expressions.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w:t>
      </w:r>
      <w:r>
        <w:rPr>
          <w:rStyle w:val="Emphasis"/>
          <w:rFonts w:ascii="Arial" w:hAnsi="Arial" w:cs="Arial"/>
          <w:sz w:val="18"/>
          <w:szCs w:val="18"/>
        </w:rPr>
        <w:t>marijuana</w:t>
      </w:r>
      <w:r w:rsidRPr="00127D0E">
        <w:rPr>
          <w:rStyle w:val="Emphasis"/>
          <w:rFonts w:ascii="Arial" w:hAnsi="Arial" w:cs="Arial"/>
          <w:sz w:val="18"/>
          <w:szCs w:val="18"/>
        </w:rPr>
        <w:t xml:space="preserve"> industry in general such as operational risks in </w:t>
      </w:r>
      <w:r>
        <w:rPr>
          <w:rStyle w:val="Emphasis"/>
          <w:rFonts w:ascii="Arial" w:hAnsi="Arial" w:cs="Arial"/>
          <w:sz w:val="18"/>
          <w:szCs w:val="18"/>
        </w:rPr>
        <w:t>growing</w:t>
      </w:r>
      <w:r w:rsidRPr="00127D0E">
        <w:rPr>
          <w:rStyle w:val="Emphasis"/>
          <w:rFonts w:ascii="Arial" w:hAnsi="Arial" w:cs="Arial"/>
          <w:sz w:val="18"/>
          <w:szCs w:val="18"/>
        </w:rPr>
        <w:t xml:space="preserve">; competition; incorrect assessment of the value </w:t>
      </w:r>
      <w:r>
        <w:rPr>
          <w:rStyle w:val="Emphasis"/>
          <w:rFonts w:ascii="Arial" w:hAnsi="Arial" w:cs="Arial"/>
          <w:sz w:val="18"/>
          <w:szCs w:val="18"/>
        </w:rPr>
        <w:t xml:space="preserve">and potential </w:t>
      </w:r>
      <w:r w:rsidRPr="00127D0E">
        <w:rPr>
          <w:rStyle w:val="Emphasis"/>
          <w:rFonts w:ascii="Arial" w:hAnsi="Arial" w:cs="Arial"/>
          <w:sz w:val="18"/>
          <w:szCs w:val="18"/>
        </w:rPr>
        <w:t xml:space="preserve">benefits of </w:t>
      </w:r>
      <w:r>
        <w:rPr>
          <w:rStyle w:val="Emphasis"/>
          <w:rFonts w:ascii="Arial" w:hAnsi="Arial" w:cs="Arial"/>
          <w:sz w:val="18"/>
          <w:szCs w:val="18"/>
        </w:rPr>
        <w:t>various transactions</w:t>
      </w:r>
      <w:r w:rsidRPr="00127D0E">
        <w:rPr>
          <w:rStyle w:val="Emphasis"/>
          <w:rFonts w:ascii="Arial" w:hAnsi="Arial" w:cs="Arial"/>
          <w:sz w:val="18"/>
          <w:szCs w:val="18"/>
        </w:rPr>
        <w:t>;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timelines and information contained in this news release. Readers are cautioned that the foregoing list of factors is not exhaustive.</w:t>
      </w:r>
    </w:p>
    <w:p w:rsidR="00127D0E" w:rsidRPr="00127D0E" w:rsidRDefault="00127D0E" w:rsidP="00127D0E">
      <w:pPr>
        <w:pStyle w:val="NormalWeb"/>
        <w:jc w:val="both"/>
        <w:rPr>
          <w:rFonts w:ascii="Arial" w:hAnsi="Arial" w:cs="Arial"/>
          <w:i/>
          <w:sz w:val="18"/>
          <w:szCs w:val="18"/>
        </w:rPr>
      </w:pPr>
      <w:r w:rsidRPr="00127D0E">
        <w:rPr>
          <w:rStyle w:val="Emphasis"/>
          <w:rFonts w:ascii="Arial" w:hAnsi="Arial" w:cs="Arial"/>
          <w:sz w:val="18"/>
          <w:szCs w:val="18"/>
        </w:rPr>
        <w:t>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contained in this news release are made as of the date hereof and no undertaking is given to update publicly or revise any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or information, whether as a result of new information, future events or otherwise, unless so required by applicable securities laws or the </w:t>
      </w:r>
      <w:r>
        <w:rPr>
          <w:rStyle w:val="Emphasis"/>
          <w:rFonts w:ascii="Arial" w:hAnsi="Arial" w:cs="Arial"/>
          <w:sz w:val="18"/>
          <w:szCs w:val="18"/>
        </w:rPr>
        <w:t xml:space="preserve">Canadian </w:t>
      </w:r>
      <w:r w:rsidR="008115E3">
        <w:rPr>
          <w:rStyle w:val="Emphasis"/>
          <w:rFonts w:ascii="Arial" w:hAnsi="Arial" w:cs="Arial"/>
          <w:sz w:val="18"/>
          <w:szCs w:val="18"/>
        </w:rPr>
        <w:t>Securities</w:t>
      </w:r>
      <w:r>
        <w:rPr>
          <w:rStyle w:val="Emphasis"/>
          <w:rFonts w:ascii="Arial" w:hAnsi="Arial" w:cs="Arial"/>
          <w:sz w:val="18"/>
          <w:szCs w:val="18"/>
        </w:rPr>
        <w:t xml:space="preserve"> </w:t>
      </w:r>
      <w:r w:rsidRPr="00127D0E">
        <w:rPr>
          <w:rStyle w:val="Emphasis"/>
          <w:rFonts w:ascii="Arial" w:hAnsi="Arial" w:cs="Arial"/>
          <w:sz w:val="18"/>
          <w:szCs w:val="18"/>
        </w:rPr>
        <w:t>Exchange. The forward-looking statements or information contained in this news release are expressly qualified by this cautionary statement.</w:t>
      </w:r>
    </w:p>
    <w:p w:rsidR="00127D0E" w:rsidRPr="00127D0E" w:rsidRDefault="00127D0E" w:rsidP="00127D0E">
      <w:pPr>
        <w:pStyle w:val="NormalWeb"/>
        <w:jc w:val="both"/>
        <w:rPr>
          <w:rFonts w:ascii="Arial" w:hAnsi="Arial" w:cs="Arial"/>
          <w:i/>
          <w:sz w:val="18"/>
          <w:szCs w:val="18"/>
        </w:rPr>
      </w:pPr>
      <w:r w:rsidRPr="00127D0E">
        <w:rPr>
          <w:rFonts w:ascii="Arial" w:hAnsi="Arial" w:cs="Arial"/>
          <w:i/>
          <w:sz w:val="18"/>
          <w:szCs w:val="18"/>
        </w:rPr>
        <w:t xml:space="preserve">The </w:t>
      </w:r>
      <w:r w:rsidR="008115E3">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127D0E" w:rsidRPr="00127D0E" w:rsidRDefault="00127D0E" w:rsidP="00127D0E">
      <w:pPr>
        <w:jc w:val="both"/>
        <w:rPr>
          <w:rFonts w:ascii="Arial" w:hAnsi="Arial" w:cs="Arial"/>
          <w:sz w:val="18"/>
          <w:szCs w:val="18"/>
        </w:rPr>
      </w:pPr>
    </w:p>
    <w:p w:rsidR="00E65CC1" w:rsidRPr="00127D0E" w:rsidRDefault="00E65CC1" w:rsidP="0093333D">
      <w:pPr>
        <w:jc w:val="both"/>
        <w:rPr>
          <w:rFonts w:ascii="Arial" w:hAnsi="Arial" w:cs="Arial"/>
          <w:i/>
          <w:iCs/>
          <w:sz w:val="18"/>
          <w:szCs w:val="18"/>
        </w:rPr>
      </w:pPr>
    </w:p>
    <w:sectPr w:rsidR="00E65CC1" w:rsidRPr="00127D0E" w:rsidSect="001E7F1E">
      <w:pgSz w:w="12240" w:h="15840" w:code="1"/>
      <w:pgMar w:top="1170" w:right="1440" w:bottom="117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48" w:rsidRDefault="00247A48">
      <w:r>
        <w:separator/>
      </w:r>
    </w:p>
  </w:endnote>
  <w:endnote w:type="continuationSeparator" w:id="0">
    <w:p w:rsidR="00247A48" w:rsidRDefault="0024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48" w:rsidRDefault="00247A48">
      <w:r>
        <w:separator/>
      </w:r>
    </w:p>
  </w:footnote>
  <w:footnote w:type="continuationSeparator" w:id="0">
    <w:p w:rsidR="00247A48" w:rsidRDefault="00247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62D9"/>
    <w:rsid w:val="00020BD9"/>
    <w:rsid w:val="000223D0"/>
    <w:rsid w:val="000245B1"/>
    <w:rsid w:val="00036376"/>
    <w:rsid w:val="00046AD2"/>
    <w:rsid w:val="00057FDA"/>
    <w:rsid w:val="00060AE8"/>
    <w:rsid w:val="00063047"/>
    <w:rsid w:val="00083D12"/>
    <w:rsid w:val="000A0FF3"/>
    <w:rsid w:val="000B6C9F"/>
    <w:rsid w:val="000C2224"/>
    <w:rsid w:val="000E661E"/>
    <w:rsid w:val="000F20D9"/>
    <w:rsid w:val="000F2369"/>
    <w:rsid w:val="001073C6"/>
    <w:rsid w:val="00127D0E"/>
    <w:rsid w:val="00154D15"/>
    <w:rsid w:val="00161451"/>
    <w:rsid w:val="001715F3"/>
    <w:rsid w:val="0017397B"/>
    <w:rsid w:val="00175BEC"/>
    <w:rsid w:val="0017686E"/>
    <w:rsid w:val="001841B7"/>
    <w:rsid w:val="001B4AEF"/>
    <w:rsid w:val="001C022A"/>
    <w:rsid w:val="001C3A6D"/>
    <w:rsid w:val="001C40C4"/>
    <w:rsid w:val="001C4594"/>
    <w:rsid w:val="001E5121"/>
    <w:rsid w:val="001E7F1E"/>
    <w:rsid w:val="001F2747"/>
    <w:rsid w:val="00203AC0"/>
    <w:rsid w:val="00212CC1"/>
    <w:rsid w:val="002161F8"/>
    <w:rsid w:val="00247A48"/>
    <w:rsid w:val="002812E2"/>
    <w:rsid w:val="0028351C"/>
    <w:rsid w:val="0028777F"/>
    <w:rsid w:val="0029169E"/>
    <w:rsid w:val="00292274"/>
    <w:rsid w:val="002A467D"/>
    <w:rsid w:val="002B1CE6"/>
    <w:rsid w:val="002B3D38"/>
    <w:rsid w:val="002C0817"/>
    <w:rsid w:val="002E6CBE"/>
    <w:rsid w:val="002F4DAD"/>
    <w:rsid w:val="00307159"/>
    <w:rsid w:val="00307E64"/>
    <w:rsid w:val="003108D5"/>
    <w:rsid w:val="00312255"/>
    <w:rsid w:val="003269B6"/>
    <w:rsid w:val="00327DC8"/>
    <w:rsid w:val="0033372F"/>
    <w:rsid w:val="00356FA7"/>
    <w:rsid w:val="0036261F"/>
    <w:rsid w:val="00365933"/>
    <w:rsid w:val="00371B91"/>
    <w:rsid w:val="003A6420"/>
    <w:rsid w:val="003A6FF6"/>
    <w:rsid w:val="003A7087"/>
    <w:rsid w:val="003B10BE"/>
    <w:rsid w:val="003C0718"/>
    <w:rsid w:val="003C5EED"/>
    <w:rsid w:val="00405C4B"/>
    <w:rsid w:val="00416020"/>
    <w:rsid w:val="00417274"/>
    <w:rsid w:val="00430305"/>
    <w:rsid w:val="00437A51"/>
    <w:rsid w:val="00467787"/>
    <w:rsid w:val="00473B3E"/>
    <w:rsid w:val="004B3FAA"/>
    <w:rsid w:val="004D1984"/>
    <w:rsid w:val="004E6147"/>
    <w:rsid w:val="004F1F9C"/>
    <w:rsid w:val="005011C6"/>
    <w:rsid w:val="00516DBB"/>
    <w:rsid w:val="00544467"/>
    <w:rsid w:val="0056566C"/>
    <w:rsid w:val="00567BA1"/>
    <w:rsid w:val="00584B26"/>
    <w:rsid w:val="00586F27"/>
    <w:rsid w:val="0059225E"/>
    <w:rsid w:val="00594F47"/>
    <w:rsid w:val="005A76EA"/>
    <w:rsid w:val="005B307E"/>
    <w:rsid w:val="005B42A5"/>
    <w:rsid w:val="005B6DE8"/>
    <w:rsid w:val="005D3E49"/>
    <w:rsid w:val="005E6799"/>
    <w:rsid w:val="0060710D"/>
    <w:rsid w:val="00610BAB"/>
    <w:rsid w:val="00611B4B"/>
    <w:rsid w:val="00612993"/>
    <w:rsid w:val="00613399"/>
    <w:rsid w:val="00617D3E"/>
    <w:rsid w:val="00623112"/>
    <w:rsid w:val="00637917"/>
    <w:rsid w:val="006408EF"/>
    <w:rsid w:val="00677DF4"/>
    <w:rsid w:val="006846CE"/>
    <w:rsid w:val="006922E3"/>
    <w:rsid w:val="006A2445"/>
    <w:rsid w:val="006C5B2A"/>
    <w:rsid w:val="006E04B2"/>
    <w:rsid w:val="00716368"/>
    <w:rsid w:val="0073033B"/>
    <w:rsid w:val="00735CF1"/>
    <w:rsid w:val="00737E74"/>
    <w:rsid w:val="007446F7"/>
    <w:rsid w:val="00791227"/>
    <w:rsid w:val="00797546"/>
    <w:rsid w:val="007B351D"/>
    <w:rsid w:val="007D0992"/>
    <w:rsid w:val="008115E3"/>
    <w:rsid w:val="0081761F"/>
    <w:rsid w:val="00820A39"/>
    <w:rsid w:val="00824D46"/>
    <w:rsid w:val="00826B7C"/>
    <w:rsid w:val="00831069"/>
    <w:rsid w:val="0083212F"/>
    <w:rsid w:val="008379AF"/>
    <w:rsid w:val="008530A9"/>
    <w:rsid w:val="00857E4E"/>
    <w:rsid w:val="00860760"/>
    <w:rsid w:val="008614F4"/>
    <w:rsid w:val="00894668"/>
    <w:rsid w:val="0089547B"/>
    <w:rsid w:val="0089597A"/>
    <w:rsid w:val="008A54AD"/>
    <w:rsid w:val="008C78CF"/>
    <w:rsid w:val="008E1FB5"/>
    <w:rsid w:val="008E4C5F"/>
    <w:rsid w:val="008F2197"/>
    <w:rsid w:val="008F284E"/>
    <w:rsid w:val="008F2BB3"/>
    <w:rsid w:val="008F448A"/>
    <w:rsid w:val="009037E7"/>
    <w:rsid w:val="009112F9"/>
    <w:rsid w:val="00914394"/>
    <w:rsid w:val="0093333D"/>
    <w:rsid w:val="00942E42"/>
    <w:rsid w:val="0095006B"/>
    <w:rsid w:val="00975D05"/>
    <w:rsid w:val="00981C52"/>
    <w:rsid w:val="009A2273"/>
    <w:rsid w:val="009D23C4"/>
    <w:rsid w:val="009D3DA9"/>
    <w:rsid w:val="009E493C"/>
    <w:rsid w:val="00A03EEE"/>
    <w:rsid w:val="00A05B64"/>
    <w:rsid w:val="00A34BB1"/>
    <w:rsid w:val="00A37DDD"/>
    <w:rsid w:val="00A520B2"/>
    <w:rsid w:val="00A634E2"/>
    <w:rsid w:val="00A66890"/>
    <w:rsid w:val="00A715C2"/>
    <w:rsid w:val="00A72862"/>
    <w:rsid w:val="00A7321B"/>
    <w:rsid w:val="00A8318D"/>
    <w:rsid w:val="00A86D7F"/>
    <w:rsid w:val="00AA33DC"/>
    <w:rsid w:val="00AA71C8"/>
    <w:rsid w:val="00AC4EEB"/>
    <w:rsid w:val="00AF0DBC"/>
    <w:rsid w:val="00B001C8"/>
    <w:rsid w:val="00B05978"/>
    <w:rsid w:val="00B06E31"/>
    <w:rsid w:val="00B33D37"/>
    <w:rsid w:val="00B33EE4"/>
    <w:rsid w:val="00B35F55"/>
    <w:rsid w:val="00B37840"/>
    <w:rsid w:val="00B41163"/>
    <w:rsid w:val="00B474B5"/>
    <w:rsid w:val="00B51D5D"/>
    <w:rsid w:val="00B54AD0"/>
    <w:rsid w:val="00B63C67"/>
    <w:rsid w:val="00B72B35"/>
    <w:rsid w:val="00B86AFA"/>
    <w:rsid w:val="00B90EB5"/>
    <w:rsid w:val="00B93631"/>
    <w:rsid w:val="00BA16F8"/>
    <w:rsid w:val="00BE1E64"/>
    <w:rsid w:val="00BF01A7"/>
    <w:rsid w:val="00BF6D1C"/>
    <w:rsid w:val="00BF7E29"/>
    <w:rsid w:val="00C04591"/>
    <w:rsid w:val="00C05A79"/>
    <w:rsid w:val="00C3206B"/>
    <w:rsid w:val="00C42A9A"/>
    <w:rsid w:val="00C661A7"/>
    <w:rsid w:val="00C66D26"/>
    <w:rsid w:val="00C75CCA"/>
    <w:rsid w:val="00C92B9F"/>
    <w:rsid w:val="00CB64A8"/>
    <w:rsid w:val="00CB69A0"/>
    <w:rsid w:val="00CD5090"/>
    <w:rsid w:val="00CD542E"/>
    <w:rsid w:val="00CF22B2"/>
    <w:rsid w:val="00CF312B"/>
    <w:rsid w:val="00D04C64"/>
    <w:rsid w:val="00D051B9"/>
    <w:rsid w:val="00D07FEB"/>
    <w:rsid w:val="00D15879"/>
    <w:rsid w:val="00D33F02"/>
    <w:rsid w:val="00D428C6"/>
    <w:rsid w:val="00D67B1D"/>
    <w:rsid w:val="00DA4DEC"/>
    <w:rsid w:val="00DB4312"/>
    <w:rsid w:val="00DB7471"/>
    <w:rsid w:val="00DD2DE6"/>
    <w:rsid w:val="00DD5A4F"/>
    <w:rsid w:val="00DD7905"/>
    <w:rsid w:val="00E01DA8"/>
    <w:rsid w:val="00E028BC"/>
    <w:rsid w:val="00E138B2"/>
    <w:rsid w:val="00E416EE"/>
    <w:rsid w:val="00E43768"/>
    <w:rsid w:val="00E62996"/>
    <w:rsid w:val="00E65CC1"/>
    <w:rsid w:val="00E73C31"/>
    <w:rsid w:val="00E74A3F"/>
    <w:rsid w:val="00EA4A2A"/>
    <w:rsid w:val="00EC3F2D"/>
    <w:rsid w:val="00ED2572"/>
    <w:rsid w:val="00ED36DF"/>
    <w:rsid w:val="00ED5C10"/>
    <w:rsid w:val="00EE533E"/>
    <w:rsid w:val="00F03111"/>
    <w:rsid w:val="00F062D8"/>
    <w:rsid w:val="00F11FDD"/>
    <w:rsid w:val="00F310E0"/>
    <w:rsid w:val="00F50B99"/>
    <w:rsid w:val="00F605F7"/>
    <w:rsid w:val="00F81720"/>
    <w:rsid w:val="00FA7470"/>
    <w:rsid w:val="00FC28F9"/>
    <w:rsid w:val="00FD4BB9"/>
    <w:rsid w:val="00FF63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9BA65-7850-470A-A0CC-71976BD4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3</cp:revision>
  <cp:lastPrinted>2015-03-24T21:00:00Z</cp:lastPrinted>
  <dcterms:created xsi:type="dcterms:W3CDTF">2015-12-08T20:15:00Z</dcterms:created>
  <dcterms:modified xsi:type="dcterms:W3CDTF">2015-12-08T20:16:00Z</dcterms:modified>
</cp:coreProperties>
</file>