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7B13EF"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003" cy="1190501"/>
                    </a:xfrm>
                    <a:prstGeom prst="rect">
                      <a:avLst/>
                    </a:prstGeom>
                    <a:noFill/>
                    <a:ln>
                      <a:noFill/>
                    </a:ln>
                  </pic:spPr>
                </pic:pic>
              </a:graphicData>
            </a:graphic>
          </wp:inline>
        </w:drawing>
      </w:r>
    </w:p>
    <w:p w:rsidR="00810BD2" w:rsidRPr="00810BD2" w:rsidRDefault="007B13EF" w:rsidP="00425A24">
      <w:pPr>
        <w:pStyle w:val="BodyText"/>
        <w:spacing w:after="240"/>
        <w:jc w:val="center"/>
        <w:rPr>
          <w:rFonts w:eastAsia="Arial" w:cstheme="minorHAnsi"/>
          <w:b/>
        </w:rPr>
      </w:pPr>
      <w:r w:rsidRPr="00810BD2">
        <w:rPr>
          <w:rFonts w:eastAsia="Arial" w:cstheme="minorHAnsi"/>
          <w:b/>
        </w:rPr>
        <w:t>NEWS RELEASE</w:t>
      </w:r>
      <w:r w:rsidRPr="00810BD2">
        <w:rPr>
          <w:rFonts w:eastAsia="Arial" w:cstheme="minorHAnsi"/>
          <w:b/>
        </w:rPr>
        <w:tab/>
      </w:r>
    </w:p>
    <w:p w:rsidR="009947B7" w:rsidRDefault="007B13EF" w:rsidP="00425A24">
      <w:pPr>
        <w:pStyle w:val="BodyText"/>
        <w:spacing w:after="240"/>
        <w:jc w:val="center"/>
        <w:rPr>
          <w:rFonts w:cstheme="minorHAnsi"/>
          <w:b/>
          <w:caps/>
        </w:rPr>
      </w:pPr>
      <w:r w:rsidRPr="002A023D">
        <w:rPr>
          <w:rFonts w:cstheme="minorHAnsi"/>
          <w:b/>
          <w:caps/>
        </w:rPr>
        <w:t xml:space="preserve">LAGUNA BLENDS INC. </w:t>
      </w:r>
      <w:r>
        <w:rPr>
          <w:rFonts w:cstheme="minorHAnsi"/>
          <w:b/>
          <w:caps/>
        </w:rPr>
        <w:t>ent</w:t>
      </w:r>
      <w:r w:rsidR="00C413E9">
        <w:rPr>
          <w:rFonts w:cstheme="minorHAnsi"/>
          <w:b/>
          <w:caps/>
        </w:rPr>
        <w:t>ers</w:t>
      </w:r>
      <w:r>
        <w:rPr>
          <w:rFonts w:cstheme="minorHAnsi"/>
          <w:b/>
          <w:caps/>
        </w:rPr>
        <w:t xml:space="preserve"> into investor relations consulting agreement</w:t>
      </w:r>
      <w:r w:rsidR="00AD2272">
        <w:rPr>
          <w:rFonts w:cstheme="minorHAnsi"/>
          <w:b/>
          <w:caps/>
        </w:rPr>
        <w:t xml:space="preserve"> and closes private placement</w:t>
      </w:r>
    </w:p>
    <w:p w:rsidR="00901D41" w:rsidRPr="0061594A" w:rsidRDefault="007B13EF" w:rsidP="00901D41">
      <w:pPr>
        <w:pStyle w:val="BodyText"/>
        <w:jc w:val="both"/>
        <w:rPr>
          <w:rFonts w:cstheme="minorHAnsi"/>
        </w:rPr>
      </w:pPr>
      <w:r>
        <w:rPr>
          <w:rFonts w:cstheme="minorHAnsi"/>
        </w:rPr>
        <w:t>KELOWNA, BC – November</w:t>
      </w:r>
      <w:r w:rsidR="00AD2272">
        <w:rPr>
          <w:rFonts w:cstheme="minorHAnsi"/>
        </w:rPr>
        <w:t xml:space="preserve"> 18</w:t>
      </w:r>
      <w:r>
        <w:rPr>
          <w:rFonts w:cstheme="minorHAnsi"/>
        </w:rPr>
        <w:t>, 2015 – Laguna Blends Inc. (CSE: LAG) (the “</w:t>
      </w:r>
      <w:r>
        <w:rPr>
          <w:rFonts w:cstheme="minorHAnsi"/>
          <w:b/>
        </w:rPr>
        <w:t>Company</w:t>
      </w:r>
      <w:r>
        <w:rPr>
          <w:rFonts w:cstheme="minorHAnsi"/>
        </w:rPr>
        <w:t>” or “</w:t>
      </w:r>
      <w:r w:rsidRPr="002A023D">
        <w:rPr>
          <w:rFonts w:cstheme="minorHAnsi"/>
          <w:b/>
        </w:rPr>
        <w:t>Laguna</w:t>
      </w:r>
      <w:r>
        <w:rPr>
          <w:rFonts w:cstheme="minorHAnsi"/>
        </w:rPr>
        <w:t>”</w:t>
      </w:r>
      <w:r w:rsidR="008E743E">
        <w:rPr>
          <w:rFonts w:cstheme="minorHAnsi"/>
        </w:rPr>
        <w:t>) announces</w:t>
      </w:r>
      <w:r w:rsidR="00901D41">
        <w:rPr>
          <w:rFonts w:cstheme="minorHAnsi"/>
        </w:rPr>
        <w:t xml:space="preserve"> that it has entered into an investor relations consulting agreement (the “</w:t>
      </w:r>
      <w:r w:rsidR="00901D41" w:rsidRPr="00636441">
        <w:rPr>
          <w:rFonts w:cstheme="minorHAnsi"/>
          <w:b/>
        </w:rPr>
        <w:t>IR Agreement</w:t>
      </w:r>
      <w:r w:rsidR="00901D41">
        <w:rPr>
          <w:rFonts w:cstheme="minorHAnsi"/>
        </w:rPr>
        <w:t xml:space="preserve">”) with Glenn </w:t>
      </w:r>
      <w:proofErr w:type="spellStart"/>
      <w:r w:rsidR="00901D41">
        <w:rPr>
          <w:rFonts w:cstheme="minorHAnsi"/>
        </w:rPr>
        <w:t>Shand</w:t>
      </w:r>
      <w:proofErr w:type="spellEnd"/>
      <w:r w:rsidR="00901D41">
        <w:rPr>
          <w:rFonts w:cstheme="minorHAnsi"/>
        </w:rPr>
        <w:t xml:space="preserve"> and Associates, LLC (the “</w:t>
      </w:r>
      <w:r w:rsidR="00901D41" w:rsidRPr="00172230">
        <w:rPr>
          <w:rFonts w:cstheme="minorHAnsi"/>
          <w:b/>
        </w:rPr>
        <w:t>Consultant</w:t>
      </w:r>
      <w:r w:rsidR="00901D41">
        <w:rPr>
          <w:rFonts w:cstheme="minorHAnsi"/>
        </w:rPr>
        <w:t>”). The term of the IR</w:t>
      </w:r>
      <w:r w:rsidR="00901D41" w:rsidRPr="00172230">
        <w:rPr>
          <w:rFonts w:cstheme="minorHAnsi"/>
        </w:rPr>
        <w:t xml:space="preserve"> Agreement </w:t>
      </w:r>
      <w:r w:rsidR="00901D41">
        <w:rPr>
          <w:rFonts w:cstheme="minorHAnsi"/>
        </w:rPr>
        <w:t>commenced on November 15, 2015 and ends</w:t>
      </w:r>
      <w:r w:rsidR="00901D41" w:rsidRPr="00172230">
        <w:rPr>
          <w:rFonts w:cstheme="minorHAnsi"/>
        </w:rPr>
        <w:t xml:space="preserve"> on February 29, 2016</w:t>
      </w:r>
      <w:r w:rsidR="00901D41">
        <w:rPr>
          <w:rFonts w:cstheme="minorHAnsi"/>
        </w:rPr>
        <w:t xml:space="preserve">, </w:t>
      </w:r>
      <w:r w:rsidR="00901D41" w:rsidRPr="00172230">
        <w:rPr>
          <w:rFonts w:cstheme="minorHAnsi"/>
        </w:rPr>
        <w:t xml:space="preserve">unless otherwise terminated as set forth </w:t>
      </w:r>
      <w:r w:rsidR="00901D41">
        <w:rPr>
          <w:rFonts w:cstheme="minorHAnsi"/>
        </w:rPr>
        <w:t>in the IR Agreement</w:t>
      </w:r>
      <w:r w:rsidR="00901D41" w:rsidRPr="00172230">
        <w:rPr>
          <w:rFonts w:cstheme="minorHAnsi"/>
        </w:rPr>
        <w:t>.</w:t>
      </w:r>
      <w:r w:rsidR="00901D41">
        <w:rPr>
          <w:rFonts w:cstheme="minorHAnsi"/>
        </w:rPr>
        <w:t xml:space="preserve"> Pursuant to the IR Agreement, the Consultant will provide various investor relations services to the Company in exchange for aggregate consulting fees of US</w:t>
      </w:r>
      <w:r w:rsidR="008E743E">
        <w:rPr>
          <w:rFonts w:cstheme="minorHAnsi"/>
        </w:rPr>
        <w:t xml:space="preserve"> </w:t>
      </w:r>
      <w:r w:rsidR="00901D41">
        <w:rPr>
          <w:rFonts w:cstheme="minorHAnsi"/>
        </w:rPr>
        <w:t>$15,000, to be paid in three installments throughout the term of the IR Agreement. The Company also agreed to grant stock options to the Consultant to acquire 100,000 common shares of the Company at an exercise price of CDN</w:t>
      </w:r>
      <w:r w:rsidR="008E743E">
        <w:rPr>
          <w:rFonts w:cstheme="minorHAnsi"/>
        </w:rPr>
        <w:t xml:space="preserve"> </w:t>
      </w:r>
      <w:r w:rsidR="00901D41">
        <w:rPr>
          <w:rFonts w:cstheme="minorHAnsi"/>
        </w:rPr>
        <w:t xml:space="preserve">$0.28 per share for a period of one year from the date of grant, subject to compliance with the policies of the Canadian Securities Exchange. </w:t>
      </w:r>
    </w:p>
    <w:p w:rsidR="00A54050" w:rsidRDefault="00901D41" w:rsidP="00A54050">
      <w:pPr>
        <w:pStyle w:val="BodyText"/>
        <w:jc w:val="both"/>
        <w:rPr>
          <w:color w:val="000000"/>
        </w:rPr>
      </w:pPr>
      <w:r>
        <w:rPr>
          <w:rFonts w:cstheme="minorHAnsi"/>
        </w:rPr>
        <w:t xml:space="preserve">The Company </w:t>
      </w:r>
      <w:r w:rsidR="00A54050" w:rsidRPr="00D9496F">
        <w:rPr>
          <w:color w:val="000000"/>
        </w:rPr>
        <w:t>previously</w:t>
      </w:r>
      <w:r w:rsidR="00A54050">
        <w:rPr>
          <w:color w:val="000000"/>
        </w:rPr>
        <w:t xml:space="preserve"> announced on July 30, 2015, </w:t>
      </w:r>
      <w:r w:rsidR="00A54050" w:rsidRPr="00D9496F">
        <w:rPr>
          <w:color w:val="000000"/>
        </w:rPr>
        <w:t>September 21, 2015,</w:t>
      </w:r>
      <w:r w:rsidR="00A54050">
        <w:rPr>
          <w:color w:val="000000"/>
        </w:rPr>
        <w:t xml:space="preserve"> October 2, 2105</w:t>
      </w:r>
      <w:r w:rsidR="00A54050" w:rsidRPr="00D9496F">
        <w:rPr>
          <w:color w:val="000000"/>
        </w:rPr>
        <w:t xml:space="preserve"> </w:t>
      </w:r>
      <w:r w:rsidR="00A54050">
        <w:rPr>
          <w:color w:val="000000"/>
        </w:rPr>
        <w:t xml:space="preserve">and November 5, 2015 </w:t>
      </w:r>
      <w:r w:rsidR="00A54050" w:rsidRPr="00D9496F">
        <w:rPr>
          <w:color w:val="000000"/>
        </w:rPr>
        <w:t>and disclosed in t</w:t>
      </w:r>
      <w:r w:rsidR="00A54050">
        <w:rPr>
          <w:color w:val="000000"/>
        </w:rPr>
        <w:t xml:space="preserve">he Company's listing statement, that </w:t>
      </w:r>
      <w:r w:rsidR="00A54050">
        <w:t>it</w:t>
      </w:r>
      <w:r w:rsidR="00A54050" w:rsidRPr="00D9496F">
        <w:rPr>
          <w:color w:val="000000"/>
        </w:rPr>
        <w:t xml:space="preserve"> is conducting a non-brokered private placement at a price of $0.28 per unit</w:t>
      </w:r>
      <w:r w:rsidR="00A54050">
        <w:rPr>
          <w:color w:val="000000"/>
        </w:rPr>
        <w:t xml:space="preserve">.  </w:t>
      </w:r>
      <w:r w:rsidR="00A54050" w:rsidRPr="00D9496F">
        <w:rPr>
          <w:color w:val="000000"/>
        </w:rPr>
        <w:t xml:space="preserve">The Company has now closed the </w:t>
      </w:r>
      <w:r w:rsidR="00A54050">
        <w:rPr>
          <w:color w:val="000000"/>
        </w:rPr>
        <w:t xml:space="preserve">third and final </w:t>
      </w:r>
      <w:r w:rsidR="00A54050" w:rsidRPr="00D9496F">
        <w:rPr>
          <w:color w:val="000000"/>
        </w:rPr>
        <w:t xml:space="preserve">tranche of this private placement consisting of </w:t>
      </w:r>
      <w:r w:rsidR="00A54050">
        <w:rPr>
          <w:color w:val="000000"/>
        </w:rPr>
        <w:t xml:space="preserve">35,714 </w:t>
      </w:r>
      <w:r w:rsidR="00A54050" w:rsidRPr="00D9496F">
        <w:rPr>
          <w:color w:val="000000"/>
        </w:rPr>
        <w:t>units for gross proceeds of $</w:t>
      </w:r>
      <w:r w:rsidR="00C447E5">
        <w:rPr>
          <w:color w:val="000000"/>
        </w:rPr>
        <w:t>10,000</w:t>
      </w:r>
      <w:r w:rsidR="00A54050" w:rsidRPr="00D9496F">
        <w:rPr>
          <w:color w:val="000000"/>
        </w:rPr>
        <w:t xml:space="preserve">.  Each unit consists of one common share and one share purchase warrant, each warrant entitling the holder to acquire one additional common share of the company at a price of $0.50 per warrant share until </w:t>
      </w:r>
      <w:r w:rsidR="00EA4462">
        <w:rPr>
          <w:color w:val="000000"/>
        </w:rPr>
        <w:t>November 9</w:t>
      </w:r>
      <w:r w:rsidR="00A54050" w:rsidRPr="00D01BDD">
        <w:rPr>
          <w:color w:val="000000"/>
        </w:rPr>
        <w:t>, 2017. The</w:t>
      </w:r>
      <w:r w:rsidR="00A54050" w:rsidRPr="00D9496F">
        <w:rPr>
          <w:color w:val="000000"/>
        </w:rPr>
        <w:t xml:space="preserve"> warrants contain an acceleration provision, such that if the Company's shares </w:t>
      </w:r>
      <w:r w:rsidR="00A54050" w:rsidRPr="00EE4B22">
        <w:rPr>
          <w:color w:val="000000"/>
        </w:rPr>
        <w:t>trade at a price of $0.60 or more for 20 consecutive trading days, the expiry date will be accelerated.</w:t>
      </w:r>
      <w:r w:rsidR="00A54050">
        <w:rPr>
          <w:color w:val="000000"/>
        </w:rPr>
        <w:t xml:space="preserve"> </w:t>
      </w:r>
      <w:r w:rsidR="00A54050" w:rsidRPr="00D9496F">
        <w:rPr>
          <w:color w:val="000000"/>
        </w:rPr>
        <w:t xml:space="preserve">The units have a hold period expiring </w:t>
      </w:r>
      <w:r w:rsidR="00A54050">
        <w:rPr>
          <w:color w:val="000000"/>
        </w:rPr>
        <w:t>on March 1</w:t>
      </w:r>
      <w:r w:rsidR="00EA4462">
        <w:rPr>
          <w:color w:val="000000"/>
        </w:rPr>
        <w:t>0</w:t>
      </w:r>
      <w:r w:rsidR="00A54050">
        <w:rPr>
          <w:color w:val="000000"/>
        </w:rPr>
        <w:t xml:space="preserve">, 2016.  </w:t>
      </w:r>
    </w:p>
    <w:p w:rsidR="0061594A" w:rsidRPr="0061594A" w:rsidRDefault="00EA4462" w:rsidP="0061594A">
      <w:pPr>
        <w:pStyle w:val="BodyText"/>
        <w:jc w:val="both"/>
        <w:rPr>
          <w:rFonts w:cstheme="minorHAnsi"/>
        </w:rPr>
      </w:pPr>
      <w:r>
        <w:rPr>
          <w:rFonts w:cstheme="minorHAnsi"/>
        </w:rPr>
        <w:t xml:space="preserve">The Company further </w:t>
      </w:r>
      <w:r w:rsidR="007B13EF">
        <w:rPr>
          <w:rFonts w:cstheme="minorHAnsi"/>
        </w:rPr>
        <w:t xml:space="preserve">announces that </w:t>
      </w:r>
      <w:r w:rsidR="007B13EF" w:rsidRPr="0061594A">
        <w:rPr>
          <w:rFonts w:cstheme="minorHAnsi"/>
        </w:rPr>
        <w:t xml:space="preserve">its board of directors </w:t>
      </w:r>
      <w:r w:rsidR="007B13EF">
        <w:rPr>
          <w:rFonts w:cstheme="minorHAnsi"/>
        </w:rPr>
        <w:t xml:space="preserve">has </w:t>
      </w:r>
      <w:r w:rsidR="007B13EF" w:rsidRPr="0061594A">
        <w:rPr>
          <w:rFonts w:cstheme="minorHAnsi"/>
        </w:rPr>
        <w:t xml:space="preserve">adopted a </w:t>
      </w:r>
      <w:r w:rsidR="007B13EF">
        <w:rPr>
          <w:rFonts w:cstheme="minorHAnsi"/>
        </w:rPr>
        <w:t>policy</w:t>
      </w:r>
      <w:r w:rsidR="007B13EF" w:rsidRPr="0061594A">
        <w:rPr>
          <w:rFonts w:cstheme="minorHAnsi"/>
        </w:rPr>
        <w:t xml:space="preserve"> requiring advance notice of the nomination of directors</w:t>
      </w:r>
      <w:r w:rsidR="007B13EF">
        <w:rPr>
          <w:rFonts w:cstheme="minorHAnsi"/>
        </w:rPr>
        <w:t xml:space="preserve"> in certain circumstances (the “</w:t>
      </w:r>
      <w:r w:rsidR="007B13EF" w:rsidRPr="0061594A">
        <w:rPr>
          <w:rFonts w:cstheme="minorHAnsi"/>
          <w:b/>
        </w:rPr>
        <w:t xml:space="preserve">Advance Notice </w:t>
      </w:r>
      <w:r w:rsidR="007B13EF">
        <w:rPr>
          <w:rFonts w:cstheme="minorHAnsi"/>
          <w:b/>
        </w:rPr>
        <w:t>Policy</w:t>
      </w:r>
      <w:r w:rsidR="007B13EF">
        <w:rPr>
          <w:rFonts w:cstheme="minorHAnsi"/>
        </w:rPr>
        <w:t>”</w:t>
      </w:r>
      <w:r w:rsidR="007B13EF" w:rsidRPr="0061594A">
        <w:rPr>
          <w:rFonts w:cstheme="minorHAnsi"/>
        </w:rPr>
        <w:t xml:space="preserve">).  The Advance Notice </w:t>
      </w:r>
      <w:r w:rsidR="007B13EF">
        <w:rPr>
          <w:rFonts w:cstheme="minorHAnsi"/>
        </w:rPr>
        <w:t>Policy</w:t>
      </w:r>
      <w:r w:rsidR="007B13EF" w:rsidRPr="0061594A">
        <w:rPr>
          <w:rFonts w:cstheme="minorHAnsi"/>
        </w:rPr>
        <w:t xml:space="preserve"> </w:t>
      </w:r>
      <w:r w:rsidR="007B13EF">
        <w:rPr>
          <w:rFonts w:cstheme="minorHAnsi"/>
        </w:rPr>
        <w:t>is</w:t>
      </w:r>
      <w:r w:rsidR="007B13EF" w:rsidRPr="0061594A">
        <w:rPr>
          <w:rFonts w:cstheme="minorHAnsi"/>
        </w:rPr>
        <w:t xml:space="preserve"> effective now and will apply to </w:t>
      </w:r>
      <w:r w:rsidR="007B13EF">
        <w:rPr>
          <w:rFonts w:cstheme="minorHAnsi"/>
        </w:rPr>
        <w:t>the Company</w:t>
      </w:r>
      <w:r w:rsidR="007B13EF" w:rsidRPr="0061594A">
        <w:rPr>
          <w:rFonts w:cstheme="minorHAnsi"/>
        </w:rPr>
        <w:t>’s Annual General and Special Meeting (the “</w:t>
      </w:r>
      <w:r w:rsidR="007B13EF" w:rsidRPr="0061594A">
        <w:rPr>
          <w:rFonts w:cstheme="minorHAnsi"/>
          <w:b/>
        </w:rPr>
        <w:t>Meeting</w:t>
      </w:r>
      <w:r w:rsidR="007B13EF">
        <w:rPr>
          <w:rFonts w:cstheme="minorHAnsi"/>
        </w:rPr>
        <w:t>”) scheduled for December 15</w:t>
      </w:r>
      <w:r w:rsidR="007B13EF" w:rsidRPr="0061594A">
        <w:rPr>
          <w:rFonts w:cstheme="minorHAnsi"/>
        </w:rPr>
        <w:t xml:space="preserve">, 2015. At the Meeting, shareholders will be asked to </w:t>
      </w:r>
      <w:r w:rsidR="007B13EF">
        <w:rPr>
          <w:rFonts w:cstheme="minorHAnsi"/>
        </w:rPr>
        <w:t>ratify</w:t>
      </w:r>
      <w:r w:rsidR="007B13EF" w:rsidRPr="0061594A">
        <w:rPr>
          <w:rFonts w:cstheme="minorHAnsi"/>
        </w:rPr>
        <w:t xml:space="preserve"> the </w:t>
      </w:r>
      <w:r w:rsidR="007B13EF">
        <w:rPr>
          <w:rFonts w:cstheme="minorHAnsi"/>
        </w:rPr>
        <w:t>adoption of the Advance Notice Policy</w:t>
      </w:r>
      <w:r w:rsidR="007B13EF" w:rsidRPr="0061594A">
        <w:rPr>
          <w:rFonts w:cstheme="minorHAnsi"/>
        </w:rPr>
        <w:t xml:space="preserve"> and, if such approval is not obtained, the Advance Notice </w:t>
      </w:r>
      <w:r w:rsidR="007B13EF">
        <w:rPr>
          <w:rFonts w:cstheme="minorHAnsi"/>
        </w:rPr>
        <w:t>Policy</w:t>
      </w:r>
      <w:r w:rsidR="007B13EF" w:rsidRPr="0061594A">
        <w:rPr>
          <w:rFonts w:cstheme="minorHAnsi"/>
        </w:rPr>
        <w:t xml:space="preserve"> will have no effect after such Meeting. </w:t>
      </w:r>
    </w:p>
    <w:p w:rsidR="0061594A" w:rsidRPr="0061594A" w:rsidRDefault="007B13EF" w:rsidP="0061594A">
      <w:pPr>
        <w:pStyle w:val="BodyText"/>
        <w:jc w:val="both"/>
        <w:rPr>
          <w:rFonts w:cstheme="minorHAnsi"/>
        </w:rPr>
      </w:pPr>
      <w:r w:rsidRPr="0061594A">
        <w:rPr>
          <w:rFonts w:cstheme="minorHAnsi"/>
        </w:rPr>
        <w:t xml:space="preserve">The Advance Notice </w:t>
      </w:r>
      <w:r>
        <w:rPr>
          <w:rFonts w:cstheme="minorHAnsi"/>
        </w:rPr>
        <w:t>Policy</w:t>
      </w:r>
      <w:r w:rsidRPr="0061594A">
        <w:rPr>
          <w:rFonts w:cstheme="minorHAnsi"/>
        </w:rPr>
        <w:t xml:space="preserve"> is designed to further </w:t>
      </w:r>
      <w:r>
        <w:rPr>
          <w:rFonts w:cstheme="minorHAnsi"/>
        </w:rPr>
        <w:t>the Company</w:t>
      </w:r>
      <w:r w:rsidRPr="0061594A">
        <w:rPr>
          <w:rFonts w:cstheme="minorHAnsi"/>
        </w:rPr>
        <w:t>’s commitment to: (i) facilitating an orderly and efficient process for annual general meetings or, where the need arises, special meetings; (ii) ensuring that all shareholders receive adequate notice of director nominations and sufficient information regarding all director nominees; and (iii) allowing shareholders to register an informed vote after having been afforded reasonable time for appropriate deliberation.</w:t>
      </w:r>
    </w:p>
    <w:p w:rsidR="0061594A" w:rsidRPr="0061594A" w:rsidRDefault="007B13EF" w:rsidP="0061594A">
      <w:pPr>
        <w:pStyle w:val="BodyText"/>
        <w:jc w:val="both"/>
        <w:rPr>
          <w:rFonts w:cstheme="minorHAnsi"/>
        </w:rPr>
      </w:pPr>
      <w:r w:rsidRPr="0061594A">
        <w:rPr>
          <w:rFonts w:cstheme="minorHAnsi"/>
        </w:rPr>
        <w:t xml:space="preserve">The Advance Notice </w:t>
      </w:r>
      <w:r>
        <w:rPr>
          <w:rFonts w:cstheme="minorHAnsi"/>
        </w:rPr>
        <w:t>Policy</w:t>
      </w:r>
      <w:r w:rsidRPr="0061594A">
        <w:rPr>
          <w:rFonts w:cstheme="minorHAnsi"/>
        </w:rPr>
        <w:t xml:space="preserve"> contains a provision requiring advance notice to </w:t>
      </w:r>
      <w:r>
        <w:rPr>
          <w:rFonts w:cstheme="minorHAnsi"/>
        </w:rPr>
        <w:t>the Company</w:t>
      </w:r>
      <w:r w:rsidRPr="0061594A">
        <w:rPr>
          <w:rFonts w:cstheme="minorHAnsi"/>
        </w:rPr>
        <w:t xml:space="preserve"> in certain </w:t>
      </w:r>
      <w:r w:rsidRPr="0061594A">
        <w:rPr>
          <w:rFonts w:cstheme="minorHAnsi"/>
        </w:rPr>
        <w:lastRenderedPageBreak/>
        <w:t>circumstances where nominations of persons for election to the board of direct</w:t>
      </w:r>
      <w:r>
        <w:rPr>
          <w:rFonts w:cstheme="minorHAnsi"/>
        </w:rPr>
        <w:t>ors are made by shareholders of the Company</w:t>
      </w:r>
      <w:r w:rsidRPr="0061594A">
        <w:rPr>
          <w:rFonts w:cstheme="minorHAnsi"/>
        </w:rPr>
        <w:t xml:space="preserve">. The Advance Notice </w:t>
      </w:r>
      <w:r>
        <w:rPr>
          <w:rFonts w:cstheme="minorHAnsi"/>
        </w:rPr>
        <w:t>Policy</w:t>
      </w:r>
      <w:r w:rsidRPr="0061594A">
        <w:rPr>
          <w:rFonts w:cstheme="minorHAnsi"/>
        </w:rPr>
        <w:t xml:space="preserve"> establishes a deadline by which director nominations must be submitted to </w:t>
      </w:r>
      <w:r>
        <w:rPr>
          <w:rFonts w:cstheme="minorHAnsi"/>
        </w:rPr>
        <w:t>the Company</w:t>
      </w:r>
      <w:r w:rsidRPr="0061594A">
        <w:rPr>
          <w:rFonts w:cstheme="minorHAnsi"/>
        </w:rPr>
        <w:t xml:space="preserve"> prior to any annual or special meeting of shareholders and sets forth the information that must be included in the notice to </w:t>
      </w:r>
      <w:r>
        <w:rPr>
          <w:rFonts w:cstheme="minorHAnsi"/>
        </w:rPr>
        <w:t>the Company</w:t>
      </w:r>
      <w:r w:rsidRPr="0061594A">
        <w:rPr>
          <w:rFonts w:cstheme="minorHAnsi"/>
        </w:rPr>
        <w:t xml:space="preserve">.  No person will be eligible for election as a director of </w:t>
      </w:r>
      <w:r>
        <w:rPr>
          <w:rFonts w:cstheme="minorHAnsi"/>
        </w:rPr>
        <w:t xml:space="preserve">the Company </w:t>
      </w:r>
      <w:r w:rsidRPr="0061594A">
        <w:rPr>
          <w:rFonts w:cstheme="minorHAnsi"/>
        </w:rPr>
        <w:t xml:space="preserve">unless nominated in accordance with the Advance Notice </w:t>
      </w:r>
      <w:r>
        <w:rPr>
          <w:rFonts w:cstheme="minorHAnsi"/>
        </w:rPr>
        <w:t>Policy</w:t>
      </w:r>
      <w:r w:rsidRPr="0061594A">
        <w:rPr>
          <w:rFonts w:cstheme="minorHAnsi"/>
        </w:rPr>
        <w:t>.</w:t>
      </w:r>
    </w:p>
    <w:p w:rsidR="0061594A" w:rsidRPr="0061594A" w:rsidRDefault="007B13EF" w:rsidP="0061594A">
      <w:pPr>
        <w:pStyle w:val="BodyText"/>
        <w:jc w:val="both"/>
        <w:rPr>
          <w:rFonts w:cstheme="minorHAnsi"/>
        </w:rPr>
      </w:pPr>
      <w:r w:rsidRPr="0061594A">
        <w:rPr>
          <w:rFonts w:cstheme="minorHAnsi"/>
        </w:rPr>
        <w:t>In the case of an annual general meeting of shareholders, notice to</w:t>
      </w:r>
      <w:r>
        <w:rPr>
          <w:rFonts w:cstheme="minorHAnsi"/>
        </w:rPr>
        <w:t xml:space="preserve"> the Company</w:t>
      </w:r>
      <w:r w:rsidRPr="0061594A">
        <w:rPr>
          <w:rFonts w:cstheme="minorHAnsi"/>
        </w:rPr>
        <w:t xml:space="preserve"> must be made not less than 30 days and not more than 65 days prior to the date of the annual general meeting; provided, however, that, in the event that the annual general meeting is to be held on a date that is less than 50 days after the date on which the first public announcement of the date of the annual general meeting was made, notice may be made not later than the close of business on the 10th day following such public announcement.</w:t>
      </w:r>
    </w:p>
    <w:p w:rsidR="0061594A" w:rsidRPr="0061594A" w:rsidRDefault="007B13EF" w:rsidP="0061594A">
      <w:pPr>
        <w:pStyle w:val="BodyText"/>
        <w:jc w:val="both"/>
        <w:rPr>
          <w:rFonts w:cstheme="minorHAnsi"/>
        </w:rPr>
      </w:pPr>
      <w:r w:rsidRPr="0061594A">
        <w:rPr>
          <w:rFonts w:cstheme="minorHAnsi"/>
        </w:rPr>
        <w:t xml:space="preserve">In the case of a special meeting of shareholders called for the purpose of electing directors (whether or not called for other purposes), notice to </w:t>
      </w:r>
      <w:r>
        <w:rPr>
          <w:rFonts w:cstheme="minorHAnsi"/>
        </w:rPr>
        <w:t>the Company</w:t>
      </w:r>
      <w:r w:rsidRPr="0061594A">
        <w:rPr>
          <w:rFonts w:cstheme="minorHAnsi"/>
        </w:rPr>
        <w:t xml:space="preserve"> must be made not later than the close of business on the 15th day following the day on which the first public announcement of the date of the special meeting was made.</w:t>
      </w:r>
    </w:p>
    <w:p w:rsidR="00AB0364" w:rsidRDefault="007B13EF" w:rsidP="00AB0364">
      <w:pPr>
        <w:pStyle w:val="BodyText"/>
        <w:jc w:val="both"/>
        <w:rPr>
          <w:rFonts w:cstheme="minorHAnsi"/>
        </w:rPr>
      </w:pPr>
      <w:r w:rsidRPr="0061594A">
        <w:rPr>
          <w:rFonts w:cstheme="minorHAnsi"/>
        </w:rPr>
        <w:t xml:space="preserve">The full text of the Advance Notice </w:t>
      </w:r>
      <w:r>
        <w:rPr>
          <w:rFonts w:cstheme="minorHAnsi"/>
        </w:rPr>
        <w:t>Policy</w:t>
      </w:r>
      <w:r w:rsidRPr="0061594A">
        <w:rPr>
          <w:rFonts w:cstheme="minorHAnsi"/>
        </w:rPr>
        <w:t xml:space="preserve"> is available on SEDAR.</w:t>
      </w:r>
    </w:p>
    <w:p w:rsidR="00636441" w:rsidRDefault="00581D25" w:rsidP="00AB0364">
      <w:pPr>
        <w:pStyle w:val="BodyText"/>
        <w:jc w:val="both"/>
        <w:rPr>
          <w:rFonts w:cstheme="minorHAnsi"/>
        </w:rPr>
      </w:pPr>
    </w:p>
    <w:p w:rsidR="00636441" w:rsidRPr="00636441" w:rsidRDefault="007B13EF" w:rsidP="00425A24">
      <w:pPr>
        <w:pStyle w:val="BodyText"/>
        <w:spacing w:after="240"/>
        <w:jc w:val="both"/>
        <w:rPr>
          <w:rFonts w:cstheme="minorHAnsi"/>
          <w:b/>
        </w:rPr>
      </w:pPr>
      <w:r w:rsidRPr="00636441">
        <w:rPr>
          <w:rFonts w:cstheme="minorHAnsi"/>
          <w:b/>
        </w:rPr>
        <w:t>Investor Relations Consulting Agreement</w:t>
      </w:r>
    </w:p>
    <w:p w:rsidR="009947B7" w:rsidRPr="004F65E4" w:rsidRDefault="007B13EF" w:rsidP="00425A24">
      <w:pPr>
        <w:pStyle w:val="BodyText"/>
        <w:spacing w:after="240"/>
        <w:jc w:val="both"/>
        <w:rPr>
          <w:rFonts w:cstheme="minorHAnsi"/>
          <w:bCs/>
          <w:color w:val="000000"/>
        </w:rPr>
      </w:pPr>
      <w:r>
        <w:rPr>
          <w:rFonts w:cstheme="minorHAnsi"/>
          <w:b/>
          <w:bCs/>
          <w:color w:val="000000"/>
        </w:rPr>
        <w:t>About Laguna Blends Inc.</w:t>
      </w:r>
    </w:p>
    <w:p w:rsidR="00AB0364" w:rsidRDefault="007B13EF" w:rsidP="00E62E56">
      <w:pPr>
        <w:pStyle w:val="BodyText"/>
        <w:jc w:val="both"/>
        <w:rPr>
          <w:rFonts w:cstheme="minorHAnsi"/>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9947B7" w:rsidRPr="004F65E4" w:rsidRDefault="007B13EF" w:rsidP="00E62E56">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late</w:t>
      </w:r>
      <w:r w:rsidRPr="002A023D">
        <w:rPr>
          <w:rFonts w:cstheme="minorHAnsi"/>
          <w:color w:val="000000"/>
        </w:rPr>
        <w:t xml:space="preserve"> 2015.</w:t>
      </w:r>
    </w:p>
    <w:p w:rsidR="00AB0364" w:rsidRDefault="00581D25" w:rsidP="0061594A">
      <w:pPr>
        <w:pStyle w:val="BodyText"/>
        <w:keepNext/>
        <w:keepLines/>
        <w:jc w:val="both"/>
        <w:rPr>
          <w:rFonts w:cstheme="minorHAnsi"/>
          <w:b/>
          <w:bCs/>
          <w:color w:val="000000"/>
        </w:rPr>
      </w:pPr>
    </w:p>
    <w:p w:rsidR="009947B7" w:rsidRDefault="007B13EF" w:rsidP="00E62E56">
      <w:pPr>
        <w:pStyle w:val="BodyText"/>
        <w:jc w:val="both"/>
        <w:rPr>
          <w:rFonts w:cstheme="minorHAnsi"/>
          <w:b/>
          <w:bCs/>
          <w:color w:val="000000"/>
        </w:rPr>
      </w:pPr>
      <w:r>
        <w:rPr>
          <w:rFonts w:cstheme="minorHAnsi"/>
          <w:b/>
          <w:bCs/>
          <w:color w:val="000000"/>
        </w:rPr>
        <w:t>ON BEHALF OF THE BOARD</w:t>
      </w:r>
    </w:p>
    <w:p w:rsidR="009947B7" w:rsidRPr="009D2B3E" w:rsidRDefault="007B13EF" w:rsidP="00E62E56">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D95D67" w:rsidRDefault="007B13EF" w:rsidP="00E62E56">
      <w:pPr>
        <w:shd w:val="clear" w:color="auto" w:fill="FFFFFF"/>
        <w:spacing w:after="180"/>
        <w:rPr>
          <w:rFonts w:cstheme="minorHAnsi"/>
          <w:color w:val="000000"/>
        </w:rPr>
      </w:pPr>
      <w:r>
        <w:rPr>
          <w:rFonts w:cstheme="minorHAnsi"/>
          <w:color w:val="000000"/>
        </w:rPr>
        <w:br/>
        <w:t>President, Chief Executive Officer,</w:t>
      </w:r>
      <w:r>
        <w:rPr>
          <w:rFonts w:cstheme="minorHAnsi"/>
          <w:color w:val="000000"/>
        </w:rPr>
        <w:br/>
        <w:t xml:space="preserve">Chief Financial Officer and Director </w:t>
      </w:r>
    </w:p>
    <w:p w:rsidR="00D95D67" w:rsidRDefault="00581D25" w:rsidP="00E62E56">
      <w:pPr>
        <w:shd w:val="clear" w:color="auto" w:fill="FFFFFF"/>
        <w:spacing w:after="180"/>
        <w:rPr>
          <w:rFonts w:cstheme="minorHAnsi"/>
          <w:color w:val="000000"/>
        </w:rPr>
      </w:pPr>
    </w:p>
    <w:p w:rsidR="00EB7907" w:rsidRDefault="007B13EF" w:rsidP="00E62E56">
      <w:pPr>
        <w:shd w:val="clear" w:color="auto" w:fill="FFFFFF"/>
        <w:spacing w:after="180"/>
        <w:rPr>
          <w:rFonts w:cstheme="minorHAnsi"/>
          <w:b/>
          <w:bCs/>
          <w:color w:val="000000"/>
        </w:rPr>
      </w:pPr>
      <w:r w:rsidRPr="00D95D67">
        <w:rPr>
          <w:rFonts w:cstheme="minorHAnsi"/>
          <w:b/>
          <w:bCs/>
          <w:color w:val="000000"/>
        </w:rPr>
        <w:t xml:space="preserve">FOR INVESTOR RELATIONS INFORMATION PLEASE CONTACT: </w:t>
      </w:r>
      <w:r w:rsidR="00EB7907">
        <w:rPr>
          <w:rFonts w:cstheme="minorHAnsi"/>
          <w:b/>
          <w:bCs/>
          <w:color w:val="000000"/>
        </w:rPr>
        <w:br/>
      </w:r>
      <w:r w:rsidR="008E743E">
        <w:rPr>
          <w:rFonts w:cstheme="minorHAnsi"/>
          <w:b/>
          <w:bCs/>
          <w:color w:val="000000"/>
        </w:rPr>
        <w:t>Glen</w:t>
      </w:r>
      <w:r w:rsidR="00EB7907">
        <w:rPr>
          <w:rFonts w:cstheme="minorHAnsi"/>
          <w:b/>
          <w:bCs/>
          <w:color w:val="000000"/>
        </w:rPr>
        <w:t>n</w:t>
      </w:r>
      <w:r w:rsidR="008E743E">
        <w:rPr>
          <w:rFonts w:cstheme="minorHAnsi"/>
          <w:b/>
          <w:bCs/>
          <w:color w:val="000000"/>
        </w:rPr>
        <w:t xml:space="preserve"> </w:t>
      </w:r>
      <w:proofErr w:type="spellStart"/>
      <w:r w:rsidR="008E743E">
        <w:rPr>
          <w:rFonts w:cstheme="minorHAnsi"/>
          <w:b/>
          <w:bCs/>
          <w:color w:val="000000"/>
        </w:rPr>
        <w:t>Cadero</w:t>
      </w:r>
      <w:proofErr w:type="spellEnd"/>
      <w:r w:rsidR="008E743E">
        <w:rPr>
          <w:rFonts w:cstheme="minorHAnsi"/>
          <w:b/>
          <w:bCs/>
          <w:color w:val="000000"/>
        </w:rPr>
        <w:t xml:space="preserve"> </w:t>
      </w:r>
      <w:proofErr w:type="spellStart"/>
      <w:r w:rsidR="00E220C5">
        <w:rPr>
          <w:rFonts w:cstheme="minorHAnsi"/>
          <w:b/>
          <w:bCs/>
          <w:color w:val="000000"/>
        </w:rPr>
        <w:t>Shand</w:t>
      </w:r>
      <w:proofErr w:type="spellEnd"/>
      <w:r w:rsidR="00E220C5">
        <w:rPr>
          <w:rFonts w:cstheme="minorHAnsi"/>
          <w:b/>
          <w:bCs/>
          <w:color w:val="000000"/>
        </w:rPr>
        <w:t xml:space="preserve"> a</w:t>
      </w:r>
      <w:bookmarkStart w:id="0" w:name="_GoBack"/>
      <w:bookmarkEnd w:id="0"/>
      <w:r w:rsidR="00EB7907">
        <w:rPr>
          <w:rFonts w:cstheme="minorHAnsi"/>
          <w:b/>
          <w:bCs/>
          <w:color w:val="000000"/>
        </w:rPr>
        <w:t>nd Associates, LLC</w:t>
      </w:r>
      <w:r w:rsidR="00EB7907">
        <w:rPr>
          <w:rFonts w:cstheme="minorHAnsi"/>
          <w:b/>
          <w:bCs/>
          <w:color w:val="000000"/>
        </w:rPr>
        <w:br/>
        <w:t xml:space="preserve">Glenn </w:t>
      </w:r>
      <w:proofErr w:type="spellStart"/>
      <w:r w:rsidR="00EB7907">
        <w:rPr>
          <w:rFonts w:cstheme="minorHAnsi"/>
          <w:b/>
          <w:bCs/>
          <w:color w:val="000000"/>
        </w:rPr>
        <w:t>Shand</w:t>
      </w:r>
      <w:proofErr w:type="spellEnd"/>
      <w:r w:rsidR="00E220C5">
        <w:rPr>
          <w:rFonts w:cstheme="minorHAnsi"/>
          <w:b/>
          <w:bCs/>
          <w:color w:val="000000"/>
        </w:rPr>
        <w:t xml:space="preserve"> – Consultant </w:t>
      </w:r>
      <w:r w:rsidR="00EB7907">
        <w:rPr>
          <w:rFonts w:cstheme="minorHAnsi"/>
          <w:b/>
          <w:bCs/>
          <w:color w:val="000000"/>
        </w:rPr>
        <w:br/>
        <w:t>1-602-284-3840</w:t>
      </w:r>
      <w:r w:rsidR="00E220C5">
        <w:rPr>
          <w:rFonts w:cstheme="minorHAnsi"/>
          <w:b/>
          <w:bCs/>
          <w:color w:val="000000"/>
        </w:rPr>
        <w:t xml:space="preserve"> </w:t>
      </w:r>
      <w:r w:rsidR="00EB7907">
        <w:rPr>
          <w:rFonts w:cstheme="minorHAnsi"/>
          <w:b/>
          <w:bCs/>
          <w:color w:val="000000"/>
        </w:rPr>
        <w:br/>
      </w:r>
      <w:hyperlink r:id="rId8" w:history="1">
        <w:r w:rsidR="00EB7907" w:rsidRPr="00BA678C">
          <w:rPr>
            <w:rStyle w:val="Hyperlink"/>
            <w:rFonts w:cstheme="minorHAnsi"/>
          </w:rPr>
          <w:t>gshand2009@gmail.com</w:t>
        </w:r>
      </w:hyperlink>
      <w:r w:rsidR="00EB7907">
        <w:rPr>
          <w:rFonts w:cstheme="minorHAnsi"/>
          <w:b/>
          <w:bCs/>
          <w:color w:val="000000"/>
        </w:rPr>
        <w:t xml:space="preserve"> </w:t>
      </w:r>
      <w:r w:rsidR="00EB7907">
        <w:rPr>
          <w:rFonts w:cstheme="minorHAnsi"/>
          <w:b/>
          <w:bCs/>
          <w:color w:val="000000"/>
        </w:rPr>
        <w:br/>
      </w:r>
    </w:p>
    <w:p w:rsidR="00000000" w:rsidRDefault="00EB7907">
      <w:pPr>
        <w:shd w:val="clear" w:color="auto" w:fill="FFFFFF"/>
        <w:spacing w:after="180"/>
        <w:rPr>
          <w:rFonts w:cstheme="minorHAnsi"/>
          <w:bCs/>
          <w:color w:val="000000"/>
          <w:u w:val="single"/>
        </w:rPr>
      </w:pPr>
      <w:r>
        <w:rPr>
          <w:rFonts w:cstheme="minorHAnsi"/>
          <w:b/>
          <w:bCs/>
          <w:color w:val="000000"/>
        </w:rPr>
        <w:t>Laguna Blends Inc. – Business and Media Inquiries</w:t>
      </w:r>
      <w:r>
        <w:rPr>
          <w:rFonts w:cstheme="minorHAnsi"/>
          <w:b/>
          <w:bCs/>
          <w:color w:val="000000"/>
        </w:rPr>
        <w:br/>
      </w:r>
      <w:r w:rsidR="007B13EF">
        <w:rPr>
          <w:rFonts w:cstheme="minorHAnsi"/>
          <w:b/>
          <w:bCs/>
          <w:color w:val="000000"/>
        </w:rPr>
        <w:t>Stuart Gray</w:t>
      </w:r>
      <w:r w:rsidR="00E220C5">
        <w:rPr>
          <w:rFonts w:cstheme="minorHAnsi"/>
          <w:b/>
          <w:bCs/>
          <w:color w:val="000000"/>
        </w:rPr>
        <w:t xml:space="preserve"> – President and CEO </w:t>
      </w:r>
      <w:r w:rsidR="007B13EF">
        <w:rPr>
          <w:rFonts w:cstheme="minorHAnsi"/>
          <w:b/>
          <w:bCs/>
          <w:color w:val="000000"/>
        </w:rPr>
        <w:br/>
        <w:t>250 868 0787</w:t>
      </w:r>
      <w:r w:rsidR="007B13EF">
        <w:rPr>
          <w:rFonts w:cstheme="minorHAnsi"/>
          <w:b/>
          <w:bCs/>
          <w:color w:val="000000"/>
        </w:rPr>
        <w:br/>
      </w:r>
      <w:r w:rsidR="007B13EF" w:rsidRPr="00810BD2">
        <w:rPr>
          <w:rStyle w:val="Hyperlink"/>
          <w:rFonts w:cstheme="minorHAnsi"/>
          <w:u w:val="single"/>
        </w:rPr>
        <w:t>ceo@lagunablends.comwww.lagunablends.com</w:t>
      </w:r>
    </w:p>
    <w:p w:rsidR="00810BD2" w:rsidRPr="00810BD2" w:rsidRDefault="007B13EF" w:rsidP="00D37092">
      <w:pPr>
        <w:keepNext/>
        <w:keepLines/>
        <w:shd w:val="clear" w:color="auto" w:fill="FFFFFF"/>
        <w:spacing w:after="180"/>
        <w:rPr>
          <w:rFonts w:cstheme="minorHAnsi"/>
          <w:b/>
          <w:color w:val="000000"/>
        </w:rPr>
      </w:pPr>
      <w:r w:rsidRPr="00810BD2">
        <w:rPr>
          <w:rFonts w:cstheme="minorHAnsi"/>
          <w:b/>
          <w:color w:val="000000"/>
        </w:rPr>
        <w:t>Forward-Looking Information:</w:t>
      </w:r>
    </w:p>
    <w:p w:rsidR="00810BD2" w:rsidRPr="00810BD2" w:rsidRDefault="007B13EF" w:rsidP="00D37092">
      <w:pPr>
        <w:keepNext/>
        <w:shd w:val="clear" w:color="auto" w:fill="FFFFFF"/>
        <w:spacing w:after="180"/>
        <w:jc w:val="both"/>
        <w:rPr>
          <w:rFonts w:cstheme="minorHAnsi"/>
          <w:i/>
          <w:color w:val="000000"/>
        </w:rPr>
      </w:pPr>
      <w:r w:rsidRPr="00810BD2">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w:t>
      </w:r>
      <w:r>
        <w:rPr>
          <w:rFonts w:cstheme="minorHAnsi"/>
          <w:i/>
          <w:color w:val="000000"/>
        </w:rPr>
        <w:t xml:space="preserve">rward-looking information. Such </w:t>
      </w:r>
      <w:r w:rsidRPr="00810BD2">
        <w:rPr>
          <w:rFonts w:cstheme="minorHAnsi"/>
          <w:i/>
          <w:color w:val="000000"/>
        </w:rPr>
        <w:t>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w:t>
      </w:r>
      <w:r>
        <w:rPr>
          <w:rFonts w:cstheme="minorHAnsi"/>
          <w:i/>
          <w:color w:val="000000"/>
        </w:rPr>
        <w:t xml:space="preserve"> </w:t>
      </w:r>
      <w:r w:rsidRPr="00810BD2">
        <w:rPr>
          <w:rFonts w:cstheme="minorHAnsi"/>
          <w:i/>
          <w:color w:val="000000"/>
        </w:rPr>
        <w:t>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810BD2" w:rsidRPr="00810BD2" w:rsidSect="00C24D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25" w:rsidRDefault="00581D25" w:rsidP="003C1B5A">
      <w:pPr>
        <w:spacing w:after="0" w:line="240" w:lineRule="auto"/>
      </w:pPr>
      <w:r>
        <w:separator/>
      </w:r>
    </w:p>
  </w:endnote>
  <w:endnote w:type="continuationSeparator" w:id="0">
    <w:p w:rsidR="00581D25" w:rsidRDefault="00581D25" w:rsidP="003C1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E8" w:rsidRDefault="00581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16451D" w:rsidRDefault="00581D25" w:rsidP="009A3745">
    <w:pPr>
      <w:pStyle w:val="Footer"/>
      <w:rPr>
        <w:rFonts w:ascii="Times New Roman" w:hAnsi="Times New Roman" w:cs="Times New Roman"/>
        <w:color w:val="000000"/>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581D25" w:rsidP="00AC6C5B">
    <w:pPr>
      <w:pStyle w:val="Footer"/>
      <w:jc w:val="right"/>
      <w:rPr>
        <w:rFonts w:ascii="Times New Roman" w:hAnsi="Times New Roman" w:cs="Times New Roman"/>
        <w:color w:val="000000"/>
        <w:sz w:val="16"/>
      </w:rPr>
    </w:pPr>
  </w:p>
  <w:p w:rsidR="00710F6B" w:rsidRPr="0016451D" w:rsidRDefault="00581D25"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25" w:rsidRDefault="00581D25" w:rsidP="003C1B5A">
      <w:pPr>
        <w:spacing w:after="0" w:line="240" w:lineRule="auto"/>
      </w:pPr>
      <w:r>
        <w:separator/>
      </w:r>
    </w:p>
  </w:footnote>
  <w:footnote w:type="continuationSeparator" w:id="0">
    <w:p w:rsidR="00581D25" w:rsidRDefault="00581D25" w:rsidP="003C1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E8" w:rsidRDefault="00581D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581D25"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581D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E8" w:rsidRDefault="00581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w15:presenceInfo w15:providerId="Windows Live" w15:userId="7d1f36b23c7e48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C1B5A"/>
    <w:rsid w:val="002730D2"/>
    <w:rsid w:val="003C1B5A"/>
    <w:rsid w:val="00581D25"/>
    <w:rsid w:val="006D0357"/>
    <w:rsid w:val="007B13EF"/>
    <w:rsid w:val="008E743E"/>
    <w:rsid w:val="00901D41"/>
    <w:rsid w:val="00985A9F"/>
    <w:rsid w:val="00A54050"/>
    <w:rsid w:val="00AD2272"/>
    <w:rsid w:val="00C413E9"/>
    <w:rsid w:val="00C447E5"/>
    <w:rsid w:val="00CD4D68"/>
    <w:rsid w:val="00E1718D"/>
    <w:rsid w:val="00E220C5"/>
    <w:rsid w:val="00EA4462"/>
    <w:rsid w:val="00EB79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shand2009@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stuartgray</dc:creator>
  <cp:keywords>CW9026301.1</cp:keywords>
  <cp:lastModifiedBy>Negar</cp:lastModifiedBy>
  <cp:revision>2</cp:revision>
  <dcterms:created xsi:type="dcterms:W3CDTF">2015-11-18T20:36:00Z</dcterms:created>
  <dcterms:modified xsi:type="dcterms:W3CDTF">2015-11-18T20:36:00Z</dcterms:modified>
</cp:coreProperties>
</file>