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0213C2">
        <w:rPr>
          <w:rFonts w:ascii="Arial" w:hAnsi="Arial"/>
          <w:u w:val="single"/>
          <w:lang w:val="en-CA"/>
        </w:rPr>
        <w:t xml:space="preserve">Laguna Blends Inc. (formerly </w:t>
      </w:r>
      <w:r w:rsidR="00E771B7">
        <w:rPr>
          <w:rFonts w:ascii="Arial" w:hAnsi="Arial"/>
          <w:u w:val="single"/>
          <w:lang w:val="en-CA"/>
        </w:rPr>
        <w:t>Grenadier Resource Corp.</w:t>
      </w:r>
      <w:r w:rsidR="000213C2">
        <w:rPr>
          <w:rFonts w:ascii="Arial" w:hAnsi="Arial"/>
          <w:u w:val="single"/>
          <w:lang w:val="en-CA"/>
        </w:rPr>
        <w:t xml:space="preserve">) </w:t>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proofErr w:type="gramStart"/>
      <w:r>
        <w:rPr>
          <w:rFonts w:ascii="Arial" w:hAnsi="Arial"/>
          <w:lang w:val="en-CA"/>
        </w:rPr>
        <w:t xml:space="preserve">Trading Symbol:  </w:t>
      </w:r>
      <w:r>
        <w:rPr>
          <w:rFonts w:ascii="Arial" w:hAnsi="Arial"/>
          <w:u w:val="single"/>
          <w:lang w:val="en-CA"/>
        </w:rPr>
        <w:tab/>
      </w:r>
      <w:r>
        <w:rPr>
          <w:rFonts w:ascii="Arial" w:hAnsi="Arial"/>
          <w:u w:val="single"/>
          <w:lang w:val="en-CA"/>
        </w:rPr>
        <w:tab/>
      </w:r>
      <w:r w:rsidR="000213C2">
        <w:rPr>
          <w:rFonts w:ascii="Arial" w:hAnsi="Arial"/>
          <w:u w:val="single"/>
          <w:lang w:val="en-CA"/>
        </w:rPr>
        <w:t>LAG</w:t>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7B6BCA">
        <w:rPr>
          <w:rFonts w:ascii="Arial" w:hAnsi="Arial"/>
          <w:u w:val="single"/>
          <w:lang w:val="en-CA"/>
        </w:rPr>
        <w:t>November 5</w:t>
      </w:r>
      <w:r w:rsidR="000213C2">
        <w:rPr>
          <w:rFonts w:ascii="Arial" w:hAnsi="Arial"/>
          <w:u w:val="single"/>
          <w:lang w:val="en-CA"/>
        </w:rPr>
        <w:t>, 2015</w:t>
      </w:r>
      <w:r>
        <w:rPr>
          <w:rFonts w:ascii="Arial" w:hAnsi="Arial"/>
          <w:u w:val="single"/>
          <w:lang w:val="en-CA"/>
        </w:rPr>
        <w:tab/>
      </w:r>
      <w:r>
        <w:rPr>
          <w:rFonts w:ascii="Arial" w:hAnsi="Arial"/>
          <w:u w:val="single"/>
          <w:lang w:val="en-CA"/>
        </w:rPr>
        <w:tab/>
      </w:r>
      <w:r>
        <w:rPr>
          <w:rFonts w:ascii="Arial" w:hAnsi="Arial"/>
          <w:u w:val="single"/>
          <w:lang w:val="en-CA"/>
        </w:rPr>
        <w:tab/>
      </w:r>
      <w:r w:rsidR="000213C2">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0213C2">
        <w:rPr>
          <w:rFonts w:ascii="Arial" w:hAnsi="Arial"/>
          <w:lang w:val="en-CA"/>
        </w:rPr>
        <w:sym w:font="Wingdings 2" w:char="F054"/>
      </w:r>
      <w:r>
        <w:rPr>
          <w:rFonts w:ascii="Arial" w:hAnsi="Arial"/>
          <w:lang w:val="en-CA"/>
        </w:rPr>
        <w:t>Yes</w:t>
      </w:r>
      <w:r>
        <w:rPr>
          <w:rFonts w:ascii="Arial" w:hAnsi="Arial"/>
          <w:lang w:val="en-CA"/>
        </w:rPr>
        <w:tab/>
      </w:r>
      <w:r>
        <w:rPr>
          <w:rFonts w:ascii="Arial" w:hAnsi="Arial"/>
          <w:lang w:val="en-CA"/>
        </w:rPr>
        <w:tab/>
      </w:r>
      <w:r w:rsidR="000213C2">
        <w:rPr>
          <w:rFonts w:ascii="Arial" w:hAnsi="Arial"/>
          <w:lang w:val="en-CA"/>
        </w:rPr>
        <w:sym w:font="Monotype Sorts" w:char="F07F"/>
      </w:r>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w:t>
      </w:r>
      <w:r w:rsidR="00011154">
        <w:rPr>
          <w:rFonts w:ascii="Arial" w:hAnsi="Arial"/>
          <w:u w:val="single"/>
          <w:lang w:val="en-CA"/>
        </w:rPr>
        <w:t>July 30, 2015</w:t>
      </w:r>
      <w:r w:rsidR="007B6BCA">
        <w:rPr>
          <w:rFonts w:ascii="Arial" w:hAnsi="Arial"/>
          <w:u w:val="single"/>
          <w:lang w:val="en-CA"/>
        </w:rPr>
        <w:t xml:space="preserve">, </w:t>
      </w:r>
      <w:r w:rsidR="00DD7347">
        <w:rPr>
          <w:rFonts w:ascii="Arial" w:hAnsi="Arial"/>
          <w:u w:val="single"/>
          <w:lang w:val="en-CA"/>
        </w:rPr>
        <w:t>September 30, 2015</w:t>
      </w:r>
      <w:r w:rsidR="007B6BCA">
        <w:rPr>
          <w:rFonts w:ascii="Arial" w:hAnsi="Arial"/>
          <w:u w:val="single"/>
          <w:lang w:val="en-CA"/>
        </w:rPr>
        <w:t xml:space="preserve"> October 29, 2015</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872083">
        <w:rPr>
          <w:rFonts w:ascii="Arial" w:hAnsi="Arial"/>
          <w:lang w:val="en-CA"/>
        </w:rPr>
        <w:t xml:space="preserve">:  </w:t>
      </w:r>
      <w:r w:rsidR="00E771B7" w:rsidRPr="00872083">
        <w:rPr>
          <w:rFonts w:ascii="Arial" w:hAnsi="Arial"/>
          <w:u w:val="single"/>
          <w:lang w:val="en-CA"/>
        </w:rPr>
        <w:t xml:space="preserve">   </w:t>
      </w:r>
      <w:r w:rsidR="00D6549A">
        <w:rPr>
          <w:rFonts w:ascii="Arial" w:hAnsi="Arial"/>
          <w:u w:val="single"/>
          <w:lang w:val="en-CA"/>
        </w:rPr>
        <w:t>45,612,797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E771B7">
        <w:rPr>
          <w:rFonts w:ascii="Arial" w:hAnsi="Arial"/>
          <w:u w:val="single"/>
          <w:lang w:val="en-CA"/>
        </w:rPr>
        <w:t xml:space="preserve">  </w:t>
      </w:r>
      <w:r w:rsidR="00011154">
        <w:rPr>
          <w:rFonts w:ascii="Arial" w:hAnsi="Arial"/>
          <w:u w:val="single"/>
          <w:lang w:val="en-CA"/>
        </w:rPr>
        <w:t>July 30, 2015</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E771B7">
        <w:rPr>
          <w:rFonts w:ascii="Arial" w:hAnsi="Arial"/>
          <w:u w:val="single"/>
          <w:lang w:val="en-CA"/>
        </w:rPr>
        <w:t xml:space="preserve">  $0.</w:t>
      </w:r>
      <w:r w:rsidR="00011154">
        <w:rPr>
          <w:rFonts w:ascii="Arial" w:hAnsi="Arial"/>
          <w:u w:val="single"/>
          <w:lang w:val="en-CA"/>
        </w:rPr>
        <w:t>27</w:t>
      </w:r>
      <w:r>
        <w:rPr>
          <w:rFonts w:ascii="Arial" w:hAnsi="Arial"/>
          <w:lang w:val="en-CA"/>
        </w:rPr>
        <w:t>___</w:t>
      </w:r>
    </w:p>
    <w:p w:rsidR="00A90670" w:rsidRDefault="00EA4133" w:rsidP="00E4250B">
      <w:pPr>
        <w:pStyle w:val="BodyText"/>
        <w:spacing w:before="0" w:after="240"/>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9"/>
        <w:gridCol w:w="1699"/>
        <w:gridCol w:w="1260"/>
        <w:gridCol w:w="1170"/>
        <w:gridCol w:w="1350"/>
        <w:gridCol w:w="1440"/>
        <w:gridCol w:w="1537"/>
        <w:gridCol w:w="1100"/>
        <w:gridCol w:w="1100"/>
      </w:tblGrid>
      <w:tr w:rsidR="0059221C" w:rsidTr="00E4250B">
        <w:trPr>
          <w:trHeight w:val="1965"/>
          <w:tblHeader/>
          <w:jc w:val="center"/>
        </w:trPr>
        <w:tc>
          <w:tcPr>
            <w:tcW w:w="419" w:type="dxa"/>
          </w:tcPr>
          <w:p w:rsidR="0059221C" w:rsidRDefault="0059221C">
            <w:pPr>
              <w:pStyle w:val="BodyText"/>
              <w:spacing w:before="0" w:line="280" w:lineRule="exact"/>
              <w:jc w:val="center"/>
              <w:rPr>
                <w:rFonts w:ascii="Arial" w:hAnsi="Arial"/>
                <w:b/>
                <w:sz w:val="20"/>
                <w:lang w:val="en-CA"/>
              </w:rPr>
            </w:pPr>
          </w:p>
        </w:tc>
        <w:tc>
          <w:tcPr>
            <w:tcW w:w="1699" w:type="dxa"/>
          </w:tcPr>
          <w:p w:rsidR="0059221C" w:rsidRPr="00E4250B" w:rsidRDefault="0059221C">
            <w:pPr>
              <w:pStyle w:val="BodyText"/>
              <w:spacing w:before="0" w:line="280" w:lineRule="exact"/>
              <w:jc w:val="center"/>
              <w:rPr>
                <w:rFonts w:ascii="Arial" w:hAnsi="Arial"/>
                <w:b/>
                <w:sz w:val="16"/>
                <w:szCs w:val="16"/>
                <w:lang w:val="en-CA"/>
              </w:rPr>
            </w:pPr>
          </w:p>
          <w:p w:rsidR="0059221C"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 xml:space="preserve">Full Name &amp; Residential Address of </w:t>
            </w:r>
            <w:proofErr w:type="spellStart"/>
            <w:r w:rsidRPr="00E4250B">
              <w:rPr>
                <w:rFonts w:ascii="Arial" w:hAnsi="Arial"/>
                <w:b/>
                <w:sz w:val="16"/>
                <w:szCs w:val="16"/>
                <w:lang w:val="en-CA"/>
              </w:rPr>
              <w:t>Placee</w:t>
            </w:r>
            <w:proofErr w:type="spellEnd"/>
          </w:p>
          <w:p w:rsidR="00765757" w:rsidRPr="00E4250B" w:rsidRDefault="00765757">
            <w:pPr>
              <w:pStyle w:val="BodyText"/>
              <w:spacing w:before="0" w:line="280" w:lineRule="exact"/>
              <w:jc w:val="center"/>
              <w:rPr>
                <w:rFonts w:ascii="Arial" w:hAnsi="Arial"/>
                <w:b/>
                <w:sz w:val="16"/>
                <w:szCs w:val="16"/>
                <w:lang w:val="en-CA"/>
              </w:rPr>
            </w:pPr>
            <w:r>
              <w:rPr>
                <w:rFonts w:ascii="Arial" w:hAnsi="Arial"/>
                <w:b/>
                <w:sz w:val="16"/>
                <w:szCs w:val="16"/>
                <w:lang w:val="en-CA"/>
              </w:rPr>
              <w:t>(City and Province)</w:t>
            </w:r>
          </w:p>
        </w:tc>
        <w:tc>
          <w:tcPr>
            <w:tcW w:w="1260" w:type="dxa"/>
          </w:tcPr>
          <w:p w:rsidR="0059221C" w:rsidRPr="00E4250B" w:rsidRDefault="0059221C">
            <w:pPr>
              <w:pStyle w:val="BodyText"/>
              <w:spacing w:before="0" w:line="280" w:lineRule="exact"/>
              <w:jc w:val="center"/>
              <w:rPr>
                <w:rFonts w:ascii="Arial" w:hAnsi="Arial"/>
                <w:b/>
                <w:sz w:val="16"/>
                <w:szCs w:val="16"/>
                <w:lang w:val="en-CA"/>
              </w:rPr>
            </w:pPr>
          </w:p>
          <w:p w:rsidR="0059221C"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Number of Securities Purchased or to be Purchased</w:t>
            </w:r>
          </w:p>
          <w:p w:rsidR="004B3369" w:rsidRPr="00E4250B" w:rsidRDefault="004B3369">
            <w:pPr>
              <w:pStyle w:val="BodyText"/>
              <w:spacing w:before="0" w:line="280" w:lineRule="exact"/>
              <w:jc w:val="center"/>
              <w:rPr>
                <w:rFonts w:ascii="Arial" w:hAnsi="Arial"/>
                <w:b/>
                <w:sz w:val="16"/>
                <w:szCs w:val="16"/>
                <w:lang w:val="en-CA"/>
              </w:rPr>
            </w:pPr>
            <w:r>
              <w:rPr>
                <w:rFonts w:ascii="Arial" w:hAnsi="Arial"/>
                <w:b/>
                <w:sz w:val="16"/>
                <w:szCs w:val="16"/>
                <w:lang w:val="en-CA"/>
              </w:rPr>
              <w:t>(Units)</w:t>
            </w:r>
          </w:p>
        </w:tc>
        <w:tc>
          <w:tcPr>
            <w:tcW w:w="117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Purchase price per Security (CDN$)</w:t>
            </w:r>
          </w:p>
        </w:tc>
        <w:tc>
          <w:tcPr>
            <w:tcW w:w="135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Conversion</w:t>
            </w: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Price (if</w:t>
            </w: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Applicable)</w:t>
            </w:r>
          </w:p>
        </w:tc>
        <w:tc>
          <w:tcPr>
            <w:tcW w:w="144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Prospectus Exemption</w:t>
            </w:r>
          </w:p>
        </w:tc>
        <w:tc>
          <w:tcPr>
            <w:tcW w:w="1537" w:type="dxa"/>
          </w:tcPr>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rPr>
              <w:t>No. of Securities, directly or indirectly, Owned, Controlled or Directed</w:t>
            </w:r>
          </w:p>
        </w:tc>
        <w:tc>
          <w:tcPr>
            <w:tcW w:w="1100" w:type="dxa"/>
          </w:tcPr>
          <w:p w:rsidR="0059221C" w:rsidRPr="00E4250B" w:rsidRDefault="0059221C">
            <w:pPr>
              <w:pStyle w:val="BodyText"/>
              <w:spacing w:before="0" w:line="280" w:lineRule="exact"/>
              <w:jc w:val="center"/>
              <w:rPr>
                <w:rFonts w:ascii="Arial" w:hAnsi="Arial"/>
                <w:b/>
                <w:sz w:val="16"/>
                <w:szCs w:val="16"/>
                <w:lang w:val="en-CA"/>
              </w:rPr>
            </w:pPr>
          </w:p>
          <w:p w:rsidR="0059221C" w:rsidRPr="00E4250B" w:rsidRDefault="0059221C">
            <w:pPr>
              <w:pStyle w:val="BodyText"/>
              <w:spacing w:before="0" w:line="280" w:lineRule="exact"/>
              <w:jc w:val="center"/>
              <w:rPr>
                <w:rFonts w:ascii="Arial" w:hAnsi="Arial"/>
                <w:b/>
                <w:sz w:val="16"/>
                <w:szCs w:val="16"/>
                <w:lang w:val="en-CA"/>
              </w:rPr>
            </w:pPr>
            <w:r w:rsidRPr="00E4250B">
              <w:rPr>
                <w:rFonts w:ascii="Arial" w:hAnsi="Arial"/>
                <w:b/>
                <w:sz w:val="16"/>
                <w:szCs w:val="16"/>
                <w:lang w:val="en-CA"/>
              </w:rPr>
              <w:t>Payment Date</w:t>
            </w:r>
            <w:r w:rsidRPr="00E4250B">
              <w:rPr>
                <w:rFonts w:ascii="Arial" w:hAnsi="Arial"/>
                <w:b/>
                <w:sz w:val="16"/>
                <w:szCs w:val="16"/>
                <w:vertAlign w:val="superscript"/>
                <w:lang w:val="en-CA"/>
              </w:rPr>
              <w:t>(1)</w:t>
            </w:r>
          </w:p>
        </w:tc>
        <w:tc>
          <w:tcPr>
            <w:tcW w:w="1100" w:type="dxa"/>
          </w:tcPr>
          <w:p w:rsidR="0059221C" w:rsidRPr="00E4250B" w:rsidRDefault="0059221C">
            <w:pPr>
              <w:pStyle w:val="BodyText"/>
              <w:spacing w:before="0" w:line="280" w:lineRule="exact"/>
              <w:jc w:val="center"/>
              <w:rPr>
                <w:rFonts w:ascii="Arial" w:hAnsi="Arial"/>
                <w:b/>
                <w:color w:val="000000"/>
                <w:sz w:val="16"/>
                <w:szCs w:val="16"/>
                <w:lang w:val="en-CA"/>
              </w:rPr>
            </w:pPr>
          </w:p>
          <w:p w:rsidR="0059221C" w:rsidRPr="00E4250B" w:rsidRDefault="0059221C">
            <w:pPr>
              <w:pStyle w:val="BodyText"/>
              <w:spacing w:before="0" w:line="280" w:lineRule="exact"/>
              <w:jc w:val="center"/>
              <w:rPr>
                <w:rFonts w:ascii="Arial" w:hAnsi="Arial"/>
                <w:b/>
                <w:color w:val="000000"/>
                <w:sz w:val="16"/>
                <w:szCs w:val="16"/>
                <w:lang w:val="en-CA"/>
              </w:rPr>
            </w:pPr>
            <w:r w:rsidRPr="00E4250B">
              <w:rPr>
                <w:rFonts w:ascii="Arial" w:hAnsi="Arial"/>
                <w:b/>
                <w:color w:val="000000"/>
                <w:sz w:val="16"/>
                <w:szCs w:val="16"/>
                <w:lang w:val="en-CA"/>
              </w:rPr>
              <w:t xml:space="preserve">Describe relations-hip to Issuer </w:t>
            </w:r>
            <w:r w:rsidRPr="00E4250B">
              <w:rPr>
                <w:rFonts w:ascii="Arial" w:hAnsi="Arial"/>
                <w:b/>
                <w:color w:val="000000"/>
                <w:sz w:val="16"/>
                <w:szCs w:val="16"/>
                <w:vertAlign w:val="superscript"/>
                <w:lang w:val="en-CA"/>
              </w:rPr>
              <w:t>(2)</w:t>
            </w:r>
          </w:p>
        </w:tc>
      </w:tr>
      <w:tr w:rsidR="00C4122F" w:rsidTr="00574966">
        <w:trPr>
          <w:trHeight w:val="864"/>
          <w:jc w:val="center"/>
        </w:trPr>
        <w:tc>
          <w:tcPr>
            <w:tcW w:w="419" w:type="dxa"/>
          </w:tcPr>
          <w:p w:rsidR="00C4122F" w:rsidRDefault="00C4122F" w:rsidP="0059221C">
            <w:pPr>
              <w:pStyle w:val="BodyText"/>
              <w:rPr>
                <w:rFonts w:ascii="Arial" w:hAnsi="Arial"/>
                <w:lang w:val="en-CA"/>
              </w:rPr>
            </w:pPr>
          </w:p>
        </w:tc>
        <w:tc>
          <w:tcPr>
            <w:tcW w:w="1699" w:type="dxa"/>
          </w:tcPr>
          <w:p w:rsidR="00EE14B7" w:rsidRDefault="00D6549A" w:rsidP="00574966">
            <w:pPr>
              <w:pStyle w:val="BodyText"/>
              <w:spacing w:before="0"/>
              <w:rPr>
                <w:rFonts w:ascii="Arial" w:hAnsi="Arial" w:cs="Arial"/>
                <w:sz w:val="20"/>
                <w:lang w:val="en-CA"/>
              </w:rPr>
            </w:pPr>
            <w:r>
              <w:rPr>
                <w:rFonts w:ascii="Arial" w:hAnsi="Arial" w:cs="Arial"/>
                <w:sz w:val="20"/>
                <w:lang w:val="en-CA"/>
              </w:rPr>
              <w:t xml:space="preserve">Glenn </w:t>
            </w:r>
            <w:proofErr w:type="spellStart"/>
            <w:r>
              <w:rPr>
                <w:rFonts w:ascii="Arial" w:hAnsi="Arial" w:cs="Arial"/>
                <w:sz w:val="20"/>
                <w:lang w:val="en-CA"/>
              </w:rPr>
              <w:t>Shand</w:t>
            </w:r>
            <w:proofErr w:type="spellEnd"/>
          </w:p>
          <w:p w:rsidR="0006214B" w:rsidRPr="00F82D7C" w:rsidRDefault="004B2720" w:rsidP="00574966">
            <w:pPr>
              <w:pStyle w:val="BodyText"/>
              <w:spacing w:before="0"/>
              <w:rPr>
                <w:rFonts w:ascii="Arial" w:hAnsi="Arial" w:cs="Arial"/>
                <w:sz w:val="20"/>
                <w:lang w:val="en-CA"/>
              </w:rPr>
            </w:pPr>
            <w:r>
              <w:rPr>
                <w:rFonts w:ascii="Arial" w:hAnsi="Arial" w:cs="Arial"/>
                <w:sz w:val="20"/>
                <w:lang w:val="en-CA"/>
              </w:rPr>
              <w:t>Phoenix, Arizona, USA</w:t>
            </w:r>
          </w:p>
          <w:p w:rsidR="00EE14B7" w:rsidRPr="00F82D7C" w:rsidRDefault="00EE14B7" w:rsidP="00574966">
            <w:pPr>
              <w:pStyle w:val="BodyText"/>
              <w:spacing w:before="0"/>
              <w:rPr>
                <w:rFonts w:ascii="Arial" w:hAnsi="Arial" w:cs="Arial"/>
                <w:b/>
                <w:sz w:val="20"/>
                <w:lang w:val="en-CA"/>
              </w:rPr>
            </w:pPr>
          </w:p>
        </w:tc>
        <w:tc>
          <w:tcPr>
            <w:tcW w:w="1260" w:type="dxa"/>
          </w:tcPr>
          <w:p w:rsidR="00C4122F" w:rsidRPr="00F82D7C" w:rsidRDefault="004B2720" w:rsidP="00574966">
            <w:pPr>
              <w:rPr>
                <w:rFonts w:ascii="Arial" w:hAnsi="Arial" w:cs="Arial"/>
                <w:color w:val="000000"/>
              </w:rPr>
            </w:pPr>
            <w:r>
              <w:rPr>
                <w:rFonts w:ascii="Arial" w:hAnsi="Arial" w:cs="Arial"/>
                <w:color w:val="000000"/>
              </w:rPr>
              <w:t>35,714</w:t>
            </w:r>
            <w:r w:rsidR="00C4122F" w:rsidRPr="00F82D7C">
              <w:rPr>
                <w:rFonts w:ascii="Arial" w:hAnsi="Arial" w:cs="Arial"/>
                <w:color w:val="000000"/>
              </w:rPr>
              <w:t xml:space="preserve"> </w:t>
            </w:r>
          </w:p>
        </w:tc>
        <w:tc>
          <w:tcPr>
            <w:tcW w:w="1170" w:type="dxa"/>
          </w:tcPr>
          <w:p w:rsidR="00C4122F" w:rsidRPr="00F82D7C" w:rsidRDefault="004B3369" w:rsidP="00574966">
            <w:pPr>
              <w:rPr>
                <w:rFonts w:ascii="Arial" w:hAnsi="Arial" w:cs="Arial"/>
              </w:rPr>
            </w:pPr>
            <w:r w:rsidRPr="00F82D7C">
              <w:rPr>
                <w:rFonts w:ascii="Arial" w:hAnsi="Arial" w:cs="Arial"/>
                <w:lang w:val="en-CA"/>
              </w:rPr>
              <w:t>$</w:t>
            </w:r>
            <w:r w:rsidR="00C4122F" w:rsidRPr="00F82D7C">
              <w:rPr>
                <w:rFonts w:ascii="Arial" w:hAnsi="Arial" w:cs="Arial"/>
                <w:lang w:val="en-CA"/>
              </w:rPr>
              <w:t>0.28</w:t>
            </w:r>
          </w:p>
        </w:tc>
        <w:tc>
          <w:tcPr>
            <w:tcW w:w="1350" w:type="dxa"/>
          </w:tcPr>
          <w:p w:rsidR="00C4122F" w:rsidRPr="00F82D7C" w:rsidRDefault="004B3369" w:rsidP="00574966">
            <w:pPr>
              <w:pStyle w:val="BodyText"/>
              <w:spacing w:before="0"/>
              <w:rPr>
                <w:rFonts w:ascii="Arial" w:hAnsi="Arial" w:cs="Arial"/>
                <w:sz w:val="20"/>
                <w:lang w:val="en-CA"/>
              </w:rPr>
            </w:pPr>
            <w:r w:rsidRPr="00F82D7C">
              <w:rPr>
                <w:rFonts w:ascii="Arial" w:hAnsi="Arial" w:cs="Arial"/>
                <w:sz w:val="20"/>
                <w:lang w:val="en-CA"/>
              </w:rPr>
              <w:t>$0.50</w:t>
            </w:r>
          </w:p>
        </w:tc>
        <w:tc>
          <w:tcPr>
            <w:tcW w:w="1440" w:type="dxa"/>
          </w:tcPr>
          <w:p w:rsidR="00C4122F" w:rsidRPr="00E8308F" w:rsidRDefault="004B3369" w:rsidP="00574966">
            <w:pPr>
              <w:pStyle w:val="BodyText"/>
              <w:spacing w:before="0"/>
              <w:rPr>
                <w:rFonts w:ascii="Arial" w:hAnsi="Arial" w:cs="Arial"/>
                <w:sz w:val="20"/>
                <w:highlight w:val="yellow"/>
                <w:lang w:val="en-CA"/>
              </w:rPr>
            </w:pPr>
            <w:r w:rsidRPr="00B0733F">
              <w:rPr>
                <w:rFonts w:ascii="Arial" w:hAnsi="Arial" w:cs="Arial"/>
                <w:sz w:val="20"/>
                <w:lang w:val="en-CA"/>
              </w:rPr>
              <w:t>NI 45-106 s 2.</w:t>
            </w:r>
            <w:r w:rsidR="00B0733F" w:rsidRPr="00B0733F">
              <w:rPr>
                <w:rFonts w:ascii="Arial" w:hAnsi="Arial" w:cs="Arial"/>
                <w:sz w:val="20"/>
                <w:lang w:val="en-CA"/>
              </w:rPr>
              <w:t>3</w:t>
            </w:r>
          </w:p>
        </w:tc>
        <w:tc>
          <w:tcPr>
            <w:tcW w:w="1537" w:type="dxa"/>
          </w:tcPr>
          <w:p w:rsidR="00C4122F" w:rsidRPr="00F82D7C" w:rsidRDefault="004B2720" w:rsidP="00574966">
            <w:pPr>
              <w:pStyle w:val="BodyText"/>
              <w:spacing w:before="0"/>
              <w:rPr>
                <w:rFonts w:ascii="Arial" w:hAnsi="Arial" w:cs="Arial"/>
                <w:sz w:val="20"/>
                <w:lang w:val="en-CA"/>
              </w:rPr>
            </w:pPr>
            <w:r>
              <w:rPr>
                <w:rFonts w:ascii="Arial" w:hAnsi="Arial" w:cs="Arial"/>
                <w:sz w:val="20"/>
                <w:lang w:val="en-CA"/>
              </w:rPr>
              <w:t>Nil</w:t>
            </w:r>
          </w:p>
        </w:tc>
        <w:tc>
          <w:tcPr>
            <w:tcW w:w="1100" w:type="dxa"/>
          </w:tcPr>
          <w:p w:rsidR="00C4122F" w:rsidRPr="00F82D7C" w:rsidRDefault="004B2720" w:rsidP="00574966">
            <w:pPr>
              <w:pStyle w:val="BodyText"/>
              <w:spacing w:before="0"/>
              <w:rPr>
                <w:rFonts w:ascii="Arial" w:hAnsi="Arial" w:cs="Arial"/>
                <w:sz w:val="20"/>
                <w:lang w:val="en-CA"/>
              </w:rPr>
            </w:pPr>
            <w:r>
              <w:rPr>
                <w:rFonts w:ascii="Arial" w:hAnsi="Arial" w:cs="Arial"/>
                <w:sz w:val="20"/>
                <w:lang w:val="en-CA"/>
              </w:rPr>
              <w:t>Nov.</w:t>
            </w:r>
            <w:r w:rsidR="00B0733F">
              <w:rPr>
                <w:rFonts w:ascii="Arial" w:hAnsi="Arial" w:cs="Arial"/>
                <w:sz w:val="20"/>
                <w:lang w:val="en-CA"/>
              </w:rPr>
              <w:t xml:space="preserve"> 2</w:t>
            </w:r>
            <w:r w:rsidR="00625423" w:rsidRPr="00F82D7C">
              <w:rPr>
                <w:rFonts w:ascii="Arial" w:hAnsi="Arial" w:cs="Arial"/>
                <w:sz w:val="20"/>
                <w:lang w:val="en-CA"/>
              </w:rPr>
              <w:t>, 2015</w:t>
            </w:r>
          </w:p>
        </w:tc>
        <w:tc>
          <w:tcPr>
            <w:tcW w:w="1100" w:type="dxa"/>
          </w:tcPr>
          <w:p w:rsidR="00C4122F" w:rsidRPr="00F82D7C" w:rsidRDefault="004B3369" w:rsidP="00574966">
            <w:pPr>
              <w:pStyle w:val="BodyText"/>
              <w:spacing w:before="0"/>
              <w:rPr>
                <w:rFonts w:ascii="Arial" w:hAnsi="Arial" w:cs="Arial"/>
                <w:sz w:val="20"/>
                <w:lang w:val="en-CA"/>
              </w:rPr>
            </w:pPr>
            <w:r w:rsidRPr="00F82D7C">
              <w:rPr>
                <w:rFonts w:ascii="Arial" w:hAnsi="Arial" w:cs="Arial"/>
                <w:sz w:val="20"/>
                <w:lang w:val="en-CA"/>
              </w:rPr>
              <w:t>None</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00619E" w:rsidRDefault="0000619E">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E47A6">
        <w:rPr>
          <w:rFonts w:ascii="Arial" w:hAnsi="Arial"/>
          <w:u w:val="single"/>
        </w:rPr>
        <w:t xml:space="preserve">  </w:t>
      </w:r>
      <w:r w:rsidR="00D30F29">
        <w:rPr>
          <w:rFonts w:ascii="Arial" w:hAnsi="Arial"/>
          <w:b/>
          <w:u w:val="single"/>
        </w:rPr>
        <w:t>$</w:t>
      </w:r>
      <w:r w:rsidR="004B2720">
        <w:rPr>
          <w:rFonts w:ascii="Arial" w:hAnsi="Arial"/>
          <w:b/>
          <w:u w:val="single"/>
        </w:rPr>
        <w:t>10,000</w:t>
      </w:r>
      <w:r w:rsidR="00962288">
        <w:rPr>
          <w:rFonts w:ascii="Arial" w:hAnsi="Arial"/>
          <w:b/>
          <w:u w:val="single"/>
        </w:rPr>
        <w:t xml:space="preserve"> is being raised in the </w:t>
      </w:r>
      <w:r w:rsidR="004B2720">
        <w:rPr>
          <w:rFonts w:ascii="Arial" w:hAnsi="Arial"/>
          <w:b/>
          <w:u w:val="single"/>
        </w:rPr>
        <w:t>third and final</w:t>
      </w:r>
      <w:r w:rsidR="00D30F29">
        <w:rPr>
          <w:rFonts w:ascii="Arial" w:hAnsi="Arial"/>
          <w:b/>
          <w:u w:val="single"/>
        </w:rPr>
        <w:t xml:space="preserve"> tranche of the private placement</w:t>
      </w:r>
      <w:r>
        <w:rPr>
          <w:rFonts w:ascii="Arial" w:hAnsi="Arial"/>
          <w:u w:val="single"/>
        </w:rPr>
        <w:tab/>
      </w:r>
      <w:r>
        <w:rPr>
          <w:rFonts w:ascii="Arial" w:hAnsi="Arial"/>
        </w:rPr>
        <w:t xml:space="preserve"> .</w:t>
      </w:r>
    </w:p>
    <w:p w:rsidR="00CF01D6"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EA4133" w:rsidRPr="00CF01D6" w:rsidRDefault="00CF01D6" w:rsidP="0000619E">
      <w:pPr>
        <w:pStyle w:val="BodyText"/>
        <w:tabs>
          <w:tab w:val="left" w:pos="1080"/>
          <w:tab w:val="left" w:pos="9180"/>
        </w:tabs>
        <w:ind w:left="1080" w:hanging="1080"/>
        <w:jc w:val="both"/>
        <w:rPr>
          <w:rFonts w:ascii="Arial" w:hAnsi="Arial"/>
          <w:b/>
          <w:sz w:val="22"/>
          <w:szCs w:val="22"/>
        </w:rPr>
      </w:pPr>
      <w:r>
        <w:rPr>
          <w:rFonts w:ascii="Arial" w:hAnsi="Arial"/>
        </w:rPr>
        <w:tab/>
      </w:r>
      <w:r w:rsidRPr="008E622E">
        <w:rPr>
          <w:rFonts w:ascii="Arial" w:hAnsi="Arial"/>
          <w:b/>
          <w:sz w:val="22"/>
          <w:szCs w:val="22"/>
          <w:u w:val="single"/>
        </w:rPr>
        <w:t>Proceeds will be used for working capital</w:t>
      </w:r>
      <w:r w:rsidR="008E622E" w:rsidRPr="008E622E">
        <w:rPr>
          <w:rFonts w:ascii="Arial" w:hAnsi="Arial"/>
          <w:b/>
          <w:sz w:val="22"/>
          <w:szCs w:val="22"/>
          <w:u w:val="single"/>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w:t>
      </w:r>
      <w:r w:rsidRPr="000E60EF">
        <w:rPr>
          <w:rFonts w:ascii="Arial" w:hAnsi="Arial"/>
        </w:rPr>
        <w:t xml:space="preserve">Issuer: </w:t>
      </w:r>
      <w:r w:rsidR="007E47A6" w:rsidRPr="000E60EF">
        <w:rPr>
          <w:rFonts w:ascii="Arial" w:hAnsi="Arial"/>
          <w:u w:val="single"/>
        </w:rPr>
        <w:t xml:space="preserve">   </w:t>
      </w:r>
      <w:r w:rsidR="007E47A6" w:rsidRPr="000E60EF">
        <w:rPr>
          <w:rFonts w:ascii="Arial" w:hAnsi="Arial"/>
          <w:b/>
          <w:u w:val="single"/>
        </w:rPr>
        <w:t>N</w:t>
      </w:r>
      <w:r w:rsidR="000E60EF" w:rsidRPr="000E60EF">
        <w:rPr>
          <w:rFonts w:ascii="Arial" w:hAnsi="Arial"/>
          <w:b/>
          <w:u w:val="single"/>
        </w:rPr>
        <w:t>/A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7708F7">
        <w:rPr>
          <w:rFonts w:ascii="Arial" w:hAnsi="Arial"/>
        </w:rPr>
        <w:t xml:space="preserve"> </w:t>
      </w:r>
      <w:r w:rsidR="007708F7" w:rsidRPr="007708F7">
        <w:rPr>
          <w:rFonts w:ascii="Arial" w:hAnsi="Arial"/>
          <w:u w:val="single"/>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7E47A6">
        <w:rPr>
          <w:rFonts w:ascii="Arial" w:hAnsi="Arial"/>
          <w:u w:val="single"/>
        </w:rPr>
        <w:t xml:space="preserve">  </w:t>
      </w:r>
      <w:r w:rsidR="007E47A6" w:rsidRPr="00CF01D6">
        <w:rPr>
          <w:rFonts w:ascii="Arial" w:hAnsi="Arial"/>
          <w:b/>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7E47A6">
        <w:rPr>
          <w:rFonts w:ascii="Arial" w:hAnsi="Arial"/>
          <w:u w:val="single"/>
        </w:rPr>
        <w:t xml:space="preserve">  </w:t>
      </w:r>
      <w:r w:rsidR="004B2720">
        <w:rPr>
          <w:rFonts w:ascii="Arial" w:hAnsi="Arial"/>
          <w:b/>
          <w:u w:val="single"/>
        </w:rPr>
        <w:t>35,714</w:t>
      </w:r>
      <w:r w:rsidR="007708F7">
        <w:rPr>
          <w:rFonts w:ascii="Arial" w:hAnsi="Arial"/>
          <w:b/>
          <w:u w:val="single"/>
        </w:rPr>
        <w:t xml:space="preserve"> units in the </w:t>
      </w:r>
      <w:r w:rsidR="00962288">
        <w:rPr>
          <w:rFonts w:ascii="Arial" w:hAnsi="Arial"/>
          <w:b/>
          <w:u w:val="single"/>
        </w:rPr>
        <w:t>second</w:t>
      </w:r>
      <w:r w:rsidR="007708F7">
        <w:rPr>
          <w:rFonts w:ascii="Arial" w:hAnsi="Arial"/>
          <w:b/>
          <w:u w:val="single"/>
        </w:rPr>
        <w:t xml:space="preserve"> tranche of the private </w:t>
      </w:r>
      <w:r w:rsidR="007708F7">
        <w:rPr>
          <w:rFonts w:ascii="Arial" w:hAnsi="Arial"/>
          <w:b/>
        </w:rPr>
        <w:tab/>
      </w:r>
      <w:r w:rsidR="007708F7">
        <w:rPr>
          <w:rFonts w:ascii="Arial" w:hAnsi="Arial"/>
          <w:b/>
        </w:rPr>
        <w:tab/>
      </w:r>
      <w:r w:rsidR="007708F7">
        <w:rPr>
          <w:rFonts w:ascii="Arial" w:hAnsi="Arial"/>
          <w:b/>
        </w:rPr>
        <w:tab/>
      </w:r>
      <w:r w:rsidR="007708F7">
        <w:rPr>
          <w:rFonts w:ascii="Arial" w:hAnsi="Arial"/>
          <w:b/>
        </w:rPr>
        <w:tab/>
      </w:r>
      <w:r w:rsidR="007708F7">
        <w:rPr>
          <w:rFonts w:ascii="Arial" w:hAnsi="Arial"/>
          <w:b/>
        </w:rPr>
        <w:tab/>
      </w:r>
      <w:r w:rsidR="007708F7">
        <w:rPr>
          <w:rFonts w:ascii="Arial" w:hAnsi="Arial"/>
          <w:b/>
          <w:u w:val="single"/>
        </w:rPr>
        <w:t>placement</w:t>
      </w:r>
      <w:r>
        <w:rPr>
          <w:rFonts w:ascii="Arial" w:hAnsi="Arial"/>
        </w:rPr>
        <w:t>.</w:t>
      </w:r>
    </w:p>
    <w:p w:rsidR="007E47A6"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7E47A6">
        <w:rPr>
          <w:rFonts w:ascii="Arial" w:hAnsi="Arial"/>
          <w:u w:val="single"/>
        </w:rPr>
        <w:t xml:space="preserve">   </w:t>
      </w:r>
      <w:r w:rsidR="007E47A6" w:rsidRPr="00CF01D6">
        <w:rPr>
          <w:rFonts w:ascii="Arial" w:hAnsi="Arial"/>
          <w:b/>
          <w:u w:val="single"/>
        </w:rPr>
        <w:t>$0.2</w:t>
      </w:r>
      <w:r w:rsidR="00011154">
        <w:rPr>
          <w:rFonts w:ascii="Arial" w:hAnsi="Arial"/>
          <w:b/>
          <w:u w:val="single"/>
        </w:rPr>
        <w:t>8</w:t>
      </w:r>
      <w:r w:rsidR="007E47A6" w:rsidRPr="00CF01D6">
        <w:rPr>
          <w:rFonts w:ascii="Arial" w:hAnsi="Arial"/>
          <w:b/>
          <w:u w:val="single"/>
        </w:rPr>
        <w:t xml:space="preserve"> per Unit</w:t>
      </w:r>
      <w:r w:rsidR="007E47A6">
        <w:rPr>
          <w:rFonts w:ascii="Arial" w:hAnsi="Arial"/>
          <w:u w:val="single"/>
        </w:rPr>
        <w:tab/>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w:t>
      </w:r>
      <w:r>
        <w:rPr>
          <w:rFonts w:ascii="Arial" w:hAnsi="Arial"/>
        </w:rPr>
        <w:tab/>
        <w:t>(d)</w:t>
      </w:r>
      <w:r>
        <w:rPr>
          <w:rFonts w:ascii="Arial" w:hAnsi="Arial"/>
        </w:rPr>
        <w:tab/>
      </w:r>
      <w:r>
        <w:rPr>
          <w:rFonts w:ascii="Arial" w:hAnsi="Arial"/>
        </w:rPr>
        <w:tab/>
        <w:t xml:space="preserve">Voting rights </w:t>
      </w:r>
      <w:r w:rsidR="007E47A6">
        <w:rPr>
          <w:rFonts w:ascii="Arial" w:hAnsi="Arial"/>
          <w:u w:val="single"/>
        </w:rPr>
        <w:t xml:space="preserve">   </w:t>
      </w:r>
      <w:r w:rsidR="007E47A6" w:rsidRPr="00CF01D6">
        <w:rPr>
          <w:rFonts w:ascii="Arial" w:hAnsi="Arial"/>
          <w:b/>
          <w:u w:val="single"/>
        </w:rPr>
        <w:t>one vote per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E47A6">
        <w:rPr>
          <w:rFonts w:ascii="Arial" w:hAnsi="Arial"/>
          <w:u w:val="single"/>
        </w:rPr>
        <w:t xml:space="preserve">   </w:t>
      </w:r>
      <w:r w:rsidR="00345793">
        <w:rPr>
          <w:rFonts w:ascii="Arial" w:hAnsi="Arial"/>
          <w:b/>
          <w:u w:val="single"/>
        </w:rPr>
        <w:t>35,714</w:t>
      </w:r>
      <w:r w:rsidR="00854470">
        <w:rPr>
          <w:rFonts w:ascii="Arial" w:hAnsi="Arial"/>
          <w:b/>
          <w:u w:val="single"/>
        </w:rPr>
        <w:t xml:space="preserve"> </w:t>
      </w:r>
      <w:r w:rsidR="00011154">
        <w:rPr>
          <w:rFonts w:ascii="Arial" w:hAnsi="Arial"/>
          <w:b/>
          <w:u w:val="single"/>
        </w:rPr>
        <w:t xml:space="preserve">warrants </w:t>
      </w:r>
      <w:r w:rsidR="007E47A6" w:rsidRPr="00CF01D6">
        <w:rPr>
          <w:rFonts w:ascii="Arial" w:hAnsi="Arial"/>
          <w:b/>
          <w:u w:val="single"/>
        </w:rPr>
        <w:t xml:space="preserve">(1 warrant </w:t>
      </w:r>
      <w:r w:rsidR="00011154">
        <w:rPr>
          <w:rFonts w:ascii="Arial" w:hAnsi="Arial"/>
          <w:b/>
          <w:u w:val="single"/>
        </w:rPr>
        <w:t>per</w:t>
      </w:r>
      <w:r w:rsidR="007E47A6" w:rsidRPr="00CF01D6">
        <w:rPr>
          <w:rFonts w:ascii="Arial" w:hAnsi="Arial"/>
          <w:b/>
          <w:u w:val="single"/>
        </w:rPr>
        <w:t xml:space="preserve"> Unit sold</w:t>
      </w:r>
      <w:proofErr w:type="gramStart"/>
      <w:r w:rsidR="007E47A6" w:rsidRPr="00CF01D6">
        <w:rPr>
          <w:rFonts w:ascii="Arial" w:hAnsi="Arial"/>
          <w:b/>
          <w:u w:val="single"/>
        </w:rPr>
        <w:t>)</w:t>
      </w:r>
      <w:r>
        <w:rPr>
          <w:rFonts w:ascii="Arial" w:hAnsi="Arial"/>
        </w:rPr>
        <w:t xml:space="preserve"> .</w:t>
      </w:r>
      <w:proofErr w:type="gramEnd"/>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7E47A6">
        <w:rPr>
          <w:rFonts w:ascii="Arial" w:hAnsi="Arial"/>
          <w:u w:val="single"/>
        </w:rPr>
        <w:t xml:space="preserve">  </w:t>
      </w:r>
      <w:r w:rsidR="00345793">
        <w:rPr>
          <w:rFonts w:ascii="Arial" w:hAnsi="Arial"/>
          <w:b/>
          <w:u w:val="single"/>
        </w:rPr>
        <w:t>35,714</w:t>
      </w:r>
      <w:r w:rsidR="007E47A6" w:rsidRPr="00CF01D6">
        <w:rPr>
          <w:rFonts w:ascii="Arial" w:hAnsi="Arial"/>
          <w:b/>
          <w:u w:val="single"/>
        </w:rPr>
        <w:t xml:space="preserve"> common shares </w:t>
      </w:r>
      <w:r>
        <w:rPr>
          <w:rFonts w:ascii="Arial" w:hAnsi="Arial"/>
          <w:u w:val="single"/>
        </w:rPr>
        <w:tab/>
      </w:r>
    </w:p>
    <w:p w:rsidR="00EA4133" w:rsidRDefault="007E47A6" w:rsidP="007E47A6">
      <w:pPr>
        <w:pStyle w:val="List"/>
        <w:tabs>
          <w:tab w:val="left" w:pos="1080"/>
          <w:tab w:val="left" w:pos="1440"/>
          <w:tab w:val="left" w:pos="2160"/>
          <w:tab w:val="left" w:pos="9180"/>
        </w:tabs>
        <w:ind w:left="2160" w:firstLine="0"/>
        <w:rPr>
          <w:rFonts w:ascii="Arial" w:hAnsi="Arial"/>
        </w:rPr>
      </w:pPr>
      <w:r w:rsidRPr="00CF01D6">
        <w:rPr>
          <w:rFonts w:ascii="Arial" w:hAnsi="Arial"/>
          <w:b/>
          <w:u w:val="single"/>
        </w:rPr>
        <w:t>(1 share per Warrant exercised)</w:t>
      </w:r>
      <w:r w:rsidR="00EA4133">
        <w:rPr>
          <w:rFonts w:ascii="Arial" w:hAnsi="Arial"/>
          <w:u w:val="single"/>
        </w:rPr>
        <w:tab/>
      </w:r>
      <w:r w:rsidR="00EA4133">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E47A6">
        <w:rPr>
          <w:rFonts w:ascii="Arial" w:hAnsi="Arial"/>
          <w:u w:val="single"/>
        </w:rPr>
        <w:t xml:space="preserve">   </w:t>
      </w:r>
      <w:r w:rsidR="007E47A6" w:rsidRPr="00CF01D6">
        <w:rPr>
          <w:rFonts w:ascii="Arial" w:hAnsi="Arial"/>
          <w:b/>
          <w:u w:val="single"/>
        </w:rPr>
        <w:t>$0.</w:t>
      </w:r>
      <w:r w:rsidR="009C672E">
        <w:rPr>
          <w:rFonts w:ascii="Arial" w:hAnsi="Arial"/>
          <w:b/>
          <w:u w:val="single"/>
        </w:rPr>
        <w:t>50</w:t>
      </w:r>
      <w:r w:rsidR="007E47A6" w:rsidRPr="00CF01D6">
        <w:rPr>
          <w:rFonts w:ascii="Arial" w:hAnsi="Arial"/>
          <w:b/>
          <w:u w:val="single"/>
        </w:rPr>
        <w:t xml:space="preserve"> per share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11154">
        <w:rPr>
          <w:rFonts w:ascii="Arial" w:hAnsi="Arial"/>
          <w:b/>
          <w:u w:val="single"/>
        </w:rPr>
        <w:t xml:space="preserve">2 years </w:t>
      </w:r>
      <w:r w:rsidR="007E47A6" w:rsidRPr="00CF01D6">
        <w:rPr>
          <w:rFonts w:ascii="Arial" w:hAnsi="Arial"/>
          <w:b/>
          <w:u w:val="single"/>
        </w:rPr>
        <w:t xml:space="preserve">from date of closing, subject to 10. </w:t>
      </w:r>
      <w:proofErr w:type="gramStart"/>
      <w:r w:rsidR="007E47A6" w:rsidRPr="00CF01D6">
        <w:rPr>
          <w:rFonts w:ascii="Arial" w:hAnsi="Arial"/>
          <w:b/>
          <w:u w:val="single"/>
        </w:rPr>
        <w:t>below</w:t>
      </w:r>
      <w:proofErr w:type="gramEnd"/>
      <w:r>
        <w:rPr>
          <w:rFonts w:ascii="Arial" w:hAnsi="Arial"/>
        </w:rPr>
        <w:t>.</w:t>
      </w:r>
    </w:p>
    <w:p w:rsidR="00011154" w:rsidRDefault="00011154">
      <w:pPr>
        <w:pStyle w:val="List"/>
        <w:tabs>
          <w:tab w:val="left" w:pos="1440"/>
          <w:tab w:val="left" w:pos="2160"/>
          <w:tab w:val="left" w:pos="3600"/>
          <w:tab w:val="left" w:pos="5040"/>
          <w:tab w:val="left" w:pos="7560"/>
          <w:tab w:val="left" w:pos="9180"/>
        </w:tabs>
        <w:rPr>
          <w:rFonts w:ascii="Arial" w:hAnsi="Arial"/>
        </w:rPr>
      </w:pP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r w:rsidR="007E47A6">
        <w:rPr>
          <w:b w:val="0"/>
          <w:sz w:val="24"/>
        </w:rPr>
        <w:t xml:space="preserve">  </w:t>
      </w:r>
      <w:r w:rsidR="007E47A6" w:rsidRPr="00CF01D6">
        <w:rPr>
          <w:sz w:val="24"/>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rsidP="00C81546">
      <w:pPr>
        <w:pStyle w:val="List"/>
        <w:numPr>
          <w:ilvl w:val="0"/>
          <w:numId w:val="18"/>
        </w:numPr>
        <w:tabs>
          <w:tab w:val="left" w:pos="2160"/>
          <w:tab w:val="left" w:pos="9180"/>
        </w:tabs>
        <w:jc w:val="both"/>
        <w:rPr>
          <w:rFonts w:ascii="Arial" w:hAnsi="Arial"/>
        </w:rPr>
      </w:pPr>
      <w:r>
        <w:rPr>
          <w:rFonts w:ascii="Arial" w:hAnsi="Arial"/>
        </w:rPr>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rsidR="00011154" w:rsidRDefault="00011154" w:rsidP="00011154">
      <w:pPr>
        <w:pStyle w:val="List"/>
        <w:tabs>
          <w:tab w:val="left" w:pos="2160"/>
          <w:tab w:val="left" w:pos="9180"/>
        </w:tabs>
        <w:ind w:left="2160" w:firstLine="0"/>
        <w:jc w:val="both"/>
        <w:rPr>
          <w:rFonts w:ascii="Arial" w:hAnsi="Arial"/>
        </w:rPr>
      </w:pPr>
    </w:p>
    <w:tbl>
      <w:tblPr>
        <w:tblStyle w:val="TableGrid"/>
        <w:tblW w:w="0" w:type="auto"/>
        <w:tblInd w:w="2160" w:type="dxa"/>
        <w:tblLook w:val="04A0" w:firstRow="1" w:lastRow="0" w:firstColumn="1" w:lastColumn="0" w:noHBand="0" w:noVBand="1"/>
      </w:tblPr>
      <w:tblGrid>
        <w:gridCol w:w="3757"/>
        <w:gridCol w:w="3659"/>
      </w:tblGrid>
      <w:tr w:rsidR="00011154" w:rsidTr="00011154">
        <w:tc>
          <w:tcPr>
            <w:tcW w:w="4788" w:type="dxa"/>
          </w:tcPr>
          <w:p w:rsidR="00011154" w:rsidRDefault="00ED13F7" w:rsidP="00011154">
            <w:pPr>
              <w:pStyle w:val="List"/>
              <w:tabs>
                <w:tab w:val="left" w:pos="2160"/>
                <w:tab w:val="left" w:pos="9180"/>
              </w:tabs>
              <w:ind w:left="0" w:firstLine="0"/>
              <w:jc w:val="both"/>
              <w:rPr>
                <w:rFonts w:ascii="Arial" w:hAnsi="Arial"/>
              </w:rPr>
            </w:pPr>
            <w:r>
              <w:rPr>
                <w:rFonts w:ascii="Arial" w:hAnsi="Arial"/>
              </w:rPr>
              <w:t>N/A</w:t>
            </w:r>
          </w:p>
        </w:tc>
        <w:tc>
          <w:tcPr>
            <w:tcW w:w="4788" w:type="dxa"/>
          </w:tcPr>
          <w:p w:rsidR="00011154" w:rsidRDefault="00011154" w:rsidP="00011154">
            <w:pPr>
              <w:pStyle w:val="List"/>
              <w:tabs>
                <w:tab w:val="left" w:pos="2160"/>
                <w:tab w:val="left" w:pos="9180"/>
              </w:tabs>
              <w:ind w:left="0" w:firstLine="0"/>
              <w:jc w:val="both"/>
              <w:rPr>
                <w:rFonts w:ascii="Arial" w:hAnsi="Arial"/>
              </w:rPr>
            </w:pPr>
          </w:p>
        </w:tc>
      </w:tr>
      <w:tr w:rsidR="00011154" w:rsidTr="00011154">
        <w:tc>
          <w:tcPr>
            <w:tcW w:w="4788" w:type="dxa"/>
          </w:tcPr>
          <w:p w:rsidR="00011154" w:rsidRDefault="00011154" w:rsidP="00011154">
            <w:pPr>
              <w:pStyle w:val="List"/>
              <w:tabs>
                <w:tab w:val="left" w:pos="2160"/>
                <w:tab w:val="left" w:pos="9180"/>
              </w:tabs>
              <w:ind w:left="0" w:firstLine="0"/>
              <w:jc w:val="both"/>
              <w:rPr>
                <w:rFonts w:ascii="Arial" w:hAnsi="Arial"/>
              </w:rPr>
            </w:pPr>
          </w:p>
        </w:tc>
        <w:tc>
          <w:tcPr>
            <w:tcW w:w="4788" w:type="dxa"/>
          </w:tcPr>
          <w:p w:rsidR="00011154" w:rsidRDefault="00011154" w:rsidP="00011154">
            <w:pPr>
              <w:pStyle w:val="List"/>
              <w:tabs>
                <w:tab w:val="left" w:pos="2160"/>
                <w:tab w:val="left" w:pos="9180"/>
              </w:tabs>
              <w:ind w:left="0" w:firstLine="0"/>
              <w:jc w:val="both"/>
              <w:rPr>
                <w:rFonts w:ascii="Arial" w:hAnsi="Arial"/>
              </w:rPr>
            </w:pPr>
          </w:p>
        </w:tc>
      </w:tr>
      <w:tr w:rsidR="00011154" w:rsidTr="00011154">
        <w:tc>
          <w:tcPr>
            <w:tcW w:w="4788" w:type="dxa"/>
          </w:tcPr>
          <w:p w:rsidR="00011154" w:rsidRDefault="00011154" w:rsidP="00011154">
            <w:pPr>
              <w:pStyle w:val="List"/>
              <w:tabs>
                <w:tab w:val="left" w:pos="2160"/>
                <w:tab w:val="left" w:pos="9180"/>
              </w:tabs>
              <w:ind w:left="0" w:firstLine="0"/>
              <w:jc w:val="both"/>
              <w:rPr>
                <w:rFonts w:ascii="Arial" w:hAnsi="Arial"/>
              </w:rPr>
            </w:pPr>
          </w:p>
        </w:tc>
        <w:tc>
          <w:tcPr>
            <w:tcW w:w="4788" w:type="dxa"/>
          </w:tcPr>
          <w:p w:rsidR="00011154" w:rsidRDefault="00011154" w:rsidP="00011154">
            <w:pPr>
              <w:pStyle w:val="List"/>
              <w:tabs>
                <w:tab w:val="left" w:pos="2160"/>
                <w:tab w:val="left" w:pos="9180"/>
              </w:tabs>
              <w:ind w:left="0" w:firstLine="0"/>
              <w:jc w:val="both"/>
              <w:rPr>
                <w:rFonts w:ascii="Arial" w:hAnsi="Arial"/>
              </w:rPr>
            </w:pPr>
          </w:p>
        </w:tc>
      </w:tr>
    </w:tbl>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E47A6">
        <w:rPr>
          <w:rFonts w:ascii="Arial" w:hAnsi="Arial"/>
          <w:u w:val="single"/>
        </w:rPr>
        <w:t xml:space="preserve">   </w:t>
      </w:r>
      <w:r w:rsidR="00ED13F7">
        <w:rPr>
          <w:rFonts w:ascii="Arial" w:hAnsi="Arial"/>
          <w:b/>
          <w:u w:val="single"/>
        </w:rPr>
        <w:t>There is no finders’ f</w:t>
      </w:r>
      <w:r w:rsidR="007E47A6" w:rsidRPr="00CF01D6">
        <w:rPr>
          <w:rFonts w:ascii="Arial" w:hAnsi="Arial"/>
          <w:b/>
          <w:u w:val="single"/>
        </w:rPr>
        <w:t>ees</w:t>
      </w:r>
      <w:r w:rsidR="00ED13F7">
        <w:rPr>
          <w:rFonts w:ascii="Arial" w:hAnsi="Arial"/>
          <w:b/>
          <w:u w:val="single"/>
        </w:rPr>
        <w:t xml:space="preserve"> payable in connection with the </w:t>
      </w:r>
      <w:r w:rsidR="00345793">
        <w:rPr>
          <w:rFonts w:ascii="Arial" w:hAnsi="Arial"/>
          <w:b/>
          <w:u w:val="single"/>
        </w:rPr>
        <w:t>third</w:t>
      </w:r>
      <w:r w:rsidR="00ED13F7">
        <w:rPr>
          <w:rFonts w:ascii="Arial" w:hAnsi="Arial"/>
          <w:b/>
          <w:u w:val="single"/>
        </w:rPr>
        <w:t xml:space="preserve"> tranche of the private placement.</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7E47A6">
        <w:rPr>
          <w:rFonts w:ascii="Arial" w:hAnsi="Arial"/>
          <w:u w:val="single"/>
        </w:rPr>
        <w:t xml:space="preserve">   </w:t>
      </w:r>
      <w:r w:rsidR="007E47A6" w:rsidRPr="00CF01D6">
        <w:rPr>
          <w:rFonts w:ascii="Arial" w:hAnsi="Arial"/>
          <w:b/>
          <w:u w:val="single"/>
        </w:rPr>
        <w:t>None</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902B96">
        <w:rPr>
          <w:rFonts w:ascii="Arial" w:hAnsi="Arial"/>
          <w:u w:val="single"/>
        </w:rPr>
        <w:t xml:space="preserve">   </w:t>
      </w:r>
      <w:r w:rsidR="00902B96" w:rsidRPr="00CF01D6">
        <w:rPr>
          <w:rFonts w:ascii="Arial" w:hAnsi="Arial"/>
          <w:b/>
          <w:u w:val="single"/>
        </w:rPr>
        <w:t xml:space="preserve"> 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sidR="00902B96">
        <w:rPr>
          <w:rFonts w:ascii="Arial" w:hAnsi="Arial"/>
          <w:u w:val="single"/>
        </w:rPr>
        <w:t xml:space="preserve"> </w:t>
      </w:r>
      <w:r w:rsidR="00902B96" w:rsidRPr="00CF01D6">
        <w:rPr>
          <w:rFonts w:ascii="Arial" w:hAnsi="Arial"/>
          <w:b/>
          <w:u w:val="single"/>
        </w:rPr>
        <w:t xml:space="preserve">  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902B96">
        <w:rPr>
          <w:rFonts w:ascii="Arial" w:hAnsi="Arial"/>
          <w:u w:val="single"/>
        </w:rPr>
        <w:t xml:space="preserve">  </w:t>
      </w:r>
      <w:r w:rsidR="00902B96" w:rsidRPr="00CF01D6">
        <w:rPr>
          <w:rFonts w:ascii="Arial" w:hAnsi="Arial"/>
          <w:b/>
          <w:u w:val="single"/>
        </w:rPr>
        <w:t xml:space="preserve"> 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C81546">
        <w:rPr>
          <w:rFonts w:ascii="Arial" w:hAnsi="Arial"/>
        </w:rPr>
        <w:t>:</w:t>
      </w:r>
      <w:r>
        <w:rPr>
          <w:rFonts w:ascii="Arial" w:hAnsi="Arial"/>
        </w:rPr>
        <w:t xml:space="preserve"> </w:t>
      </w:r>
    </w:p>
    <w:p w:rsidR="00EA4133" w:rsidRDefault="009C672E" w:rsidP="00D667A9">
      <w:pPr>
        <w:pStyle w:val="List"/>
        <w:tabs>
          <w:tab w:val="left" w:pos="1080"/>
          <w:tab w:val="left" w:pos="9180"/>
        </w:tabs>
        <w:ind w:left="1440" w:firstLine="0"/>
        <w:jc w:val="both"/>
        <w:rPr>
          <w:rFonts w:ascii="Arial" w:hAnsi="Arial"/>
          <w:b/>
          <w:u w:val="single"/>
        </w:rPr>
      </w:pPr>
      <w:r>
        <w:rPr>
          <w:rFonts w:ascii="Arial" w:hAnsi="Arial"/>
          <w:b/>
          <w:u w:val="single"/>
        </w:rPr>
        <w:t>N/A</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rsidP="00C81546">
      <w:pPr>
        <w:pStyle w:val="List"/>
        <w:tabs>
          <w:tab w:val="left" w:pos="1080"/>
          <w:tab w:val="left" w:pos="9180"/>
        </w:tabs>
        <w:jc w:val="both"/>
        <w:rPr>
          <w:rFonts w:ascii="Arial" w:hAnsi="Arial"/>
          <w:b/>
          <w:u w:val="single"/>
        </w:rPr>
      </w:pPr>
      <w:r w:rsidRPr="00CF01D6">
        <w:rPr>
          <w:rFonts w:ascii="Arial" w:hAnsi="Arial"/>
          <w:b/>
        </w:rPr>
        <w:lastRenderedPageBreak/>
        <w:tab/>
      </w:r>
      <w:r w:rsidR="00C81546" w:rsidRPr="00CF01D6">
        <w:rPr>
          <w:rFonts w:ascii="Arial" w:hAnsi="Arial"/>
          <w:b/>
          <w:u w:val="single"/>
        </w:rPr>
        <w:t>Warrants exercise accelerated upon notice of 10 business days if trading price of stock is $0.60 or higher for 20 consecutive trading days.</w:t>
      </w:r>
    </w:p>
    <w:p w:rsidR="007D3DE8" w:rsidRPr="00CF01D6" w:rsidRDefault="007D3DE8" w:rsidP="00C81546">
      <w:pPr>
        <w:pStyle w:val="List"/>
        <w:tabs>
          <w:tab w:val="left" w:pos="1080"/>
          <w:tab w:val="left" w:pos="9180"/>
        </w:tabs>
        <w:jc w:val="both"/>
        <w:rPr>
          <w:rFonts w:ascii="Arial" w:hAnsi="Arial"/>
          <w:b/>
          <w:u w:val="single"/>
        </w:rPr>
      </w:pP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C81546" w:rsidRPr="00CF01D6">
        <w:rPr>
          <w:rFonts w:ascii="Arial" w:hAnsi="Arial"/>
          <w:b/>
          <w:u w:val="single"/>
        </w:rPr>
        <w:t xml:space="preserve"> 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F01D6" w:rsidRPr="00CF01D6">
        <w:rPr>
          <w:rFonts w:ascii="Arial" w:hAnsi="Arial"/>
          <w:b/>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9C672E">
        <w:rPr>
          <w:rFonts w:ascii="Arial" w:hAnsi="Arial"/>
        </w:rPr>
        <w:t>Instrument 45-102.</w:t>
      </w:r>
    </w:p>
    <w:p w:rsidR="00EA4133" w:rsidRPr="009C672E" w:rsidRDefault="00EA4133">
      <w:pPr>
        <w:pStyle w:val="BodyText"/>
        <w:tabs>
          <w:tab w:val="left" w:pos="1080"/>
          <w:tab w:val="left" w:pos="4230"/>
        </w:tabs>
        <w:rPr>
          <w:rFonts w:ascii="Arial" w:hAnsi="Arial"/>
          <w:color w:val="000000"/>
          <w:u w:val="single"/>
        </w:rPr>
      </w:pPr>
      <w:r>
        <w:rPr>
          <w:rFonts w:ascii="Arial" w:hAnsi="Arial"/>
          <w:b/>
          <w:color w:val="000000"/>
        </w:rPr>
        <w:t>2.</w:t>
      </w:r>
      <w:r>
        <w:rPr>
          <w:rFonts w:ascii="Arial" w:hAnsi="Arial"/>
          <w:b/>
          <w:color w:val="000000"/>
        </w:rPr>
        <w:tab/>
        <w:t>Acquisition</w:t>
      </w:r>
      <w:r w:rsidR="00CF01D6">
        <w:rPr>
          <w:rFonts w:ascii="Arial" w:hAnsi="Arial"/>
          <w:b/>
          <w:color w:val="000000"/>
        </w:rPr>
        <w:t xml:space="preserve">   -</w:t>
      </w:r>
      <w:r w:rsidR="00CF01D6" w:rsidRPr="00CF01D6">
        <w:rPr>
          <w:rFonts w:ascii="Arial" w:hAnsi="Arial"/>
          <w:b/>
          <w:i/>
          <w:color w:val="000000"/>
        </w:rPr>
        <w:t xml:space="preserve"> </w:t>
      </w:r>
      <w:r w:rsidR="00CF01D6" w:rsidRPr="009C672E">
        <w:rPr>
          <w:rFonts w:ascii="Arial" w:hAnsi="Arial"/>
          <w:b/>
          <w:i/>
          <w:color w:val="000000"/>
          <w:u w:val="single"/>
        </w:rPr>
        <w:t>Not Applicable</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lastRenderedPageBreak/>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t xml:space="preserve"> .</w:t>
      </w:r>
    </w:p>
    <w:p w:rsidR="00D667A9" w:rsidRDefault="00D667A9">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81546">
        <w:rPr>
          <w:rFonts w:ascii="Arial" w:hAnsi="Arial"/>
          <w:u w:val="single"/>
        </w:rPr>
        <w:t xml:space="preserve"> </w:t>
      </w:r>
      <w:r w:rsidR="00C81546" w:rsidRPr="00CF01D6">
        <w:rPr>
          <w:rFonts w:ascii="Arial" w:hAnsi="Arial"/>
          <w:b/>
          <w:u w:val="single"/>
        </w:rPr>
        <w:t xml:space="preserve"> </w:t>
      </w:r>
      <w:r w:rsidR="00345793">
        <w:rPr>
          <w:rFonts w:ascii="Arial" w:hAnsi="Arial"/>
          <w:b/>
          <w:u w:val="single"/>
        </w:rPr>
        <w:t>November 5,</w:t>
      </w:r>
      <w:bookmarkStart w:id="4" w:name="_GoBack"/>
      <w:bookmarkEnd w:id="4"/>
      <w:r w:rsidR="00C81546" w:rsidRPr="00CF01D6">
        <w:rPr>
          <w:rFonts w:ascii="Arial" w:hAnsi="Arial"/>
          <w:b/>
          <w:u w:val="single"/>
        </w:rPr>
        <w:t xml:space="preserve"> 2015</w:t>
      </w:r>
    </w:p>
    <w:p w:rsidR="00EA4133" w:rsidRDefault="00EA4133">
      <w:pPr>
        <w:pStyle w:val="List"/>
        <w:tabs>
          <w:tab w:val="left" w:pos="9180"/>
        </w:tabs>
        <w:ind w:left="5760" w:hanging="5760"/>
        <w:rPr>
          <w:rFonts w:ascii="Arial" w:hAnsi="Arial"/>
        </w:rPr>
      </w:pPr>
      <w:r>
        <w:rPr>
          <w:rFonts w:ascii="Arial" w:hAnsi="Arial"/>
        </w:rPr>
        <w:tab/>
      </w:r>
      <w:r w:rsidR="00CB5317">
        <w:rPr>
          <w:rFonts w:ascii="Arial" w:hAnsi="Arial"/>
          <w:b/>
          <w:u w:val="single"/>
        </w:rPr>
        <w:t>Stuart Gray</w:t>
      </w:r>
      <w:r>
        <w:rPr>
          <w:rFonts w:ascii="Arial" w:hAnsi="Arial"/>
          <w:u w:val="single"/>
        </w:rPr>
        <w:tab/>
      </w:r>
      <w:r>
        <w:rPr>
          <w:rFonts w:ascii="Arial" w:hAnsi="Arial"/>
          <w:u w:val="single"/>
        </w:rPr>
        <w:br/>
      </w:r>
      <w:r>
        <w:rPr>
          <w:rFonts w:ascii="Arial" w:hAnsi="Arial"/>
        </w:rPr>
        <w:t>Name of Director or Senior Officer</w:t>
      </w:r>
    </w:p>
    <w:p w:rsidR="00CF01D6" w:rsidRPr="00CA334F" w:rsidRDefault="00EA4133">
      <w:pPr>
        <w:pStyle w:val="List"/>
        <w:tabs>
          <w:tab w:val="left" w:pos="9180"/>
          <w:tab w:val="left" w:pos="9360"/>
        </w:tabs>
        <w:ind w:left="5760" w:hanging="5760"/>
        <w:rPr>
          <w:rFonts w:ascii="Arial" w:hAnsi="Arial"/>
          <w:i/>
          <w:u w:val="single"/>
        </w:rPr>
      </w:pPr>
      <w:r w:rsidRPr="00CA334F">
        <w:rPr>
          <w:rFonts w:ascii="Arial" w:hAnsi="Arial"/>
          <w:i/>
        </w:rPr>
        <w:tab/>
      </w:r>
      <w:r w:rsidR="00CA334F" w:rsidRPr="00CA334F">
        <w:rPr>
          <w:rFonts w:ascii="Arial" w:hAnsi="Arial"/>
          <w:i/>
          <w:u w:val="single"/>
        </w:rPr>
        <w:t>“</w:t>
      </w:r>
      <w:r w:rsidR="008D3B6A">
        <w:rPr>
          <w:rFonts w:ascii="Arial" w:hAnsi="Arial"/>
          <w:i/>
          <w:u w:val="single"/>
        </w:rPr>
        <w:t>Stuart Gray</w:t>
      </w:r>
      <w:r w:rsidR="00CA334F" w:rsidRPr="00CA334F">
        <w:rPr>
          <w:rFonts w:ascii="Arial" w:hAnsi="Arial"/>
          <w:i/>
          <w:u w:val="single"/>
        </w:rPr>
        <w:t>”</w:t>
      </w:r>
      <w:r w:rsidR="00CA334F">
        <w:rPr>
          <w:rFonts w:ascii="Arial" w:hAnsi="Arial"/>
          <w:i/>
          <w:u w:val="single"/>
        </w:rPr>
        <w:tab/>
      </w:r>
    </w:p>
    <w:p w:rsidR="00CA334F" w:rsidRDefault="00CF01D6" w:rsidP="00F846C2">
      <w:pPr>
        <w:pStyle w:val="List"/>
        <w:tabs>
          <w:tab w:val="left" w:pos="9180"/>
          <w:tab w:val="left" w:pos="9360"/>
        </w:tabs>
        <w:spacing w:before="0"/>
        <w:ind w:left="5760" w:hanging="5760"/>
        <w:rPr>
          <w:rFonts w:ascii="Arial" w:hAnsi="Arial"/>
        </w:rPr>
      </w:pPr>
      <w:r>
        <w:rPr>
          <w:rFonts w:ascii="Arial" w:hAnsi="Arial"/>
        </w:rPr>
        <w:tab/>
      </w:r>
    </w:p>
    <w:p w:rsidR="00EA4133" w:rsidRDefault="00CA334F" w:rsidP="00F846C2">
      <w:pPr>
        <w:pStyle w:val="List"/>
        <w:tabs>
          <w:tab w:val="left" w:pos="9180"/>
          <w:tab w:val="left" w:pos="9360"/>
        </w:tabs>
        <w:spacing w:before="0"/>
        <w:ind w:left="5760" w:hanging="5760"/>
        <w:rPr>
          <w:rFonts w:ascii="Arial" w:hAnsi="Arial"/>
        </w:rPr>
      </w:pPr>
      <w:r>
        <w:rPr>
          <w:rFonts w:ascii="Arial" w:hAnsi="Arial"/>
        </w:rPr>
        <w:tab/>
      </w:r>
      <w:r w:rsidR="00EA4133">
        <w:rPr>
          <w:rFonts w:ascii="Arial" w:hAnsi="Arial"/>
        </w:rPr>
        <w:t>Signature</w:t>
      </w:r>
    </w:p>
    <w:p w:rsidR="00F846C2" w:rsidRDefault="00F846C2" w:rsidP="00F846C2">
      <w:pPr>
        <w:pStyle w:val="List"/>
        <w:tabs>
          <w:tab w:val="left" w:pos="9180"/>
          <w:tab w:val="left" w:pos="9360"/>
        </w:tabs>
        <w:spacing w:before="0"/>
        <w:ind w:left="5760" w:hanging="5760"/>
        <w:rPr>
          <w:rFonts w:ascii="Arial" w:hAnsi="Arial"/>
        </w:rPr>
      </w:pPr>
    </w:p>
    <w:p w:rsidR="00EA4133" w:rsidRDefault="00EA4133">
      <w:pPr>
        <w:pStyle w:val="List"/>
        <w:tabs>
          <w:tab w:val="left" w:pos="9180"/>
          <w:tab w:val="left" w:pos="9360"/>
        </w:tabs>
        <w:ind w:left="5760" w:hanging="5760"/>
        <w:rPr>
          <w:rFonts w:ascii="Arial" w:hAnsi="Arial"/>
        </w:rPr>
      </w:pPr>
      <w:r>
        <w:rPr>
          <w:rFonts w:ascii="Arial" w:hAnsi="Arial"/>
        </w:rPr>
        <w:tab/>
      </w:r>
      <w:r w:rsidR="00C81546" w:rsidRPr="00CF01D6">
        <w:rPr>
          <w:rFonts w:ascii="Arial" w:hAnsi="Arial"/>
          <w:b/>
          <w:u w:val="single"/>
        </w:rPr>
        <w:t>Chief Executive Office</w:t>
      </w:r>
      <w:r w:rsidR="00CF01D6" w:rsidRPr="00CF01D6">
        <w:rPr>
          <w:rFonts w:ascii="Arial" w:hAnsi="Arial"/>
          <w:b/>
          <w:u w:val="single"/>
        </w:rPr>
        <w:t>r</w:t>
      </w:r>
      <w:r>
        <w:rPr>
          <w:rFonts w:ascii="Arial" w:hAnsi="Arial"/>
          <w:u w:val="single"/>
        </w:rPr>
        <w:tab/>
      </w:r>
      <w:r>
        <w:rPr>
          <w:rFonts w:ascii="Arial" w:hAnsi="Arial"/>
        </w:rPr>
        <w:br/>
        <w:t>Official Capacity</w:t>
      </w:r>
    </w:p>
    <w:sectPr w:rsidR="00EA4133"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AF" w:rsidRDefault="00E674AF">
      <w:r>
        <w:separator/>
      </w:r>
    </w:p>
  </w:endnote>
  <w:endnote w:type="continuationSeparator" w:id="0">
    <w:p w:rsidR="00E674AF" w:rsidRDefault="00E6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96" w:rsidRDefault="00E674AF" w:rsidP="008003B9">
    <w:pPr>
      <w:tabs>
        <w:tab w:val="center" w:pos="4674"/>
        <w:tab w:val="left" w:pos="8460"/>
      </w:tabs>
      <w:jc w:val="center"/>
      <w:rPr>
        <w:rStyle w:val="PageNumber"/>
        <w:rFonts w:ascii="Arial" w:hAnsi="Arial" w:cs="Arial"/>
        <w:b/>
      </w:rPr>
    </w:pPr>
    <w:r>
      <w:rPr>
        <w:b/>
        <w:noProof/>
      </w:rPr>
      <w:pict>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902B96">
      <w:rPr>
        <w:rFonts w:ascii="Arial" w:hAnsi="Arial" w:cs="Arial"/>
        <w:b/>
      </w:rPr>
      <w:t>FORM 9 – NOTICE OF PROPOSED ISSUANCE OF</w:t>
    </w:r>
  </w:p>
  <w:p w:rsidR="00902B96" w:rsidRDefault="00902B96" w:rsidP="008003B9">
    <w:pPr>
      <w:tabs>
        <w:tab w:val="center" w:pos="4674"/>
        <w:tab w:val="left" w:pos="8460"/>
      </w:tabs>
      <w:jc w:val="center"/>
      <w:rPr>
        <w:rStyle w:val="PageNumber"/>
        <w:rFonts w:ascii="Arial" w:hAnsi="Arial" w:cs="Arial"/>
        <w:b/>
      </w:rPr>
    </w:pPr>
    <w:r>
      <w:rPr>
        <w:rFonts w:ascii="Arial" w:hAnsi="Arial" w:cs="Arial"/>
        <w:b/>
      </w:rPr>
      <w:t>LISTED SECURITIES</w:t>
    </w:r>
  </w:p>
  <w:p w:rsidR="00902B96" w:rsidRDefault="00902B9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902B96" w:rsidRPr="002557FD" w:rsidRDefault="00902B96"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393C18"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393C18" w:rsidRPr="002557FD">
      <w:rPr>
        <w:rStyle w:val="PageNumber"/>
        <w:rFonts w:ascii="Arial" w:hAnsi="Arial" w:cs="Arial"/>
        <w:sz w:val="16"/>
        <w:szCs w:val="16"/>
      </w:rPr>
      <w:fldChar w:fldCharType="separate"/>
    </w:r>
    <w:r w:rsidR="00345793">
      <w:rPr>
        <w:rStyle w:val="PageNumber"/>
        <w:rFonts w:ascii="Arial" w:hAnsi="Arial" w:cs="Arial"/>
        <w:noProof/>
        <w:sz w:val="16"/>
        <w:szCs w:val="16"/>
      </w:rPr>
      <w:t>7</w:t>
    </w:r>
    <w:r w:rsidR="00393C18"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96" w:rsidRDefault="00E674AF">
    <w:pPr>
      <w:pStyle w:val="Footer"/>
    </w:pPr>
    <w:r>
      <w:fldChar w:fldCharType="begin"/>
    </w:r>
    <w:r>
      <w:instrText xml:space="preserve"> DOCPROPERTY FOOTERPATH \* MERGEFORMAT </w:instrText>
    </w:r>
    <w:r>
      <w:fldChar w:fldCharType="separate"/>
    </w:r>
    <w:r w:rsidR="00872083">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AF" w:rsidRDefault="00E674AF">
      <w:r>
        <w:separator/>
      </w:r>
    </w:p>
  </w:footnote>
  <w:footnote w:type="continuationSeparator" w:id="0">
    <w:p w:rsidR="00E674AF" w:rsidRDefault="00E6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0DB4993"/>
    <w:multiLevelType w:val="hybridMultilevel"/>
    <w:tmpl w:val="407C260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1C3B4584"/>
    <w:multiLevelType w:val="hybridMultilevel"/>
    <w:tmpl w:val="2938A5DA"/>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nsid w:val="45A57BB0"/>
    <w:multiLevelType w:val="hybridMultilevel"/>
    <w:tmpl w:val="9FB4531E"/>
    <w:lvl w:ilvl="0" w:tplc="03820A9C">
      <w:start w:val="1"/>
      <w:numFmt w:val="decimal"/>
      <w:lvlText w:val="%1"/>
      <w:lvlJc w:val="left"/>
      <w:pPr>
        <w:ind w:left="2160" w:hanging="108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0">
    <w:nsid w:val="7E636063"/>
    <w:multiLevelType w:val="hybridMultilevel"/>
    <w:tmpl w:val="E4E8355C"/>
    <w:lvl w:ilvl="0" w:tplc="3A7887F4">
      <w:start w:val="1"/>
      <w:numFmt w:val="lowerLetter"/>
      <w:lvlText w:val="(%1)"/>
      <w:lvlJc w:val="left"/>
      <w:pPr>
        <w:ind w:left="2160" w:hanging="10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16"/>
  </w:num>
  <w:num w:numId="5">
    <w:abstractNumId w:val="14"/>
  </w:num>
  <w:num w:numId="6">
    <w:abstractNumId w:val="0"/>
  </w:num>
  <w:num w:numId="7">
    <w:abstractNumId w:val="13"/>
  </w:num>
  <w:num w:numId="8">
    <w:abstractNumId w:val="7"/>
  </w:num>
  <w:num w:numId="9">
    <w:abstractNumId w:val="9"/>
  </w:num>
  <w:num w:numId="10">
    <w:abstractNumId w:val="6"/>
  </w:num>
  <w:num w:numId="11">
    <w:abstractNumId w:val="17"/>
  </w:num>
  <w:num w:numId="12">
    <w:abstractNumId w:val="19"/>
  </w:num>
  <w:num w:numId="13">
    <w:abstractNumId w:val="5"/>
  </w:num>
  <w:num w:numId="14">
    <w:abstractNumId w:val="11"/>
  </w:num>
  <w:num w:numId="15">
    <w:abstractNumId w:val="1"/>
  </w:num>
  <w:num w:numId="16">
    <w:abstractNumId w:val="18"/>
  </w:num>
  <w:num w:numId="17">
    <w:abstractNumId w:val="8"/>
  </w:num>
  <w:num w:numId="18">
    <w:abstractNumId w:val="2"/>
  </w:num>
  <w:num w:numId="19">
    <w:abstractNumId w:val="2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68B3"/>
    <w:rsid w:val="00003125"/>
    <w:rsid w:val="0000619E"/>
    <w:rsid w:val="0001060A"/>
    <w:rsid w:val="00011154"/>
    <w:rsid w:val="000213C2"/>
    <w:rsid w:val="00022336"/>
    <w:rsid w:val="000530E8"/>
    <w:rsid w:val="0006214B"/>
    <w:rsid w:val="0006478B"/>
    <w:rsid w:val="000A1FA3"/>
    <w:rsid w:val="000B64EF"/>
    <w:rsid w:val="000E60EF"/>
    <w:rsid w:val="001143E2"/>
    <w:rsid w:val="00116314"/>
    <w:rsid w:val="001177BE"/>
    <w:rsid w:val="00141FC2"/>
    <w:rsid w:val="001462E7"/>
    <w:rsid w:val="00165954"/>
    <w:rsid w:val="00173F0B"/>
    <w:rsid w:val="00186DA5"/>
    <w:rsid w:val="001A533B"/>
    <w:rsid w:val="00227AAB"/>
    <w:rsid w:val="002521B2"/>
    <w:rsid w:val="002524E2"/>
    <w:rsid w:val="002557FD"/>
    <w:rsid w:val="00284AFD"/>
    <w:rsid w:val="00294834"/>
    <w:rsid w:val="002A6CD8"/>
    <w:rsid w:val="002F0416"/>
    <w:rsid w:val="002F5476"/>
    <w:rsid w:val="00304179"/>
    <w:rsid w:val="00326D55"/>
    <w:rsid w:val="00345793"/>
    <w:rsid w:val="00384A64"/>
    <w:rsid w:val="00393C18"/>
    <w:rsid w:val="003A7C8F"/>
    <w:rsid w:val="003C2803"/>
    <w:rsid w:val="003E72B1"/>
    <w:rsid w:val="003F3019"/>
    <w:rsid w:val="00456624"/>
    <w:rsid w:val="00492280"/>
    <w:rsid w:val="00497CCC"/>
    <w:rsid w:val="004A1403"/>
    <w:rsid w:val="004B214D"/>
    <w:rsid w:val="004B2720"/>
    <w:rsid w:val="004B3369"/>
    <w:rsid w:val="004D3F60"/>
    <w:rsid w:val="004E51CB"/>
    <w:rsid w:val="004F14D5"/>
    <w:rsid w:val="00525705"/>
    <w:rsid w:val="00574966"/>
    <w:rsid w:val="0059221C"/>
    <w:rsid w:val="005961E7"/>
    <w:rsid w:val="005A2F05"/>
    <w:rsid w:val="00616976"/>
    <w:rsid w:val="00617A0E"/>
    <w:rsid w:val="00625423"/>
    <w:rsid w:val="0062717F"/>
    <w:rsid w:val="006610CB"/>
    <w:rsid w:val="00687FA2"/>
    <w:rsid w:val="00713422"/>
    <w:rsid w:val="007568B3"/>
    <w:rsid w:val="00765757"/>
    <w:rsid w:val="007708F7"/>
    <w:rsid w:val="007B0425"/>
    <w:rsid w:val="007B0A0E"/>
    <w:rsid w:val="007B6BCA"/>
    <w:rsid w:val="007D37E6"/>
    <w:rsid w:val="007D3DE8"/>
    <w:rsid w:val="007E47A6"/>
    <w:rsid w:val="008003B9"/>
    <w:rsid w:val="00806165"/>
    <w:rsid w:val="008134AA"/>
    <w:rsid w:val="00813D09"/>
    <w:rsid w:val="00821CF2"/>
    <w:rsid w:val="008533DE"/>
    <w:rsid w:val="00854470"/>
    <w:rsid w:val="00872083"/>
    <w:rsid w:val="008747B3"/>
    <w:rsid w:val="008B712C"/>
    <w:rsid w:val="008D3B6A"/>
    <w:rsid w:val="008E622E"/>
    <w:rsid w:val="008F27FF"/>
    <w:rsid w:val="00902B96"/>
    <w:rsid w:val="009136E7"/>
    <w:rsid w:val="00921D63"/>
    <w:rsid w:val="0092571F"/>
    <w:rsid w:val="009466F0"/>
    <w:rsid w:val="00961501"/>
    <w:rsid w:val="00962288"/>
    <w:rsid w:val="009735BC"/>
    <w:rsid w:val="0097763E"/>
    <w:rsid w:val="009A4CDB"/>
    <w:rsid w:val="009A57AF"/>
    <w:rsid w:val="009C672E"/>
    <w:rsid w:val="00A00C54"/>
    <w:rsid w:val="00A10285"/>
    <w:rsid w:val="00A16A31"/>
    <w:rsid w:val="00A46144"/>
    <w:rsid w:val="00A75AD5"/>
    <w:rsid w:val="00A846C3"/>
    <w:rsid w:val="00A90670"/>
    <w:rsid w:val="00A93530"/>
    <w:rsid w:val="00A9392C"/>
    <w:rsid w:val="00AC0C31"/>
    <w:rsid w:val="00B011C4"/>
    <w:rsid w:val="00B01378"/>
    <w:rsid w:val="00B0733F"/>
    <w:rsid w:val="00B11468"/>
    <w:rsid w:val="00B15711"/>
    <w:rsid w:val="00B773C0"/>
    <w:rsid w:val="00B923F6"/>
    <w:rsid w:val="00BA7612"/>
    <w:rsid w:val="00BB22A5"/>
    <w:rsid w:val="00BB2D07"/>
    <w:rsid w:val="00BC7F80"/>
    <w:rsid w:val="00C06FBE"/>
    <w:rsid w:val="00C4122F"/>
    <w:rsid w:val="00C77D6C"/>
    <w:rsid w:val="00C81546"/>
    <w:rsid w:val="00CA334F"/>
    <w:rsid w:val="00CA6C99"/>
    <w:rsid w:val="00CB5317"/>
    <w:rsid w:val="00CC245F"/>
    <w:rsid w:val="00CF01D6"/>
    <w:rsid w:val="00CF076A"/>
    <w:rsid w:val="00CF0F9D"/>
    <w:rsid w:val="00CF2A90"/>
    <w:rsid w:val="00D2539E"/>
    <w:rsid w:val="00D27E9F"/>
    <w:rsid w:val="00D30F29"/>
    <w:rsid w:val="00D33368"/>
    <w:rsid w:val="00D64CF0"/>
    <w:rsid w:val="00D6549A"/>
    <w:rsid w:val="00D667A9"/>
    <w:rsid w:val="00D960DE"/>
    <w:rsid w:val="00D96164"/>
    <w:rsid w:val="00DB3177"/>
    <w:rsid w:val="00DB640C"/>
    <w:rsid w:val="00DD7347"/>
    <w:rsid w:val="00DF05A3"/>
    <w:rsid w:val="00E03D2E"/>
    <w:rsid w:val="00E16F9A"/>
    <w:rsid w:val="00E4250B"/>
    <w:rsid w:val="00E53015"/>
    <w:rsid w:val="00E55E58"/>
    <w:rsid w:val="00E674AF"/>
    <w:rsid w:val="00E771B7"/>
    <w:rsid w:val="00E8308F"/>
    <w:rsid w:val="00E93D35"/>
    <w:rsid w:val="00E97C13"/>
    <w:rsid w:val="00EA4133"/>
    <w:rsid w:val="00EB676D"/>
    <w:rsid w:val="00ED13F7"/>
    <w:rsid w:val="00ED539D"/>
    <w:rsid w:val="00EE14B7"/>
    <w:rsid w:val="00EF7FBD"/>
    <w:rsid w:val="00F311C1"/>
    <w:rsid w:val="00F31EDF"/>
    <w:rsid w:val="00F412E6"/>
    <w:rsid w:val="00F66146"/>
    <w:rsid w:val="00F74B6F"/>
    <w:rsid w:val="00F82D7C"/>
    <w:rsid w:val="00F846C2"/>
    <w:rsid w:val="00FC51EF"/>
    <w:rsid w:val="00FF1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64"/>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384A64"/>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rsid w:val="00384A64"/>
    <w:pPr>
      <w:spacing w:before="240"/>
    </w:pPr>
    <w:rPr>
      <w:sz w:val="24"/>
      <w:lang w:val="en-GB"/>
    </w:rPr>
  </w:style>
  <w:style w:type="paragraph" w:styleId="List">
    <w:name w:val="List"/>
    <w:basedOn w:val="BodyText"/>
    <w:rsid w:val="00384A64"/>
    <w:pPr>
      <w:ind w:left="1080" w:hanging="1080"/>
    </w:pPr>
  </w:style>
  <w:style w:type="paragraph" w:styleId="List2">
    <w:name w:val="List 2"/>
    <w:basedOn w:val="List"/>
    <w:rsid w:val="00384A64"/>
    <w:pPr>
      <w:ind w:left="1800" w:hanging="720"/>
    </w:pPr>
  </w:style>
  <w:style w:type="paragraph" w:styleId="Title">
    <w:name w:val="Title"/>
    <w:basedOn w:val="BodyText"/>
    <w:qFormat/>
    <w:rsid w:val="00384A64"/>
    <w:pPr>
      <w:spacing w:after="240"/>
      <w:jc w:val="center"/>
    </w:pPr>
    <w:rPr>
      <w:rFonts w:ascii="Arial" w:hAnsi="Arial"/>
      <w:b/>
      <w:sz w:val="40"/>
    </w:rPr>
  </w:style>
  <w:style w:type="paragraph" w:customStyle="1" w:styleId="amend">
    <w:name w:val="amend"/>
    <w:basedOn w:val="Normal"/>
    <w:rsid w:val="00384A64"/>
    <w:pPr>
      <w:tabs>
        <w:tab w:val="left" w:pos="1080"/>
      </w:tabs>
      <w:spacing w:before="40" w:after="40"/>
      <w:jc w:val="right"/>
    </w:pPr>
    <w:rPr>
      <w:rFonts w:ascii="Arial" w:hAnsi="Arial"/>
      <w:b/>
      <w:sz w:val="24"/>
      <w:vertAlign w:val="superscript"/>
      <w:lang w:val="en-GB"/>
    </w:rPr>
  </w:style>
  <w:style w:type="paragraph" w:styleId="Header">
    <w:name w:val="header"/>
    <w:basedOn w:val="Normal"/>
    <w:rsid w:val="00384A64"/>
    <w:pPr>
      <w:tabs>
        <w:tab w:val="center" w:pos="4320"/>
        <w:tab w:val="right" w:pos="8640"/>
      </w:tabs>
    </w:pPr>
  </w:style>
  <w:style w:type="paragraph" w:styleId="Footer">
    <w:name w:val="footer"/>
    <w:basedOn w:val="Normal"/>
    <w:rsid w:val="00384A64"/>
    <w:pPr>
      <w:tabs>
        <w:tab w:val="center" w:pos="4320"/>
        <w:tab w:val="right" w:pos="8640"/>
      </w:tabs>
    </w:pPr>
  </w:style>
  <w:style w:type="character" w:styleId="PageNumber">
    <w:name w:val="page number"/>
    <w:basedOn w:val="DefaultParagraphFont"/>
    <w:rsid w:val="00384A64"/>
  </w:style>
  <w:style w:type="paragraph" w:styleId="EndnoteText">
    <w:name w:val="endnote text"/>
    <w:basedOn w:val="Normal"/>
    <w:semiHidden/>
    <w:rsid w:val="00384A64"/>
    <w:pPr>
      <w:widowControl w:val="0"/>
    </w:pPr>
    <w:rPr>
      <w:rFonts w:ascii="Helv 12pt" w:hAnsi="Helv 12pt"/>
      <w:sz w:val="24"/>
    </w:rPr>
  </w:style>
  <w:style w:type="paragraph" w:styleId="BalloonText">
    <w:name w:val="Balloon Text"/>
    <w:basedOn w:val="Normal"/>
    <w:semiHidden/>
    <w:rsid w:val="00384A64"/>
    <w:rPr>
      <w:rFonts w:ascii="Tahoma" w:hAnsi="Tahoma" w:cs="Tahoma"/>
      <w:sz w:val="16"/>
      <w:szCs w:val="16"/>
    </w:rPr>
  </w:style>
  <w:style w:type="paragraph" w:styleId="FootnoteText">
    <w:name w:val="footnote text"/>
    <w:basedOn w:val="Normal"/>
    <w:semiHidden/>
    <w:rsid w:val="00384A64"/>
  </w:style>
  <w:style w:type="character" w:styleId="FootnoteReference">
    <w:name w:val="footnote reference"/>
    <w:semiHidden/>
    <w:rsid w:val="00384A64"/>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F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Body Text FLI .5,Indent,single space,Single line,Body Text Char2 Char Char Char Char Char Char Char Char Char Char Char Char Char Char Char Char Char Char Char,b"/>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C8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text Char,body text Char,bt Char,Body Text FLI .5 Char,Indent Char,single space Char,Single line Char,Body Text Char2 Char Char Char Char Char Char Char Char Char Char Char Char Char Char Char Char Char Char Char Char,b Char"/>
    <w:basedOn w:val="DefaultParagraphFont"/>
    <w:link w:val="BodyText"/>
    <w:uiPriority w:val="99"/>
    <w:rsid w:val="00C81546"/>
    <w:rPr>
      <w:sz w:val="24"/>
      <w:lang w:val="en-GB"/>
    </w:rPr>
  </w:style>
  <w:style w:type="character" w:customStyle="1" w:styleId="Heading1Char">
    <w:name w:val="Heading 1 Char"/>
    <w:basedOn w:val="DefaultParagraphFont"/>
    <w:link w:val="Heading1"/>
    <w:uiPriority w:val="9"/>
    <w:rsid w:val="00EF7F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9896">
      <w:bodyDiv w:val="1"/>
      <w:marLeft w:val="0"/>
      <w:marRight w:val="0"/>
      <w:marTop w:val="0"/>
      <w:marBottom w:val="0"/>
      <w:divBdr>
        <w:top w:val="none" w:sz="0" w:space="0" w:color="auto"/>
        <w:left w:val="none" w:sz="0" w:space="0" w:color="auto"/>
        <w:bottom w:val="none" w:sz="0" w:space="0" w:color="auto"/>
        <w:right w:val="none" w:sz="0" w:space="0" w:color="auto"/>
      </w:divBdr>
    </w:div>
    <w:div w:id="414328218">
      <w:bodyDiv w:val="1"/>
      <w:marLeft w:val="0"/>
      <w:marRight w:val="0"/>
      <w:marTop w:val="0"/>
      <w:marBottom w:val="0"/>
      <w:divBdr>
        <w:top w:val="none" w:sz="0" w:space="0" w:color="auto"/>
        <w:left w:val="none" w:sz="0" w:space="0" w:color="auto"/>
        <w:bottom w:val="none" w:sz="0" w:space="0" w:color="auto"/>
        <w:right w:val="none" w:sz="0" w:space="0" w:color="auto"/>
      </w:divBdr>
    </w:div>
    <w:div w:id="966622963">
      <w:bodyDiv w:val="1"/>
      <w:marLeft w:val="0"/>
      <w:marRight w:val="0"/>
      <w:marTop w:val="0"/>
      <w:marBottom w:val="0"/>
      <w:divBdr>
        <w:top w:val="none" w:sz="0" w:space="0" w:color="auto"/>
        <w:left w:val="none" w:sz="0" w:space="0" w:color="auto"/>
        <w:bottom w:val="none" w:sz="0" w:space="0" w:color="auto"/>
        <w:right w:val="none" w:sz="0" w:space="0" w:color="auto"/>
      </w:divBdr>
    </w:div>
    <w:div w:id="13063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6C78-210B-4B7D-BF16-8063C12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Negar</cp:lastModifiedBy>
  <cp:revision>3</cp:revision>
  <cp:lastPrinted>2015-10-29T17:38:00Z</cp:lastPrinted>
  <dcterms:created xsi:type="dcterms:W3CDTF">2015-11-06T05:52:00Z</dcterms:created>
  <dcterms:modified xsi:type="dcterms:W3CDTF">2015-11-06T06:06:00Z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