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7E5" w:rsidRDefault="0003624C" w:rsidP="00AA252C">
      <w:pPr>
        <w:pStyle w:val="Title"/>
        <w:rPr>
          <w:sz w:val="24"/>
          <w:szCs w:val="24"/>
        </w:rPr>
      </w:pPr>
      <w:r>
        <w:rPr>
          <w:rFonts w:ascii="Cambria" w:eastAsia="Cambria" w:hAnsi="Cambria" w:cs="Cambria"/>
          <w:b w:val="0"/>
          <w:bCs w:val="0"/>
          <w:noProof/>
          <w:sz w:val="24"/>
          <w:szCs w:val="24"/>
          <w:lang w:val="en-CA"/>
        </w:rPr>
        <w:drawing>
          <wp:inline distT="0" distB="0" distL="0" distR="0">
            <wp:extent cx="4514850" cy="600075"/>
            <wp:effectExtent l="0" t="0" r="0" b="0"/>
            <wp:docPr id="1073741825" name="officeArt object" descr="Description: Macintosh HD:Users:Mkyska:Desktop:wetransfer-bb1e3d:Wildflower_Logo_Suite:Horizontal:jpg:L14-1089_Wildflower_horiz_Logo_K.jpg copy.jpg"/>
            <wp:cNvGraphicFramePr/>
            <a:graphic xmlns:a="http://schemas.openxmlformats.org/drawingml/2006/main">
              <a:graphicData uri="http://schemas.openxmlformats.org/drawingml/2006/picture">
                <pic:pic xmlns:pic="http://schemas.openxmlformats.org/drawingml/2006/picture">
                  <pic:nvPicPr>
                    <pic:cNvPr id="1073741825" name="image1.jpg" descr="Description: Macintosh HD:Users:Mkyska:Desktop:wetransfer-bb1e3d:Wildflower_Logo_Suite:Horizontal:jpg:L14-1089_Wildflower_horiz_Logo_K.jpg copy.jpg"/>
                    <pic:cNvPicPr/>
                  </pic:nvPicPr>
                  <pic:blipFill>
                    <a:blip r:embed="rId7" cstate="print">
                      <a:extLst/>
                    </a:blip>
                    <a:stretch>
                      <a:fillRect/>
                    </a:stretch>
                  </pic:blipFill>
                  <pic:spPr>
                    <a:xfrm>
                      <a:off x="0" y="0"/>
                      <a:ext cx="4514850" cy="600075"/>
                    </a:xfrm>
                    <a:prstGeom prst="rect">
                      <a:avLst/>
                    </a:prstGeom>
                    <a:ln w="12700" cap="flat">
                      <a:noFill/>
                      <a:miter lim="400000"/>
                    </a:ln>
                    <a:effectLst/>
                  </pic:spPr>
                </pic:pic>
              </a:graphicData>
            </a:graphic>
          </wp:inline>
        </w:drawing>
      </w:r>
    </w:p>
    <w:p w:rsidR="008267E5" w:rsidRDefault="008267E5">
      <w:pPr>
        <w:pStyle w:val="Title"/>
        <w:rPr>
          <w:sz w:val="24"/>
          <w:szCs w:val="24"/>
        </w:rPr>
      </w:pPr>
    </w:p>
    <w:p w:rsidR="008267E5" w:rsidRDefault="00C82525">
      <w:pPr>
        <w:pStyle w:val="Title"/>
        <w:widowControl w:val="0"/>
        <w:rPr>
          <w:rFonts w:ascii="Arial"/>
          <w:b w:val="0"/>
          <w:bCs w:val="0"/>
          <w:sz w:val="18"/>
          <w:szCs w:val="18"/>
        </w:rPr>
      </w:pPr>
      <w:r>
        <w:rPr>
          <w:noProof/>
          <w:sz w:val="24"/>
          <w:szCs w:val="24"/>
          <w:lang w:val="en-CA"/>
        </w:rPr>
        <mc:AlternateContent>
          <mc:Choice Requires="wps">
            <w:drawing>
              <wp:anchor distT="4294967294" distB="4294967294" distL="0" distR="0" simplePos="0" relativeHeight="251659264" behindDoc="0" locked="0" layoutInCell="1" allowOverlap="1">
                <wp:simplePos x="0" y="0"/>
                <wp:positionH relativeFrom="column">
                  <wp:posOffset>-177800</wp:posOffset>
                </wp:positionH>
                <wp:positionV relativeFrom="line">
                  <wp:posOffset>99694</wp:posOffset>
                </wp:positionV>
                <wp:extent cx="6099810" cy="0"/>
                <wp:effectExtent l="0" t="0" r="1524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810" cy="0"/>
                        </a:xfrm>
                        <a:prstGeom prst="line">
                          <a:avLst/>
                        </a:prstGeom>
                        <a:noFill/>
                        <a:ln w="19050">
                          <a:solidFill>
                            <a:srgbClr val="000000"/>
                          </a:solidFill>
                          <a:bevel/>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FD2AA" id="Line 2" o:spid="_x0000_s1026" style="position:absolute;z-index:251659264;visibility:visible;mso-wrap-style:square;mso-width-percent:0;mso-height-percent:0;mso-wrap-distance-left:0;mso-wrap-distance-top:-6e-5mm;mso-wrap-distance-right:0;mso-wrap-distance-bottom:-6e-5mm;mso-position-horizontal:absolute;mso-position-horizontal-relative:text;mso-position-vertical:absolute;mso-position-vertical-relative:line;mso-width-percent:0;mso-height-percent:0;mso-width-relative:page;mso-height-relative:page" from="-14pt,7.85pt" to="466.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" strokeweight="1.5pt">
                <v:stroke joinstyle="bevel"/>
                <w10:wrap anchory="line"/>
              </v:line>
            </w:pict>
          </mc:Fallback>
        </mc:AlternateContent>
      </w:r>
    </w:p>
    <w:tbl>
      <w:tblPr>
        <w:tblW w:w="101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28"/>
        <w:gridCol w:w="4788"/>
      </w:tblGrid>
      <w:tr w:rsidR="008267E5">
        <w:trPr>
          <w:trHeight w:val="994"/>
          <w:jc w:val="center"/>
        </w:trPr>
        <w:tc>
          <w:tcPr>
            <w:tcW w:w="5328" w:type="dxa"/>
            <w:tcBorders>
              <w:top w:val="nil"/>
              <w:left w:val="nil"/>
              <w:bottom w:val="nil"/>
              <w:right w:val="nil"/>
            </w:tcBorders>
            <w:shd w:val="clear" w:color="auto" w:fill="auto"/>
            <w:tcMar>
              <w:top w:w="80" w:type="dxa"/>
              <w:left w:w="80" w:type="dxa"/>
              <w:bottom w:w="80" w:type="dxa"/>
              <w:right w:w="80" w:type="dxa"/>
            </w:tcMar>
          </w:tcPr>
          <w:p w:rsidR="008267E5" w:rsidRDefault="008267E5">
            <w:pPr>
              <w:pStyle w:val="Body"/>
              <w:rPr>
                <w:rFonts w:ascii="Arial"/>
                <w:sz w:val="18"/>
                <w:szCs w:val="18"/>
                <w:lang w:val="en-US"/>
              </w:rPr>
            </w:pPr>
          </w:p>
          <w:p w:rsidR="008267E5" w:rsidRDefault="0003624C">
            <w:pPr>
              <w:pStyle w:val="Body"/>
              <w:rPr>
                <w:rFonts w:ascii="Arial" w:eastAsia="Arial" w:hAnsi="Arial" w:cs="Arial"/>
                <w:sz w:val="18"/>
                <w:szCs w:val="18"/>
                <w:lang w:val="en-US"/>
              </w:rPr>
            </w:pPr>
            <w:r>
              <w:rPr>
                <w:rFonts w:ascii="Arial"/>
                <w:sz w:val="18"/>
                <w:szCs w:val="18"/>
                <w:lang w:val="en-US"/>
              </w:rPr>
              <w:t>711-675 West Hastings Street,</w:t>
            </w:r>
          </w:p>
          <w:p w:rsidR="008267E5" w:rsidRDefault="0003624C">
            <w:pPr>
              <w:pStyle w:val="Body"/>
              <w:rPr>
                <w:rFonts w:ascii="Arial" w:eastAsia="Arial" w:hAnsi="Arial" w:cs="Arial"/>
                <w:sz w:val="18"/>
                <w:szCs w:val="18"/>
                <w:lang w:val="en-US"/>
              </w:rPr>
            </w:pPr>
            <w:r>
              <w:rPr>
                <w:rFonts w:ascii="Arial"/>
                <w:sz w:val="18"/>
                <w:szCs w:val="18"/>
                <w:lang w:val="en-US"/>
              </w:rPr>
              <w:t>Vancouver, B.C., V6B 1N2</w:t>
            </w:r>
            <w:r>
              <w:rPr>
                <w:rFonts w:ascii="Arial"/>
                <w:sz w:val="18"/>
                <w:szCs w:val="18"/>
                <w:lang w:val="en-US"/>
              </w:rPr>
              <w:tab/>
            </w:r>
            <w:r>
              <w:rPr>
                <w:rFonts w:ascii="Arial"/>
                <w:sz w:val="18"/>
                <w:szCs w:val="18"/>
                <w:lang w:val="en-US"/>
              </w:rPr>
              <w:tab/>
            </w:r>
          </w:p>
          <w:p w:rsidR="008267E5" w:rsidRDefault="0003624C">
            <w:pPr>
              <w:pStyle w:val="Body"/>
              <w:rPr>
                <w:rFonts w:ascii="Arial" w:eastAsia="Arial" w:hAnsi="Arial" w:cs="Arial"/>
                <w:sz w:val="18"/>
                <w:szCs w:val="18"/>
                <w:lang w:val="en-US"/>
              </w:rPr>
            </w:pPr>
            <w:r>
              <w:rPr>
                <w:rFonts w:ascii="Arial"/>
                <w:sz w:val="18"/>
                <w:szCs w:val="18"/>
                <w:lang w:val="en-US"/>
              </w:rPr>
              <w:t>Tel: (604) 559-0420 Fax: (604) 559-4443</w:t>
            </w:r>
          </w:p>
        </w:tc>
        <w:tc>
          <w:tcPr>
            <w:tcW w:w="4788" w:type="dxa"/>
            <w:tcBorders>
              <w:top w:val="nil"/>
              <w:left w:val="nil"/>
              <w:bottom w:val="nil"/>
              <w:right w:val="nil"/>
            </w:tcBorders>
            <w:shd w:val="clear" w:color="auto" w:fill="auto"/>
            <w:tcMar>
              <w:top w:w="80" w:type="dxa"/>
              <w:left w:w="80" w:type="dxa"/>
              <w:bottom w:w="80" w:type="dxa"/>
              <w:right w:w="80" w:type="dxa"/>
            </w:tcMar>
          </w:tcPr>
          <w:p w:rsidR="008267E5" w:rsidRDefault="0003624C">
            <w:pPr>
              <w:pStyle w:val="Body"/>
              <w:rPr>
                <w:rFonts w:ascii="Arial" w:eastAsia="Arial" w:hAnsi="Arial" w:cs="Arial"/>
                <w:sz w:val="18"/>
                <w:szCs w:val="18"/>
                <w:lang w:val="en-US"/>
              </w:rPr>
            </w:pPr>
            <w:r>
              <w:rPr>
                <w:rFonts w:ascii="Arial"/>
                <w:sz w:val="18"/>
                <w:szCs w:val="18"/>
                <w:lang w:val="en-US"/>
              </w:rPr>
              <w:t xml:space="preserve">                                   </w:t>
            </w:r>
          </w:p>
          <w:p w:rsidR="008267E5" w:rsidRDefault="0003624C">
            <w:pPr>
              <w:pStyle w:val="Body"/>
              <w:rPr>
                <w:rFonts w:ascii="Arial" w:eastAsia="Arial" w:hAnsi="Arial" w:cs="Arial"/>
                <w:sz w:val="18"/>
                <w:szCs w:val="18"/>
                <w:lang w:val="en-US"/>
              </w:rPr>
            </w:pPr>
            <w:r>
              <w:rPr>
                <w:rFonts w:ascii="Arial"/>
                <w:sz w:val="18"/>
                <w:szCs w:val="18"/>
                <w:lang w:val="en-US"/>
              </w:rPr>
              <w:t xml:space="preserve">                                                  </w:t>
            </w:r>
            <w:r w:rsidR="00BC6445">
              <w:rPr>
                <w:rFonts w:ascii="Arial"/>
                <w:sz w:val="18"/>
                <w:szCs w:val="18"/>
                <w:lang w:val="en-US"/>
              </w:rPr>
              <w:t xml:space="preserve">    </w:t>
            </w:r>
            <w:r>
              <w:rPr>
                <w:rFonts w:ascii="Arial"/>
                <w:sz w:val="18"/>
                <w:szCs w:val="18"/>
                <w:lang w:val="en-US"/>
              </w:rPr>
              <w:t xml:space="preserve"> www.wildflower.ca</w:t>
            </w:r>
          </w:p>
          <w:p w:rsidR="008267E5" w:rsidRDefault="0003624C">
            <w:pPr>
              <w:pStyle w:val="Body"/>
              <w:rPr>
                <w:rFonts w:ascii="Arial" w:eastAsia="Arial" w:hAnsi="Arial" w:cs="Arial"/>
                <w:sz w:val="18"/>
                <w:szCs w:val="18"/>
                <w:lang w:val="en-US"/>
              </w:rPr>
            </w:pPr>
            <w:r>
              <w:rPr>
                <w:rFonts w:ascii="Arial"/>
                <w:sz w:val="18"/>
                <w:szCs w:val="18"/>
                <w:lang w:val="en-US"/>
              </w:rPr>
              <w:t xml:space="preserve">                                              </w:t>
            </w:r>
            <w:r>
              <w:rPr>
                <w:rFonts w:ascii="Arial"/>
                <w:lang w:val="en-US"/>
              </w:rPr>
              <w:t xml:space="preserve">  </w:t>
            </w:r>
            <w:r>
              <w:rPr>
                <w:rFonts w:ascii="Arial"/>
                <w:sz w:val="18"/>
                <w:szCs w:val="18"/>
                <w:lang w:val="en-US"/>
              </w:rPr>
              <w:t xml:space="preserve"> </w:t>
            </w:r>
            <w:r w:rsidR="00BC6445">
              <w:rPr>
                <w:rFonts w:ascii="Arial"/>
                <w:sz w:val="18"/>
                <w:szCs w:val="18"/>
                <w:lang w:val="en-US"/>
              </w:rPr>
              <w:t xml:space="preserve">    </w:t>
            </w:r>
            <w:r>
              <w:rPr>
                <w:rFonts w:ascii="Arial"/>
                <w:sz w:val="18"/>
                <w:szCs w:val="18"/>
                <w:lang w:val="en-US"/>
              </w:rPr>
              <w:t xml:space="preserve"> info@wildflower.ca</w:t>
            </w:r>
          </w:p>
        </w:tc>
      </w:tr>
    </w:tbl>
    <w:p w:rsidR="008267E5" w:rsidRDefault="008267E5">
      <w:pPr>
        <w:pStyle w:val="Title"/>
        <w:widowControl w:val="0"/>
        <w:rPr>
          <w:rFonts w:ascii="Arial" w:eastAsia="Arial" w:hAnsi="Arial" w:cs="Arial"/>
          <w:b w:val="0"/>
          <w:bCs w:val="0"/>
          <w:sz w:val="18"/>
          <w:szCs w:val="18"/>
        </w:rPr>
      </w:pPr>
    </w:p>
    <w:p w:rsidR="00D65E9F" w:rsidRDefault="00C82525" w:rsidP="00D65E9F">
      <w:pPr>
        <w:pStyle w:val="NormalWeb"/>
        <w:spacing w:after="0"/>
        <w:jc w:val="center"/>
        <w:rPr>
          <w:rFonts w:ascii="Arial" w:eastAsia="Arial" w:hAnsi="Arial" w:cs="Arial"/>
          <w:b/>
          <w:bCs/>
        </w:rPr>
      </w:pPr>
      <w:r>
        <w:rPr>
          <w:rFonts w:ascii="Arial"/>
          <w:b/>
          <w:bCs/>
        </w:rPr>
        <w:t xml:space="preserve">Wildflower </w:t>
      </w:r>
      <w:r w:rsidR="00137914">
        <w:rPr>
          <w:rFonts w:ascii="Arial"/>
          <w:b/>
          <w:bCs/>
        </w:rPr>
        <w:t>Closes</w:t>
      </w:r>
      <w:r>
        <w:rPr>
          <w:rFonts w:ascii="Arial"/>
          <w:b/>
          <w:bCs/>
        </w:rPr>
        <w:t xml:space="preserve"> Private Placement</w:t>
      </w:r>
    </w:p>
    <w:p w:rsidR="00791E21" w:rsidRPr="00791E21" w:rsidRDefault="00791E21">
      <w:pPr>
        <w:pStyle w:val="NormalWeb"/>
        <w:spacing w:after="0"/>
        <w:jc w:val="center"/>
        <w:rPr>
          <w:rFonts w:ascii="Arial" w:eastAsia="Arial" w:hAnsi="Arial" w:cs="Arial"/>
          <w:b/>
          <w:bCs/>
        </w:rPr>
      </w:pPr>
    </w:p>
    <w:p w:rsidR="007966A3" w:rsidRDefault="0003624C" w:rsidP="00C82525">
      <w:pPr>
        <w:pStyle w:val="NormalWeb"/>
        <w:spacing w:after="0"/>
        <w:jc w:val="both"/>
        <w:rPr>
          <w:rFonts w:ascii="Arial" w:hAnsi="Arial" w:cs="Arial"/>
          <w:sz w:val="22"/>
          <w:szCs w:val="22"/>
        </w:rPr>
      </w:pPr>
      <w:r w:rsidRPr="00787C98">
        <w:rPr>
          <w:rFonts w:ascii="Arial" w:hAnsi="Arial" w:cs="Arial"/>
          <w:b/>
          <w:sz w:val="22"/>
          <w:szCs w:val="22"/>
        </w:rPr>
        <w:t>VAN</w:t>
      </w:r>
      <w:r w:rsidR="00C82525">
        <w:rPr>
          <w:rFonts w:ascii="Arial" w:hAnsi="Arial" w:cs="Arial"/>
          <w:b/>
          <w:sz w:val="22"/>
          <w:szCs w:val="22"/>
        </w:rPr>
        <w:t>COUVER, British Columbia, October</w:t>
      </w:r>
      <w:r w:rsidR="00791E21" w:rsidRPr="00787C98">
        <w:rPr>
          <w:rFonts w:ascii="Arial" w:hAnsi="Arial" w:cs="Arial"/>
          <w:b/>
          <w:sz w:val="22"/>
          <w:szCs w:val="22"/>
        </w:rPr>
        <w:t xml:space="preserve"> </w:t>
      </w:r>
      <w:r w:rsidR="00137914">
        <w:rPr>
          <w:rFonts w:ascii="Arial" w:hAnsi="Arial" w:cs="Arial"/>
          <w:b/>
          <w:sz w:val="22"/>
          <w:szCs w:val="22"/>
        </w:rPr>
        <w:t>29</w:t>
      </w:r>
      <w:r w:rsidRPr="00787C98">
        <w:rPr>
          <w:rFonts w:ascii="Arial" w:hAnsi="Arial" w:cs="Arial"/>
          <w:b/>
          <w:sz w:val="22"/>
          <w:szCs w:val="22"/>
        </w:rPr>
        <w:t>, 2015</w:t>
      </w:r>
      <w:r w:rsidRPr="00787C98">
        <w:rPr>
          <w:rFonts w:ascii="Arial" w:hAnsi="Arial" w:cs="Arial"/>
          <w:sz w:val="22"/>
          <w:szCs w:val="22"/>
        </w:rPr>
        <w:t xml:space="preserve">: Wildflower Marijuana Inc. </w:t>
      </w:r>
      <w:r w:rsidR="007D6DE7" w:rsidRPr="00787C98">
        <w:rPr>
          <w:rFonts w:ascii="Arial" w:hAnsi="Arial" w:cs="Arial"/>
          <w:sz w:val="22"/>
          <w:szCs w:val="22"/>
        </w:rPr>
        <w:t>(CSE: SUN)</w:t>
      </w:r>
      <w:r w:rsidR="001E745D" w:rsidRPr="00787C98">
        <w:rPr>
          <w:rFonts w:ascii="Arial" w:hAnsi="Arial" w:cs="Arial"/>
          <w:sz w:val="22"/>
          <w:szCs w:val="22"/>
        </w:rPr>
        <w:t xml:space="preserve"> </w:t>
      </w:r>
      <w:r w:rsidR="00660D0B" w:rsidRPr="00787C98">
        <w:rPr>
          <w:rFonts w:ascii="Arial" w:hAnsi="Arial" w:cs="Arial"/>
          <w:sz w:val="22"/>
          <w:szCs w:val="22"/>
        </w:rPr>
        <w:t>(FWB</w:t>
      </w:r>
      <w:r w:rsidR="00E95C39" w:rsidRPr="00787C98">
        <w:rPr>
          <w:rFonts w:ascii="Arial" w:hAnsi="Arial" w:cs="Arial"/>
          <w:sz w:val="22"/>
          <w:szCs w:val="22"/>
        </w:rPr>
        <w:t>: RSP</w:t>
      </w:r>
      <w:r w:rsidR="00660D0B" w:rsidRPr="00787C98">
        <w:rPr>
          <w:rFonts w:ascii="Arial" w:hAnsi="Arial" w:cs="Arial"/>
          <w:sz w:val="22"/>
          <w:szCs w:val="22"/>
        </w:rPr>
        <w:t>)</w:t>
      </w:r>
      <w:r w:rsidR="007D6DE7" w:rsidRPr="00787C98">
        <w:rPr>
          <w:rFonts w:ascii="Arial" w:hAnsi="Arial" w:cs="Arial"/>
          <w:sz w:val="22"/>
          <w:szCs w:val="22"/>
        </w:rPr>
        <w:t xml:space="preserve"> (the "Company</w:t>
      </w:r>
      <w:r w:rsidR="00C82525">
        <w:rPr>
          <w:rFonts w:ascii="Arial" w:hAnsi="Arial" w:cs="Arial"/>
          <w:sz w:val="22"/>
          <w:szCs w:val="22"/>
        </w:rPr>
        <w:t xml:space="preserve">”) </w:t>
      </w:r>
      <w:r w:rsidR="00137914">
        <w:rPr>
          <w:rFonts w:ascii="Arial" w:hAnsi="Arial" w:cs="Arial"/>
          <w:sz w:val="22"/>
          <w:szCs w:val="22"/>
        </w:rPr>
        <w:t>announce</w:t>
      </w:r>
      <w:r w:rsidR="006F0E4E">
        <w:rPr>
          <w:rFonts w:ascii="Arial" w:hAnsi="Arial" w:cs="Arial"/>
          <w:sz w:val="22"/>
          <w:szCs w:val="22"/>
        </w:rPr>
        <w:t>s</w:t>
      </w:r>
      <w:r w:rsidR="00137914">
        <w:rPr>
          <w:rFonts w:ascii="Arial" w:hAnsi="Arial" w:cs="Arial"/>
          <w:sz w:val="22"/>
          <w:szCs w:val="22"/>
        </w:rPr>
        <w:t xml:space="preserve"> that its pr</w:t>
      </w:r>
      <w:bookmarkStart w:id="0" w:name="_GoBack"/>
      <w:bookmarkEnd w:id="0"/>
      <w:r w:rsidR="00137914">
        <w:rPr>
          <w:rFonts w:ascii="Arial" w:hAnsi="Arial" w:cs="Arial"/>
          <w:sz w:val="22"/>
          <w:szCs w:val="22"/>
        </w:rPr>
        <w:t xml:space="preserve">ivate placement previously announced on October 21 was over subscribed.  The Company raised a total of $215,000 at a price of </w:t>
      </w:r>
      <w:r w:rsidR="00C82525" w:rsidRPr="00C82525">
        <w:rPr>
          <w:rFonts w:ascii="Arial" w:hAnsi="Arial" w:cs="Arial"/>
          <w:sz w:val="22"/>
          <w:szCs w:val="22"/>
        </w:rPr>
        <w:t>C$0.10 per Unit.</w:t>
      </w:r>
    </w:p>
    <w:p w:rsidR="00C82525" w:rsidRPr="00C82525" w:rsidRDefault="00C82525" w:rsidP="00C82525">
      <w:pPr>
        <w:pStyle w:val="NormalWeb"/>
        <w:spacing w:after="0"/>
        <w:jc w:val="both"/>
        <w:rPr>
          <w:rFonts w:ascii="Arial" w:hAnsi="Arial" w:cs="Arial"/>
          <w:sz w:val="22"/>
          <w:szCs w:val="22"/>
          <w:lang w:val="en-CA"/>
        </w:rPr>
      </w:pPr>
      <w:r w:rsidRPr="00C82525">
        <w:rPr>
          <w:rFonts w:ascii="Arial" w:hAnsi="Arial" w:cs="Arial"/>
          <w:sz w:val="22"/>
          <w:szCs w:val="22"/>
          <w:lang w:val="en-CA"/>
        </w:rPr>
        <w:t>Each Unit consist</w:t>
      </w:r>
      <w:r w:rsidR="00137914">
        <w:rPr>
          <w:rFonts w:ascii="Arial" w:hAnsi="Arial" w:cs="Arial"/>
          <w:sz w:val="22"/>
          <w:szCs w:val="22"/>
          <w:lang w:val="en-CA"/>
        </w:rPr>
        <w:t>s</w:t>
      </w:r>
      <w:r w:rsidRPr="00C82525">
        <w:rPr>
          <w:rFonts w:ascii="Arial" w:hAnsi="Arial" w:cs="Arial"/>
          <w:sz w:val="22"/>
          <w:szCs w:val="22"/>
          <w:lang w:val="en-CA"/>
        </w:rPr>
        <w:t xml:space="preserve"> of one common share of the Issuer and one share purchase warrant (“Warrant”). Each whole Warrant will entitle the holder to acquire one common share of the Company at a price of $0.15 for a period of 24 months following the closing date of the Offering. Once resale restrictions on the Shares having expired and upon Company’s shares trading at or above a weighted average trading price of $0.25 for 15 consecutive trading days, Wildflower may give notice that the Warrants will expire 30 days from the date of providing such notice (in writing to Warrant holders and via a news release). All securities issued pursuant to the placement will be subject to a hold period of four months and one day from the date of closing.</w:t>
      </w:r>
    </w:p>
    <w:p w:rsidR="00C82525" w:rsidRDefault="00C82525" w:rsidP="00C82525">
      <w:pPr>
        <w:pStyle w:val="NormalWeb"/>
        <w:spacing w:after="0"/>
        <w:jc w:val="both"/>
        <w:rPr>
          <w:rFonts w:ascii="Arial" w:hAnsi="Arial" w:cs="Arial"/>
          <w:sz w:val="22"/>
          <w:szCs w:val="22"/>
        </w:rPr>
      </w:pPr>
      <w:r w:rsidRPr="00C82525">
        <w:rPr>
          <w:rFonts w:ascii="Arial" w:hAnsi="Arial" w:cs="Arial"/>
          <w:sz w:val="22"/>
          <w:szCs w:val="22"/>
          <w:lang w:val="en-CA"/>
        </w:rPr>
        <w:t xml:space="preserve">Proceeds from the </w:t>
      </w:r>
      <w:r w:rsidR="00137914">
        <w:rPr>
          <w:rFonts w:ascii="Arial" w:hAnsi="Arial" w:cs="Arial"/>
          <w:sz w:val="22"/>
          <w:szCs w:val="22"/>
          <w:lang w:val="en-CA"/>
        </w:rPr>
        <w:t>financing</w:t>
      </w:r>
      <w:r w:rsidRPr="00C82525">
        <w:rPr>
          <w:rFonts w:ascii="Arial" w:hAnsi="Arial" w:cs="Arial"/>
          <w:sz w:val="22"/>
          <w:szCs w:val="22"/>
          <w:lang w:val="en-CA"/>
        </w:rPr>
        <w:t xml:space="preserve"> will be used for</w:t>
      </w:r>
      <w:r>
        <w:rPr>
          <w:rFonts w:ascii="Arial" w:hAnsi="Arial" w:cs="Arial"/>
          <w:sz w:val="22"/>
          <w:szCs w:val="22"/>
          <w:lang w:val="en-CA"/>
        </w:rPr>
        <w:t xml:space="preserve"> working capital and </w:t>
      </w:r>
      <w:r w:rsidRPr="00C82525">
        <w:rPr>
          <w:rFonts w:ascii="Arial" w:hAnsi="Arial" w:cs="Arial"/>
          <w:sz w:val="22"/>
          <w:szCs w:val="22"/>
          <w:lang w:val="en-CA"/>
        </w:rPr>
        <w:t xml:space="preserve">other business opportunities in the </w:t>
      </w:r>
      <w:r w:rsidR="009F08B7">
        <w:rPr>
          <w:rFonts w:ascii="Arial" w:hAnsi="Arial" w:cs="Arial"/>
          <w:sz w:val="22"/>
          <w:szCs w:val="22"/>
          <w:lang w:val="en-CA"/>
        </w:rPr>
        <w:t>cannabis</w:t>
      </w:r>
      <w:r w:rsidRPr="00C82525">
        <w:rPr>
          <w:rFonts w:ascii="Arial" w:hAnsi="Arial" w:cs="Arial"/>
          <w:sz w:val="22"/>
          <w:szCs w:val="22"/>
          <w:lang w:val="en-CA"/>
        </w:rPr>
        <w:t xml:space="preserve"> industry</w:t>
      </w:r>
      <w:r>
        <w:rPr>
          <w:rFonts w:ascii="Arial" w:hAnsi="Arial" w:cs="Arial"/>
          <w:sz w:val="22"/>
          <w:szCs w:val="22"/>
          <w:lang w:val="en-CA"/>
        </w:rPr>
        <w:t xml:space="preserve">. </w:t>
      </w:r>
      <w:r w:rsidRPr="00C82525">
        <w:rPr>
          <w:rFonts w:ascii="Arial" w:hAnsi="Arial" w:cs="Arial"/>
          <w:sz w:val="22"/>
          <w:szCs w:val="22"/>
          <w:lang w:val="en-CA"/>
        </w:rPr>
        <w:t xml:space="preserve">The Company </w:t>
      </w:r>
      <w:r w:rsidR="00137914">
        <w:rPr>
          <w:rFonts w:ascii="Arial" w:hAnsi="Arial" w:cs="Arial"/>
          <w:sz w:val="22"/>
          <w:szCs w:val="22"/>
          <w:lang w:val="en-CA"/>
        </w:rPr>
        <w:t>did not</w:t>
      </w:r>
      <w:r w:rsidRPr="00C82525">
        <w:rPr>
          <w:rFonts w:ascii="Arial" w:hAnsi="Arial" w:cs="Arial"/>
          <w:sz w:val="22"/>
          <w:szCs w:val="22"/>
          <w:lang w:val="en-CA"/>
        </w:rPr>
        <w:t xml:space="preserve"> pay a</w:t>
      </w:r>
      <w:r w:rsidR="00137914">
        <w:rPr>
          <w:rFonts w:ascii="Arial" w:hAnsi="Arial" w:cs="Arial"/>
          <w:sz w:val="22"/>
          <w:szCs w:val="22"/>
          <w:lang w:val="en-CA"/>
        </w:rPr>
        <w:t>ny</w:t>
      </w:r>
      <w:r w:rsidRPr="00C82525">
        <w:rPr>
          <w:rFonts w:ascii="Arial" w:hAnsi="Arial" w:cs="Arial"/>
          <w:sz w:val="22"/>
          <w:szCs w:val="22"/>
          <w:lang w:val="en-CA"/>
        </w:rPr>
        <w:t xml:space="preserve"> finder’s fee</w:t>
      </w:r>
      <w:r w:rsidR="00137914">
        <w:rPr>
          <w:rFonts w:ascii="Arial" w:hAnsi="Arial" w:cs="Arial"/>
          <w:sz w:val="22"/>
          <w:szCs w:val="22"/>
          <w:lang w:val="en-CA"/>
        </w:rPr>
        <w:t>s in connection with the financing</w:t>
      </w:r>
      <w:r w:rsidRPr="00C82525">
        <w:rPr>
          <w:rFonts w:ascii="Arial" w:hAnsi="Arial" w:cs="Arial"/>
          <w:sz w:val="22"/>
          <w:szCs w:val="22"/>
          <w:lang w:val="en-CA"/>
        </w:rPr>
        <w:t>.</w:t>
      </w:r>
    </w:p>
    <w:p w:rsidR="00B158D9" w:rsidRPr="00AA252C" w:rsidRDefault="00B158D9" w:rsidP="00B158D9">
      <w:pPr>
        <w:pStyle w:val="Heading2"/>
        <w:jc w:val="both"/>
        <w:rPr>
          <w:rFonts w:ascii="Arial" w:hAnsi="Arial" w:cs="Arial"/>
          <w:sz w:val="22"/>
          <w:szCs w:val="22"/>
        </w:rPr>
      </w:pPr>
    </w:p>
    <w:p w:rsidR="00B158D9" w:rsidRPr="00127D0E" w:rsidRDefault="00B158D9" w:rsidP="00B158D9">
      <w:pPr>
        <w:pStyle w:val="NormalWeb"/>
        <w:jc w:val="both"/>
        <w:rPr>
          <w:rFonts w:ascii="Arial" w:hAnsi="Arial" w:cs="Arial"/>
          <w:sz w:val="18"/>
          <w:szCs w:val="18"/>
        </w:rPr>
      </w:pPr>
      <w:r w:rsidRPr="00127D0E">
        <w:rPr>
          <w:rStyle w:val="Strong"/>
          <w:rFonts w:ascii="Arial" w:hAnsi="Arial" w:cs="Arial"/>
          <w:sz w:val="18"/>
          <w:szCs w:val="18"/>
        </w:rPr>
        <w:t>THIS NEWS RELEASE, PROVIDED PURSUANT TO APPLICABLE CANADIAN REQUIREMENTS, IS NOT FOR DISTRIBUTION TO U.S. NEWS SERVICES OR FOR DISSEMINATION IN THE UNITED STATES, AND DOES NOT CONSTITUTE AN OFFER OF THE SECURITIES DESCRIBED HEREIN. THESE SECURITIES HAVE NOT BEEN REGISTERED UNDER THE UNITED STATES SECURITIES ACT OF 1933, AS AMENDED, OR ANY STATE SECURITIES LAWS, AND MAY NOT BE OFFERED OR SOLD IN THE UNITED STATES OR TO U.S. PERSONS ABSENT REGISTRATION OR APPLICABLE EXEMPTION FROM REGISTRATION REQUIREMENTS.</w:t>
      </w:r>
    </w:p>
    <w:p w:rsidR="00B158D9" w:rsidRPr="00127D0E" w:rsidRDefault="00B158D9" w:rsidP="00B158D9">
      <w:pPr>
        <w:pStyle w:val="NormalWeb"/>
        <w:jc w:val="both"/>
        <w:rPr>
          <w:rFonts w:ascii="Arial" w:hAnsi="Arial" w:cs="Arial"/>
          <w:sz w:val="18"/>
          <w:szCs w:val="18"/>
        </w:rPr>
      </w:pPr>
      <w:r w:rsidRPr="00127D0E">
        <w:rPr>
          <w:rStyle w:val="Strong"/>
          <w:rFonts w:ascii="Arial" w:hAnsi="Arial" w:cs="Arial"/>
          <w:sz w:val="18"/>
          <w:szCs w:val="18"/>
        </w:rPr>
        <w:t>Cautionary and Forward-Looking Statements</w:t>
      </w:r>
    </w:p>
    <w:p w:rsidR="00B158D9" w:rsidRPr="00127D0E" w:rsidRDefault="00B158D9" w:rsidP="00B158D9">
      <w:pPr>
        <w:pStyle w:val="NormalWeb"/>
        <w:jc w:val="both"/>
        <w:rPr>
          <w:rFonts w:ascii="Arial" w:hAnsi="Arial" w:cs="Arial"/>
          <w:sz w:val="18"/>
          <w:szCs w:val="18"/>
        </w:rPr>
      </w:pPr>
      <w:r w:rsidRPr="00127D0E">
        <w:rPr>
          <w:rStyle w:val="Emphasis"/>
          <w:rFonts w:ascii="Arial" w:hAnsi="Arial" w:cs="Arial"/>
          <w:sz w:val="18"/>
          <w:szCs w:val="18"/>
        </w:rPr>
        <w:t>This news release contains forward</w:t>
      </w:r>
      <w:r w:rsidRPr="00127D0E">
        <w:rPr>
          <w:rStyle w:val="Emphasis"/>
          <w:rFonts w:ascii="Cambria Math" w:hAnsi="Cambria Math" w:cs="Arial"/>
          <w:sz w:val="18"/>
          <w:szCs w:val="18"/>
        </w:rPr>
        <w:t>‐</w:t>
      </w:r>
      <w:r w:rsidRPr="00127D0E">
        <w:rPr>
          <w:rStyle w:val="Emphasis"/>
          <w:rFonts w:ascii="Arial" w:hAnsi="Arial" w:cs="Arial"/>
          <w:sz w:val="18"/>
          <w:szCs w:val="18"/>
        </w:rPr>
        <w:t>looking statements and forward</w:t>
      </w:r>
      <w:r w:rsidRPr="00127D0E">
        <w:rPr>
          <w:rStyle w:val="Emphasis"/>
          <w:rFonts w:ascii="Cambria Math" w:hAnsi="Cambria Math" w:cs="Arial"/>
          <w:sz w:val="18"/>
          <w:szCs w:val="18"/>
        </w:rPr>
        <w:t>‐</w:t>
      </w:r>
      <w:r w:rsidRPr="00127D0E">
        <w:rPr>
          <w:rStyle w:val="Emphasis"/>
          <w:rFonts w:ascii="Arial" w:hAnsi="Arial" w:cs="Arial"/>
          <w:sz w:val="18"/>
          <w:szCs w:val="18"/>
        </w:rPr>
        <w:t>looking information within the meaning of applicable securities laws. These statements relate to future events or future performance. All statements other than statements of historical fact may be forward</w:t>
      </w:r>
      <w:r w:rsidRPr="00127D0E">
        <w:rPr>
          <w:rStyle w:val="Emphasis"/>
          <w:rFonts w:ascii="Cambria Math" w:hAnsi="Cambria Math" w:cs="Arial"/>
          <w:sz w:val="18"/>
          <w:szCs w:val="18"/>
        </w:rPr>
        <w:t>‐</w:t>
      </w:r>
      <w:r w:rsidRPr="00127D0E">
        <w:rPr>
          <w:rStyle w:val="Emphasis"/>
          <w:rFonts w:ascii="Arial" w:hAnsi="Arial" w:cs="Arial"/>
          <w:sz w:val="18"/>
          <w:szCs w:val="18"/>
        </w:rPr>
        <w:t>looking statements or information. Forward</w:t>
      </w:r>
      <w:r w:rsidRPr="00127D0E">
        <w:rPr>
          <w:rStyle w:val="Emphasis"/>
          <w:rFonts w:ascii="Cambria Math" w:hAnsi="Cambria Math" w:cs="Arial"/>
          <w:sz w:val="18"/>
          <w:szCs w:val="18"/>
        </w:rPr>
        <w:t>‐</w:t>
      </w:r>
      <w:r w:rsidRPr="00127D0E">
        <w:rPr>
          <w:rStyle w:val="Emphasis"/>
          <w:rFonts w:ascii="Arial" w:hAnsi="Arial" w:cs="Arial"/>
          <w:sz w:val="18"/>
          <w:szCs w:val="18"/>
        </w:rPr>
        <w:t>looking statements and information are often, but not always, identified by the use of words such as "appear", "seek", "anticipate", "plan", "continue", "estimate", "approximate", "expect", "may", "will", "project", "predict", "potential", "targeting", "intend", "could", "might", "should", "believe", "would" and similar expressions.</w:t>
      </w:r>
    </w:p>
    <w:p w:rsidR="00B158D9" w:rsidRPr="00127D0E" w:rsidRDefault="00B158D9" w:rsidP="00B158D9">
      <w:pPr>
        <w:pStyle w:val="NormalWeb"/>
        <w:jc w:val="both"/>
        <w:rPr>
          <w:rFonts w:ascii="Arial" w:hAnsi="Arial" w:cs="Arial"/>
          <w:sz w:val="18"/>
          <w:szCs w:val="18"/>
        </w:rPr>
      </w:pPr>
      <w:r w:rsidRPr="00127D0E">
        <w:rPr>
          <w:rStyle w:val="Emphasis"/>
          <w:rFonts w:ascii="Arial" w:hAnsi="Arial" w:cs="Arial"/>
          <w:sz w:val="18"/>
          <w:szCs w:val="18"/>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w:t>
      </w:r>
      <w:r w:rsidRPr="00127D0E">
        <w:rPr>
          <w:rStyle w:val="Emphasis"/>
          <w:rFonts w:ascii="Cambria Math" w:hAnsi="Cambria Math" w:cs="Arial"/>
          <w:sz w:val="18"/>
          <w:szCs w:val="18"/>
        </w:rPr>
        <w:t>‐</w:t>
      </w:r>
      <w:r w:rsidRPr="00127D0E">
        <w:rPr>
          <w:rStyle w:val="Emphasis"/>
          <w:rFonts w:ascii="Arial" w:hAnsi="Arial" w:cs="Arial"/>
          <w:sz w:val="18"/>
          <w:szCs w:val="18"/>
        </w:rPr>
        <w:t xml:space="preserve">looking statements and information address future events and conditions, by their very nature they involve inherent risks and uncertainties. Actual results could differ materially from those currently anticipated due to a number of factors and risks. These include, but are not limited to, the risks associated with the </w:t>
      </w:r>
      <w:r>
        <w:rPr>
          <w:rStyle w:val="Emphasis"/>
          <w:rFonts w:ascii="Arial" w:hAnsi="Arial" w:cs="Arial"/>
          <w:sz w:val="18"/>
          <w:szCs w:val="18"/>
        </w:rPr>
        <w:t>marijuana</w:t>
      </w:r>
      <w:r w:rsidRPr="00127D0E">
        <w:rPr>
          <w:rStyle w:val="Emphasis"/>
          <w:rFonts w:ascii="Arial" w:hAnsi="Arial" w:cs="Arial"/>
          <w:sz w:val="18"/>
          <w:szCs w:val="18"/>
        </w:rPr>
        <w:t xml:space="preserve"> industry in general such as operational risks in </w:t>
      </w:r>
      <w:r>
        <w:rPr>
          <w:rStyle w:val="Emphasis"/>
          <w:rFonts w:ascii="Arial" w:hAnsi="Arial" w:cs="Arial"/>
          <w:sz w:val="18"/>
          <w:szCs w:val="18"/>
        </w:rPr>
        <w:t>growing</w:t>
      </w:r>
      <w:r w:rsidRPr="00127D0E">
        <w:rPr>
          <w:rStyle w:val="Emphasis"/>
          <w:rFonts w:ascii="Arial" w:hAnsi="Arial" w:cs="Arial"/>
          <w:sz w:val="18"/>
          <w:szCs w:val="18"/>
        </w:rPr>
        <w:t xml:space="preserve">; competition; incorrect assessment of the value </w:t>
      </w:r>
      <w:r>
        <w:rPr>
          <w:rStyle w:val="Emphasis"/>
          <w:rFonts w:ascii="Arial" w:hAnsi="Arial" w:cs="Arial"/>
          <w:sz w:val="18"/>
          <w:szCs w:val="18"/>
        </w:rPr>
        <w:t xml:space="preserve">and potential </w:t>
      </w:r>
      <w:r w:rsidRPr="00127D0E">
        <w:rPr>
          <w:rStyle w:val="Emphasis"/>
          <w:rFonts w:ascii="Arial" w:hAnsi="Arial" w:cs="Arial"/>
          <w:sz w:val="18"/>
          <w:szCs w:val="18"/>
        </w:rPr>
        <w:t xml:space="preserve">benefits of </w:t>
      </w:r>
      <w:r>
        <w:rPr>
          <w:rStyle w:val="Emphasis"/>
          <w:rFonts w:ascii="Arial" w:hAnsi="Arial" w:cs="Arial"/>
          <w:sz w:val="18"/>
          <w:szCs w:val="18"/>
        </w:rPr>
        <w:t>various transactions</w:t>
      </w:r>
      <w:r w:rsidRPr="00127D0E">
        <w:rPr>
          <w:rStyle w:val="Emphasis"/>
          <w:rFonts w:ascii="Arial" w:hAnsi="Arial" w:cs="Arial"/>
          <w:sz w:val="18"/>
          <w:szCs w:val="18"/>
        </w:rPr>
        <w:t>; ability to access sufficient capital from internal and external sources; failure to obtain required regulatory and other approvals and changes in legislation, including but not limited to tax laws and government regulations. Accordingly, readers should not place undue reliance on the forward</w:t>
      </w:r>
      <w:r w:rsidRPr="00127D0E">
        <w:rPr>
          <w:rStyle w:val="Emphasis"/>
          <w:rFonts w:ascii="Cambria Math" w:hAnsi="Cambria Math" w:cs="Arial"/>
          <w:sz w:val="18"/>
          <w:szCs w:val="18"/>
        </w:rPr>
        <w:t>‐</w:t>
      </w:r>
      <w:r w:rsidRPr="00127D0E">
        <w:rPr>
          <w:rStyle w:val="Emphasis"/>
          <w:rFonts w:ascii="Arial" w:hAnsi="Arial" w:cs="Arial"/>
          <w:sz w:val="18"/>
          <w:szCs w:val="18"/>
        </w:rPr>
        <w:t>looking statements, timelines and information contained in this news release. Readers are cautioned that the foregoing list of factors is not exhaustive.</w:t>
      </w:r>
    </w:p>
    <w:p w:rsidR="00B158D9" w:rsidRPr="00127D0E" w:rsidRDefault="00B158D9" w:rsidP="00B158D9">
      <w:pPr>
        <w:pStyle w:val="NormalWeb"/>
        <w:jc w:val="both"/>
        <w:rPr>
          <w:rFonts w:ascii="Arial" w:hAnsi="Arial" w:cs="Arial"/>
          <w:i/>
          <w:sz w:val="18"/>
          <w:szCs w:val="18"/>
        </w:rPr>
      </w:pPr>
      <w:r w:rsidRPr="00127D0E">
        <w:rPr>
          <w:rStyle w:val="Emphasis"/>
          <w:rFonts w:ascii="Arial" w:hAnsi="Arial" w:cs="Arial"/>
          <w:sz w:val="18"/>
          <w:szCs w:val="18"/>
        </w:rPr>
        <w:lastRenderedPageBreak/>
        <w:t>The forward</w:t>
      </w:r>
      <w:r w:rsidRPr="00127D0E">
        <w:rPr>
          <w:rStyle w:val="Emphasis"/>
          <w:rFonts w:ascii="Cambria Math" w:hAnsi="Cambria Math" w:cs="Arial"/>
          <w:sz w:val="18"/>
          <w:szCs w:val="18"/>
        </w:rPr>
        <w:t>‐</w:t>
      </w:r>
      <w:r w:rsidRPr="00127D0E">
        <w:rPr>
          <w:rStyle w:val="Emphasis"/>
          <w:rFonts w:ascii="Arial" w:hAnsi="Arial" w:cs="Arial"/>
          <w:sz w:val="18"/>
          <w:szCs w:val="18"/>
        </w:rPr>
        <w:t>looking statements and information contained in this news release are made as of the date hereof and no undertaking is given to update publicly or revise any forward</w:t>
      </w:r>
      <w:r w:rsidRPr="00127D0E">
        <w:rPr>
          <w:rStyle w:val="Emphasis"/>
          <w:rFonts w:ascii="Cambria Math" w:hAnsi="Cambria Math" w:cs="Arial"/>
          <w:sz w:val="18"/>
          <w:szCs w:val="18"/>
        </w:rPr>
        <w:t>‐</w:t>
      </w:r>
      <w:r w:rsidRPr="00127D0E">
        <w:rPr>
          <w:rStyle w:val="Emphasis"/>
          <w:rFonts w:ascii="Arial" w:hAnsi="Arial" w:cs="Arial"/>
          <w:sz w:val="18"/>
          <w:szCs w:val="18"/>
        </w:rPr>
        <w:t xml:space="preserve">looking statements or information, whether as a result of new information, future events or otherwise, unless so required by applicable securities laws or the </w:t>
      </w:r>
      <w:r>
        <w:rPr>
          <w:rStyle w:val="Emphasis"/>
          <w:rFonts w:ascii="Arial" w:hAnsi="Arial" w:cs="Arial"/>
          <w:sz w:val="18"/>
          <w:szCs w:val="18"/>
        </w:rPr>
        <w:t xml:space="preserve">Canadian Securities </w:t>
      </w:r>
      <w:r w:rsidRPr="00127D0E">
        <w:rPr>
          <w:rStyle w:val="Emphasis"/>
          <w:rFonts w:ascii="Arial" w:hAnsi="Arial" w:cs="Arial"/>
          <w:sz w:val="18"/>
          <w:szCs w:val="18"/>
        </w:rPr>
        <w:t>Exchange. The forward-looking statements or information contained in this news release are expressly qualified by this cautionary statement.</w:t>
      </w:r>
    </w:p>
    <w:p w:rsidR="00B158D9" w:rsidRPr="00127D0E" w:rsidRDefault="00B158D9" w:rsidP="00B158D9">
      <w:pPr>
        <w:pStyle w:val="NormalWeb"/>
        <w:jc w:val="both"/>
        <w:rPr>
          <w:rFonts w:ascii="Arial" w:hAnsi="Arial" w:cs="Arial"/>
          <w:i/>
          <w:sz w:val="18"/>
          <w:szCs w:val="18"/>
        </w:rPr>
      </w:pPr>
      <w:r w:rsidRPr="00127D0E">
        <w:rPr>
          <w:rFonts w:ascii="Arial" w:hAnsi="Arial" w:cs="Arial"/>
          <w:i/>
          <w:sz w:val="18"/>
          <w:szCs w:val="18"/>
        </w:rPr>
        <w:t xml:space="preserve">The </w:t>
      </w:r>
      <w:r>
        <w:rPr>
          <w:rFonts w:ascii="Arial" w:hAnsi="Arial" w:cs="Arial"/>
          <w:i/>
          <w:sz w:val="18"/>
          <w:szCs w:val="18"/>
        </w:rPr>
        <w:t>Canadian Securities</w:t>
      </w:r>
      <w:r w:rsidRPr="00127D0E">
        <w:rPr>
          <w:rFonts w:ascii="Arial" w:hAnsi="Arial" w:cs="Arial"/>
          <w:i/>
          <w:sz w:val="18"/>
          <w:szCs w:val="18"/>
        </w:rPr>
        <w:t xml:space="preserve"> Exchange Inc. has in no way passed upon the merits of the proposed transaction and has neither approved nor disapproved of the contents of this press release.</w:t>
      </w:r>
    </w:p>
    <w:p w:rsidR="00B158D9" w:rsidRPr="009B505A" w:rsidRDefault="00B158D9" w:rsidP="009B505A">
      <w:pPr>
        <w:rPr>
          <w:rFonts w:ascii="Calibri" w:eastAsia="Calibri" w:hAnsi="Calibri"/>
          <w:sz w:val="22"/>
          <w:szCs w:val="22"/>
          <w:bdr w:val="none" w:sz="0" w:space="0" w:color="auto"/>
          <w:lang w:val="en-CA" w:eastAsia="en-CA"/>
        </w:rPr>
      </w:pPr>
    </w:p>
    <w:p w:rsidR="009B505A" w:rsidRPr="009B505A" w:rsidRDefault="009B505A" w:rsidP="009B505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lang w:val="en-CA" w:eastAsia="en-CA"/>
        </w:rPr>
      </w:pPr>
    </w:p>
    <w:p w:rsidR="008267E5" w:rsidRDefault="008267E5">
      <w:pPr>
        <w:pStyle w:val="NormalWeb"/>
        <w:spacing w:after="0"/>
        <w:jc w:val="both"/>
        <w:rPr>
          <w:rFonts w:ascii="Arial" w:eastAsia="Arial" w:hAnsi="Arial" w:cs="Arial"/>
          <w:sz w:val="20"/>
          <w:szCs w:val="20"/>
        </w:rPr>
      </w:pPr>
    </w:p>
    <w:p w:rsidR="008267E5" w:rsidRDefault="008267E5">
      <w:pPr>
        <w:pStyle w:val="NormalWeb"/>
        <w:spacing w:after="0"/>
        <w:jc w:val="both"/>
        <w:rPr>
          <w:rFonts w:ascii="Arial" w:eastAsia="Arial" w:hAnsi="Arial" w:cs="Arial"/>
          <w:kern w:val="24"/>
          <w:sz w:val="20"/>
          <w:szCs w:val="20"/>
        </w:rPr>
      </w:pPr>
    </w:p>
    <w:sectPr w:rsidR="008267E5" w:rsidSect="008267E5">
      <w:pgSz w:w="12240" w:h="15840"/>
      <w:pgMar w:top="1170" w:right="1440" w:bottom="117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601" w:rsidRDefault="00E50601" w:rsidP="008267E5">
      <w:r>
        <w:separator/>
      </w:r>
    </w:p>
  </w:endnote>
  <w:endnote w:type="continuationSeparator" w:id="0">
    <w:p w:rsidR="00E50601" w:rsidRDefault="00E50601" w:rsidP="0082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601" w:rsidRDefault="00E50601" w:rsidP="008267E5">
      <w:r>
        <w:separator/>
      </w:r>
    </w:p>
  </w:footnote>
  <w:footnote w:type="continuationSeparator" w:id="0">
    <w:p w:rsidR="00E50601" w:rsidRDefault="00E50601" w:rsidP="00826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E5"/>
    <w:rsid w:val="000057D9"/>
    <w:rsid w:val="0003624C"/>
    <w:rsid w:val="000450CC"/>
    <w:rsid w:val="00077D89"/>
    <w:rsid w:val="000977F7"/>
    <w:rsid w:val="00124D6E"/>
    <w:rsid w:val="00125604"/>
    <w:rsid w:val="00137914"/>
    <w:rsid w:val="001D3333"/>
    <w:rsid w:val="001E745D"/>
    <w:rsid w:val="00247D2F"/>
    <w:rsid w:val="002C455D"/>
    <w:rsid w:val="0030108F"/>
    <w:rsid w:val="00302360"/>
    <w:rsid w:val="00331822"/>
    <w:rsid w:val="003C3EF1"/>
    <w:rsid w:val="00455004"/>
    <w:rsid w:val="004C6E78"/>
    <w:rsid w:val="00660D0B"/>
    <w:rsid w:val="006E07D1"/>
    <w:rsid w:val="006F0E4E"/>
    <w:rsid w:val="007621E5"/>
    <w:rsid w:val="0077654B"/>
    <w:rsid w:val="00787C98"/>
    <w:rsid w:val="00791E21"/>
    <w:rsid w:val="007966A3"/>
    <w:rsid w:val="007D6DE7"/>
    <w:rsid w:val="00803BE6"/>
    <w:rsid w:val="008267E5"/>
    <w:rsid w:val="00831705"/>
    <w:rsid w:val="00863529"/>
    <w:rsid w:val="0093211E"/>
    <w:rsid w:val="009810A8"/>
    <w:rsid w:val="009B505A"/>
    <w:rsid w:val="009D4071"/>
    <w:rsid w:val="009E5400"/>
    <w:rsid w:val="009F08B7"/>
    <w:rsid w:val="00A244BB"/>
    <w:rsid w:val="00A458EC"/>
    <w:rsid w:val="00AA252C"/>
    <w:rsid w:val="00AD56F9"/>
    <w:rsid w:val="00B158D9"/>
    <w:rsid w:val="00B422F5"/>
    <w:rsid w:val="00B616BC"/>
    <w:rsid w:val="00BC6445"/>
    <w:rsid w:val="00BE32EE"/>
    <w:rsid w:val="00BF5D92"/>
    <w:rsid w:val="00C02685"/>
    <w:rsid w:val="00C82525"/>
    <w:rsid w:val="00CC0090"/>
    <w:rsid w:val="00CE03A5"/>
    <w:rsid w:val="00D00FB6"/>
    <w:rsid w:val="00D20257"/>
    <w:rsid w:val="00D32255"/>
    <w:rsid w:val="00D65E9F"/>
    <w:rsid w:val="00D661CD"/>
    <w:rsid w:val="00DC2410"/>
    <w:rsid w:val="00E01F80"/>
    <w:rsid w:val="00E06A31"/>
    <w:rsid w:val="00E167BE"/>
    <w:rsid w:val="00E50601"/>
    <w:rsid w:val="00E927BE"/>
    <w:rsid w:val="00E95C39"/>
    <w:rsid w:val="00E96F0D"/>
    <w:rsid w:val="00EC76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CBB0C-BE18-4257-B223-32EFA6EE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267E5"/>
    <w:rPr>
      <w:sz w:val="24"/>
      <w:szCs w:val="24"/>
      <w:lang w:val="en-US" w:eastAsia="en-US"/>
    </w:rPr>
  </w:style>
  <w:style w:type="paragraph" w:styleId="Heading2">
    <w:name w:val="heading 2"/>
    <w:next w:val="Body"/>
    <w:rsid w:val="008267E5"/>
    <w:pPr>
      <w:keepNext/>
      <w:jc w:val="right"/>
      <w:outlineLvl w:val="1"/>
    </w:pPr>
    <w:rPr>
      <w:rFonts w:eastAsia="Times New Roman"/>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67E5"/>
    <w:rPr>
      <w:u w:val="single"/>
    </w:rPr>
  </w:style>
  <w:style w:type="paragraph" w:customStyle="1" w:styleId="HeaderFooter">
    <w:name w:val="Header &amp; Footer"/>
    <w:rsid w:val="008267E5"/>
    <w:pPr>
      <w:tabs>
        <w:tab w:val="right" w:pos="9020"/>
      </w:tabs>
    </w:pPr>
    <w:rPr>
      <w:rFonts w:ascii="Helvetica" w:hAnsi="Arial Unicode MS" w:cs="Arial Unicode MS"/>
      <w:color w:val="000000"/>
      <w:sz w:val="24"/>
      <w:szCs w:val="24"/>
    </w:rPr>
  </w:style>
  <w:style w:type="paragraph" w:styleId="Title">
    <w:name w:val="Title"/>
    <w:rsid w:val="008267E5"/>
    <w:pPr>
      <w:jc w:val="center"/>
    </w:pPr>
    <w:rPr>
      <w:rFonts w:hAnsi="Arial Unicode MS" w:cs="Arial Unicode MS"/>
      <w:b/>
      <w:bCs/>
      <w:color w:val="000000"/>
      <w:sz w:val="26"/>
      <w:szCs w:val="26"/>
      <w:u w:color="000000"/>
      <w:lang w:val="en-US"/>
    </w:rPr>
  </w:style>
  <w:style w:type="paragraph" w:customStyle="1" w:styleId="Body">
    <w:name w:val="Body"/>
    <w:rsid w:val="008267E5"/>
    <w:rPr>
      <w:rFonts w:hAnsi="Arial Unicode MS" w:cs="Arial Unicode MS"/>
      <w:color w:val="000000"/>
      <w:u w:color="000000"/>
    </w:rPr>
  </w:style>
  <w:style w:type="paragraph" w:styleId="NormalWeb">
    <w:name w:val="Normal (Web)"/>
    <w:uiPriority w:val="99"/>
    <w:rsid w:val="008267E5"/>
    <w:pPr>
      <w:spacing w:before="100" w:after="100"/>
    </w:pPr>
    <w:rPr>
      <w:rFonts w:hAnsi="Arial Unicode MS" w:cs="Arial Unicode MS"/>
      <w:color w:val="000000"/>
      <w:sz w:val="24"/>
      <w:szCs w:val="24"/>
      <w:u w:color="000000"/>
      <w:lang w:val="en-US"/>
    </w:rPr>
  </w:style>
  <w:style w:type="paragraph" w:styleId="BodyText">
    <w:name w:val="Body Text"/>
    <w:rsid w:val="008267E5"/>
    <w:rPr>
      <w:rFonts w:ascii="Arial Unicode MS" w:cs="Arial Unicode MS"/>
      <w:color w:val="000000"/>
      <w:sz w:val="24"/>
      <w:szCs w:val="24"/>
      <w:u w:color="000000"/>
      <w:lang w:val="en-US"/>
    </w:rPr>
  </w:style>
  <w:style w:type="paragraph" w:styleId="BalloonText">
    <w:name w:val="Balloon Text"/>
    <w:basedOn w:val="Normal"/>
    <w:link w:val="BalloonTextChar"/>
    <w:uiPriority w:val="99"/>
    <w:semiHidden/>
    <w:unhideWhenUsed/>
    <w:rsid w:val="00077D89"/>
    <w:rPr>
      <w:rFonts w:ascii="Tahoma" w:hAnsi="Tahoma" w:cs="Tahoma"/>
      <w:sz w:val="16"/>
      <w:szCs w:val="16"/>
    </w:rPr>
  </w:style>
  <w:style w:type="character" w:customStyle="1" w:styleId="BalloonTextChar">
    <w:name w:val="Balloon Text Char"/>
    <w:basedOn w:val="DefaultParagraphFont"/>
    <w:link w:val="BalloonText"/>
    <w:uiPriority w:val="99"/>
    <w:semiHidden/>
    <w:rsid w:val="00077D89"/>
    <w:rPr>
      <w:rFonts w:ascii="Tahoma" w:hAnsi="Tahoma" w:cs="Tahoma"/>
      <w:sz w:val="16"/>
      <w:szCs w:val="16"/>
      <w:lang w:val="en-US" w:eastAsia="en-US"/>
    </w:rPr>
  </w:style>
  <w:style w:type="character" w:styleId="Strong">
    <w:name w:val="Strong"/>
    <w:qFormat/>
    <w:rsid w:val="00B158D9"/>
    <w:rPr>
      <w:b/>
      <w:bCs/>
    </w:rPr>
  </w:style>
  <w:style w:type="character" w:styleId="Emphasis">
    <w:name w:val="Emphasis"/>
    <w:uiPriority w:val="20"/>
    <w:qFormat/>
    <w:rsid w:val="00B158D9"/>
    <w:rPr>
      <w:i/>
      <w:iCs/>
    </w:rPr>
  </w:style>
  <w:style w:type="character" w:customStyle="1" w:styleId="apple-converted-space">
    <w:name w:val="apple-converted-space"/>
    <w:basedOn w:val="DefaultParagraphFont"/>
    <w:rsid w:val="00C82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5629">
      <w:bodyDiv w:val="1"/>
      <w:marLeft w:val="0"/>
      <w:marRight w:val="0"/>
      <w:marTop w:val="0"/>
      <w:marBottom w:val="0"/>
      <w:divBdr>
        <w:top w:val="none" w:sz="0" w:space="0" w:color="auto"/>
        <w:left w:val="none" w:sz="0" w:space="0" w:color="auto"/>
        <w:bottom w:val="none" w:sz="0" w:space="0" w:color="auto"/>
        <w:right w:val="none" w:sz="0" w:space="0" w:color="auto"/>
      </w:divBdr>
    </w:div>
    <w:div w:id="516239361">
      <w:bodyDiv w:val="1"/>
      <w:marLeft w:val="0"/>
      <w:marRight w:val="0"/>
      <w:marTop w:val="0"/>
      <w:marBottom w:val="0"/>
      <w:divBdr>
        <w:top w:val="none" w:sz="0" w:space="0" w:color="auto"/>
        <w:left w:val="none" w:sz="0" w:space="0" w:color="auto"/>
        <w:bottom w:val="none" w:sz="0" w:space="0" w:color="auto"/>
        <w:right w:val="none" w:sz="0" w:space="0" w:color="auto"/>
      </w:divBdr>
    </w:div>
    <w:div w:id="563032374">
      <w:bodyDiv w:val="1"/>
      <w:marLeft w:val="0"/>
      <w:marRight w:val="0"/>
      <w:marTop w:val="0"/>
      <w:marBottom w:val="0"/>
      <w:divBdr>
        <w:top w:val="none" w:sz="0" w:space="0" w:color="auto"/>
        <w:left w:val="none" w:sz="0" w:space="0" w:color="auto"/>
        <w:bottom w:val="none" w:sz="0" w:space="0" w:color="auto"/>
        <w:right w:val="none" w:sz="0" w:space="0" w:color="auto"/>
      </w:divBdr>
    </w:div>
    <w:div w:id="726729859">
      <w:bodyDiv w:val="1"/>
      <w:marLeft w:val="0"/>
      <w:marRight w:val="0"/>
      <w:marTop w:val="0"/>
      <w:marBottom w:val="0"/>
      <w:divBdr>
        <w:top w:val="none" w:sz="0" w:space="0" w:color="auto"/>
        <w:left w:val="none" w:sz="0" w:space="0" w:color="auto"/>
        <w:bottom w:val="none" w:sz="0" w:space="0" w:color="auto"/>
        <w:right w:val="none" w:sz="0" w:space="0" w:color="auto"/>
      </w:divBdr>
    </w:div>
    <w:div w:id="1040738162">
      <w:bodyDiv w:val="1"/>
      <w:marLeft w:val="0"/>
      <w:marRight w:val="0"/>
      <w:marTop w:val="0"/>
      <w:marBottom w:val="0"/>
      <w:divBdr>
        <w:top w:val="none" w:sz="0" w:space="0" w:color="auto"/>
        <w:left w:val="none" w:sz="0" w:space="0" w:color="auto"/>
        <w:bottom w:val="none" w:sz="0" w:space="0" w:color="auto"/>
        <w:right w:val="none" w:sz="0" w:space="0" w:color="auto"/>
      </w:divBdr>
    </w:div>
    <w:div w:id="1274172204">
      <w:bodyDiv w:val="1"/>
      <w:marLeft w:val="0"/>
      <w:marRight w:val="0"/>
      <w:marTop w:val="0"/>
      <w:marBottom w:val="0"/>
      <w:divBdr>
        <w:top w:val="none" w:sz="0" w:space="0" w:color="auto"/>
        <w:left w:val="none" w:sz="0" w:space="0" w:color="auto"/>
        <w:bottom w:val="none" w:sz="0" w:space="0" w:color="auto"/>
        <w:right w:val="none" w:sz="0" w:space="0" w:color="auto"/>
      </w:divBdr>
    </w:div>
    <w:div w:id="1311864736">
      <w:bodyDiv w:val="1"/>
      <w:marLeft w:val="0"/>
      <w:marRight w:val="0"/>
      <w:marTop w:val="0"/>
      <w:marBottom w:val="0"/>
      <w:divBdr>
        <w:top w:val="none" w:sz="0" w:space="0" w:color="auto"/>
        <w:left w:val="none" w:sz="0" w:space="0" w:color="auto"/>
        <w:bottom w:val="none" w:sz="0" w:space="0" w:color="auto"/>
        <w:right w:val="none" w:sz="0" w:space="0" w:color="auto"/>
      </w:divBdr>
    </w:div>
    <w:div w:id="1664818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E6FF6-5EF3-4E5A-832E-9D0F4C21C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Steve Pierce</cp:lastModifiedBy>
  <cp:revision>3</cp:revision>
  <dcterms:created xsi:type="dcterms:W3CDTF">2015-10-29T00:23:00Z</dcterms:created>
  <dcterms:modified xsi:type="dcterms:W3CDTF">2015-10-29T16:59:00Z</dcterms:modified>
</cp:coreProperties>
</file>