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C1" w:rsidRPr="00644A3E" w:rsidRDefault="00946DC1" w:rsidP="003944C3">
      <w:pPr>
        <w:spacing w:line="480" w:lineRule="auto"/>
        <w:jc w:val="both"/>
        <w:rPr>
          <w:rFonts w:cs="Calibri-Bold"/>
          <w:b/>
          <w:bCs/>
          <w:color w:val="000000"/>
        </w:rPr>
      </w:pPr>
    </w:p>
    <w:p w:rsidR="00946DC1" w:rsidRPr="00644A3E" w:rsidRDefault="00946DC1" w:rsidP="003944C3">
      <w:pPr>
        <w:spacing w:line="480" w:lineRule="auto"/>
        <w:jc w:val="both"/>
        <w:rPr>
          <w:rFonts w:cs="Calibri-Bold"/>
          <w:b/>
          <w:bCs/>
          <w:color w:val="000000"/>
        </w:rPr>
      </w:pPr>
    </w:p>
    <w:p w:rsidR="00946DC1" w:rsidRPr="00644A3E" w:rsidRDefault="00946DC1" w:rsidP="003944C3">
      <w:pPr>
        <w:spacing w:line="480" w:lineRule="auto"/>
        <w:jc w:val="both"/>
        <w:rPr>
          <w:rFonts w:cs="Calibri-Bold"/>
          <w:b/>
          <w:bCs/>
          <w:color w:val="000000"/>
        </w:rPr>
      </w:pPr>
    </w:p>
    <w:p w:rsidR="00946DC1" w:rsidRPr="00644A3E" w:rsidRDefault="00946DC1" w:rsidP="003944C3">
      <w:pPr>
        <w:spacing w:line="480" w:lineRule="auto"/>
        <w:jc w:val="both"/>
        <w:rPr>
          <w:rFonts w:cs="Calibri-Bold"/>
          <w:b/>
          <w:bCs/>
          <w:color w:val="000000"/>
        </w:rPr>
      </w:pPr>
    </w:p>
    <w:p w:rsidR="00946DC1" w:rsidRPr="00644A3E" w:rsidRDefault="00946DC1" w:rsidP="003944C3">
      <w:pPr>
        <w:spacing w:line="240" w:lineRule="auto"/>
        <w:jc w:val="both"/>
        <w:rPr>
          <w:rFonts w:cs="Calibri-Bold"/>
          <w:b/>
          <w:bCs/>
          <w:color w:val="000000"/>
        </w:rPr>
      </w:pPr>
    </w:p>
    <w:p w:rsidR="00946DC1" w:rsidRPr="00263CDF" w:rsidRDefault="00946DC1" w:rsidP="00263CDF">
      <w:pPr>
        <w:spacing w:line="360" w:lineRule="auto"/>
        <w:jc w:val="center"/>
        <w:rPr>
          <w:rFonts w:cs="Calibri-Bold"/>
          <w:b/>
          <w:bCs/>
          <w:color w:val="000000"/>
          <w:sz w:val="32"/>
          <w:szCs w:val="32"/>
        </w:rPr>
      </w:pPr>
      <w:r w:rsidRPr="00263CDF">
        <w:rPr>
          <w:rFonts w:cs="Calibri-Bold"/>
          <w:b/>
          <w:bCs/>
          <w:color w:val="000000"/>
          <w:sz w:val="32"/>
          <w:szCs w:val="32"/>
        </w:rPr>
        <w:t>RHEINGOLD EXPLORATION CORP.</w:t>
      </w:r>
    </w:p>
    <w:p w:rsidR="00946DC1" w:rsidRPr="00263CDF" w:rsidRDefault="00946DC1" w:rsidP="00263CDF">
      <w:pPr>
        <w:spacing w:line="360" w:lineRule="auto"/>
        <w:jc w:val="center"/>
        <w:rPr>
          <w:rFonts w:cs="Calibri-Bold"/>
          <w:b/>
          <w:bCs/>
          <w:color w:val="000000"/>
          <w:sz w:val="28"/>
          <w:szCs w:val="28"/>
        </w:rPr>
      </w:pPr>
      <w:r w:rsidRPr="00263CDF">
        <w:rPr>
          <w:rFonts w:cs="Calibri-Bold"/>
          <w:b/>
          <w:bCs/>
          <w:color w:val="000000"/>
          <w:sz w:val="28"/>
          <w:szCs w:val="28"/>
        </w:rPr>
        <w:t>MANAGEMENT'S DISCUSSION AND ANALYSIS</w:t>
      </w:r>
    </w:p>
    <w:p w:rsidR="00946DC1" w:rsidRPr="00263CDF" w:rsidRDefault="00946DC1" w:rsidP="00263CDF">
      <w:pPr>
        <w:spacing w:line="240" w:lineRule="auto"/>
        <w:jc w:val="center"/>
        <w:rPr>
          <w:rFonts w:cs="Calibri-Bold"/>
          <w:bCs/>
          <w:color w:val="000000"/>
        </w:rPr>
      </w:pPr>
      <w:r w:rsidRPr="00263CDF">
        <w:rPr>
          <w:rFonts w:cs="Calibri-Bold"/>
          <w:bCs/>
          <w:color w:val="000000"/>
        </w:rPr>
        <w:t xml:space="preserve">For the </w:t>
      </w:r>
      <w:r w:rsidR="00B171D0">
        <w:rPr>
          <w:rFonts w:cs="Calibri-Bold"/>
          <w:bCs/>
          <w:color w:val="000000"/>
        </w:rPr>
        <w:t>three month period</w:t>
      </w:r>
      <w:r w:rsidRPr="00263CDF">
        <w:rPr>
          <w:rFonts w:cs="Calibri-Bold"/>
          <w:bCs/>
          <w:color w:val="000000"/>
        </w:rPr>
        <w:t xml:space="preserve"> ended </w:t>
      </w:r>
      <w:r w:rsidR="00B171D0">
        <w:rPr>
          <w:rFonts w:cs="Calibri-Bold"/>
          <w:bCs/>
          <w:color w:val="000000"/>
        </w:rPr>
        <w:t>April 30, 2015</w:t>
      </w:r>
    </w:p>
    <w:p w:rsidR="00263CDF" w:rsidRPr="00263CDF" w:rsidRDefault="00CF1203" w:rsidP="00263CDF">
      <w:pPr>
        <w:spacing w:line="240" w:lineRule="auto"/>
        <w:jc w:val="center"/>
        <w:rPr>
          <w:rFonts w:cs="Calibri-Bold"/>
          <w:bCs/>
          <w:color w:val="000000"/>
        </w:rPr>
      </w:pPr>
      <w:r>
        <w:rPr>
          <w:rFonts w:cs="Calibri-Bold"/>
          <w:bCs/>
          <w:color w:val="000000"/>
        </w:rPr>
        <w:t xml:space="preserve">Dated </w:t>
      </w:r>
      <w:r w:rsidR="006D0BA4">
        <w:rPr>
          <w:rFonts w:cs="Calibri-Bold"/>
          <w:bCs/>
          <w:color w:val="000000"/>
        </w:rPr>
        <w:t xml:space="preserve">June </w:t>
      </w:r>
      <w:r w:rsidR="00B171D0">
        <w:rPr>
          <w:rFonts w:cs="Calibri-Bold"/>
          <w:bCs/>
          <w:color w:val="000000"/>
        </w:rPr>
        <w:t>29, 2015</w:t>
      </w:r>
    </w:p>
    <w:p w:rsidR="00263CDF" w:rsidRDefault="00263CDF" w:rsidP="00263CDF">
      <w:pPr>
        <w:spacing w:line="240" w:lineRule="auto"/>
        <w:jc w:val="center"/>
        <w:rPr>
          <w:rFonts w:cs="Calibri-Bold"/>
          <w:bCs/>
          <w:color w:val="000000"/>
        </w:rPr>
      </w:pPr>
    </w:p>
    <w:p w:rsidR="00263CDF" w:rsidRDefault="00263CDF" w:rsidP="00263CDF">
      <w:pPr>
        <w:spacing w:line="240" w:lineRule="auto"/>
        <w:jc w:val="center"/>
        <w:rPr>
          <w:rFonts w:cs="Calibri-Bold"/>
          <w:bCs/>
          <w:color w:val="000000"/>
        </w:rPr>
      </w:pPr>
    </w:p>
    <w:p w:rsidR="00263CDF" w:rsidRDefault="00263CDF" w:rsidP="00263CDF">
      <w:pPr>
        <w:spacing w:line="240" w:lineRule="auto"/>
        <w:jc w:val="center"/>
        <w:rPr>
          <w:rFonts w:cs="Calibri-Bold"/>
          <w:bCs/>
          <w:color w:val="000000"/>
        </w:rPr>
      </w:pPr>
    </w:p>
    <w:p w:rsidR="00263CDF" w:rsidRDefault="00263CDF" w:rsidP="00263CDF">
      <w:pPr>
        <w:spacing w:line="240" w:lineRule="auto"/>
        <w:jc w:val="center"/>
        <w:rPr>
          <w:rFonts w:cs="Calibri-Bold"/>
          <w:bCs/>
          <w:color w:val="000000"/>
        </w:rPr>
      </w:pPr>
    </w:p>
    <w:p w:rsidR="00263CDF" w:rsidRDefault="00263CDF" w:rsidP="00263CDF">
      <w:pPr>
        <w:spacing w:line="240" w:lineRule="auto"/>
        <w:jc w:val="center"/>
        <w:rPr>
          <w:rFonts w:cs="Calibri-Bold"/>
          <w:bCs/>
          <w:color w:val="000000"/>
        </w:rPr>
      </w:pPr>
    </w:p>
    <w:p w:rsidR="00263CDF" w:rsidRDefault="00263CDF" w:rsidP="00263CDF">
      <w:pPr>
        <w:spacing w:line="240" w:lineRule="auto"/>
        <w:jc w:val="center"/>
        <w:rPr>
          <w:rFonts w:cs="Calibri-Bold"/>
          <w:bCs/>
          <w:color w:val="000000"/>
        </w:rPr>
      </w:pPr>
    </w:p>
    <w:p w:rsidR="00263CDF" w:rsidRDefault="00263CDF" w:rsidP="00263CDF">
      <w:pPr>
        <w:spacing w:line="240" w:lineRule="auto"/>
        <w:jc w:val="center"/>
        <w:rPr>
          <w:rFonts w:cs="Calibri-Bold"/>
          <w:bCs/>
          <w:color w:val="000000"/>
        </w:rPr>
      </w:pPr>
    </w:p>
    <w:p w:rsidR="00263CDF" w:rsidRDefault="00263CDF" w:rsidP="00263CDF">
      <w:pPr>
        <w:spacing w:line="240" w:lineRule="auto"/>
        <w:jc w:val="center"/>
        <w:rPr>
          <w:rFonts w:cs="Calibri-Bold"/>
          <w:bCs/>
          <w:color w:val="000000"/>
        </w:rPr>
      </w:pPr>
    </w:p>
    <w:p w:rsidR="00263CDF" w:rsidRDefault="00263CDF" w:rsidP="00263CDF">
      <w:pPr>
        <w:spacing w:line="240" w:lineRule="auto"/>
        <w:jc w:val="center"/>
        <w:rPr>
          <w:rFonts w:cs="Calibri-Bold"/>
          <w:bCs/>
          <w:color w:val="000000"/>
        </w:rPr>
      </w:pPr>
    </w:p>
    <w:p w:rsidR="00263CDF" w:rsidRDefault="00263CDF" w:rsidP="00263CDF">
      <w:pPr>
        <w:spacing w:line="240" w:lineRule="auto"/>
        <w:jc w:val="center"/>
        <w:rPr>
          <w:rFonts w:cs="Calibri-Bold"/>
          <w:bCs/>
          <w:color w:val="000000"/>
        </w:rPr>
      </w:pPr>
    </w:p>
    <w:p w:rsidR="00263CDF" w:rsidRDefault="00263CDF" w:rsidP="00263CDF">
      <w:pPr>
        <w:spacing w:line="240" w:lineRule="auto"/>
        <w:jc w:val="center"/>
        <w:rPr>
          <w:rFonts w:cs="Calibri-Bold"/>
          <w:bCs/>
          <w:color w:val="000000"/>
        </w:rPr>
      </w:pPr>
    </w:p>
    <w:p w:rsidR="00263CDF" w:rsidRDefault="00263CDF" w:rsidP="00263CDF">
      <w:pPr>
        <w:spacing w:line="240" w:lineRule="auto"/>
        <w:jc w:val="center"/>
        <w:rPr>
          <w:rFonts w:cs="Calibri-Bold"/>
          <w:bCs/>
          <w:color w:val="000000"/>
        </w:rPr>
      </w:pPr>
    </w:p>
    <w:p w:rsidR="00946DC1" w:rsidRPr="00644A3E" w:rsidRDefault="00946DC1" w:rsidP="00263CDF">
      <w:pPr>
        <w:spacing w:line="240" w:lineRule="auto"/>
        <w:jc w:val="center"/>
        <w:rPr>
          <w:rFonts w:cs="Calibri-Bold"/>
          <w:b/>
          <w:bCs/>
          <w:color w:val="000000"/>
        </w:rPr>
      </w:pPr>
      <w:r w:rsidRPr="00644A3E">
        <w:rPr>
          <w:rFonts w:cs="Calibri-Bold"/>
          <w:b/>
          <w:bCs/>
          <w:color w:val="000000"/>
        </w:rPr>
        <w:br w:type="page"/>
      </w:r>
    </w:p>
    <w:p w:rsidR="00413E52" w:rsidRPr="00E65654" w:rsidRDefault="00653E8E" w:rsidP="00263CDF">
      <w:pPr>
        <w:autoSpaceDE w:val="0"/>
        <w:autoSpaceDN w:val="0"/>
        <w:adjustRightInd w:val="0"/>
        <w:spacing w:after="0" w:line="360" w:lineRule="auto"/>
        <w:jc w:val="center"/>
        <w:rPr>
          <w:rFonts w:cs="Calibri-Bold"/>
          <w:b/>
          <w:bCs/>
          <w:color w:val="000000"/>
        </w:rPr>
      </w:pPr>
      <w:r w:rsidRPr="00E65654">
        <w:rPr>
          <w:rFonts w:cs="Calibri-Bold"/>
          <w:b/>
          <w:bCs/>
          <w:color w:val="000000"/>
        </w:rPr>
        <w:lastRenderedPageBreak/>
        <w:t>RHEINGOLD EXPLORATION</w:t>
      </w:r>
      <w:r w:rsidR="00020A10" w:rsidRPr="00E65654">
        <w:rPr>
          <w:rFonts w:cs="Calibri-Bold"/>
          <w:b/>
          <w:bCs/>
          <w:color w:val="000000"/>
        </w:rPr>
        <w:t xml:space="preserve"> CORP.</w:t>
      </w:r>
    </w:p>
    <w:p w:rsidR="00413E52" w:rsidRPr="00E65654" w:rsidRDefault="00413E52" w:rsidP="00263CDF">
      <w:pPr>
        <w:autoSpaceDE w:val="0"/>
        <w:autoSpaceDN w:val="0"/>
        <w:adjustRightInd w:val="0"/>
        <w:spacing w:after="0" w:line="360" w:lineRule="auto"/>
        <w:jc w:val="center"/>
        <w:rPr>
          <w:rFonts w:cs="Calibri-Bold"/>
          <w:b/>
          <w:bCs/>
          <w:color w:val="000000"/>
        </w:rPr>
      </w:pPr>
      <w:r w:rsidRPr="00E65654">
        <w:rPr>
          <w:rFonts w:cs="Calibri-Bold"/>
          <w:b/>
          <w:bCs/>
          <w:color w:val="000000"/>
        </w:rPr>
        <w:t>MANAGEMENT'S DISCUSSION AND ANALYSIS</w:t>
      </w:r>
    </w:p>
    <w:p w:rsidR="00020A10" w:rsidRPr="00E65654" w:rsidRDefault="00020A10" w:rsidP="003944C3">
      <w:pPr>
        <w:autoSpaceDE w:val="0"/>
        <w:autoSpaceDN w:val="0"/>
        <w:adjustRightInd w:val="0"/>
        <w:spacing w:after="0" w:line="240" w:lineRule="auto"/>
        <w:jc w:val="both"/>
        <w:rPr>
          <w:rFonts w:cs="Calibri-Bold"/>
          <w:b/>
          <w:bCs/>
          <w:color w:val="000000"/>
        </w:rPr>
      </w:pPr>
    </w:p>
    <w:p w:rsidR="00020A10" w:rsidRPr="00E65654" w:rsidRDefault="00020A10" w:rsidP="003944C3">
      <w:pPr>
        <w:autoSpaceDE w:val="0"/>
        <w:autoSpaceDN w:val="0"/>
        <w:adjustRightInd w:val="0"/>
        <w:spacing w:after="0" w:line="240" w:lineRule="auto"/>
        <w:jc w:val="both"/>
        <w:rPr>
          <w:rFonts w:cs="Calibri-Bold"/>
          <w:b/>
          <w:bCs/>
          <w:color w:val="000000"/>
        </w:rPr>
      </w:pPr>
    </w:p>
    <w:p w:rsidR="00020A10" w:rsidRPr="00E65654" w:rsidRDefault="00DD27D3" w:rsidP="003944C3">
      <w:pPr>
        <w:autoSpaceDE w:val="0"/>
        <w:autoSpaceDN w:val="0"/>
        <w:adjustRightInd w:val="0"/>
        <w:spacing w:after="0" w:line="240" w:lineRule="auto"/>
        <w:jc w:val="both"/>
        <w:rPr>
          <w:rFonts w:cs="Calibri-Bold"/>
          <w:b/>
          <w:bCs/>
          <w:color w:val="000000"/>
        </w:rPr>
      </w:pPr>
      <w:r w:rsidRPr="00E65654">
        <w:rPr>
          <w:rFonts w:cs="Calibri-Bold"/>
          <w:b/>
          <w:bCs/>
          <w:color w:val="000000"/>
        </w:rPr>
        <w:t>Introduction</w:t>
      </w:r>
    </w:p>
    <w:p w:rsidR="00020A10" w:rsidRPr="00E65654" w:rsidRDefault="00020A10" w:rsidP="003944C3">
      <w:pPr>
        <w:autoSpaceDE w:val="0"/>
        <w:autoSpaceDN w:val="0"/>
        <w:adjustRightInd w:val="0"/>
        <w:spacing w:after="0" w:line="240" w:lineRule="auto"/>
        <w:jc w:val="both"/>
        <w:rPr>
          <w:rFonts w:cs="Calibri-Bold"/>
          <w:b/>
          <w:bCs/>
          <w:color w:val="000000"/>
        </w:rPr>
      </w:pPr>
    </w:p>
    <w:p w:rsidR="00B171D0" w:rsidRDefault="00B171D0" w:rsidP="00B171D0">
      <w:pPr>
        <w:autoSpaceDE w:val="0"/>
        <w:autoSpaceDN w:val="0"/>
        <w:adjustRightInd w:val="0"/>
        <w:spacing w:after="0" w:line="240" w:lineRule="auto"/>
        <w:jc w:val="both"/>
        <w:rPr>
          <w:rFonts w:cs="Times New Roman"/>
        </w:rPr>
      </w:pPr>
      <w:r>
        <w:rPr>
          <w:rFonts w:cs="Times New Roman"/>
        </w:rPr>
        <w:t>This Management’s Discussion and Analysis (“</w:t>
      </w:r>
      <w:r>
        <w:rPr>
          <w:rFonts w:cs="Times New Roman"/>
          <w:b/>
          <w:bCs/>
        </w:rPr>
        <w:t>MD&amp;A</w:t>
      </w:r>
      <w:r>
        <w:rPr>
          <w:rFonts w:cs="Times New Roman"/>
        </w:rPr>
        <w:t>”) of the financial position and results of operations of Rheingold Exploration Corp. (the “</w:t>
      </w:r>
      <w:r>
        <w:rPr>
          <w:rFonts w:cs="Times New Roman"/>
          <w:b/>
          <w:bCs/>
        </w:rPr>
        <w:t>Company</w:t>
      </w:r>
      <w:r>
        <w:rPr>
          <w:rFonts w:cs="Times New Roman"/>
        </w:rPr>
        <w:t>” or “</w:t>
      </w:r>
      <w:r>
        <w:rPr>
          <w:rFonts w:cs="Times New Roman"/>
          <w:b/>
          <w:bCs/>
        </w:rPr>
        <w:t>Rheingold</w:t>
      </w:r>
      <w:r>
        <w:rPr>
          <w:rFonts w:cs="Times New Roman"/>
        </w:rPr>
        <w:t xml:space="preserve">”) should be read in conjunction with the </w:t>
      </w:r>
      <w:r w:rsidRPr="00A736B7">
        <w:rPr>
          <w:rFonts w:cs="Times New Roman"/>
          <w:lang w:val="en-US"/>
        </w:rPr>
        <w:t xml:space="preserve">unaudited </w:t>
      </w:r>
      <w:r>
        <w:rPr>
          <w:rFonts w:cs="Times New Roman"/>
          <w:lang w:val="en-US"/>
        </w:rPr>
        <w:t>condensed i</w:t>
      </w:r>
      <w:r w:rsidRPr="00A736B7">
        <w:rPr>
          <w:rFonts w:cs="Times New Roman"/>
          <w:lang w:val="en-US"/>
        </w:rPr>
        <w:t>nterim financial statements of the Company for the three</w:t>
      </w:r>
      <w:r>
        <w:rPr>
          <w:rFonts w:cs="Times New Roman"/>
          <w:lang w:val="en-US"/>
        </w:rPr>
        <w:t xml:space="preserve"> month period</w:t>
      </w:r>
      <w:r w:rsidRPr="00A736B7">
        <w:rPr>
          <w:rFonts w:cs="Times New Roman"/>
          <w:lang w:val="en-US"/>
        </w:rPr>
        <w:t xml:space="preserve"> ended </w:t>
      </w:r>
      <w:r>
        <w:rPr>
          <w:rFonts w:cs="Times New Roman"/>
          <w:lang w:val="en-US"/>
        </w:rPr>
        <w:t>April 30, 2015</w:t>
      </w:r>
      <w:r w:rsidRPr="00A736B7">
        <w:rPr>
          <w:rFonts w:cs="Times New Roman"/>
          <w:lang w:val="en-US"/>
        </w:rPr>
        <w:t xml:space="preserve"> and the related notes contained therein</w:t>
      </w:r>
      <w:r>
        <w:rPr>
          <w:rFonts w:cs="Times New Roman"/>
        </w:rPr>
        <w:t xml:space="preserve">.  </w:t>
      </w:r>
      <w:r>
        <w:rPr>
          <w:rFonts w:cs="Calibri"/>
          <w:color w:val="000000"/>
        </w:rPr>
        <w:t>The financial statements have been prepared in accordance with International Accounting Standard 34 Interim Financial Reporting (“</w:t>
      </w:r>
      <w:r>
        <w:rPr>
          <w:rFonts w:cs="Calibri"/>
          <w:b/>
          <w:color w:val="000000"/>
        </w:rPr>
        <w:t>IAS 34</w:t>
      </w:r>
      <w:r>
        <w:rPr>
          <w:rFonts w:cs="Calibri"/>
          <w:color w:val="000000"/>
        </w:rPr>
        <w:t xml:space="preserve">”).   All dollar figures included therein and in the following MD&amp;A are quoted in Canadian dollars.  Additional information relevant to the Company and its activities can be found on SEDAR at </w:t>
      </w:r>
      <w:r>
        <w:rPr>
          <w:rFonts w:cs="Calibri"/>
          <w:color w:val="1F14F8"/>
        </w:rPr>
        <w:t>www.sedar.com</w:t>
      </w:r>
      <w:r>
        <w:rPr>
          <w:rFonts w:cs="Calibri"/>
          <w:color w:val="000000"/>
        </w:rPr>
        <w:t>.</w:t>
      </w:r>
    </w:p>
    <w:p w:rsidR="00BD6A4E" w:rsidRPr="00E65654" w:rsidRDefault="00BD6A4E" w:rsidP="003944C3">
      <w:pPr>
        <w:autoSpaceDE w:val="0"/>
        <w:autoSpaceDN w:val="0"/>
        <w:adjustRightInd w:val="0"/>
        <w:spacing w:after="0" w:line="240" w:lineRule="auto"/>
        <w:jc w:val="both"/>
        <w:rPr>
          <w:rFonts w:cs="Calibri"/>
          <w:color w:val="000000"/>
        </w:rPr>
      </w:pPr>
    </w:p>
    <w:p w:rsidR="00BD6A4E" w:rsidRPr="00E65654" w:rsidRDefault="00023601" w:rsidP="003944C3">
      <w:pPr>
        <w:autoSpaceDE w:val="0"/>
        <w:autoSpaceDN w:val="0"/>
        <w:adjustRightInd w:val="0"/>
        <w:spacing w:after="0" w:line="240" w:lineRule="auto"/>
        <w:jc w:val="both"/>
        <w:rPr>
          <w:rFonts w:cs="Calibri"/>
          <w:color w:val="000000"/>
        </w:rPr>
      </w:pPr>
      <w:r w:rsidRPr="00E65654">
        <w:rPr>
          <w:rFonts w:cs="Calibri"/>
          <w:color w:val="000000"/>
        </w:rPr>
        <w:t xml:space="preserve">This MD&amp;A is current as of </w:t>
      </w:r>
      <w:r w:rsidR="007D3B2D">
        <w:rPr>
          <w:rFonts w:cs="Calibri-Bold"/>
          <w:bCs/>
          <w:color w:val="000000"/>
        </w:rPr>
        <w:t xml:space="preserve">June </w:t>
      </w:r>
      <w:r w:rsidR="00B171D0">
        <w:rPr>
          <w:rFonts w:cs="Calibri-Bold"/>
          <w:bCs/>
          <w:color w:val="000000"/>
        </w:rPr>
        <w:t>29</w:t>
      </w:r>
      <w:r w:rsidR="0093095E" w:rsidRPr="00E65654">
        <w:rPr>
          <w:rFonts w:cs="Calibri-Bold"/>
          <w:bCs/>
          <w:color w:val="000000"/>
        </w:rPr>
        <w:t xml:space="preserve">, </w:t>
      </w:r>
      <w:r w:rsidR="009E37F9" w:rsidRPr="00E65654">
        <w:rPr>
          <w:rFonts w:cs="Calibri-Bold"/>
          <w:bCs/>
          <w:color w:val="000000"/>
        </w:rPr>
        <w:t>2015</w:t>
      </w:r>
      <w:r w:rsidR="00BD6A4E" w:rsidRPr="00E65654">
        <w:rPr>
          <w:rFonts w:cs="Calibri"/>
          <w:color w:val="000000"/>
        </w:rPr>
        <w:t>.</w:t>
      </w:r>
    </w:p>
    <w:p w:rsidR="00020A10" w:rsidRPr="00E65654" w:rsidRDefault="00020A10" w:rsidP="003944C3">
      <w:pPr>
        <w:autoSpaceDE w:val="0"/>
        <w:autoSpaceDN w:val="0"/>
        <w:adjustRightInd w:val="0"/>
        <w:spacing w:after="0" w:line="240" w:lineRule="auto"/>
        <w:jc w:val="both"/>
        <w:rPr>
          <w:rFonts w:cs="Calibri-Bold"/>
          <w:b/>
          <w:bCs/>
          <w:color w:val="000000"/>
        </w:rPr>
      </w:pPr>
    </w:p>
    <w:p w:rsidR="00020A10" w:rsidRPr="00E65654" w:rsidRDefault="00020A10" w:rsidP="003944C3">
      <w:pPr>
        <w:autoSpaceDE w:val="0"/>
        <w:autoSpaceDN w:val="0"/>
        <w:adjustRightInd w:val="0"/>
        <w:spacing w:after="0" w:line="240" w:lineRule="auto"/>
        <w:jc w:val="both"/>
        <w:rPr>
          <w:rFonts w:cs="Calibri-Bold"/>
          <w:b/>
          <w:bCs/>
          <w:color w:val="000000"/>
        </w:rPr>
      </w:pPr>
      <w:r w:rsidRPr="00E65654">
        <w:rPr>
          <w:rFonts w:cs="Calibri-Bold"/>
          <w:b/>
          <w:bCs/>
          <w:color w:val="000000"/>
        </w:rPr>
        <w:t>Forward Looking Statements</w:t>
      </w:r>
      <w:r w:rsidR="00F15C7B" w:rsidRPr="00E65654">
        <w:rPr>
          <w:rFonts w:cs="Calibri-Bold"/>
          <w:b/>
          <w:bCs/>
          <w:color w:val="000000"/>
        </w:rPr>
        <w:t xml:space="preserve"> and Forward-Looking Information</w:t>
      </w:r>
    </w:p>
    <w:p w:rsidR="00020A10" w:rsidRPr="00E65654" w:rsidRDefault="00020A10" w:rsidP="003944C3">
      <w:pPr>
        <w:autoSpaceDE w:val="0"/>
        <w:autoSpaceDN w:val="0"/>
        <w:adjustRightInd w:val="0"/>
        <w:spacing w:after="0" w:line="240" w:lineRule="auto"/>
        <w:jc w:val="both"/>
        <w:rPr>
          <w:rFonts w:cs="Calibri-Bold"/>
          <w:b/>
          <w:bCs/>
          <w:color w:val="000000"/>
        </w:rPr>
      </w:pPr>
    </w:p>
    <w:p w:rsidR="00AD2372" w:rsidRPr="00E65654" w:rsidRDefault="00AD2372" w:rsidP="003944C3">
      <w:pPr>
        <w:autoSpaceDE w:val="0"/>
        <w:autoSpaceDN w:val="0"/>
        <w:adjustRightInd w:val="0"/>
        <w:spacing w:after="0" w:line="240" w:lineRule="auto"/>
        <w:jc w:val="both"/>
        <w:rPr>
          <w:rFonts w:cs="Times New Roman"/>
        </w:rPr>
      </w:pPr>
      <w:r w:rsidRPr="00E65654">
        <w:rPr>
          <w:rFonts w:cs="Times New Roman"/>
        </w:rPr>
        <w:t>The information provided in this MD&amp;A may contain forward-looking statements and forward-looking</w:t>
      </w:r>
      <w:r w:rsidR="003944C3" w:rsidRPr="00E65654">
        <w:rPr>
          <w:rFonts w:cs="Times New Roman"/>
        </w:rPr>
        <w:t xml:space="preserve"> </w:t>
      </w:r>
      <w:r w:rsidRPr="00E65654">
        <w:rPr>
          <w:rFonts w:cs="Times New Roman"/>
        </w:rPr>
        <w:t>information about Rheingold within the meaning of applicable securities laws. In addition, Rheingold</w:t>
      </w:r>
      <w:r w:rsidR="003944C3" w:rsidRPr="00E65654">
        <w:rPr>
          <w:rFonts w:cs="Times New Roman"/>
        </w:rPr>
        <w:t xml:space="preserve"> </w:t>
      </w:r>
      <w:r w:rsidRPr="00E65654">
        <w:rPr>
          <w:rFonts w:cs="Times New Roman"/>
        </w:rPr>
        <w:t>may make or approve certain statements or information in future filings with Canadian securities</w:t>
      </w:r>
      <w:r w:rsidR="003944C3" w:rsidRPr="00E65654">
        <w:rPr>
          <w:rFonts w:cs="Times New Roman"/>
        </w:rPr>
        <w:t xml:space="preserve"> </w:t>
      </w:r>
      <w:r w:rsidRPr="00E65654">
        <w:rPr>
          <w:rFonts w:cs="Times New Roman"/>
        </w:rPr>
        <w:t>regulatory authorities, in news releases, or in oral or written presentations by representatives of Rheingold</w:t>
      </w:r>
      <w:r w:rsidR="00FA3A6C" w:rsidRPr="00E65654">
        <w:rPr>
          <w:rFonts w:cs="Times New Roman"/>
        </w:rPr>
        <w:t xml:space="preserve"> </w:t>
      </w:r>
      <w:r w:rsidRPr="00E65654">
        <w:rPr>
          <w:rFonts w:cs="Times New Roman"/>
        </w:rPr>
        <w:t>that are not statements of historical fact and may also constitute forward-looking statements or forward-looking information. All statements and information, other than statements of historical fact, made by</w:t>
      </w:r>
      <w:r w:rsidR="00FA3A6C" w:rsidRPr="00E65654">
        <w:rPr>
          <w:rFonts w:cs="Times New Roman"/>
        </w:rPr>
        <w:t xml:space="preserve"> </w:t>
      </w:r>
      <w:r w:rsidRPr="00E65654">
        <w:rPr>
          <w:rFonts w:cs="Times New Roman"/>
        </w:rPr>
        <w:t>Rheingold that address activities, events, or developments that Rheingold expect or anticipate will or may</w:t>
      </w:r>
      <w:r w:rsidR="00FA3A6C" w:rsidRPr="00E65654">
        <w:rPr>
          <w:rFonts w:cs="Times New Roman"/>
        </w:rPr>
        <w:t xml:space="preserve"> </w:t>
      </w:r>
      <w:r w:rsidRPr="00E65654">
        <w:rPr>
          <w:rFonts w:cs="Times New Roman"/>
        </w:rPr>
        <w:t>occur in the future are forward-looking statements and information, including, but not limited to,</w:t>
      </w:r>
      <w:r w:rsidR="00FA3A6C" w:rsidRPr="00E65654">
        <w:rPr>
          <w:rFonts w:cs="Times New Roman"/>
        </w:rPr>
        <w:t xml:space="preserve"> </w:t>
      </w:r>
      <w:r w:rsidRPr="00E65654">
        <w:rPr>
          <w:rFonts w:cs="Times New Roman"/>
        </w:rPr>
        <w:t>statements and information preceded by, followed by, or that include words such as “may”, “would”,</w:t>
      </w:r>
      <w:r w:rsidR="00FA3A6C" w:rsidRPr="00E65654">
        <w:rPr>
          <w:rFonts w:cs="Times New Roman"/>
        </w:rPr>
        <w:t xml:space="preserve"> </w:t>
      </w:r>
      <w:r w:rsidRPr="00E65654">
        <w:rPr>
          <w:rFonts w:cs="Times New Roman"/>
        </w:rPr>
        <w:t>“could”, “will”, “likely”, “expect”, “anticipate”, “believe”, “intends”, “plan”, “forecast”, “budget”,</w:t>
      </w:r>
      <w:r w:rsidR="0036209C" w:rsidRPr="00E65654">
        <w:rPr>
          <w:rFonts w:cs="Times New Roman"/>
        </w:rPr>
        <w:t xml:space="preserve"> </w:t>
      </w:r>
      <w:r w:rsidRPr="00E65654">
        <w:rPr>
          <w:rFonts w:cs="Times New Roman"/>
        </w:rPr>
        <w:t>“schedule”, “project”, “estimate”, “outlook”, or the negative of those words or other similar or</w:t>
      </w:r>
      <w:r w:rsidR="0036209C" w:rsidRPr="00E65654">
        <w:rPr>
          <w:rFonts w:cs="Times New Roman"/>
        </w:rPr>
        <w:t xml:space="preserve"> </w:t>
      </w:r>
      <w:r w:rsidRPr="00E65654">
        <w:rPr>
          <w:rFonts w:cs="Times New Roman"/>
        </w:rPr>
        <w:t>comparable words.</w:t>
      </w:r>
    </w:p>
    <w:p w:rsidR="00AD2372" w:rsidRPr="00E65654" w:rsidRDefault="00AD2372" w:rsidP="003944C3">
      <w:pPr>
        <w:autoSpaceDE w:val="0"/>
        <w:autoSpaceDN w:val="0"/>
        <w:adjustRightInd w:val="0"/>
        <w:spacing w:after="0" w:line="240" w:lineRule="auto"/>
        <w:jc w:val="both"/>
        <w:rPr>
          <w:rFonts w:cs="Times New Roman"/>
        </w:rPr>
      </w:pPr>
    </w:p>
    <w:p w:rsidR="00AD2372" w:rsidRPr="00E65654" w:rsidRDefault="00AD2372" w:rsidP="003944C3">
      <w:pPr>
        <w:autoSpaceDE w:val="0"/>
        <w:autoSpaceDN w:val="0"/>
        <w:adjustRightInd w:val="0"/>
        <w:spacing w:after="0" w:line="240" w:lineRule="auto"/>
        <w:jc w:val="both"/>
        <w:rPr>
          <w:rFonts w:cs="Times New Roman"/>
        </w:rPr>
      </w:pPr>
      <w:r w:rsidRPr="00E65654">
        <w:rPr>
          <w:rFonts w:cs="Times New Roman"/>
        </w:rPr>
        <w:t>Forward-looking statements and information involve significant risks, assumptions, uncertainties and</w:t>
      </w:r>
      <w:r w:rsidR="003944C3" w:rsidRPr="00E65654">
        <w:rPr>
          <w:rFonts w:cs="Times New Roman"/>
        </w:rPr>
        <w:t xml:space="preserve"> </w:t>
      </w:r>
      <w:r w:rsidRPr="00E65654">
        <w:rPr>
          <w:rFonts w:cs="Times New Roman"/>
        </w:rPr>
        <w:t>other factors that may cause actual future performance, achievement or other realities to differ materially</w:t>
      </w:r>
      <w:r w:rsidR="008056E4" w:rsidRPr="00E65654">
        <w:rPr>
          <w:rFonts w:cs="Times New Roman"/>
        </w:rPr>
        <w:t xml:space="preserve"> </w:t>
      </w:r>
      <w:r w:rsidRPr="00E65654">
        <w:rPr>
          <w:rFonts w:cs="Times New Roman"/>
        </w:rPr>
        <w:t>from those expressed or implied in any forward-looking</w:t>
      </w:r>
      <w:r w:rsidR="003944C3" w:rsidRPr="00E65654">
        <w:rPr>
          <w:rFonts w:cs="Times New Roman"/>
        </w:rPr>
        <w:t xml:space="preserve"> statements or information and, </w:t>
      </w:r>
      <w:r w:rsidRPr="00E65654">
        <w:rPr>
          <w:rFonts w:cs="Times New Roman"/>
        </w:rPr>
        <w:t>accordingly,</w:t>
      </w:r>
      <w:r w:rsidR="008056E4" w:rsidRPr="00E65654">
        <w:rPr>
          <w:rFonts w:cs="Times New Roman"/>
        </w:rPr>
        <w:t xml:space="preserve"> </w:t>
      </w:r>
      <w:r w:rsidRPr="00E65654">
        <w:rPr>
          <w:rFonts w:cs="Times New Roman"/>
        </w:rPr>
        <w:t>should not be read as guarantees of future performance, achievement or realities.</w:t>
      </w:r>
    </w:p>
    <w:p w:rsidR="00AD2372" w:rsidRPr="00E65654" w:rsidRDefault="00AD2372" w:rsidP="003944C3">
      <w:pPr>
        <w:autoSpaceDE w:val="0"/>
        <w:autoSpaceDN w:val="0"/>
        <w:adjustRightInd w:val="0"/>
        <w:spacing w:after="0" w:line="240" w:lineRule="auto"/>
        <w:jc w:val="both"/>
        <w:rPr>
          <w:rFonts w:cs="Times New Roman"/>
        </w:rPr>
      </w:pPr>
    </w:p>
    <w:p w:rsidR="00AD2372" w:rsidRPr="00E65654" w:rsidRDefault="00AD2372" w:rsidP="003944C3">
      <w:pPr>
        <w:autoSpaceDE w:val="0"/>
        <w:autoSpaceDN w:val="0"/>
        <w:adjustRightInd w:val="0"/>
        <w:spacing w:after="0" w:line="240" w:lineRule="auto"/>
        <w:jc w:val="both"/>
        <w:rPr>
          <w:rFonts w:cs="Times New Roman"/>
        </w:rPr>
      </w:pPr>
      <w:r w:rsidRPr="00E65654">
        <w:rPr>
          <w:rFonts w:cs="Times New Roman"/>
        </w:rPr>
        <w:t>Actual performance, achievement or other realities could differ materially from those expressed in, or</w:t>
      </w:r>
      <w:r w:rsidR="003944C3" w:rsidRPr="00E65654">
        <w:rPr>
          <w:rFonts w:cs="Times New Roman"/>
        </w:rPr>
        <w:t xml:space="preserve"> </w:t>
      </w:r>
      <w:r w:rsidRPr="00E65654">
        <w:rPr>
          <w:rFonts w:cs="Times New Roman"/>
        </w:rPr>
        <w:t>implied by, any forward-looking statements or information in this MD&amp;A and, accordingly, investors</w:t>
      </w:r>
      <w:r w:rsidR="003944C3" w:rsidRPr="00E65654">
        <w:rPr>
          <w:rFonts w:cs="Times New Roman"/>
        </w:rPr>
        <w:t xml:space="preserve"> </w:t>
      </w:r>
      <w:r w:rsidRPr="00E65654">
        <w:rPr>
          <w:rFonts w:cs="Times New Roman"/>
        </w:rPr>
        <w:t>should not place undue reliance on any such forward-looking statements or information. Further, any</w:t>
      </w:r>
      <w:r w:rsidR="003944C3" w:rsidRPr="00E65654">
        <w:rPr>
          <w:rFonts w:cs="Times New Roman"/>
        </w:rPr>
        <w:t xml:space="preserve"> </w:t>
      </w:r>
      <w:r w:rsidRPr="00E65654">
        <w:rPr>
          <w:rFonts w:cs="Times New Roman"/>
        </w:rPr>
        <w:t xml:space="preserve">forward-looking statement or information speaks only as of the </w:t>
      </w:r>
      <w:proofErr w:type="gramStart"/>
      <w:r w:rsidRPr="00E65654">
        <w:rPr>
          <w:rFonts w:cs="Times New Roman"/>
        </w:rPr>
        <w:t>date</w:t>
      </w:r>
      <w:proofErr w:type="gramEnd"/>
      <w:r w:rsidRPr="00E65654">
        <w:rPr>
          <w:rFonts w:cs="Times New Roman"/>
        </w:rPr>
        <w:t xml:space="preserve"> on which such statement is made,</w:t>
      </w:r>
    </w:p>
    <w:p w:rsidR="00AD2372" w:rsidRPr="00E65654" w:rsidRDefault="00AD2372" w:rsidP="003944C3">
      <w:pPr>
        <w:autoSpaceDE w:val="0"/>
        <w:autoSpaceDN w:val="0"/>
        <w:adjustRightInd w:val="0"/>
        <w:spacing w:after="0" w:line="240" w:lineRule="auto"/>
        <w:jc w:val="both"/>
        <w:rPr>
          <w:rFonts w:cs="Times New Roman"/>
        </w:rPr>
      </w:pPr>
      <w:r w:rsidRPr="00E65654">
        <w:rPr>
          <w:rFonts w:cs="Times New Roman"/>
        </w:rPr>
        <w:t>and Rheingold does not undertake any obligation to update any forward-looking statements or</w:t>
      </w:r>
      <w:r w:rsidR="003944C3" w:rsidRPr="00E65654">
        <w:rPr>
          <w:rFonts w:cs="Times New Roman"/>
        </w:rPr>
        <w:t xml:space="preserve"> </w:t>
      </w:r>
      <w:r w:rsidRPr="00E65654">
        <w:rPr>
          <w:rFonts w:cs="Times New Roman"/>
        </w:rPr>
        <w:t xml:space="preserve">information to reflect information, events, results, circumstances, realities or otherwise after the date </w:t>
      </w:r>
      <w:proofErr w:type="gramStart"/>
      <w:r w:rsidRPr="00E65654">
        <w:rPr>
          <w:rFonts w:cs="Times New Roman"/>
        </w:rPr>
        <w:t>on</w:t>
      </w:r>
      <w:proofErr w:type="gramEnd"/>
      <w:r w:rsidR="003859AD" w:rsidRPr="00E65654">
        <w:rPr>
          <w:rFonts w:cs="Times New Roman"/>
        </w:rPr>
        <w:t xml:space="preserve"> </w:t>
      </w:r>
      <w:r w:rsidRPr="00E65654">
        <w:rPr>
          <w:rFonts w:cs="Times New Roman"/>
        </w:rPr>
        <w:t>which such statement is made or to reflect the occurrence of unanticipated events, except as required by</w:t>
      </w:r>
      <w:r w:rsidR="003859AD" w:rsidRPr="00E65654">
        <w:rPr>
          <w:rFonts w:cs="Times New Roman"/>
        </w:rPr>
        <w:t xml:space="preserve"> </w:t>
      </w:r>
      <w:r w:rsidRPr="00E65654">
        <w:rPr>
          <w:rFonts w:cs="Times New Roman"/>
        </w:rPr>
        <w:t>law, including securities laws. All forward-looking statements and information contained in this MD&amp;A</w:t>
      </w:r>
      <w:r w:rsidR="003859AD" w:rsidRPr="00E65654">
        <w:rPr>
          <w:rFonts w:cs="Times New Roman"/>
        </w:rPr>
        <w:t xml:space="preserve"> </w:t>
      </w:r>
      <w:r w:rsidRPr="00E65654">
        <w:rPr>
          <w:rFonts w:cs="Times New Roman"/>
        </w:rPr>
        <w:t>and other documents of Rheingold are qualified by such cautionary statements. New factors emerge from</w:t>
      </w:r>
      <w:r w:rsidR="003859AD" w:rsidRPr="00E65654">
        <w:rPr>
          <w:rFonts w:cs="Times New Roman"/>
        </w:rPr>
        <w:t xml:space="preserve"> </w:t>
      </w:r>
      <w:r w:rsidRPr="00E65654">
        <w:rPr>
          <w:rFonts w:cs="Times New Roman"/>
        </w:rPr>
        <w:t>time to time, and it is not possible for management to predict all of such factors and to assess in advance</w:t>
      </w:r>
      <w:r w:rsidR="003859AD" w:rsidRPr="00E65654">
        <w:rPr>
          <w:rFonts w:cs="Times New Roman"/>
        </w:rPr>
        <w:t xml:space="preserve"> </w:t>
      </w:r>
      <w:r w:rsidRPr="00E65654">
        <w:rPr>
          <w:rFonts w:cs="Times New Roman"/>
        </w:rPr>
        <w:t xml:space="preserve">the impact of each such factor on Rheingold’s business or the extent to which any </w:t>
      </w:r>
      <w:r w:rsidRPr="00E65654">
        <w:rPr>
          <w:rFonts w:cs="Times New Roman"/>
        </w:rPr>
        <w:lastRenderedPageBreak/>
        <w:t>factor, or combination</w:t>
      </w:r>
      <w:r w:rsidR="003859AD" w:rsidRPr="00E65654">
        <w:rPr>
          <w:rFonts w:cs="Times New Roman"/>
        </w:rPr>
        <w:t xml:space="preserve"> </w:t>
      </w:r>
      <w:r w:rsidRPr="00E65654">
        <w:rPr>
          <w:rFonts w:cs="Times New Roman"/>
        </w:rPr>
        <w:t>of factors, may cause actual realities to differ materially from those contained in any forward-looking</w:t>
      </w:r>
      <w:r w:rsidR="003859AD" w:rsidRPr="00E65654">
        <w:rPr>
          <w:rFonts w:cs="Times New Roman"/>
        </w:rPr>
        <w:t xml:space="preserve"> </w:t>
      </w:r>
      <w:r w:rsidRPr="00E65654">
        <w:rPr>
          <w:rFonts w:cs="Times New Roman"/>
        </w:rPr>
        <w:t>statements.</w:t>
      </w:r>
    </w:p>
    <w:p w:rsidR="00AD2372" w:rsidRPr="00E65654" w:rsidRDefault="00AD2372" w:rsidP="003944C3">
      <w:pPr>
        <w:autoSpaceDE w:val="0"/>
        <w:autoSpaceDN w:val="0"/>
        <w:adjustRightInd w:val="0"/>
        <w:spacing w:after="0" w:line="240" w:lineRule="auto"/>
        <w:jc w:val="both"/>
        <w:rPr>
          <w:rFonts w:cs="Times New Roman"/>
        </w:rPr>
      </w:pPr>
    </w:p>
    <w:p w:rsidR="00020A10" w:rsidRPr="008019D6" w:rsidRDefault="00AD2372" w:rsidP="003944C3">
      <w:pPr>
        <w:autoSpaceDE w:val="0"/>
        <w:autoSpaceDN w:val="0"/>
        <w:adjustRightInd w:val="0"/>
        <w:spacing w:after="0" w:line="240" w:lineRule="auto"/>
        <w:jc w:val="both"/>
        <w:rPr>
          <w:rFonts w:cs="Times New Roman"/>
        </w:rPr>
      </w:pPr>
      <w:r w:rsidRPr="008019D6">
        <w:rPr>
          <w:rFonts w:cs="Times New Roman"/>
        </w:rPr>
        <w:t>In addition, forward-looking statements and information herein, including financial information, is based</w:t>
      </w:r>
      <w:r w:rsidR="003944C3" w:rsidRPr="008019D6">
        <w:rPr>
          <w:rFonts w:cs="Times New Roman"/>
        </w:rPr>
        <w:t xml:space="preserve"> </w:t>
      </w:r>
      <w:r w:rsidRPr="008019D6">
        <w:rPr>
          <w:rFonts w:cs="Times New Roman"/>
        </w:rPr>
        <w:t>on certain assumptions relating to the business and operations of Rheingold. Although Rheingold has</w:t>
      </w:r>
      <w:r w:rsidR="003944C3" w:rsidRPr="008019D6">
        <w:rPr>
          <w:rFonts w:cs="Times New Roman"/>
        </w:rPr>
        <w:t xml:space="preserve"> </w:t>
      </w:r>
      <w:r w:rsidRPr="008019D6">
        <w:rPr>
          <w:rFonts w:cs="Times New Roman"/>
        </w:rPr>
        <w:t>attempted to identify important factors that could cause actual actions, events or results to differ</w:t>
      </w:r>
      <w:r w:rsidR="003859AD" w:rsidRPr="008019D6">
        <w:rPr>
          <w:rFonts w:cs="Times New Roman"/>
        </w:rPr>
        <w:t xml:space="preserve"> </w:t>
      </w:r>
      <w:r w:rsidRPr="008019D6">
        <w:rPr>
          <w:rFonts w:cs="Times New Roman"/>
        </w:rPr>
        <w:t>materially from those described in forward-looking statements and forward-looking information in this</w:t>
      </w:r>
      <w:r w:rsidR="00D120E6" w:rsidRPr="008019D6">
        <w:rPr>
          <w:rFonts w:cs="Times New Roman"/>
        </w:rPr>
        <w:t xml:space="preserve"> </w:t>
      </w:r>
      <w:r w:rsidRPr="008019D6">
        <w:rPr>
          <w:rFonts w:cs="Times New Roman"/>
        </w:rPr>
        <w:t>MD&amp;A, and the documents incorporated by reference herein, there may be other factors that cause</w:t>
      </w:r>
      <w:r w:rsidR="003944C3" w:rsidRPr="008019D6">
        <w:rPr>
          <w:rFonts w:cs="Times New Roman"/>
        </w:rPr>
        <w:t xml:space="preserve"> </w:t>
      </w:r>
      <w:r w:rsidRPr="008019D6">
        <w:rPr>
          <w:rFonts w:cs="Times New Roman"/>
        </w:rPr>
        <w:t>actions, events or results not to be as anticipated, estimated or intended. There is no assurance that such</w:t>
      </w:r>
      <w:r w:rsidR="003859AD" w:rsidRPr="008019D6">
        <w:rPr>
          <w:rFonts w:cs="Times New Roman"/>
        </w:rPr>
        <w:t xml:space="preserve"> </w:t>
      </w:r>
      <w:r w:rsidRPr="008019D6">
        <w:rPr>
          <w:rFonts w:cs="Times New Roman"/>
        </w:rPr>
        <w:t>statements and information will prove to be accurate as actual results and future events could differ</w:t>
      </w:r>
      <w:r w:rsidR="003859AD" w:rsidRPr="008019D6">
        <w:rPr>
          <w:rFonts w:cs="Times New Roman"/>
        </w:rPr>
        <w:t xml:space="preserve"> </w:t>
      </w:r>
      <w:r w:rsidRPr="008019D6">
        <w:rPr>
          <w:rFonts w:cs="Times New Roman"/>
        </w:rPr>
        <w:t>materially from those anticipated in such statements or information. Accordingly, readers should not</w:t>
      </w:r>
      <w:r w:rsidR="003859AD" w:rsidRPr="008019D6">
        <w:rPr>
          <w:rFonts w:cs="Times New Roman"/>
        </w:rPr>
        <w:t xml:space="preserve"> </w:t>
      </w:r>
      <w:r w:rsidRPr="008019D6">
        <w:rPr>
          <w:rFonts w:cs="Times New Roman"/>
        </w:rPr>
        <w:t>place undue reliance on forward-looking statements and forward-looking information contained in this</w:t>
      </w:r>
      <w:r w:rsidR="003859AD" w:rsidRPr="008019D6">
        <w:rPr>
          <w:rFonts w:cs="Times New Roman"/>
        </w:rPr>
        <w:t xml:space="preserve"> </w:t>
      </w:r>
      <w:r w:rsidRPr="008019D6">
        <w:rPr>
          <w:rFonts w:cs="Times New Roman"/>
        </w:rPr>
        <w:t>MD&amp;A.</w:t>
      </w:r>
    </w:p>
    <w:p w:rsidR="00AD2372" w:rsidRPr="008019D6" w:rsidRDefault="00AD2372" w:rsidP="003944C3">
      <w:pPr>
        <w:autoSpaceDE w:val="0"/>
        <w:autoSpaceDN w:val="0"/>
        <w:adjustRightInd w:val="0"/>
        <w:spacing w:after="0" w:line="240" w:lineRule="auto"/>
        <w:jc w:val="both"/>
        <w:rPr>
          <w:rFonts w:cs="Calibri-Bold"/>
          <w:b/>
          <w:bCs/>
          <w:color w:val="000000"/>
        </w:rPr>
      </w:pPr>
    </w:p>
    <w:p w:rsidR="008E73B5" w:rsidRPr="008019D6" w:rsidRDefault="00BD6A4E" w:rsidP="003944C3">
      <w:pPr>
        <w:autoSpaceDE w:val="0"/>
        <w:autoSpaceDN w:val="0"/>
        <w:adjustRightInd w:val="0"/>
        <w:spacing w:after="0" w:line="240" w:lineRule="auto"/>
        <w:jc w:val="both"/>
        <w:rPr>
          <w:rFonts w:cs="Calibri-Bold"/>
          <w:b/>
          <w:bCs/>
          <w:color w:val="000000"/>
        </w:rPr>
      </w:pPr>
      <w:r w:rsidRPr="008019D6">
        <w:rPr>
          <w:rFonts w:cs="Calibri-Bold"/>
          <w:b/>
          <w:bCs/>
          <w:color w:val="000000"/>
        </w:rPr>
        <w:t>The Company</w:t>
      </w:r>
    </w:p>
    <w:p w:rsidR="00BD6A4E" w:rsidRPr="008019D6" w:rsidRDefault="00BD6A4E" w:rsidP="003944C3">
      <w:pPr>
        <w:autoSpaceDE w:val="0"/>
        <w:autoSpaceDN w:val="0"/>
        <w:adjustRightInd w:val="0"/>
        <w:spacing w:after="0" w:line="240" w:lineRule="auto"/>
        <w:jc w:val="both"/>
        <w:rPr>
          <w:rFonts w:cs="Calibri-Bold"/>
          <w:b/>
          <w:bCs/>
          <w:color w:val="000000"/>
        </w:rPr>
      </w:pPr>
    </w:p>
    <w:p w:rsidR="00BD6A4E" w:rsidRPr="008019D6" w:rsidRDefault="00BD6A4E" w:rsidP="003944C3">
      <w:pPr>
        <w:autoSpaceDE w:val="0"/>
        <w:autoSpaceDN w:val="0"/>
        <w:adjustRightInd w:val="0"/>
        <w:spacing w:after="0" w:line="240" w:lineRule="auto"/>
        <w:jc w:val="both"/>
        <w:rPr>
          <w:rFonts w:cs="Times New Roman"/>
        </w:rPr>
      </w:pPr>
      <w:r w:rsidRPr="008019D6">
        <w:rPr>
          <w:rFonts w:cs="Times New Roman"/>
        </w:rPr>
        <w:t>Rheingold Exploration Corp. is a resource exploration company that is exploring for gold in the Rainy</w:t>
      </w:r>
      <w:r w:rsidR="003944C3" w:rsidRPr="008019D6">
        <w:rPr>
          <w:rFonts w:cs="Times New Roman"/>
        </w:rPr>
        <w:t xml:space="preserve"> </w:t>
      </w:r>
      <w:r w:rsidRPr="008019D6">
        <w:rPr>
          <w:rFonts w:cs="Times New Roman"/>
        </w:rPr>
        <w:t>River district of northwestern Ontario. The objective of management is to maximize shareholder value by</w:t>
      </w:r>
      <w:r w:rsidR="003859AD" w:rsidRPr="008019D6">
        <w:rPr>
          <w:rFonts w:cs="Times New Roman"/>
        </w:rPr>
        <w:t xml:space="preserve"> </w:t>
      </w:r>
      <w:r w:rsidRPr="008019D6">
        <w:rPr>
          <w:rFonts w:cs="Times New Roman"/>
        </w:rPr>
        <w:t>exploring and developing the Company’s Pattullo mineral project in a cost</w:t>
      </w:r>
      <w:r w:rsidR="00BA129A" w:rsidRPr="008019D6">
        <w:rPr>
          <w:rFonts w:cs="Times New Roman"/>
        </w:rPr>
        <w:t>-</w:t>
      </w:r>
      <w:r w:rsidRPr="008019D6">
        <w:rPr>
          <w:rFonts w:cs="Times New Roman"/>
        </w:rPr>
        <w:t>effective and technically sound</w:t>
      </w:r>
      <w:r w:rsidR="003859AD" w:rsidRPr="008019D6">
        <w:rPr>
          <w:rFonts w:cs="Times New Roman"/>
        </w:rPr>
        <w:t xml:space="preserve"> </w:t>
      </w:r>
      <w:r w:rsidRPr="008019D6">
        <w:rPr>
          <w:rFonts w:cs="Times New Roman"/>
        </w:rPr>
        <w:t xml:space="preserve">manner. The Company’s head office is located at </w:t>
      </w:r>
      <w:r w:rsidR="00E14CCF" w:rsidRPr="008019D6">
        <w:rPr>
          <w:rFonts w:cs="Times New Roman"/>
        </w:rPr>
        <w:t>Suite 304 – 68 Water Street,</w:t>
      </w:r>
      <w:r w:rsidR="0093095E" w:rsidRPr="008019D6">
        <w:rPr>
          <w:rFonts w:cs="Times New Roman"/>
        </w:rPr>
        <w:t xml:space="preserve"> Vancouver</w:t>
      </w:r>
      <w:r w:rsidRPr="008019D6">
        <w:rPr>
          <w:rFonts w:cs="Times New Roman"/>
        </w:rPr>
        <w:t>, British Columbia,</w:t>
      </w:r>
      <w:r w:rsidR="003859AD" w:rsidRPr="008019D6">
        <w:rPr>
          <w:rFonts w:cs="Times New Roman"/>
        </w:rPr>
        <w:t xml:space="preserve"> </w:t>
      </w:r>
      <w:r w:rsidRPr="008019D6">
        <w:rPr>
          <w:rFonts w:cs="Times New Roman"/>
        </w:rPr>
        <w:t>V</w:t>
      </w:r>
      <w:r w:rsidR="0093095E" w:rsidRPr="008019D6">
        <w:rPr>
          <w:rFonts w:cs="Times New Roman"/>
        </w:rPr>
        <w:t xml:space="preserve">6B </w:t>
      </w:r>
      <w:r w:rsidR="00E14CCF" w:rsidRPr="008019D6">
        <w:rPr>
          <w:rFonts w:cs="Times New Roman"/>
        </w:rPr>
        <w:t>1A4,</w:t>
      </w:r>
      <w:r w:rsidRPr="008019D6">
        <w:rPr>
          <w:rFonts w:cs="Times New Roman"/>
        </w:rPr>
        <w:t xml:space="preserve"> and the Company’s registered and records office is located at Suite 600, 1090 West Georgia</w:t>
      </w:r>
      <w:r w:rsidR="003859AD" w:rsidRPr="008019D6">
        <w:rPr>
          <w:rFonts w:cs="Times New Roman"/>
        </w:rPr>
        <w:t xml:space="preserve"> </w:t>
      </w:r>
      <w:r w:rsidRPr="008019D6">
        <w:rPr>
          <w:rFonts w:cs="Times New Roman"/>
        </w:rPr>
        <w:t>Street, Vancouver, BC, V6E 3V7.</w:t>
      </w:r>
    </w:p>
    <w:p w:rsidR="00BD6A4E" w:rsidRPr="008019D6" w:rsidRDefault="00BD6A4E" w:rsidP="003944C3">
      <w:pPr>
        <w:autoSpaceDE w:val="0"/>
        <w:autoSpaceDN w:val="0"/>
        <w:adjustRightInd w:val="0"/>
        <w:spacing w:after="0" w:line="240" w:lineRule="auto"/>
        <w:jc w:val="both"/>
        <w:rPr>
          <w:rFonts w:cs="Times New Roman"/>
        </w:rPr>
      </w:pPr>
    </w:p>
    <w:p w:rsidR="00BD6A4E" w:rsidRPr="008019D6" w:rsidRDefault="00BD6A4E" w:rsidP="003944C3">
      <w:pPr>
        <w:autoSpaceDE w:val="0"/>
        <w:autoSpaceDN w:val="0"/>
        <w:adjustRightInd w:val="0"/>
        <w:spacing w:after="0" w:line="240" w:lineRule="auto"/>
        <w:jc w:val="both"/>
        <w:rPr>
          <w:rFonts w:cs="Times New Roman"/>
        </w:rPr>
      </w:pPr>
      <w:r w:rsidRPr="008019D6">
        <w:rPr>
          <w:rFonts w:cs="Times New Roman"/>
        </w:rPr>
        <w:t>The Company was incorporated in the Province of British Columbia on July 29, 2010. The fiscal year end</w:t>
      </w:r>
      <w:r w:rsidR="003944C3" w:rsidRPr="008019D6">
        <w:rPr>
          <w:rFonts w:cs="Times New Roman"/>
        </w:rPr>
        <w:t xml:space="preserve"> </w:t>
      </w:r>
      <w:r w:rsidRPr="008019D6">
        <w:rPr>
          <w:rFonts w:cs="Times New Roman"/>
        </w:rPr>
        <w:t>of the Company is January 31.</w:t>
      </w:r>
    </w:p>
    <w:p w:rsidR="00920B41" w:rsidRPr="008019D6" w:rsidRDefault="00920B41" w:rsidP="003944C3">
      <w:pPr>
        <w:autoSpaceDE w:val="0"/>
        <w:autoSpaceDN w:val="0"/>
        <w:adjustRightInd w:val="0"/>
        <w:spacing w:after="0" w:line="240" w:lineRule="auto"/>
        <w:jc w:val="both"/>
        <w:rPr>
          <w:rFonts w:cs="Times New Roman"/>
        </w:rPr>
      </w:pPr>
    </w:p>
    <w:p w:rsidR="00920B41" w:rsidRPr="008019D6" w:rsidRDefault="00920B41" w:rsidP="003944C3">
      <w:pPr>
        <w:autoSpaceDE w:val="0"/>
        <w:autoSpaceDN w:val="0"/>
        <w:adjustRightInd w:val="0"/>
        <w:spacing w:after="0" w:line="240" w:lineRule="auto"/>
        <w:jc w:val="both"/>
        <w:rPr>
          <w:rFonts w:cs="Times New Roman"/>
        </w:rPr>
      </w:pPr>
      <w:r w:rsidRPr="008019D6">
        <w:rPr>
          <w:rFonts w:cs="Times New Roman"/>
        </w:rPr>
        <w:t>On February 25, 2015, the Company voluntarily delisted its common shares from the TSX Venture Exchange, and on February 26, 2015, the Company’s common shares commenced trading on the Canadian Securities Exchange under the symbol “RGE”.</w:t>
      </w:r>
    </w:p>
    <w:p w:rsidR="00BD6A4E" w:rsidRPr="008019D6" w:rsidRDefault="00BD6A4E" w:rsidP="003944C3">
      <w:pPr>
        <w:autoSpaceDE w:val="0"/>
        <w:autoSpaceDN w:val="0"/>
        <w:adjustRightInd w:val="0"/>
        <w:spacing w:after="0" w:line="240" w:lineRule="auto"/>
        <w:jc w:val="both"/>
        <w:rPr>
          <w:rFonts w:cs="Times New Roman"/>
        </w:rPr>
      </w:pPr>
    </w:p>
    <w:p w:rsidR="00BD6A4E" w:rsidRPr="008019D6" w:rsidRDefault="00BD6A4E" w:rsidP="003944C3">
      <w:pPr>
        <w:autoSpaceDE w:val="0"/>
        <w:autoSpaceDN w:val="0"/>
        <w:adjustRightInd w:val="0"/>
        <w:spacing w:after="0" w:line="240" w:lineRule="auto"/>
        <w:jc w:val="both"/>
        <w:rPr>
          <w:rFonts w:cs="Times New Roman"/>
          <w:b/>
          <w:bCs/>
        </w:rPr>
      </w:pPr>
      <w:r w:rsidRPr="008019D6">
        <w:rPr>
          <w:rFonts w:cs="Times New Roman"/>
          <w:b/>
          <w:bCs/>
        </w:rPr>
        <w:t>Overall Performance</w:t>
      </w:r>
    </w:p>
    <w:p w:rsidR="00BD6A4E" w:rsidRPr="008019D6" w:rsidRDefault="00BD6A4E" w:rsidP="003944C3">
      <w:pPr>
        <w:autoSpaceDE w:val="0"/>
        <w:autoSpaceDN w:val="0"/>
        <w:adjustRightInd w:val="0"/>
        <w:spacing w:after="0" w:line="240" w:lineRule="auto"/>
        <w:jc w:val="both"/>
        <w:rPr>
          <w:rFonts w:cs="Times New Roman"/>
          <w:b/>
          <w:bCs/>
        </w:rPr>
      </w:pPr>
    </w:p>
    <w:p w:rsidR="00BD6A4E" w:rsidRPr="008019D6" w:rsidRDefault="00BD6A4E" w:rsidP="003944C3">
      <w:pPr>
        <w:autoSpaceDE w:val="0"/>
        <w:autoSpaceDN w:val="0"/>
        <w:adjustRightInd w:val="0"/>
        <w:spacing w:after="0" w:line="240" w:lineRule="auto"/>
        <w:jc w:val="both"/>
        <w:rPr>
          <w:rFonts w:cs="Times New Roman"/>
        </w:rPr>
      </w:pPr>
      <w:r w:rsidRPr="008019D6">
        <w:rPr>
          <w:rFonts w:cs="Times New Roman"/>
        </w:rPr>
        <w:t>The key factors pertaining to the Company’s overall performa</w:t>
      </w:r>
      <w:r w:rsidR="003C462F" w:rsidRPr="008019D6">
        <w:rPr>
          <w:rFonts w:cs="Times New Roman"/>
        </w:rPr>
        <w:t xml:space="preserve">nce for the </w:t>
      </w:r>
      <w:r w:rsidR="00E14CCF" w:rsidRPr="008019D6">
        <w:rPr>
          <w:rFonts w:cs="Times New Roman"/>
        </w:rPr>
        <w:t>three month period</w:t>
      </w:r>
      <w:r w:rsidR="003C462F" w:rsidRPr="008019D6">
        <w:rPr>
          <w:rFonts w:cs="Times New Roman"/>
        </w:rPr>
        <w:t xml:space="preserve"> ended</w:t>
      </w:r>
      <w:r w:rsidR="0093095E" w:rsidRPr="008019D6">
        <w:rPr>
          <w:rFonts w:cs="Times New Roman"/>
        </w:rPr>
        <w:t xml:space="preserve"> </w:t>
      </w:r>
      <w:r w:rsidR="00E14CCF" w:rsidRPr="008019D6">
        <w:rPr>
          <w:rFonts w:cs="Times New Roman"/>
        </w:rPr>
        <w:t>April 30</w:t>
      </w:r>
      <w:r w:rsidR="0093095E" w:rsidRPr="008019D6">
        <w:rPr>
          <w:rFonts w:cs="Times New Roman"/>
        </w:rPr>
        <w:t xml:space="preserve">, </w:t>
      </w:r>
      <w:r w:rsidR="009E37F9" w:rsidRPr="008019D6">
        <w:rPr>
          <w:rFonts w:cs="Times New Roman"/>
        </w:rPr>
        <w:t>2015</w:t>
      </w:r>
      <w:r w:rsidR="004730B7" w:rsidRPr="008019D6">
        <w:rPr>
          <w:rFonts w:cs="Times New Roman"/>
        </w:rPr>
        <w:t xml:space="preserve"> </w:t>
      </w:r>
      <w:r w:rsidRPr="008019D6">
        <w:rPr>
          <w:rFonts w:cs="Times New Roman"/>
        </w:rPr>
        <w:t>are as follows:</w:t>
      </w:r>
    </w:p>
    <w:p w:rsidR="00BD6A4E" w:rsidRPr="008019D6" w:rsidRDefault="00BD6A4E" w:rsidP="003944C3">
      <w:pPr>
        <w:autoSpaceDE w:val="0"/>
        <w:autoSpaceDN w:val="0"/>
        <w:adjustRightInd w:val="0"/>
        <w:spacing w:after="0" w:line="240" w:lineRule="auto"/>
        <w:jc w:val="both"/>
        <w:rPr>
          <w:rFonts w:cs="Times New Roman"/>
        </w:rPr>
      </w:pPr>
    </w:p>
    <w:p w:rsidR="0020251D" w:rsidRPr="008019D6" w:rsidRDefault="00BD6A4E" w:rsidP="0020251D">
      <w:pPr>
        <w:pStyle w:val="ListParagraph"/>
        <w:numPr>
          <w:ilvl w:val="0"/>
          <w:numId w:val="3"/>
        </w:numPr>
        <w:autoSpaceDE w:val="0"/>
        <w:autoSpaceDN w:val="0"/>
        <w:adjustRightInd w:val="0"/>
        <w:spacing w:after="0" w:line="240" w:lineRule="auto"/>
        <w:jc w:val="both"/>
        <w:rPr>
          <w:rFonts w:cs="Times New Roman"/>
        </w:rPr>
      </w:pPr>
      <w:r w:rsidRPr="008019D6">
        <w:rPr>
          <w:rFonts w:cs="Times New Roman"/>
        </w:rPr>
        <w:t xml:space="preserve">The Company had </w:t>
      </w:r>
      <w:r w:rsidR="00124936" w:rsidRPr="008019D6">
        <w:rPr>
          <w:rFonts w:cs="Times New Roman"/>
        </w:rPr>
        <w:t>a</w:t>
      </w:r>
      <w:r w:rsidR="00E14CCF" w:rsidRPr="008019D6">
        <w:rPr>
          <w:lang w:eastAsia="zh-CN"/>
        </w:rPr>
        <w:t xml:space="preserve"> working capital deficiency of $25,898</w:t>
      </w:r>
      <w:r w:rsidR="00CE7277" w:rsidRPr="008019D6">
        <w:rPr>
          <w:rFonts w:cs="Times New Roman"/>
        </w:rPr>
        <w:t xml:space="preserve"> </w:t>
      </w:r>
      <w:r w:rsidR="0061350C" w:rsidRPr="008019D6">
        <w:rPr>
          <w:rFonts w:cs="Times New Roman"/>
        </w:rPr>
        <w:t xml:space="preserve">as at </w:t>
      </w:r>
      <w:r w:rsidR="00E14CCF" w:rsidRPr="008019D6">
        <w:rPr>
          <w:rFonts w:cs="Times New Roman"/>
        </w:rPr>
        <w:t>April 30</w:t>
      </w:r>
      <w:r w:rsidR="0061350C" w:rsidRPr="008019D6">
        <w:rPr>
          <w:rFonts w:cs="Times New Roman"/>
        </w:rPr>
        <w:t xml:space="preserve">, </w:t>
      </w:r>
      <w:r w:rsidR="009E37F9" w:rsidRPr="008019D6">
        <w:rPr>
          <w:rFonts w:cs="Times New Roman"/>
        </w:rPr>
        <w:t>2015</w:t>
      </w:r>
      <w:r w:rsidRPr="008019D6">
        <w:rPr>
          <w:rFonts w:cs="Times New Roman"/>
        </w:rPr>
        <w:t>, as compared to</w:t>
      </w:r>
      <w:r w:rsidR="00D823E3" w:rsidRPr="008019D6">
        <w:rPr>
          <w:rFonts w:cs="Times New Roman"/>
        </w:rPr>
        <w:t xml:space="preserve"> a </w:t>
      </w:r>
      <w:r w:rsidRPr="008019D6">
        <w:rPr>
          <w:rFonts w:cs="Times New Roman"/>
        </w:rPr>
        <w:t>working</w:t>
      </w:r>
      <w:r w:rsidR="0083453F" w:rsidRPr="008019D6">
        <w:rPr>
          <w:rFonts w:cs="Times New Roman"/>
        </w:rPr>
        <w:t xml:space="preserve"> </w:t>
      </w:r>
      <w:r w:rsidR="00D823E3" w:rsidRPr="008019D6">
        <w:rPr>
          <w:rFonts w:cs="Times New Roman"/>
        </w:rPr>
        <w:t xml:space="preserve">capital </w:t>
      </w:r>
      <w:r w:rsidR="008019D6">
        <w:rPr>
          <w:rFonts w:cs="Times New Roman"/>
        </w:rPr>
        <w:t xml:space="preserve">position of </w:t>
      </w:r>
      <w:r w:rsidR="00943528" w:rsidRPr="008019D6">
        <w:rPr>
          <w:rFonts w:cs="Times New Roman"/>
        </w:rPr>
        <w:t>$</w:t>
      </w:r>
      <w:r w:rsidR="00E14CCF" w:rsidRPr="008019D6">
        <w:rPr>
          <w:rFonts w:cs="Times New Roman"/>
        </w:rPr>
        <w:t>20,551</w:t>
      </w:r>
      <w:r w:rsidR="00813630" w:rsidRPr="008019D6">
        <w:rPr>
          <w:rFonts w:cs="Times New Roman"/>
        </w:rPr>
        <w:t xml:space="preserve"> as at January 31, </w:t>
      </w:r>
      <w:r w:rsidR="009E37F9" w:rsidRPr="008019D6">
        <w:rPr>
          <w:rFonts w:cs="Times New Roman"/>
        </w:rPr>
        <w:t>201</w:t>
      </w:r>
      <w:r w:rsidR="00E14CCF" w:rsidRPr="008019D6">
        <w:rPr>
          <w:rFonts w:cs="Times New Roman"/>
        </w:rPr>
        <w:t>5</w:t>
      </w:r>
      <w:r w:rsidRPr="008019D6">
        <w:rPr>
          <w:rFonts w:cs="Times New Roman"/>
        </w:rPr>
        <w:t>.</w:t>
      </w:r>
      <w:r w:rsidR="006A7B37" w:rsidRPr="008019D6">
        <w:rPr>
          <w:rFonts w:cs="Times New Roman"/>
        </w:rPr>
        <w:t xml:space="preserve"> </w:t>
      </w:r>
      <w:r w:rsidR="00FF452E" w:rsidRPr="008019D6">
        <w:rPr>
          <w:rFonts w:cs="Times New Roman"/>
        </w:rPr>
        <w:t xml:space="preserve">The reason for this </w:t>
      </w:r>
      <w:r w:rsidR="00813630" w:rsidRPr="008019D6">
        <w:rPr>
          <w:rFonts w:cs="Times New Roman"/>
        </w:rPr>
        <w:t>decrease</w:t>
      </w:r>
      <w:r w:rsidR="00FF452E" w:rsidRPr="008019D6">
        <w:rPr>
          <w:rFonts w:cs="Times New Roman"/>
        </w:rPr>
        <w:t xml:space="preserve"> </w:t>
      </w:r>
      <w:r w:rsidR="00124936" w:rsidRPr="008019D6">
        <w:rPr>
          <w:rFonts w:cs="Times New Roman"/>
        </w:rPr>
        <w:t xml:space="preserve">in working capital </w:t>
      </w:r>
      <w:r w:rsidR="00FF452E" w:rsidRPr="008019D6">
        <w:rPr>
          <w:rFonts w:cs="Times New Roman"/>
        </w:rPr>
        <w:t xml:space="preserve">is primarily due to </w:t>
      </w:r>
      <w:r w:rsidR="008E4A61" w:rsidRPr="008019D6">
        <w:rPr>
          <w:rFonts w:cs="Times New Roman"/>
        </w:rPr>
        <w:t xml:space="preserve">the Company </w:t>
      </w:r>
      <w:r w:rsidR="00813630" w:rsidRPr="008019D6">
        <w:rPr>
          <w:rFonts w:cs="Times New Roman"/>
        </w:rPr>
        <w:t xml:space="preserve">using </w:t>
      </w:r>
      <w:r w:rsidR="008E4A61" w:rsidRPr="008019D6">
        <w:rPr>
          <w:rFonts w:cs="Times New Roman"/>
        </w:rPr>
        <w:t xml:space="preserve">its </w:t>
      </w:r>
      <w:r w:rsidR="00813630" w:rsidRPr="008019D6">
        <w:rPr>
          <w:rFonts w:cs="Times New Roman"/>
        </w:rPr>
        <w:t>working capital to sustain its operation</w:t>
      </w:r>
      <w:r w:rsidR="00671E8A" w:rsidRPr="008019D6">
        <w:rPr>
          <w:rFonts w:cs="Times New Roman"/>
        </w:rPr>
        <w:t>s</w:t>
      </w:r>
      <w:r w:rsidR="00813630" w:rsidRPr="008019D6">
        <w:rPr>
          <w:rFonts w:cs="Times New Roman"/>
        </w:rPr>
        <w:t xml:space="preserve"> for the </w:t>
      </w:r>
      <w:r w:rsidR="00E14CCF" w:rsidRPr="008019D6">
        <w:rPr>
          <w:rFonts w:cs="Times New Roman"/>
        </w:rPr>
        <w:t>period ended April 30, 2015.</w:t>
      </w:r>
    </w:p>
    <w:p w:rsidR="00D1462E" w:rsidRPr="008019D6" w:rsidRDefault="00D1462E" w:rsidP="0020251D">
      <w:pPr>
        <w:pStyle w:val="ListParagraph"/>
        <w:autoSpaceDE w:val="0"/>
        <w:autoSpaceDN w:val="0"/>
        <w:adjustRightInd w:val="0"/>
        <w:spacing w:after="0" w:line="240" w:lineRule="auto"/>
        <w:jc w:val="both"/>
        <w:rPr>
          <w:rFonts w:cs="Times New Roman"/>
        </w:rPr>
      </w:pPr>
    </w:p>
    <w:p w:rsidR="00341BDF" w:rsidRPr="008019D6" w:rsidRDefault="00BD6A4E" w:rsidP="00CE7277">
      <w:pPr>
        <w:pStyle w:val="ListParagraph"/>
        <w:numPr>
          <w:ilvl w:val="0"/>
          <w:numId w:val="3"/>
        </w:numPr>
        <w:autoSpaceDE w:val="0"/>
        <w:autoSpaceDN w:val="0"/>
        <w:adjustRightInd w:val="0"/>
        <w:spacing w:after="0" w:line="240" w:lineRule="auto"/>
        <w:jc w:val="both"/>
        <w:rPr>
          <w:rFonts w:cs="Times New Roman"/>
        </w:rPr>
      </w:pPr>
      <w:r w:rsidRPr="008019D6">
        <w:rPr>
          <w:rFonts w:cs="Times New Roman"/>
        </w:rPr>
        <w:t xml:space="preserve">The Company incurred a net loss of </w:t>
      </w:r>
      <w:r w:rsidR="00813630" w:rsidRPr="008019D6">
        <w:rPr>
          <w:rFonts w:cs="Times New Roman"/>
        </w:rPr>
        <w:t>$</w:t>
      </w:r>
      <w:r w:rsidR="003C0310" w:rsidRPr="008019D6">
        <w:rPr>
          <w:bCs/>
          <w:lang w:val="en-GB"/>
        </w:rPr>
        <w:t>46,449</w:t>
      </w:r>
      <w:r w:rsidR="00813630" w:rsidRPr="008019D6">
        <w:rPr>
          <w:bCs/>
          <w:lang w:val="en-GB"/>
        </w:rPr>
        <w:t xml:space="preserve"> </w:t>
      </w:r>
      <w:r w:rsidR="00813630" w:rsidRPr="008019D6">
        <w:rPr>
          <w:rFonts w:cs="Times New Roman"/>
        </w:rPr>
        <w:t>for</w:t>
      </w:r>
      <w:r w:rsidR="003C0310" w:rsidRPr="008019D6">
        <w:rPr>
          <w:rFonts w:cs="Times New Roman"/>
        </w:rPr>
        <w:t xml:space="preserve"> the three month period ended April 30, 2015</w:t>
      </w:r>
      <w:r w:rsidR="00813630" w:rsidRPr="008019D6">
        <w:rPr>
          <w:rFonts w:cs="Times New Roman"/>
        </w:rPr>
        <w:t>, as compared to a net loss of</w:t>
      </w:r>
      <w:r w:rsidR="00813630" w:rsidRPr="008019D6">
        <w:rPr>
          <w:bCs/>
          <w:lang w:val="en-GB"/>
        </w:rPr>
        <w:t xml:space="preserve"> </w:t>
      </w:r>
      <w:r w:rsidR="00FF452E" w:rsidRPr="008019D6">
        <w:rPr>
          <w:rFonts w:cs="Times New Roman"/>
        </w:rPr>
        <w:t>$</w:t>
      </w:r>
      <w:r w:rsidR="003C0310" w:rsidRPr="008019D6">
        <w:rPr>
          <w:bCs/>
          <w:lang w:val="en-GB"/>
        </w:rPr>
        <w:t>31,851</w:t>
      </w:r>
      <w:r w:rsidRPr="008019D6">
        <w:rPr>
          <w:rFonts w:cs="Times New Roman"/>
        </w:rPr>
        <w:t xml:space="preserve"> for</w:t>
      </w:r>
      <w:r w:rsidR="006A7B37" w:rsidRPr="008019D6">
        <w:rPr>
          <w:rFonts w:cs="Times New Roman"/>
        </w:rPr>
        <w:t xml:space="preserve"> the</w:t>
      </w:r>
      <w:r w:rsidR="003C0310" w:rsidRPr="008019D6">
        <w:rPr>
          <w:rFonts w:cs="Times New Roman"/>
        </w:rPr>
        <w:t xml:space="preserve"> three month</w:t>
      </w:r>
      <w:r w:rsidR="006A7B37" w:rsidRPr="008019D6">
        <w:rPr>
          <w:rFonts w:cs="Times New Roman"/>
        </w:rPr>
        <w:t xml:space="preserve"> period </w:t>
      </w:r>
      <w:r w:rsidR="003C0310" w:rsidRPr="008019D6">
        <w:rPr>
          <w:rFonts w:cs="Times New Roman"/>
        </w:rPr>
        <w:t>ended April 30</w:t>
      </w:r>
      <w:r w:rsidR="00C7131E" w:rsidRPr="008019D6">
        <w:rPr>
          <w:rFonts w:cs="Times New Roman"/>
        </w:rPr>
        <w:t xml:space="preserve">, </w:t>
      </w:r>
      <w:r w:rsidR="009E37F9" w:rsidRPr="008019D6">
        <w:rPr>
          <w:rFonts w:cs="Times New Roman"/>
        </w:rPr>
        <w:t>2014</w:t>
      </w:r>
      <w:r w:rsidRPr="008019D6">
        <w:rPr>
          <w:rFonts w:cs="Times New Roman"/>
        </w:rPr>
        <w:t>.</w:t>
      </w:r>
      <w:r w:rsidR="006A7B37" w:rsidRPr="008019D6">
        <w:rPr>
          <w:rFonts w:cs="Times New Roman"/>
        </w:rPr>
        <w:t xml:space="preserve"> </w:t>
      </w:r>
      <w:r w:rsidR="00FF452E" w:rsidRPr="008019D6">
        <w:rPr>
          <w:rFonts w:cs="Times New Roman"/>
        </w:rPr>
        <w:t xml:space="preserve">The primary reason for this </w:t>
      </w:r>
      <w:r w:rsidR="00124936" w:rsidRPr="008019D6">
        <w:rPr>
          <w:rFonts w:cs="Times New Roman"/>
        </w:rPr>
        <w:t>increased</w:t>
      </w:r>
      <w:r w:rsidR="00813630" w:rsidRPr="008019D6">
        <w:rPr>
          <w:rFonts w:cs="Times New Roman"/>
        </w:rPr>
        <w:t xml:space="preserve"> </w:t>
      </w:r>
      <w:r w:rsidR="00124936" w:rsidRPr="008019D6">
        <w:rPr>
          <w:rFonts w:cs="Times New Roman"/>
        </w:rPr>
        <w:t>net loss was due to</w:t>
      </w:r>
      <w:r w:rsidR="00CE7277" w:rsidRPr="008019D6">
        <w:rPr>
          <w:rFonts w:cs="Times New Roman"/>
        </w:rPr>
        <w:t xml:space="preserve"> </w:t>
      </w:r>
      <w:r w:rsidR="003C0310" w:rsidRPr="008019D6">
        <w:rPr>
          <w:rFonts w:cs="Times New Roman"/>
        </w:rPr>
        <w:t>increased professional fees and increased filing fees for the April 2015 quarter.</w:t>
      </w:r>
    </w:p>
    <w:p w:rsidR="00D1462E" w:rsidRPr="008019D6" w:rsidRDefault="00D1462E" w:rsidP="00454971">
      <w:pPr>
        <w:pStyle w:val="ListParagraph"/>
        <w:autoSpaceDE w:val="0"/>
        <w:autoSpaceDN w:val="0"/>
        <w:adjustRightInd w:val="0"/>
        <w:spacing w:after="0" w:line="240" w:lineRule="auto"/>
        <w:jc w:val="both"/>
        <w:rPr>
          <w:rFonts w:cs="Times New Roman"/>
        </w:rPr>
      </w:pPr>
    </w:p>
    <w:p w:rsidR="00D1462E" w:rsidRPr="00E65654" w:rsidRDefault="00BD6A4E">
      <w:pPr>
        <w:pStyle w:val="ListParagraph"/>
        <w:numPr>
          <w:ilvl w:val="0"/>
          <w:numId w:val="3"/>
        </w:numPr>
        <w:autoSpaceDE w:val="0"/>
        <w:autoSpaceDN w:val="0"/>
        <w:adjustRightInd w:val="0"/>
        <w:spacing w:after="0" w:line="240" w:lineRule="auto"/>
        <w:jc w:val="both"/>
        <w:rPr>
          <w:rFonts w:cs="Times New Roman"/>
        </w:rPr>
      </w:pPr>
      <w:r w:rsidRPr="008019D6">
        <w:rPr>
          <w:rFonts w:cs="Times New Roman"/>
        </w:rPr>
        <w:t>All direct costs related to the acquisition of resource property interests have been capitalized.</w:t>
      </w:r>
      <w:r w:rsidR="00CE7277" w:rsidRPr="008019D6">
        <w:rPr>
          <w:rFonts w:cs="Times New Roman"/>
        </w:rPr>
        <w:t xml:space="preserve"> During the </w:t>
      </w:r>
      <w:r w:rsidR="008142DD">
        <w:rPr>
          <w:rFonts w:cs="Times New Roman"/>
        </w:rPr>
        <w:t xml:space="preserve">three month period </w:t>
      </w:r>
      <w:r w:rsidR="00CE7277" w:rsidRPr="008019D6">
        <w:rPr>
          <w:rFonts w:cs="Times New Roman"/>
        </w:rPr>
        <w:t xml:space="preserve">ended </w:t>
      </w:r>
      <w:r w:rsidR="008142DD">
        <w:rPr>
          <w:rFonts w:cs="Times New Roman"/>
        </w:rPr>
        <w:t>April 30</w:t>
      </w:r>
      <w:r w:rsidR="00CE7277" w:rsidRPr="008019D6">
        <w:rPr>
          <w:rFonts w:cs="Times New Roman"/>
        </w:rPr>
        <w:t xml:space="preserve">, 2015 the Company </w:t>
      </w:r>
      <w:r w:rsidR="00B559D2" w:rsidRPr="008019D6">
        <w:rPr>
          <w:rFonts w:cs="Times New Roman"/>
        </w:rPr>
        <w:t>recognized</w:t>
      </w:r>
      <w:r w:rsidR="00CE7277" w:rsidRPr="008019D6">
        <w:rPr>
          <w:rFonts w:cs="Times New Roman"/>
        </w:rPr>
        <w:t xml:space="preserve"> an </w:t>
      </w:r>
      <w:proofErr w:type="spellStart"/>
      <w:r w:rsidR="00CE7277" w:rsidRPr="008019D6">
        <w:rPr>
          <w:rFonts w:cs="Times New Roman"/>
        </w:rPr>
        <w:t>i</w:t>
      </w:r>
      <w:r w:rsidR="00CE7277" w:rsidRPr="008019D6">
        <w:rPr>
          <w:lang w:val="en-GB"/>
        </w:rPr>
        <w:t>mpairment</w:t>
      </w:r>
      <w:proofErr w:type="spellEnd"/>
      <w:r w:rsidR="00CE7277" w:rsidRPr="008019D6">
        <w:rPr>
          <w:lang w:val="en-GB"/>
        </w:rPr>
        <w:t xml:space="preserve"> write-down of exploration and evaluation property</w:t>
      </w:r>
      <w:r w:rsidR="00CE7277" w:rsidRPr="008019D6">
        <w:rPr>
          <w:bCs/>
          <w:lang w:val="en-GB"/>
        </w:rPr>
        <w:t xml:space="preserve"> of $</w:t>
      </w:r>
      <w:r w:rsidR="008142DD">
        <w:rPr>
          <w:bCs/>
          <w:lang w:val="en-GB"/>
        </w:rPr>
        <w:t xml:space="preserve">Nil </w:t>
      </w:r>
      <w:r w:rsidR="000B1B2C" w:rsidRPr="008019D6">
        <w:rPr>
          <w:bCs/>
          <w:lang w:val="en-GB"/>
        </w:rPr>
        <w:t>(</w:t>
      </w:r>
      <w:r w:rsidR="008142DD">
        <w:rPr>
          <w:bCs/>
          <w:lang w:val="en-GB"/>
        </w:rPr>
        <w:t xml:space="preserve">January 31, 2015- </w:t>
      </w:r>
      <w:r w:rsidR="008142DD" w:rsidRPr="008019D6">
        <w:rPr>
          <w:bCs/>
          <w:lang w:val="en-GB"/>
        </w:rPr>
        <w:t>$213</w:t>
      </w:r>
      <w:proofErr w:type="gramStart"/>
      <w:r w:rsidR="008142DD" w:rsidRPr="008019D6">
        <w:rPr>
          <w:bCs/>
          <w:lang w:val="en-GB"/>
        </w:rPr>
        <w:t>,614</w:t>
      </w:r>
      <w:r w:rsidR="000B1B2C" w:rsidRPr="008019D6">
        <w:rPr>
          <w:bCs/>
          <w:lang w:val="en-GB"/>
        </w:rPr>
        <w:t>0</w:t>
      </w:r>
      <w:proofErr w:type="gramEnd"/>
      <w:r w:rsidR="000B1B2C" w:rsidRPr="008019D6">
        <w:rPr>
          <w:bCs/>
          <w:lang w:val="en-GB"/>
        </w:rPr>
        <w:t>)</w:t>
      </w:r>
      <w:r w:rsidR="00B559D2" w:rsidRPr="008019D6">
        <w:rPr>
          <w:rFonts w:cs="Times New Roman"/>
        </w:rPr>
        <w:t xml:space="preserve">. </w:t>
      </w:r>
      <w:r w:rsidRPr="008019D6">
        <w:rPr>
          <w:rFonts w:cs="Times New Roman"/>
        </w:rPr>
        <w:t>The</w:t>
      </w:r>
      <w:r w:rsidR="00EE54C4" w:rsidRPr="008019D6">
        <w:rPr>
          <w:rFonts w:cs="Times New Roman"/>
        </w:rPr>
        <w:t xml:space="preserve"> </w:t>
      </w:r>
      <w:r w:rsidRPr="008019D6">
        <w:rPr>
          <w:rFonts w:cs="Times New Roman"/>
        </w:rPr>
        <w:lastRenderedPageBreak/>
        <w:t xml:space="preserve">Company has no </w:t>
      </w:r>
      <w:r w:rsidRPr="00E65654">
        <w:rPr>
          <w:rFonts w:cs="Times New Roman"/>
        </w:rPr>
        <w:t>operating cash flow and its level of operations has been determined by the availability of</w:t>
      </w:r>
      <w:r w:rsidR="00EE54C4" w:rsidRPr="00E65654">
        <w:rPr>
          <w:rFonts w:cs="Times New Roman"/>
        </w:rPr>
        <w:t xml:space="preserve"> </w:t>
      </w:r>
      <w:r w:rsidRPr="00E65654">
        <w:rPr>
          <w:rFonts w:cs="Times New Roman"/>
        </w:rPr>
        <w:t xml:space="preserve">capital resources. To date, </w:t>
      </w:r>
      <w:r w:rsidR="00671E8A" w:rsidRPr="00E65654">
        <w:rPr>
          <w:rFonts w:cs="Times New Roman"/>
        </w:rPr>
        <w:t>share issuances</w:t>
      </w:r>
      <w:r w:rsidRPr="00E65654">
        <w:rPr>
          <w:rFonts w:cs="Times New Roman"/>
        </w:rPr>
        <w:t xml:space="preserve"> have provided the sole source of funding.  Therefore, it is difficult to identify any meaningful trends or develop an analysis from cash flows.</w:t>
      </w:r>
      <w:r w:rsidR="00D53CC0" w:rsidRPr="00E65654">
        <w:rPr>
          <w:rFonts w:cs="Times New Roman"/>
        </w:rPr>
        <w:t xml:space="preserve"> Cash used in operating activity for the </w:t>
      </w:r>
      <w:r w:rsidR="003C0310">
        <w:rPr>
          <w:rFonts w:cs="Times New Roman"/>
        </w:rPr>
        <w:t>three month period ended April 30</w:t>
      </w:r>
      <w:r w:rsidR="0093095E" w:rsidRPr="00E65654">
        <w:rPr>
          <w:rFonts w:cs="Times New Roman"/>
        </w:rPr>
        <w:t xml:space="preserve">, </w:t>
      </w:r>
      <w:r w:rsidR="009E37F9" w:rsidRPr="00E65654">
        <w:rPr>
          <w:rFonts w:cs="Times New Roman"/>
        </w:rPr>
        <w:t>2015</w:t>
      </w:r>
      <w:r w:rsidR="00D53CC0" w:rsidRPr="00E65654">
        <w:rPr>
          <w:rFonts w:cs="Times New Roman"/>
        </w:rPr>
        <w:t xml:space="preserve"> was</w:t>
      </w:r>
      <w:r w:rsidR="00813630" w:rsidRPr="00E65654">
        <w:rPr>
          <w:rFonts w:cs="Times New Roman"/>
        </w:rPr>
        <w:t xml:space="preserve"> $</w:t>
      </w:r>
      <w:r w:rsidR="003C0310">
        <w:rPr>
          <w:bCs/>
          <w:lang w:val="en-GB"/>
        </w:rPr>
        <w:t>28,715</w:t>
      </w:r>
      <w:r w:rsidR="00813630" w:rsidRPr="00E65654">
        <w:rPr>
          <w:bCs/>
          <w:lang w:val="en-GB"/>
        </w:rPr>
        <w:t xml:space="preserve"> c</w:t>
      </w:r>
      <w:r w:rsidR="00D53CC0" w:rsidRPr="00E65654">
        <w:rPr>
          <w:bCs/>
          <w:lang w:val="en-GB"/>
        </w:rPr>
        <w:t xml:space="preserve">ompared to cash used in operating </w:t>
      </w:r>
      <w:r w:rsidR="00D53CC0" w:rsidRPr="00E65654">
        <w:rPr>
          <w:rFonts w:cs="Times New Roman"/>
        </w:rPr>
        <w:t xml:space="preserve">activity for the year ended January 31, </w:t>
      </w:r>
      <w:r w:rsidR="009E37F9" w:rsidRPr="00E65654">
        <w:rPr>
          <w:rFonts w:cs="Times New Roman"/>
        </w:rPr>
        <w:t>2014</w:t>
      </w:r>
      <w:r w:rsidR="00D53CC0" w:rsidRPr="00E65654">
        <w:rPr>
          <w:rFonts w:cs="Times New Roman"/>
        </w:rPr>
        <w:t xml:space="preserve"> of</w:t>
      </w:r>
      <w:r w:rsidR="00813630" w:rsidRPr="00E65654">
        <w:rPr>
          <w:rFonts w:cs="Times New Roman"/>
        </w:rPr>
        <w:t xml:space="preserve"> $</w:t>
      </w:r>
      <w:r w:rsidR="003C0310">
        <w:rPr>
          <w:bCs/>
          <w:lang w:val="en-GB"/>
        </w:rPr>
        <w:t>20,280</w:t>
      </w:r>
      <w:r w:rsidR="00D53CC0" w:rsidRPr="00E65654">
        <w:t xml:space="preserve">. </w:t>
      </w:r>
      <w:r w:rsidR="00D53CC0" w:rsidRPr="00E65654">
        <w:rPr>
          <w:rFonts w:cs="Times New Roman"/>
        </w:rPr>
        <w:t xml:space="preserve">The primary reason for this </w:t>
      </w:r>
      <w:r w:rsidR="003C0310">
        <w:rPr>
          <w:rFonts w:cs="Times New Roman"/>
        </w:rPr>
        <w:t>increased</w:t>
      </w:r>
      <w:r w:rsidR="00813630" w:rsidRPr="00E65654">
        <w:rPr>
          <w:rFonts w:cs="Times New Roman"/>
        </w:rPr>
        <w:t xml:space="preserve"> </w:t>
      </w:r>
      <w:r w:rsidR="00D53CC0" w:rsidRPr="00E65654">
        <w:rPr>
          <w:rFonts w:cs="Times New Roman"/>
        </w:rPr>
        <w:t xml:space="preserve">use of cash was </w:t>
      </w:r>
      <w:r w:rsidR="003C0310" w:rsidRPr="00CE7277">
        <w:rPr>
          <w:rFonts w:cs="Times New Roman"/>
        </w:rPr>
        <w:t xml:space="preserve">due to </w:t>
      </w:r>
      <w:r w:rsidR="003C0310">
        <w:rPr>
          <w:rFonts w:cs="Times New Roman"/>
        </w:rPr>
        <w:t xml:space="preserve">increased professional fees and increased filing fees for the April 2015 quarter. </w:t>
      </w:r>
    </w:p>
    <w:p w:rsidR="00D53CC0" w:rsidRPr="00E65654" w:rsidRDefault="00D53CC0" w:rsidP="003944C3">
      <w:pPr>
        <w:autoSpaceDE w:val="0"/>
        <w:autoSpaceDN w:val="0"/>
        <w:adjustRightInd w:val="0"/>
        <w:spacing w:after="0" w:line="240" w:lineRule="auto"/>
        <w:jc w:val="both"/>
        <w:rPr>
          <w:bCs/>
          <w:lang w:val="en-GB"/>
        </w:rPr>
      </w:pPr>
    </w:p>
    <w:p w:rsidR="001A11BA" w:rsidRPr="00E65654" w:rsidRDefault="001A11BA" w:rsidP="003944C3">
      <w:pPr>
        <w:autoSpaceDE w:val="0"/>
        <w:autoSpaceDN w:val="0"/>
        <w:adjustRightInd w:val="0"/>
        <w:spacing w:after="0" w:line="240" w:lineRule="auto"/>
        <w:jc w:val="both"/>
        <w:rPr>
          <w:rFonts w:cs="Times New Roman"/>
          <w:b/>
          <w:bCs/>
          <w:color w:val="000000"/>
        </w:rPr>
      </w:pPr>
      <w:r w:rsidRPr="00E65654">
        <w:rPr>
          <w:rFonts w:cs="Times New Roman"/>
          <w:b/>
          <w:bCs/>
          <w:color w:val="000000"/>
        </w:rPr>
        <w:t>Pattullo Property</w:t>
      </w:r>
    </w:p>
    <w:p w:rsidR="00A407E5" w:rsidRPr="00E65654" w:rsidRDefault="00A407E5" w:rsidP="003944C3">
      <w:pPr>
        <w:autoSpaceDE w:val="0"/>
        <w:autoSpaceDN w:val="0"/>
        <w:adjustRightInd w:val="0"/>
        <w:spacing w:after="0" w:line="240" w:lineRule="auto"/>
        <w:jc w:val="both"/>
        <w:rPr>
          <w:rFonts w:cs="Times New Roman"/>
          <w:b/>
          <w:bCs/>
          <w:color w:val="000000"/>
        </w:rPr>
      </w:pPr>
    </w:p>
    <w:p w:rsidR="001A11BA" w:rsidRPr="00E65654" w:rsidRDefault="001A11BA" w:rsidP="003944C3">
      <w:pPr>
        <w:autoSpaceDE w:val="0"/>
        <w:autoSpaceDN w:val="0"/>
        <w:adjustRightInd w:val="0"/>
        <w:spacing w:after="0" w:line="240" w:lineRule="auto"/>
        <w:jc w:val="both"/>
        <w:rPr>
          <w:rFonts w:cs="Times New Roman"/>
          <w:color w:val="000000"/>
        </w:rPr>
      </w:pPr>
      <w:r w:rsidRPr="00E65654">
        <w:rPr>
          <w:rFonts w:cs="Times New Roman"/>
          <w:color w:val="000000"/>
        </w:rPr>
        <w:t>The Company currently holds an option to acquire a 100% interest in 4 claims covering 439 hectares in</w:t>
      </w:r>
      <w:r w:rsidR="003944C3" w:rsidRPr="00E65654">
        <w:rPr>
          <w:rFonts w:cs="Times New Roman"/>
          <w:color w:val="000000"/>
        </w:rPr>
        <w:t xml:space="preserve"> </w:t>
      </w:r>
      <w:r w:rsidRPr="00E65654">
        <w:rPr>
          <w:rFonts w:cs="Times New Roman"/>
          <w:color w:val="000000"/>
        </w:rPr>
        <w:t xml:space="preserve">the Pattullo and </w:t>
      </w:r>
      <w:proofErr w:type="spellStart"/>
      <w:r w:rsidRPr="00E65654">
        <w:rPr>
          <w:rFonts w:cs="Times New Roman"/>
          <w:color w:val="000000"/>
        </w:rPr>
        <w:t>Tait</w:t>
      </w:r>
      <w:proofErr w:type="spellEnd"/>
      <w:r w:rsidRPr="00E65654">
        <w:rPr>
          <w:rFonts w:cs="Times New Roman"/>
          <w:color w:val="000000"/>
        </w:rPr>
        <w:t xml:space="preserve"> townships of Ontario, Canada, known as the Pattullo Property (the “</w:t>
      </w:r>
      <w:r w:rsidR="00FC3EE5" w:rsidRPr="00E65654">
        <w:rPr>
          <w:rFonts w:cs="Times New Roman"/>
          <w:b/>
          <w:color w:val="000000"/>
        </w:rPr>
        <w:t>Property</w:t>
      </w:r>
      <w:r w:rsidRPr="00E65654">
        <w:rPr>
          <w:rFonts w:cs="Times New Roman"/>
          <w:color w:val="000000"/>
        </w:rPr>
        <w:t>”).</w:t>
      </w:r>
      <w:r w:rsidR="003944C3" w:rsidRPr="00E65654">
        <w:rPr>
          <w:rFonts w:cs="Times New Roman"/>
          <w:color w:val="000000"/>
        </w:rPr>
        <w:t xml:space="preserve"> </w:t>
      </w:r>
      <w:r w:rsidRPr="00E65654">
        <w:rPr>
          <w:rFonts w:cs="Times New Roman"/>
          <w:color w:val="000000"/>
        </w:rPr>
        <w:t>Pursuant to an option agreement (the “</w:t>
      </w:r>
      <w:r w:rsidR="00FC3EE5" w:rsidRPr="00E65654">
        <w:rPr>
          <w:rFonts w:cs="Times New Roman"/>
          <w:b/>
          <w:color w:val="000000"/>
        </w:rPr>
        <w:t>Option Agreement</w:t>
      </w:r>
      <w:r w:rsidRPr="00E65654">
        <w:rPr>
          <w:rFonts w:cs="Times New Roman"/>
          <w:color w:val="000000"/>
        </w:rPr>
        <w:t xml:space="preserve">”) dated </w:t>
      </w:r>
      <w:r w:rsidR="00BA129A" w:rsidRPr="00E65654">
        <w:rPr>
          <w:rFonts w:cs="Times New Roman"/>
          <w:color w:val="000000"/>
        </w:rPr>
        <w:t xml:space="preserve">as of </w:t>
      </w:r>
      <w:r w:rsidRPr="00E65654">
        <w:rPr>
          <w:rFonts w:cs="Times New Roman"/>
          <w:color w:val="000000"/>
        </w:rPr>
        <w:t>June 13, 2011, Rheingold was granted the option to acquire a 100% interest in the Property</w:t>
      </w:r>
      <w:r w:rsidR="003944C3" w:rsidRPr="00E65654">
        <w:rPr>
          <w:rFonts w:cs="Times New Roman"/>
          <w:color w:val="000000"/>
        </w:rPr>
        <w:t xml:space="preserve"> </w:t>
      </w:r>
      <w:r w:rsidRPr="00E65654">
        <w:rPr>
          <w:rFonts w:cs="Times New Roman"/>
          <w:color w:val="000000"/>
        </w:rPr>
        <w:t>from Perry Vern English acting on behalf of Rubicon Minerals Corporation (the “</w:t>
      </w:r>
      <w:proofErr w:type="spellStart"/>
      <w:r w:rsidR="00FC3EE5" w:rsidRPr="00E65654">
        <w:rPr>
          <w:rFonts w:cs="Times New Roman"/>
          <w:b/>
          <w:color w:val="000000"/>
        </w:rPr>
        <w:t>Optionor</w:t>
      </w:r>
      <w:proofErr w:type="spellEnd"/>
      <w:r w:rsidRPr="00E65654">
        <w:rPr>
          <w:rFonts w:cs="Times New Roman"/>
          <w:color w:val="000000"/>
        </w:rPr>
        <w:t>”) in</w:t>
      </w:r>
      <w:r w:rsidR="003944C3" w:rsidRPr="00E65654">
        <w:rPr>
          <w:rFonts w:cs="Times New Roman"/>
          <w:color w:val="000000"/>
        </w:rPr>
        <w:t xml:space="preserve"> </w:t>
      </w:r>
      <w:r w:rsidRPr="00E65654">
        <w:rPr>
          <w:rFonts w:cs="Times New Roman"/>
          <w:color w:val="000000"/>
        </w:rPr>
        <w:t>consideration of Rheingold agreeing to, over a four year period, pay a total of $105,000 in cash to the</w:t>
      </w:r>
      <w:r w:rsidR="003944C3" w:rsidRPr="00E65654">
        <w:rPr>
          <w:rFonts w:cs="Times New Roman"/>
          <w:color w:val="000000"/>
        </w:rPr>
        <w:t xml:space="preserve"> </w:t>
      </w:r>
      <w:proofErr w:type="spellStart"/>
      <w:r w:rsidR="003944C3" w:rsidRPr="00E65654">
        <w:rPr>
          <w:rFonts w:cs="Times New Roman"/>
          <w:color w:val="000000"/>
        </w:rPr>
        <w:t>Optionor</w:t>
      </w:r>
      <w:proofErr w:type="spellEnd"/>
      <w:r w:rsidR="003944C3" w:rsidRPr="00E65654">
        <w:rPr>
          <w:rFonts w:cs="Times New Roman"/>
          <w:color w:val="000000"/>
        </w:rPr>
        <w:t xml:space="preserve"> </w:t>
      </w:r>
      <w:r w:rsidRPr="00E65654">
        <w:rPr>
          <w:rFonts w:cs="Times New Roman"/>
          <w:color w:val="000000"/>
        </w:rPr>
        <w:t xml:space="preserve">and, over a two year period, issue 150,000 common shares of the Company to the </w:t>
      </w:r>
      <w:proofErr w:type="spellStart"/>
      <w:r w:rsidRPr="00E65654">
        <w:rPr>
          <w:rFonts w:cs="Times New Roman"/>
          <w:color w:val="000000"/>
        </w:rPr>
        <w:t>Optionor</w:t>
      </w:r>
      <w:proofErr w:type="spellEnd"/>
      <w:r w:rsidRPr="00E65654">
        <w:rPr>
          <w:rFonts w:cs="Times New Roman"/>
          <w:color w:val="000000"/>
        </w:rPr>
        <w:t>.</w:t>
      </w:r>
      <w:r w:rsidR="00017119" w:rsidRPr="00E65654">
        <w:rPr>
          <w:rFonts w:cs="Times New Roman"/>
          <w:color w:val="000000"/>
        </w:rPr>
        <w:t xml:space="preserve"> </w:t>
      </w:r>
      <w:r w:rsidRPr="00E65654">
        <w:rPr>
          <w:rFonts w:cs="Times New Roman"/>
          <w:color w:val="000000"/>
        </w:rPr>
        <w:t>Upon the commencement of any commercial production on the Property, Rheingold must pay the</w:t>
      </w:r>
      <w:r w:rsidR="003944C3" w:rsidRPr="00E65654">
        <w:rPr>
          <w:rFonts w:cs="Times New Roman"/>
          <w:color w:val="000000"/>
        </w:rPr>
        <w:t xml:space="preserve"> </w:t>
      </w:r>
      <w:proofErr w:type="spellStart"/>
      <w:r w:rsidRPr="00E65654">
        <w:rPr>
          <w:rFonts w:cs="Times New Roman"/>
          <w:color w:val="000000"/>
        </w:rPr>
        <w:t>Optionor</w:t>
      </w:r>
      <w:proofErr w:type="spellEnd"/>
      <w:r w:rsidRPr="00E65654">
        <w:rPr>
          <w:rFonts w:cs="Times New Roman"/>
          <w:color w:val="000000"/>
        </w:rPr>
        <w:t xml:space="preserve"> a 2% net smelter royalty, </w:t>
      </w:r>
      <w:r w:rsidR="00BA129A" w:rsidRPr="00E65654">
        <w:rPr>
          <w:rFonts w:cs="Times New Roman"/>
          <w:color w:val="000000"/>
        </w:rPr>
        <w:t xml:space="preserve">1% </w:t>
      </w:r>
      <w:r w:rsidRPr="00E65654">
        <w:rPr>
          <w:rFonts w:cs="Times New Roman"/>
          <w:color w:val="000000"/>
        </w:rPr>
        <w:t xml:space="preserve">of which can be </w:t>
      </w:r>
      <w:r w:rsidR="00671E8A" w:rsidRPr="00E65654">
        <w:rPr>
          <w:rFonts w:cs="Times New Roman"/>
          <w:color w:val="000000"/>
        </w:rPr>
        <w:t>re</w:t>
      </w:r>
      <w:r w:rsidRPr="00E65654">
        <w:rPr>
          <w:rFonts w:cs="Times New Roman"/>
          <w:color w:val="000000"/>
        </w:rPr>
        <w:t>purchased by Rheingold by paying</w:t>
      </w:r>
      <w:r w:rsidR="003944C3" w:rsidRPr="00E65654">
        <w:rPr>
          <w:rFonts w:cs="Times New Roman"/>
          <w:color w:val="000000"/>
        </w:rPr>
        <w:t xml:space="preserve"> </w:t>
      </w:r>
      <w:r w:rsidRPr="00E65654">
        <w:rPr>
          <w:rFonts w:cs="Times New Roman"/>
          <w:color w:val="000000"/>
        </w:rPr>
        <w:t xml:space="preserve">$1,000,000 in cash to the </w:t>
      </w:r>
      <w:proofErr w:type="spellStart"/>
      <w:r w:rsidRPr="00E65654">
        <w:rPr>
          <w:rFonts w:cs="Times New Roman"/>
          <w:color w:val="000000"/>
        </w:rPr>
        <w:t>Optionor</w:t>
      </w:r>
      <w:proofErr w:type="spellEnd"/>
      <w:r w:rsidRPr="00E65654">
        <w:rPr>
          <w:rFonts w:cs="Times New Roman"/>
          <w:color w:val="000000"/>
        </w:rPr>
        <w:t>.</w:t>
      </w:r>
      <w:r w:rsidR="00213B65" w:rsidRPr="00E65654">
        <w:rPr>
          <w:rFonts w:cs="Times New Roman"/>
          <w:color w:val="000000"/>
        </w:rPr>
        <w:t xml:space="preserve"> As of the date of this MD&amp;A, the Company has ma</w:t>
      </w:r>
      <w:r w:rsidR="00124936" w:rsidRPr="00E65654">
        <w:rPr>
          <w:rFonts w:cs="Times New Roman"/>
          <w:color w:val="000000"/>
        </w:rPr>
        <w:t>de option payments totalling $75</w:t>
      </w:r>
      <w:r w:rsidR="00213B65" w:rsidRPr="00E65654">
        <w:rPr>
          <w:rFonts w:cs="Times New Roman"/>
          <w:color w:val="000000"/>
        </w:rPr>
        <w:t xml:space="preserve">,000 and issued a total of 150,000 common shares of the Company to the </w:t>
      </w:r>
      <w:proofErr w:type="spellStart"/>
      <w:r w:rsidR="00213B65" w:rsidRPr="00E65654">
        <w:rPr>
          <w:rFonts w:cs="Times New Roman"/>
          <w:color w:val="000000"/>
        </w:rPr>
        <w:t>Optionor</w:t>
      </w:r>
      <w:proofErr w:type="spellEnd"/>
      <w:r w:rsidR="00213B65" w:rsidRPr="00E65654">
        <w:rPr>
          <w:rFonts w:cs="Times New Roman"/>
          <w:color w:val="000000"/>
        </w:rPr>
        <w:t xml:space="preserve">. </w:t>
      </w:r>
      <w:r w:rsidR="00124936" w:rsidRPr="00E65654">
        <w:rPr>
          <w:rFonts w:cs="Times New Roman"/>
          <w:color w:val="000000"/>
        </w:rPr>
        <w:t xml:space="preserve">The final option payment of $30,000 </w:t>
      </w:r>
      <w:r w:rsidR="009F1F10" w:rsidRPr="00E65654">
        <w:rPr>
          <w:rFonts w:cs="Times New Roman"/>
          <w:color w:val="000000"/>
        </w:rPr>
        <w:t xml:space="preserve">is due </w:t>
      </w:r>
      <w:r w:rsidR="00E65654" w:rsidRPr="00E65654">
        <w:rPr>
          <w:rFonts w:cs="Times New Roman"/>
          <w:color w:val="000000"/>
        </w:rPr>
        <w:t xml:space="preserve">by June 17, 2015, should the Company wish to acquire a 100% interest in the </w:t>
      </w:r>
      <w:r w:rsidR="00341BDF">
        <w:rPr>
          <w:rFonts w:cs="Times New Roman"/>
          <w:color w:val="000000"/>
        </w:rPr>
        <w:t>P</w:t>
      </w:r>
      <w:r w:rsidR="00E65654" w:rsidRPr="00E65654">
        <w:rPr>
          <w:rFonts w:cs="Times New Roman"/>
          <w:color w:val="000000"/>
        </w:rPr>
        <w:t>roperty.</w:t>
      </w:r>
    </w:p>
    <w:p w:rsidR="001A11BA" w:rsidRPr="00E65654" w:rsidRDefault="001A11BA" w:rsidP="003944C3">
      <w:pPr>
        <w:autoSpaceDE w:val="0"/>
        <w:autoSpaceDN w:val="0"/>
        <w:adjustRightInd w:val="0"/>
        <w:spacing w:after="0" w:line="240" w:lineRule="auto"/>
        <w:jc w:val="both"/>
        <w:rPr>
          <w:rFonts w:cs="Times New Roman"/>
          <w:color w:val="000000"/>
        </w:rPr>
      </w:pPr>
    </w:p>
    <w:p w:rsidR="001A11BA" w:rsidRPr="00E65654" w:rsidRDefault="001A11BA" w:rsidP="003944C3">
      <w:pPr>
        <w:autoSpaceDE w:val="0"/>
        <w:autoSpaceDN w:val="0"/>
        <w:adjustRightInd w:val="0"/>
        <w:spacing w:after="0" w:line="240" w:lineRule="auto"/>
        <w:jc w:val="both"/>
        <w:rPr>
          <w:rFonts w:cs="Times New Roman"/>
          <w:color w:val="000000"/>
        </w:rPr>
      </w:pPr>
      <w:r w:rsidRPr="00E65654">
        <w:rPr>
          <w:rFonts w:cs="Times New Roman"/>
          <w:color w:val="000000"/>
        </w:rPr>
        <w:t xml:space="preserve">A </w:t>
      </w:r>
      <w:r w:rsidR="002E74C2" w:rsidRPr="00E65654">
        <w:rPr>
          <w:rFonts w:cs="Times New Roman"/>
          <w:color w:val="000000"/>
        </w:rPr>
        <w:t>geological report (the "</w:t>
      </w:r>
      <w:r w:rsidR="002E74C2" w:rsidRPr="00E65654">
        <w:rPr>
          <w:rFonts w:cs="Times New Roman"/>
          <w:b/>
          <w:color w:val="000000"/>
        </w:rPr>
        <w:t>Technical R</w:t>
      </w:r>
      <w:r w:rsidRPr="00E65654">
        <w:rPr>
          <w:rFonts w:cs="Times New Roman"/>
          <w:b/>
          <w:color w:val="000000"/>
        </w:rPr>
        <w:t>eport</w:t>
      </w:r>
      <w:r w:rsidR="002E74C2" w:rsidRPr="00E65654">
        <w:rPr>
          <w:rFonts w:cs="Times New Roman"/>
          <w:color w:val="000000"/>
        </w:rPr>
        <w:t>")</w:t>
      </w:r>
      <w:r w:rsidRPr="00E65654">
        <w:rPr>
          <w:rFonts w:cs="Times New Roman"/>
          <w:color w:val="000000"/>
        </w:rPr>
        <w:t xml:space="preserve"> prepared by David J. Busch, who is a “Qualified Person” as defined in National</w:t>
      </w:r>
      <w:r w:rsidR="003944C3" w:rsidRPr="00E65654">
        <w:rPr>
          <w:rFonts w:cs="Times New Roman"/>
          <w:color w:val="000000"/>
        </w:rPr>
        <w:t xml:space="preserve"> </w:t>
      </w:r>
      <w:r w:rsidRPr="00E65654">
        <w:rPr>
          <w:rFonts w:cs="Times New Roman"/>
          <w:color w:val="000000"/>
        </w:rPr>
        <w:t xml:space="preserve">Instrument 43-101 – </w:t>
      </w:r>
      <w:r w:rsidRPr="00E65654">
        <w:rPr>
          <w:rFonts w:cs="Times New Roman"/>
          <w:i/>
          <w:color w:val="000000"/>
        </w:rPr>
        <w:t>Standards of Disclosure for Mineral Projects</w:t>
      </w:r>
      <w:r w:rsidRPr="00E65654">
        <w:rPr>
          <w:rFonts w:cs="Times New Roman"/>
          <w:color w:val="000000"/>
        </w:rPr>
        <w:t xml:space="preserve"> (“</w:t>
      </w:r>
      <w:r w:rsidR="00FC3EE5" w:rsidRPr="00E65654">
        <w:rPr>
          <w:rFonts w:cs="Times New Roman"/>
          <w:b/>
          <w:color w:val="000000"/>
        </w:rPr>
        <w:t>NI 43-101</w:t>
      </w:r>
      <w:r w:rsidRPr="00E65654">
        <w:rPr>
          <w:rFonts w:cs="Times New Roman"/>
          <w:color w:val="000000"/>
        </w:rPr>
        <w:t>”), was completed in</w:t>
      </w:r>
      <w:r w:rsidR="003944C3" w:rsidRPr="00E65654">
        <w:rPr>
          <w:rFonts w:cs="Times New Roman"/>
          <w:color w:val="000000"/>
        </w:rPr>
        <w:t xml:space="preserve"> </w:t>
      </w:r>
      <w:r w:rsidRPr="00E65654">
        <w:rPr>
          <w:rFonts w:cs="Times New Roman"/>
          <w:color w:val="000000"/>
        </w:rPr>
        <w:t>relation to the P</w:t>
      </w:r>
      <w:r w:rsidR="007F5987" w:rsidRPr="00E65654">
        <w:rPr>
          <w:rFonts w:cs="Times New Roman"/>
          <w:color w:val="000000"/>
        </w:rPr>
        <w:t>roperty on April 10, 2012</w:t>
      </w:r>
      <w:r w:rsidRPr="00E65654">
        <w:rPr>
          <w:rFonts w:cs="Times New Roman"/>
          <w:color w:val="000000"/>
        </w:rPr>
        <w:t>. The Technical Report is available for</w:t>
      </w:r>
      <w:r w:rsidR="003944C3" w:rsidRPr="00E65654">
        <w:rPr>
          <w:rFonts w:cs="Times New Roman"/>
          <w:color w:val="000000"/>
        </w:rPr>
        <w:t xml:space="preserve"> </w:t>
      </w:r>
      <w:r w:rsidRPr="00E65654">
        <w:rPr>
          <w:rFonts w:cs="Times New Roman"/>
          <w:color w:val="000000"/>
        </w:rPr>
        <w:t xml:space="preserve">review under the Company’s profile on SEDAR at </w:t>
      </w:r>
      <w:r w:rsidRPr="00E65654">
        <w:rPr>
          <w:rFonts w:cs="Times New Roman"/>
          <w:color w:val="0000FF"/>
        </w:rPr>
        <w:t>www.sedar.com</w:t>
      </w:r>
      <w:r w:rsidRPr="00E65654">
        <w:rPr>
          <w:rFonts w:cs="Times New Roman"/>
          <w:color w:val="000000"/>
        </w:rPr>
        <w:t>. The Technical Report</w:t>
      </w:r>
      <w:r w:rsidR="003944C3" w:rsidRPr="00E65654">
        <w:rPr>
          <w:rFonts w:cs="Times New Roman"/>
          <w:color w:val="000000"/>
        </w:rPr>
        <w:t xml:space="preserve"> </w:t>
      </w:r>
      <w:r w:rsidRPr="00E65654">
        <w:rPr>
          <w:rFonts w:cs="Times New Roman"/>
          <w:color w:val="000000"/>
        </w:rPr>
        <w:t>recommends that the Company conduct an exploration program with an estimated budget of $203,500.</w:t>
      </w:r>
      <w:r w:rsidR="007C6104" w:rsidRPr="00E65654">
        <w:rPr>
          <w:rFonts w:cs="Times New Roman"/>
          <w:color w:val="000000"/>
        </w:rPr>
        <w:t xml:space="preserve"> </w:t>
      </w:r>
      <w:r w:rsidRPr="00E65654">
        <w:rPr>
          <w:rFonts w:cs="Times New Roman"/>
          <w:color w:val="000000"/>
        </w:rPr>
        <w:t>The Technical Report recommends that the proposed work program consist of a deep penetrating electromagnetic survey and diamond drilling.</w:t>
      </w:r>
    </w:p>
    <w:p w:rsidR="009A0602" w:rsidRDefault="009A0602" w:rsidP="003944C3">
      <w:pPr>
        <w:autoSpaceDE w:val="0"/>
        <w:autoSpaceDN w:val="0"/>
        <w:adjustRightInd w:val="0"/>
        <w:spacing w:after="0" w:line="240" w:lineRule="auto"/>
        <w:jc w:val="both"/>
        <w:rPr>
          <w:rFonts w:cs="Times New Roman"/>
          <w:color w:val="000000"/>
        </w:rPr>
      </w:pPr>
    </w:p>
    <w:p w:rsidR="00341BDF" w:rsidRPr="00341BDF" w:rsidRDefault="00341BDF" w:rsidP="00341BDF">
      <w:pPr>
        <w:autoSpaceDE w:val="0"/>
        <w:autoSpaceDN w:val="0"/>
        <w:adjustRightInd w:val="0"/>
        <w:spacing w:after="0" w:line="240" w:lineRule="auto"/>
        <w:jc w:val="both"/>
        <w:rPr>
          <w:rFonts w:cs="Times New Roman"/>
          <w:b/>
          <w:color w:val="000000"/>
        </w:rPr>
      </w:pPr>
      <w:r w:rsidRPr="00341BDF">
        <w:rPr>
          <w:rFonts w:cs="Times New Roman"/>
          <w:b/>
          <w:color w:val="000000"/>
        </w:rPr>
        <w:t>Selected Annual Information</w:t>
      </w:r>
    </w:p>
    <w:p w:rsidR="00341BDF" w:rsidRPr="00341BDF" w:rsidRDefault="00341BDF" w:rsidP="00341BDF">
      <w:pPr>
        <w:autoSpaceDE w:val="0"/>
        <w:autoSpaceDN w:val="0"/>
        <w:adjustRightInd w:val="0"/>
        <w:spacing w:after="0" w:line="240" w:lineRule="auto"/>
        <w:jc w:val="both"/>
        <w:rPr>
          <w:rFonts w:cs="Times New Roman"/>
          <w:color w:val="000000"/>
        </w:rPr>
      </w:pPr>
    </w:p>
    <w:p w:rsidR="00341BDF" w:rsidRPr="00341BDF" w:rsidRDefault="00341BDF" w:rsidP="00341BDF">
      <w:pPr>
        <w:autoSpaceDE w:val="0"/>
        <w:autoSpaceDN w:val="0"/>
        <w:adjustRightInd w:val="0"/>
        <w:spacing w:after="0" w:line="240" w:lineRule="auto"/>
        <w:jc w:val="both"/>
        <w:rPr>
          <w:rFonts w:cs="Times New Roman"/>
          <w:color w:val="000000"/>
        </w:rPr>
      </w:pPr>
      <w:r w:rsidRPr="00341BDF">
        <w:rPr>
          <w:rFonts w:cs="Times New Roman"/>
          <w:color w:val="000000"/>
        </w:rPr>
        <w:t>The following table sets forth summary financial information for the Company for the financial years ended January 31, 201</w:t>
      </w:r>
      <w:r>
        <w:rPr>
          <w:rFonts w:cs="Times New Roman"/>
          <w:color w:val="000000"/>
        </w:rPr>
        <w:t>3</w:t>
      </w:r>
      <w:r w:rsidRPr="00341BDF">
        <w:rPr>
          <w:rFonts w:cs="Times New Roman"/>
          <w:color w:val="000000"/>
        </w:rPr>
        <w:t>, January 31, 201</w:t>
      </w:r>
      <w:r>
        <w:rPr>
          <w:rFonts w:cs="Times New Roman"/>
          <w:color w:val="000000"/>
        </w:rPr>
        <w:t>4</w:t>
      </w:r>
      <w:r w:rsidRPr="00341BDF">
        <w:rPr>
          <w:rFonts w:cs="Times New Roman"/>
          <w:color w:val="000000"/>
        </w:rPr>
        <w:t>, and January 31, 201</w:t>
      </w:r>
      <w:r>
        <w:rPr>
          <w:rFonts w:cs="Times New Roman"/>
          <w:color w:val="000000"/>
        </w:rPr>
        <w:t>5</w:t>
      </w:r>
      <w:r w:rsidRPr="00341BDF">
        <w:rPr>
          <w:rFonts w:cs="Times New Roman"/>
          <w:color w:val="000000"/>
        </w:rPr>
        <w:t xml:space="preserve">. This information has been summarized from the Company’s audited financial statements for the same periods.  This summary of financial information should only be read in conjunction with the Company’s financial statements, including the notes thereto. </w:t>
      </w:r>
    </w:p>
    <w:p w:rsidR="00341BDF" w:rsidRPr="00341BDF" w:rsidRDefault="00341BDF" w:rsidP="00341BDF">
      <w:pPr>
        <w:autoSpaceDE w:val="0"/>
        <w:autoSpaceDN w:val="0"/>
        <w:adjustRightInd w:val="0"/>
        <w:spacing w:after="0" w:line="240" w:lineRule="auto"/>
        <w:jc w:val="both"/>
        <w:rPr>
          <w:rFonts w:cs="Times New Roman"/>
          <w:color w:val="000000"/>
        </w:rPr>
      </w:pPr>
      <w:r w:rsidRPr="00341BDF">
        <w:rPr>
          <w:rFonts w:cs="Times New Roman"/>
          <w:color w:val="00000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2288"/>
        <w:gridCol w:w="2002"/>
        <w:gridCol w:w="1860"/>
      </w:tblGrid>
      <w:tr w:rsidR="00341BDF" w:rsidRPr="00341BDF" w:rsidTr="00A43FFF">
        <w:trPr>
          <w:tblHeader/>
        </w:trPr>
        <w:tc>
          <w:tcPr>
            <w:tcW w:w="3426" w:type="dxa"/>
            <w:vAlign w:val="bottom"/>
          </w:tcPr>
          <w:p w:rsidR="00341BDF" w:rsidRPr="00341BDF" w:rsidRDefault="00341BDF" w:rsidP="00341BDF">
            <w:pPr>
              <w:autoSpaceDE w:val="0"/>
              <w:autoSpaceDN w:val="0"/>
              <w:adjustRightInd w:val="0"/>
              <w:spacing w:after="0" w:line="240" w:lineRule="auto"/>
              <w:jc w:val="both"/>
              <w:rPr>
                <w:rFonts w:cs="Times New Roman"/>
                <w:color w:val="000000"/>
              </w:rPr>
            </w:pPr>
          </w:p>
        </w:tc>
        <w:tc>
          <w:tcPr>
            <w:tcW w:w="2288" w:type="dxa"/>
            <w:vAlign w:val="bottom"/>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 xml:space="preserve">Year Ended </w:t>
            </w:r>
            <w:r w:rsidRPr="00341BDF">
              <w:rPr>
                <w:rFonts w:cs="Times New Roman"/>
                <w:color w:val="000000"/>
              </w:rPr>
              <w:br/>
              <w:t>January 31, 2013</w:t>
            </w:r>
            <w:r w:rsidRPr="00341BDF">
              <w:rPr>
                <w:rFonts w:cs="Times New Roman"/>
                <w:color w:val="000000"/>
              </w:rPr>
              <w:br/>
              <w:t>(audited)</w:t>
            </w:r>
          </w:p>
        </w:tc>
        <w:tc>
          <w:tcPr>
            <w:tcW w:w="2002" w:type="dxa"/>
            <w:vAlign w:val="bottom"/>
          </w:tcPr>
          <w:p w:rsidR="00341BDF" w:rsidRPr="00341BDF" w:rsidRDefault="0006035A" w:rsidP="00341BDF">
            <w:pPr>
              <w:autoSpaceDE w:val="0"/>
              <w:autoSpaceDN w:val="0"/>
              <w:adjustRightInd w:val="0"/>
              <w:spacing w:after="0" w:line="240" w:lineRule="auto"/>
              <w:jc w:val="both"/>
              <w:rPr>
                <w:rFonts w:cs="Times New Roman"/>
                <w:b/>
                <w:color w:val="000000"/>
              </w:rPr>
            </w:pPr>
            <w:r w:rsidRPr="00341BDF">
              <w:rPr>
                <w:rFonts w:cs="Times New Roman"/>
                <w:color w:val="000000"/>
              </w:rPr>
              <w:t xml:space="preserve">Year Ended </w:t>
            </w:r>
            <w:r w:rsidRPr="00341BDF">
              <w:rPr>
                <w:rFonts w:cs="Times New Roman"/>
                <w:color w:val="000000"/>
              </w:rPr>
              <w:br/>
              <w:t>January 31, 2014</w:t>
            </w:r>
            <w:r w:rsidRPr="00341BDF">
              <w:rPr>
                <w:rFonts w:cs="Times New Roman"/>
                <w:color w:val="000000"/>
              </w:rPr>
              <w:br/>
              <w:t>(audited)</w:t>
            </w:r>
          </w:p>
        </w:tc>
        <w:tc>
          <w:tcPr>
            <w:tcW w:w="1860" w:type="dxa"/>
          </w:tcPr>
          <w:p w:rsidR="00341BDF" w:rsidRPr="00341BDF" w:rsidRDefault="00341BDF" w:rsidP="00341BDF">
            <w:pPr>
              <w:autoSpaceDE w:val="0"/>
              <w:autoSpaceDN w:val="0"/>
              <w:adjustRightInd w:val="0"/>
              <w:spacing w:after="0" w:line="240" w:lineRule="auto"/>
              <w:jc w:val="both"/>
              <w:rPr>
                <w:rFonts w:cs="Times New Roman"/>
                <w:color w:val="000000"/>
              </w:rPr>
            </w:pPr>
            <w:r w:rsidRPr="00341BDF">
              <w:rPr>
                <w:rFonts w:cs="Times New Roman"/>
                <w:color w:val="000000"/>
              </w:rPr>
              <w:t xml:space="preserve">Year Ended </w:t>
            </w:r>
            <w:r w:rsidRPr="00341BDF">
              <w:rPr>
                <w:rFonts w:cs="Times New Roman"/>
                <w:color w:val="000000"/>
              </w:rPr>
              <w:br/>
              <w:t>January 31, 2</w:t>
            </w:r>
            <w:r w:rsidR="0006035A">
              <w:rPr>
                <w:rFonts w:cs="Times New Roman"/>
                <w:color w:val="000000"/>
              </w:rPr>
              <w:t>015</w:t>
            </w:r>
            <w:r w:rsidRPr="00341BDF">
              <w:rPr>
                <w:rFonts w:cs="Times New Roman"/>
                <w:color w:val="000000"/>
              </w:rPr>
              <w:br/>
              <w:t>(audited)</w:t>
            </w:r>
          </w:p>
        </w:tc>
      </w:tr>
      <w:tr w:rsidR="00341BDF" w:rsidRPr="00341BDF" w:rsidTr="00A43FFF">
        <w:tc>
          <w:tcPr>
            <w:tcW w:w="3426" w:type="dxa"/>
          </w:tcPr>
          <w:p w:rsidR="00341BDF" w:rsidRPr="00341BDF" w:rsidRDefault="00341BDF" w:rsidP="00341BDF">
            <w:pPr>
              <w:autoSpaceDE w:val="0"/>
              <w:autoSpaceDN w:val="0"/>
              <w:adjustRightInd w:val="0"/>
              <w:spacing w:after="0" w:line="240" w:lineRule="auto"/>
              <w:jc w:val="both"/>
              <w:rPr>
                <w:rFonts w:cs="Times New Roman"/>
                <w:color w:val="000000"/>
              </w:rPr>
            </w:pPr>
            <w:r w:rsidRPr="00341BDF">
              <w:rPr>
                <w:rFonts w:cs="Times New Roman"/>
                <w:color w:val="000000"/>
              </w:rPr>
              <w:t>Exploration and evaluation properties</w:t>
            </w:r>
          </w:p>
        </w:tc>
        <w:tc>
          <w:tcPr>
            <w:tcW w:w="2288" w:type="dxa"/>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$178,534</w:t>
            </w:r>
          </w:p>
        </w:tc>
        <w:tc>
          <w:tcPr>
            <w:tcW w:w="2002" w:type="dxa"/>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$187,014</w:t>
            </w:r>
          </w:p>
        </w:tc>
        <w:tc>
          <w:tcPr>
            <w:tcW w:w="1860" w:type="dxa"/>
          </w:tcPr>
          <w:p w:rsidR="00341BDF" w:rsidRPr="00341BDF" w:rsidRDefault="0006035A" w:rsidP="00341BDF">
            <w:pPr>
              <w:autoSpaceDE w:val="0"/>
              <w:autoSpaceDN w:val="0"/>
              <w:adjustRightInd w:val="0"/>
              <w:spacing w:after="0" w:line="240" w:lineRule="auto"/>
              <w:jc w:val="both"/>
              <w:rPr>
                <w:rFonts w:cs="Times New Roman"/>
                <w:color w:val="000000"/>
              </w:rPr>
            </w:pPr>
            <w:r>
              <w:rPr>
                <w:rFonts w:cs="Times New Roman"/>
                <w:color w:val="000000"/>
              </w:rPr>
              <w:t>$</w:t>
            </w:r>
            <w:r w:rsidR="00454971">
              <w:t>0</w:t>
            </w:r>
          </w:p>
        </w:tc>
      </w:tr>
      <w:tr w:rsidR="00341BDF" w:rsidRPr="00341BDF" w:rsidTr="00A43FFF">
        <w:tc>
          <w:tcPr>
            <w:tcW w:w="3426" w:type="dxa"/>
          </w:tcPr>
          <w:p w:rsidR="00341BDF" w:rsidRPr="00341BDF" w:rsidRDefault="00341BDF" w:rsidP="00341BDF">
            <w:pPr>
              <w:autoSpaceDE w:val="0"/>
              <w:autoSpaceDN w:val="0"/>
              <w:adjustRightInd w:val="0"/>
              <w:spacing w:after="0" w:line="240" w:lineRule="auto"/>
              <w:jc w:val="both"/>
              <w:rPr>
                <w:rFonts w:cs="Times New Roman"/>
                <w:color w:val="000000"/>
              </w:rPr>
            </w:pPr>
            <w:r w:rsidRPr="00341BDF">
              <w:rPr>
                <w:rFonts w:cs="Times New Roman"/>
                <w:color w:val="000000"/>
              </w:rPr>
              <w:t>Total assets</w:t>
            </w:r>
          </w:p>
        </w:tc>
        <w:tc>
          <w:tcPr>
            <w:tcW w:w="2288" w:type="dxa"/>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$556,630</w:t>
            </w:r>
          </w:p>
        </w:tc>
        <w:tc>
          <w:tcPr>
            <w:tcW w:w="2002" w:type="dxa"/>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$403,662</w:t>
            </w:r>
          </w:p>
        </w:tc>
        <w:tc>
          <w:tcPr>
            <w:tcW w:w="1860" w:type="dxa"/>
          </w:tcPr>
          <w:p w:rsidR="00341BDF" w:rsidRPr="00341BDF" w:rsidRDefault="0006035A" w:rsidP="00341BDF">
            <w:pPr>
              <w:autoSpaceDE w:val="0"/>
              <w:autoSpaceDN w:val="0"/>
              <w:adjustRightInd w:val="0"/>
              <w:spacing w:after="0" w:line="240" w:lineRule="auto"/>
              <w:jc w:val="both"/>
              <w:rPr>
                <w:rFonts w:cs="Times New Roman"/>
                <w:color w:val="000000"/>
              </w:rPr>
            </w:pPr>
            <w:r>
              <w:t>$</w:t>
            </w:r>
            <w:r w:rsidR="00454971">
              <w:t>89,337</w:t>
            </w:r>
          </w:p>
        </w:tc>
      </w:tr>
      <w:tr w:rsidR="00341BDF" w:rsidRPr="00341BDF" w:rsidTr="00A43FFF">
        <w:tc>
          <w:tcPr>
            <w:tcW w:w="3426" w:type="dxa"/>
          </w:tcPr>
          <w:p w:rsidR="00341BDF" w:rsidRPr="00341BDF" w:rsidRDefault="00341BDF" w:rsidP="00341BDF">
            <w:pPr>
              <w:autoSpaceDE w:val="0"/>
              <w:autoSpaceDN w:val="0"/>
              <w:adjustRightInd w:val="0"/>
              <w:spacing w:after="0" w:line="240" w:lineRule="auto"/>
              <w:jc w:val="both"/>
              <w:rPr>
                <w:rFonts w:cs="Times New Roman"/>
                <w:color w:val="000000"/>
              </w:rPr>
            </w:pPr>
            <w:r w:rsidRPr="00341BDF">
              <w:rPr>
                <w:rFonts w:cs="Times New Roman"/>
                <w:color w:val="000000"/>
              </w:rPr>
              <w:t>Total revenues</w:t>
            </w:r>
          </w:p>
        </w:tc>
        <w:tc>
          <w:tcPr>
            <w:tcW w:w="2288" w:type="dxa"/>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$0</w:t>
            </w:r>
          </w:p>
        </w:tc>
        <w:tc>
          <w:tcPr>
            <w:tcW w:w="2002" w:type="dxa"/>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$0</w:t>
            </w:r>
          </w:p>
        </w:tc>
        <w:tc>
          <w:tcPr>
            <w:tcW w:w="1860" w:type="dxa"/>
          </w:tcPr>
          <w:p w:rsidR="00341BDF" w:rsidRPr="00341BDF" w:rsidRDefault="0006035A" w:rsidP="00341BDF">
            <w:pPr>
              <w:autoSpaceDE w:val="0"/>
              <w:autoSpaceDN w:val="0"/>
              <w:adjustRightInd w:val="0"/>
              <w:spacing w:after="0" w:line="240" w:lineRule="auto"/>
              <w:jc w:val="both"/>
              <w:rPr>
                <w:rFonts w:cs="Times New Roman"/>
                <w:color w:val="000000"/>
              </w:rPr>
            </w:pPr>
            <w:r>
              <w:rPr>
                <w:rFonts w:cs="Times New Roman"/>
                <w:color w:val="000000"/>
              </w:rPr>
              <w:t>$0</w:t>
            </w:r>
          </w:p>
        </w:tc>
      </w:tr>
      <w:tr w:rsidR="00341BDF" w:rsidRPr="00341BDF" w:rsidTr="00A43FFF">
        <w:tc>
          <w:tcPr>
            <w:tcW w:w="3426" w:type="dxa"/>
          </w:tcPr>
          <w:p w:rsidR="00341BDF" w:rsidRPr="00341BDF" w:rsidRDefault="00341BDF" w:rsidP="00341BDF">
            <w:pPr>
              <w:autoSpaceDE w:val="0"/>
              <w:autoSpaceDN w:val="0"/>
              <w:adjustRightInd w:val="0"/>
              <w:spacing w:after="0" w:line="240" w:lineRule="auto"/>
              <w:jc w:val="both"/>
              <w:rPr>
                <w:rFonts w:cs="Times New Roman"/>
                <w:color w:val="000000"/>
              </w:rPr>
            </w:pPr>
            <w:r w:rsidRPr="00341BDF">
              <w:rPr>
                <w:rFonts w:cs="Times New Roman"/>
                <w:color w:val="000000"/>
              </w:rPr>
              <w:t>Long-term debt</w:t>
            </w:r>
          </w:p>
        </w:tc>
        <w:tc>
          <w:tcPr>
            <w:tcW w:w="2288" w:type="dxa"/>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$0</w:t>
            </w:r>
          </w:p>
        </w:tc>
        <w:tc>
          <w:tcPr>
            <w:tcW w:w="2002" w:type="dxa"/>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$0</w:t>
            </w:r>
          </w:p>
        </w:tc>
        <w:tc>
          <w:tcPr>
            <w:tcW w:w="1860" w:type="dxa"/>
          </w:tcPr>
          <w:p w:rsidR="00341BDF" w:rsidRPr="00341BDF" w:rsidRDefault="0006035A" w:rsidP="00341BDF">
            <w:pPr>
              <w:autoSpaceDE w:val="0"/>
              <w:autoSpaceDN w:val="0"/>
              <w:adjustRightInd w:val="0"/>
              <w:spacing w:after="0" w:line="240" w:lineRule="auto"/>
              <w:jc w:val="both"/>
              <w:rPr>
                <w:rFonts w:cs="Times New Roman"/>
                <w:color w:val="000000"/>
              </w:rPr>
            </w:pPr>
            <w:r>
              <w:rPr>
                <w:rFonts w:cs="Times New Roman"/>
                <w:color w:val="000000"/>
              </w:rPr>
              <w:t>$0</w:t>
            </w:r>
          </w:p>
        </w:tc>
      </w:tr>
      <w:tr w:rsidR="00341BDF" w:rsidRPr="00341BDF" w:rsidTr="00A43FFF">
        <w:tc>
          <w:tcPr>
            <w:tcW w:w="3426" w:type="dxa"/>
          </w:tcPr>
          <w:p w:rsidR="00341BDF" w:rsidRPr="00341BDF" w:rsidRDefault="00341BDF" w:rsidP="00341BDF">
            <w:pPr>
              <w:autoSpaceDE w:val="0"/>
              <w:autoSpaceDN w:val="0"/>
              <w:adjustRightInd w:val="0"/>
              <w:spacing w:after="0" w:line="240" w:lineRule="auto"/>
              <w:jc w:val="both"/>
              <w:rPr>
                <w:rFonts w:cs="Times New Roman"/>
                <w:color w:val="000000"/>
              </w:rPr>
            </w:pPr>
            <w:r w:rsidRPr="00341BDF">
              <w:rPr>
                <w:rFonts w:cs="Times New Roman"/>
                <w:color w:val="000000"/>
              </w:rPr>
              <w:lastRenderedPageBreak/>
              <w:t>General and administrative expenses</w:t>
            </w:r>
          </w:p>
        </w:tc>
        <w:tc>
          <w:tcPr>
            <w:tcW w:w="2288" w:type="dxa"/>
          </w:tcPr>
          <w:p w:rsidR="00341BDF" w:rsidRPr="00341BDF" w:rsidRDefault="0006035A" w:rsidP="000B1B2C">
            <w:pPr>
              <w:autoSpaceDE w:val="0"/>
              <w:autoSpaceDN w:val="0"/>
              <w:adjustRightInd w:val="0"/>
              <w:spacing w:after="0" w:line="240" w:lineRule="auto"/>
              <w:jc w:val="both"/>
              <w:rPr>
                <w:rFonts w:cs="Times New Roman"/>
                <w:color w:val="000000"/>
              </w:rPr>
            </w:pPr>
            <w:r w:rsidRPr="00341BDF">
              <w:rPr>
                <w:rFonts w:cs="Times New Roman"/>
                <w:color w:val="000000"/>
              </w:rPr>
              <w:t xml:space="preserve">$ </w:t>
            </w:r>
            <w:r w:rsidR="000B1B2C">
              <w:rPr>
                <w:rFonts w:cs="Times New Roman"/>
                <w:color w:val="000000"/>
              </w:rPr>
              <w:t>238,716</w:t>
            </w:r>
          </w:p>
        </w:tc>
        <w:tc>
          <w:tcPr>
            <w:tcW w:w="2002" w:type="dxa"/>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w:t>
            </w:r>
            <w:r w:rsidRPr="00341BDF">
              <w:rPr>
                <w:rFonts w:cs="Times New Roman"/>
                <w:bCs/>
                <w:color w:val="000000"/>
                <w:lang w:val="en-GB"/>
              </w:rPr>
              <w:t>141,996</w:t>
            </w:r>
          </w:p>
        </w:tc>
        <w:tc>
          <w:tcPr>
            <w:tcW w:w="1860" w:type="dxa"/>
          </w:tcPr>
          <w:p w:rsidR="00341BDF" w:rsidRPr="00341BDF" w:rsidRDefault="0006035A" w:rsidP="00341BDF">
            <w:pPr>
              <w:autoSpaceDE w:val="0"/>
              <w:autoSpaceDN w:val="0"/>
              <w:adjustRightInd w:val="0"/>
              <w:spacing w:after="0" w:line="240" w:lineRule="auto"/>
              <w:jc w:val="both"/>
              <w:rPr>
                <w:rFonts w:cs="Times New Roman"/>
                <w:color w:val="000000"/>
              </w:rPr>
            </w:pPr>
            <w:r>
              <w:rPr>
                <w:rFonts w:cs="Times New Roman"/>
                <w:color w:val="000000"/>
              </w:rPr>
              <w:t>$</w:t>
            </w:r>
            <w:r w:rsidR="00454971">
              <w:rPr>
                <w:bCs/>
                <w:lang w:val="en-GB"/>
              </w:rPr>
              <w:t>160,307</w:t>
            </w:r>
          </w:p>
        </w:tc>
      </w:tr>
      <w:tr w:rsidR="00341BDF" w:rsidRPr="00341BDF" w:rsidTr="00A43FFF">
        <w:trPr>
          <w:trHeight w:val="70"/>
        </w:trPr>
        <w:tc>
          <w:tcPr>
            <w:tcW w:w="3426" w:type="dxa"/>
          </w:tcPr>
          <w:p w:rsidR="00341BDF" w:rsidRPr="00341BDF" w:rsidRDefault="00341BDF" w:rsidP="00341BDF">
            <w:pPr>
              <w:autoSpaceDE w:val="0"/>
              <w:autoSpaceDN w:val="0"/>
              <w:adjustRightInd w:val="0"/>
              <w:spacing w:after="0" w:line="240" w:lineRule="auto"/>
              <w:jc w:val="both"/>
              <w:rPr>
                <w:rFonts w:cs="Times New Roman"/>
                <w:color w:val="000000"/>
              </w:rPr>
            </w:pPr>
            <w:r w:rsidRPr="00341BDF">
              <w:rPr>
                <w:rFonts w:cs="Times New Roman"/>
                <w:color w:val="000000"/>
              </w:rPr>
              <w:t>Net loss</w:t>
            </w:r>
          </w:p>
        </w:tc>
        <w:tc>
          <w:tcPr>
            <w:tcW w:w="2288" w:type="dxa"/>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$244,008</w:t>
            </w:r>
          </w:p>
        </w:tc>
        <w:tc>
          <w:tcPr>
            <w:tcW w:w="2002" w:type="dxa"/>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w:t>
            </w:r>
            <w:r w:rsidRPr="00341BDF">
              <w:rPr>
                <w:rFonts w:cs="Times New Roman"/>
                <w:bCs/>
                <w:color w:val="000000"/>
                <w:lang w:val="en-GB"/>
              </w:rPr>
              <w:t>159,996</w:t>
            </w:r>
          </w:p>
        </w:tc>
        <w:tc>
          <w:tcPr>
            <w:tcW w:w="1860" w:type="dxa"/>
          </w:tcPr>
          <w:p w:rsidR="00341BDF" w:rsidRPr="00341BDF" w:rsidRDefault="0006035A" w:rsidP="00341BDF">
            <w:pPr>
              <w:autoSpaceDE w:val="0"/>
              <w:autoSpaceDN w:val="0"/>
              <w:adjustRightInd w:val="0"/>
              <w:spacing w:after="0" w:line="240" w:lineRule="auto"/>
              <w:jc w:val="both"/>
              <w:rPr>
                <w:rFonts w:cs="Times New Roman"/>
                <w:color w:val="000000"/>
              </w:rPr>
            </w:pPr>
            <w:r>
              <w:rPr>
                <w:rFonts w:cs="Times New Roman"/>
                <w:color w:val="000000"/>
              </w:rPr>
              <w:t>$</w:t>
            </w:r>
            <w:r w:rsidR="00454971">
              <w:rPr>
                <w:bCs/>
                <w:lang w:val="en-GB"/>
              </w:rPr>
              <w:t>373,921</w:t>
            </w:r>
          </w:p>
        </w:tc>
      </w:tr>
      <w:tr w:rsidR="00341BDF" w:rsidRPr="00341BDF" w:rsidTr="00A43FFF">
        <w:tc>
          <w:tcPr>
            <w:tcW w:w="3426" w:type="dxa"/>
          </w:tcPr>
          <w:p w:rsidR="00341BDF" w:rsidRPr="00341BDF" w:rsidRDefault="00341BDF" w:rsidP="00341BDF">
            <w:pPr>
              <w:autoSpaceDE w:val="0"/>
              <w:autoSpaceDN w:val="0"/>
              <w:adjustRightInd w:val="0"/>
              <w:spacing w:after="0" w:line="240" w:lineRule="auto"/>
              <w:jc w:val="both"/>
              <w:rPr>
                <w:rFonts w:cs="Times New Roman"/>
                <w:color w:val="000000"/>
                <w:vertAlign w:val="superscript"/>
              </w:rPr>
            </w:pPr>
            <w:r w:rsidRPr="00341BDF">
              <w:rPr>
                <w:rFonts w:cs="Times New Roman"/>
                <w:color w:val="000000"/>
              </w:rPr>
              <w:t xml:space="preserve">Basic and diluted loss per share </w:t>
            </w:r>
            <w:r w:rsidRPr="00341BDF">
              <w:rPr>
                <w:rFonts w:cs="Times New Roman"/>
                <w:color w:val="000000"/>
                <w:vertAlign w:val="superscript"/>
              </w:rPr>
              <w:t>(1)</w:t>
            </w:r>
          </w:p>
        </w:tc>
        <w:tc>
          <w:tcPr>
            <w:tcW w:w="2288" w:type="dxa"/>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$0.030</w:t>
            </w:r>
          </w:p>
        </w:tc>
        <w:tc>
          <w:tcPr>
            <w:tcW w:w="2002" w:type="dxa"/>
          </w:tcPr>
          <w:p w:rsidR="00341BDF" w:rsidRPr="00341BDF" w:rsidRDefault="0006035A" w:rsidP="00341BDF">
            <w:pPr>
              <w:autoSpaceDE w:val="0"/>
              <w:autoSpaceDN w:val="0"/>
              <w:adjustRightInd w:val="0"/>
              <w:spacing w:after="0" w:line="240" w:lineRule="auto"/>
              <w:jc w:val="both"/>
              <w:rPr>
                <w:rFonts w:cs="Times New Roman"/>
                <w:color w:val="000000"/>
              </w:rPr>
            </w:pPr>
            <w:r w:rsidRPr="00341BDF">
              <w:rPr>
                <w:rFonts w:cs="Times New Roman"/>
                <w:color w:val="000000"/>
              </w:rPr>
              <w:t>$</w:t>
            </w:r>
            <w:r w:rsidRPr="00341BDF">
              <w:rPr>
                <w:rFonts w:cs="Times New Roman"/>
                <w:bCs/>
                <w:color w:val="000000"/>
                <w:lang w:val="en-GB"/>
              </w:rPr>
              <w:t>0.01</w:t>
            </w:r>
          </w:p>
        </w:tc>
        <w:tc>
          <w:tcPr>
            <w:tcW w:w="1860" w:type="dxa"/>
          </w:tcPr>
          <w:p w:rsidR="00341BDF" w:rsidRPr="00341BDF" w:rsidRDefault="0006035A" w:rsidP="00341BDF">
            <w:pPr>
              <w:autoSpaceDE w:val="0"/>
              <w:autoSpaceDN w:val="0"/>
              <w:adjustRightInd w:val="0"/>
              <w:spacing w:after="0" w:line="240" w:lineRule="auto"/>
              <w:jc w:val="both"/>
              <w:rPr>
                <w:rFonts w:cs="Times New Roman"/>
                <w:color w:val="000000"/>
              </w:rPr>
            </w:pPr>
            <w:r>
              <w:rPr>
                <w:rFonts w:cs="Times New Roman"/>
                <w:color w:val="000000"/>
              </w:rPr>
              <w:t>$</w:t>
            </w:r>
            <w:r>
              <w:rPr>
                <w:bCs/>
                <w:lang w:val="en-GB"/>
              </w:rPr>
              <w:t>0.0</w:t>
            </w:r>
            <w:r w:rsidR="00454971">
              <w:rPr>
                <w:bCs/>
                <w:lang w:val="en-GB"/>
              </w:rPr>
              <w:t>3</w:t>
            </w:r>
          </w:p>
        </w:tc>
      </w:tr>
    </w:tbl>
    <w:p w:rsidR="00341BDF" w:rsidRPr="00341BDF" w:rsidRDefault="00341BDF" w:rsidP="00341BDF">
      <w:pPr>
        <w:numPr>
          <w:ilvl w:val="0"/>
          <w:numId w:val="10"/>
        </w:numPr>
        <w:autoSpaceDE w:val="0"/>
        <w:autoSpaceDN w:val="0"/>
        <w:adjustRightInd w:val="0"/>
        <w:spacing w:after="0" w:line="240" w:lineRule="auto"/>
        <w:jc w:val="both"/>
        <w:rPr>
          <w:rFonts w:cs="Times New Roman"/>
          <w:color w:val="000000"/>
          <w:u w:val="single"/>
        </w:rPr>
      </w:pPr>
      <w:r w:rsidRPr="00341BDF">
        <w:rPr>
          <w:rFonts w:cs="Times New Roman"/>
          <w:color w:val="000000"/>
        </w:rPr>
        <w:t xml:space="preserve"> </w:t>
      </w:r>
      <w:r w:rsidRPr="00341BDF">
        <w:rPr>
          <w:rFonts w:cs="Times New Roman"/>
          <w:bCs/>
          <w:color w:val="000000"/>
        </w:rPr>
        <w:t>Based on weighted average number of common shares issued and outstanding for the period.</w:t>
      </w:r>
    </w:p>
    <w:p w:rsidR="00341BDF" w:rsidRPr="00E65654" w:rsidRDefault="00341BDF" w:rsidP="003944C3">
      <w:pPr>
        <w:autoSpaceDE w:val="0"/>
        <w:autoSpaceDN w:val="0"/>
        <w:adjustRightInd w:val="0"/>
        <w:spacing w:after="0" w:line="240" w:lineRule="auto"/>
        <w:jc w:val="both"/>
        <w:rPr>
          <w:rFonts w:cs="Times New Roman"/>
          <w:color w:val="000000"/>
        </w:rPr>
      </w:pPr>
    </w:p>
    <w:p w:rsidR="009A0602" w:rsidRPr="00E65654" w:rsidRDefault="009A0602" w:rsidP="003944C3">
      <w:pPr>
        <w:autoSpaceDE w:val="0"/>
        <w:autoSpaceDN w:val="0"/>
        <w:adjustRightInd w:val="0"/>
        <w:spacing w:after="0" w:line="240" w:lineRule="auto"/>
        <w:jc w:val="both"/>
        <w:rPr>
          <w:rFonts w:cs="Times New Roman"/>
          <w:b/>
          <w:bCs/>
        </w:rPr>
      </w:pPr>
      <w:r w:rsidRPr="00E65654">
        <w:rPr>
          <w:rFonts w:cs="Times New Roman"/>
          <w:b/>
          <w:bCs/>
        </w:rPr>
        <w:t>Discussion of Operations</w:t>
      </w:r>
    </w:p>
    <w:p w:rsidR="009A0602" w:rsidRPr="00E65654" w:rsidRDefault="009A0602" w:rsidP="003944C3">
      <w:pPr>
        <w:autoSpaceDE w:val="0"/>
        <w:autoSpaceDN w:val="0"/>
        <w:adjustRightInd w:val="0"/>
        <w:spacing w:after="0" w:line="240" w:lineRule="auto"/>
        <w:jc w:val="both"/>
        <w:rPr>
          <w:rFonts w:cs="Times New Roman"/>
          <w:b/>
          <w:bCs/>
        </w:rPr>
      </w:pPr>
    </w:p>
    <w:p w:rsidR="00341BDF" w:rsidRDefault="009A0602" w:rsidP="00E607A6">
      <w:pPr>
        <w:autoSpaceDE w:val="0"/>
        <w:autoSpaceDN w:val="0"/>
        <w:adjustRightInd w:val="0"/>
        <w:spacing w:after="0" w:line="240" w:lineRule="auto"/>
        <w:jc w:val="both"/>
        <w:rPr>
          <w:rFonts w:cs="Times New Roman"/>
        </w:rPr>
      </w:pPr>
      <w:r w:rsidRPr="00E65654">
        <w:rPr>
          <w:rFonts w:cs="Times New Roman"/>
        </w:rPr>
        <w:t xml:space="preserve">The loss for the </w:t>
      </w:r>
      <w:r w:rsidR="00C42461" w:rsidRPr="00E65654">
        <w:rPr>
          <w:rFonts w:cs="Times New Roman"/>
        </w:rPr>
        <w:t>year</w:t>
      </w:r>
      <w:r w:rsidR="00A87ECC" w:rsidRPr="00E65654">
        <w:rPr>
          <w:rFonts w:cs="Times New Roman"/>
        </w:rPr>
        <w:t xml:space="preserve"> ended</w:t>
      </w:r>
      <w:r w:rsidR="0093095E" w:rsidRPr="00E65654">
        <w:rPr>
          <w:rFonts w:cs="Times New Roman"/>
        </w:rPr>
        <w:t xml:space="preserve"> January 31, </w:t>
      </w:r>
      <w:r w:rsidR="009E37F9" w:rsidRPr="00E65654">
        <w:rPr>
          <w:rFonts w:cs="Times New Roman"/>
        </w:rPr>
        <w:t>2015</w:t>
      </w:r>
      <w:r w:rsidR="00213B65" w:rsidRPr="00E65654">
        <w:rPr>
          <w:rFonts w:cs="Times New Roman"/>
        </w:rPr>
        <w:t xml:space="preserve"> was $</w:t>
      </w:r>
      <w:r w:rsidR="00454971">
        <w:rPr>
          <w:bCs/>
          <w:lang w:val="en-GB"/>
        </w:rPr>
        <w:t>373,921</w:t>
      </w:r>
      <w:r w:rsidR="00213B65" w:rsidRPr="00E65654">
        <w:rPr>
          <w:bCs/>
          <w:lang w:val="en-GB"/>
        </w:rPr>
        <w:t xml:space="preserve">, </w:t>
      </w:r>
      <w:r w:rsidRPr="00E65654">
        <w:rPr>
          <w:rFonts w:cs="Times New Roman"/>
        </w:rPr>
        <w:t>as compared to the loss of</w:t>
      </w:r>
      <w:r w:rsidR="003944C3" w:rsidRPr="00E65654">
        <w:rPr>
          <w:rFonts w:cs="Times New Roman"/>
        </w:rPr>
        <w:t xml:space="preserve"> </w:t>
      </w:r>
      <w:r w:rsidR="00213B65" w:rsidRPr="00E65654">
        <w:rPr>
          <w:rFonts w:cs="Times New Roman"/>
        </w:rPr>
        <w:t>$</w:t>
      </w:r>
      <w:r w:rsidR="00ED7E72" w:rsidRPr="00E65654">
        <w:rPr>
          <w:bCs/>
          <w:lang w:val="en-GB"/>
        </w:rPr>
        <w:t>159,996</w:t>
      </w:r>
      <w:r w:rsidR="008D2EF6" w:rsidRPr="00E65654">
        <w:rPr>
          <w:rFonts w:cs="Calibri"/>
          <w:color w:val="000000"/>
        </w:rPr>
        <w:t xml:space="preserve"> f</w:t>
      </w:r>
      <w:r w:rsidR="001134C9" w:rsidRPr="00E65654">
        <w:rPr>
          <w:rFonts w:cs="Times New Roman"/>
        </w:rPr>
        <w:t>or</w:t>
      </w:r>
      <w:r w:rsidR="00152306" w:rsidRPr="00E65654">
        <w:rPr>
          <w:rFonts w:cs="Times New Roman"/>
        </w:rPr>
        <w:t xml:space="preserve"> </w:t>
      </w:r>
      <w:r w:rsidR="00341BDF">
        <w:rPr>
          <w:rFonts w:cs="Times New Roman"/>
        </w:rPr>
        <w:t xml:space="preserve">the year ended </w:t>
      </w:r>
      <w:r w:rsidR="00152306" w:rsidRPr="00E65654">
        <w:rPr>
          <w:rFonts w:cs="Times New Roman"/>
        </w:rPr>
        <w:t xml:space="preserve">January 31, </w:t>
      </w:r>
      <w:r w:rsidR="009E37F9" w:rsidRPr="00E65654">
        <w:rPr>
          <w:rFonts w:cs="Times New Roman"/>
        </w:rPr>
        <w:t>2014</w:t>
      </w:r>
      <w:r w:rsidR="00E1408E" w:rsidRPr="00E65654">
        <w:rPr>
          <w:rFonts w:cs="Times New Roman"/>
        </w:rPr>
        <w:t xml:space="preserve">. </w:t>
      </w:r>
      <w:r w:rsidR="00C418F9" w:rsidRPr="00CE7277">
        <w:rPr>
          <w:rFonts w:cs="Times New Roman"/>
        </w:rPr>
        <w:t xml:space="preserve">The primary reason for this increased net loss was due to an </w:t>
      </w:r>
      <w:proofErr w:type="spellStart"/>
      <w:r w:rsidR="00C418F9" w:rsidRPr="00CE7277">
        <w:rPr>
          <w:rFonts w:cs="Times New Roman"/>
        </w:rPr>
        <w:t>i</w:t>
      </w:r>
      <w:r w:rsidR="00C418F9" w:rsidRPr="00CE7277">
        <w:rPr>
          <w:lang w:val="en-GB"/>
        </w:rPr>
        <w:t>mpairment</w:t>
      </w:r>
      <w:proofErr w:type="spellEnd"/>
      <w:r w:rsidR="00C418F9" w:rsidRPr="00CE7277">
        <w:rPr>
          <w:lang w:val="en-GB"/>
        </w:rPr>
        <w:t xml:space="preserve"> write-down of exploration and evaluation property</w:t>
      </w:r>
      <w:r w:rsidR="00C418F9" w:rsidRPr="00CE7277">
        <w:rPr>
          <w:bCs/>
          <w:lang w:val="en-GB"/>
        </w:rPr>
        <w:t xml:space="preserve"> of $213,614</w:t>
      </w:r>
      <w:r w:rsidR="00C418F9">
        <w:rPr>
          <w:bCs/>
          <w:lang w:val="en-GB"/>
        </w:rPr>
        <w:t xml:space="preserve"> (2014- $18,000).</w:t>
      </w:r>
      <w:r w:rsidR="00C418F9" w:rsidRPr="00E65654">
        <w:rPr>
          <w:rFonts w:cs="Times New Roman"/>
        </w:rPr>
        <w:t xml:space="preserve"> </w:t>
      </w:r>
      <w:r w:rsidR="00E1408E" w:rsidRPr="00E65654">
        <w:rPr>
          <w:rFonts w:cs="Times New Roman"/>
        </w:rPr>
        <w:t>Total expenses</w:t>
      </w:r>
      <w:r w:rsidR="00657E07" w:rsidRPr="00E65654">
        <w:rPr>
          <w:rFonts w:cs="Times New Roman"/>
        </w:rPr>
        <w:t>, consisting of professional fees</w:t>
      </w:r>
      <w:r w:rsidR="008F6374" w:rsidRPr="00E65654">
        <w:rPr>
          <w:rFonts w:cs="Times New Roman"/>
        </w:rPr>
        <w:t xml:space="preserve"> of $</w:t>
      </w:r>
      <w:r w:rsidR="00ED7E72" w:rsidRPr="00E65654">
        <w:t>40,481</w:t>
      </w:r>
      <w:r w:rsidR="008F6374" w:rsidRPr="00E65654">
        <w:t xml:space="preserve"> (</w:t>
      </w:r>
      <w:r w:rsidR="009E37F9" w:rsidRPr="00E65654">
        <w:t>2014</w:t>
      </w:r>
      <w:r w:rsidR="008F6374" w:rsidRPr="00E65654">
        <w:t xml:space="preserve"> - $</w:t>
      </w:r>
      <w:r w:rsidR="00ED7E72" w:rsidRPr="00E65654">
        <w:t>40,804</w:t>
      </w:r>
      <w:r w:rsidR="008F6374" w:rsidRPr="00E65654">
        <w:t xml:space="preserve">), </w:t>
      </w:r>
      <w:r w:rsidR="008F6374" w:rsidRPr="00E65654">
        <w:rPr>
          <w:lang w:val="en-GB"/>
        </w:rPr>
        <w:t xml:space="preserve">management fees </w:t>
      </w:r>
      <w:r w:rsidR="00AB3E9D">
        <w:rPr>
          <w:lang w:val="en-GB"/>
        </w:rPr>
        <w:t>and salaries and benefits of $67,89</w:t>
      </w:r>
      <w:r w:rsidR="008F6374" w:rsidRPr="00E65654">
        <w:rPr>
          <w:lang w:val="en-GB"/>
        </w:rPr>
        <w:t>0 (</w:t>
      </w:r>
      <w:r w:rsidR="009E37F9" w:rsidRPr="00E65654">
        <w:rPr>
          <w:lang w:val="en-GB"/>
        </w:rPr>
        <w:t>2014</w:t>
      </w:r>
      <w:r w:rsidR="00ED7E72" w:rsidRPr="00E65654">
        <w:rPr>
          <w:lang w:val="en-GB"/>
        </w:rPr>
        <w:t xml:space="preserve"> - $60</w:t>
      </w:r>
      <w:r w:rsidR="008F6374" w:rsidRPr="00E65654">
        <w:rPr>
          <w:lang w:val="en-GB"/>
        </w:rPr>
        <w:t>,000), filing fees of $</w:t>
      </w:r>
      <w:r w:rsidR="00E607A6" w:rsidRPr="00E65654">
        <w:t>16,084</w:t>
      </w:r>
      <w:r w:rsidR="008F6374" w:rsidRPr="00E65654">
        <w:t xml:space="preserve"> (</w:t>
      </w:r>
      <w:r w:rsidR="009E37F9" w:rsidRPr="00E65654">
        <w:t>2014</w:t>
      </w:r>
      <w:r w:rsidR="008F6374" w:rsidRPr="00E65654">
        <w:t xml:space="preserve"> - $</w:t>
      </w:r>
      <w:r w:rsidR="00ED7E72" w:rsidRPr="00E65654">
        <w:t>27,185</w:t>
      </w:r>
      <w:r w:rsidR="008F6374" w:rsidRPr="00E65654">
        <w:t>), off</w:t>
      </w:r>
      <w:r w:rsidR="0034708B">
        <w:t>ice and miscellaneous of $17,199</w:t>
      </w:r>
      <w:r w:rsidR="008F6374" w:rsidRPr="00E65654">
        <w:t xml:space="preserve"> (</w:t>
      </w:r>
      <w:r w:rsidR="009E37F9" w:rsidRPr="00E65654">
        <w:t>2014</w:t>
      </w:r>
      <w:r w:rsidR="008F6374" w:rsidRPr="00E65654">
        <w:t xml:space="preserve"> - </w:t>
      </w:r>
      <w:r w:rsidR="008F6374" w:rsidRPr="00B559D2">
        <w:t>$</w:t>
      </w:r>
      <w:r w:rsidR="00032F62" w:rsidRPr="00B559D2">
        <w:t>10,469</w:t>
      </w:r>
      <w:r w:rsidR="008F6374" w:rsidRPr="00E65654">
        <w:t>),</w:t>
      </w:r>
      <w:r w:rsidR="00657E07" w:rsidRPr="00E65654">
        <w:rPr>
          <w:rFonts w:cs="Times New Roman"/>
        </w:rPr>
        <w:t xml:space="preserve"> </w:t>
      </w:r>
      <w:r w:rsidR="008F6374" w:rsidRPr="00E65654">
        <w:rPr>
          <w:rFonts w:cs="Times New Roman"/>
        </w:rPr>
        <w:t>travel of $</w:t>
      </w:r>
      <w:r w:rsidR="00032F62">
        <w:t>1,105</w:t>
      </w:r>
      <w:r w:rsidR="008F6374" w:rsidRPr="00E65654">
        <w:t xml:space="preserve"> (</w:t>
      </w:r>
      <w:r w:rsidR="009E37F9" w:rsidRPr="00E65654">
        <w:t>2014</w:t>
      </w:r>
      <w:r w:rsidR="008F6374" w:rsidRPr="00E65654">
        <w:t xml:space="preserve"> - $</w:t>
      </w:r>
      <w:r w:rsidR="00E607A6" w:rsidRPr="00E65654">
        <w:t>3,422</w:t>
      </w:r>
      <w:r w:rsidR="008F6374" w:rsidRPr="00E65654">
        <w:t xml:space="preserve">), </w:t>
      </w:r>
      <w:r w:rsidR="009F1F10" w:rsidRPr="00E65654">
        <w:t>share-based payments of $15,881 (2014 - $0),</w:t>
      </w:r>
      <w:r w:rsidR="000B1B2C">
        <w:t xml:space="preserve"> and other general and administrative expenses of $1,667 (2014 - $116)</w:t>
      </w:r>
      <w:r w:rsidR="009F1F10" w:rsidRPr="00E65654">
        <w:t xml:space="preserve"> </w:t>
      </w:r>
      <w:r w:rsidR="00E1408E" w:rsidRPr="00E65654">
        <w:rPr>
          <w:rFonts w:cs="Times New Roman"/>
        </w:rPr>
        <w:t>for the year ended</w:t>
      </w:r>
      <w:r w:rsidR="0093095E" w:rsidRPr="00E65654">
        <w:rPr>
          <w:rFonts w:cs="Times New Roman"/>
        </w:rPr>
        <w:t xml:space="preserve"> January 31, </w:t>
      </w:r>
      <w:r w:rsidR="009E37F9" w:rsidRPr="00E65654">
        <w:rPr>
          <w:rFonts w:cs="Times New Roman"/>
        </w:rPr>
        <w:t>2015</w:t>
      </w:r>
      <w:r w:rsidR="005B6D73" w:rsidRPr="00E65654">
        <w:rPr>
          <w:rFonts w:cs="Times New Roman"/>
        </w:rPr>
        <w:t xml:space="preserve"> </w:t>
      </w:r>
      <w:r w:rsidR="00657E07" w:rsidRPr="00E65654">
        <w:rPr>
          <w:rFonts w:cs="Times New Roman"/>
        </w:rPr>
        <w:t>were</w:t>
      </w:r>
      <w:r w:rsidR="00213B65" w:rsidRPr="00E65654">
        <w:rPr>
          <w:rFonts w:cs="Times New Roman"/>
        </w:rPr>
        <w:t xml:space="preserve"> $</w:t>
      </w:r>
      <w:r w:rsidR="00454971">
        <w:rPr>
          <w:bCs/>
          <w:lang w:val="en-GB"/>
        </w:rPr>
        <w:t>160,307</w:t>
      </w:r>
      <w:r w:rsidR="001134C9" w:rsidRPr="00E65654">
        <w:rPr>
          <w:rFonts w:cs="Times New Roman"/>
        </w:rPr>
        <w:t>, as com</w:t>
      </w:r>
      <w:r w:rsidR="00213B65" w:rsidRPr="00E65654">
        <w:rPr>
          <w:rFonts w:cs="Times New Roman"/>
        </w:rPr>
        <w:t>pared to the total expenses of $</w:t>
      </w:r>
      <w:r w:rsidR="00E607A6" w:rsidRPr="00E65654">
        <w:rPr>
          <w:bCs/>
          <w:lang w:val="en-GB"/>
        </w:rPr>
        <w:t>141,996</w:t>
      </w:r>
      <w:r w:rsidR="001134C9" w:rsidRPr="00E65654">
        <w:rPr>
          <w:rFonts w:cs="Times New Roman"/>
        </w:rPr>
        <w:t xml:space="preserve"> for</w:t>
      </w:r>
      <w:r w:rsidR="00341BDF">
        <w:rPr>
          <w:rFonts w:cs="Times New Roman"/>
        </w:rPr>
        <w:t xml:space="preserve"> the year ended</w:t>
      </w:r>
      <w:r w:rsidR="001134C9" w:rsidRPr="00E65654">
        <w:rPr>
          <w:rFonts w:cs="Times New Roman"/>
        </w:rPr>
        <w:t xml:space="preserve"> January 31, </w:t>
      </w:r>
      <w:r w:rsidR="009E37F9" w:rsidRPr="00E65654">
        <w:rPr>
          <w:rFonts w:cs="Times New Roman"/>
        </w:rPr>
        <w:t>2014</w:t>
      </w:r>
      <w:r w:rsidRPr="00E65654">
        <w:rPr>
          <w:rFonts w:cs="Times New Roman"/>
        </w:rPr>
        <w:t>. Professional fees consist of le</w:t>
      </w:r>
      <w:r w:rsidR="007E21EE" w:rsidRPr="00E65654">
        <w:rPr>
          <w:rFonts w:cs="Times New Roman"/>
        </w:rPr>
        <w:t>gal, accounting and audit fees. Shared-base</w:t>
      </w:r>
      <w:r w:rsidR="00657E07" w:rsidRPr="00E65654">
        <w:rPr>
          <w:rFonts w:cs="Times New Roman"/>
        </w:rPr>
        <w:t>d</w:t>
      </w:r>
      <w:r w:rsidR="007E21EE" w:rsidRPr="00E65654">
        <w:rPr>
          <w:rFonts w:cs="Times New Roman"/>
        </w:rPr>
        <w:t xml:space="preserve"> payments consist of the fair value of the stock options vested during the period. </w:t>
      </w:r>
      <w:r w:rsidR="00227ECB" w:rsidRPr="00E65654">
        <w:rPr>
          <w:rFonts w:cs="Times New Roman"/>
        </w:rPr>
        <w:t>E</w:t>
      </w:r>
      <w:r w:rsidRPr="00E65654">
        <w:rPr>
          <w:rFonts w:cs="Times New Roman"/>
        </w:rPr>
        <w:t>xpenses</w:t>
      </w:r>
      <w:r w:rsidR="003944C3" w:rsidRPr="00E65654">
        <w:rPr>
          <w:rFonts w:cs="Times New Roman"/>
        </w:rPr>
        <w:t xml:space="preserve"> </w:t>
      </w:r>
      <w:r w:rsidR="00E7523B" w:rsidRPr="00E65654">
        <w:rPr>
          <w:rFonts w:cs="Times New Roman"/>
        </w:rPr>
        <w:t>for the year ended</w:t>
      </w:r>
      <w:r w:rsidR="0093095E" w:rsidRPr="00E65654">
        <w:rPr>
          <w:rFonts w:cs="Times New Roman"/>
        </w:rPr>
        <w:t xml:space="preserve"> January 31, </w:t>
      </w:r>
      <w:r w:rsidR="009E37F9" w:rsidRPr="00E65654">
        <w:rPr>
          <w:rFonts w:cs="Times New Roman"/>
        </w:rPr>
        <w:t>2015</w:t>
      </w:r>
      <w:r w:rsidRPr="00E65654">
        <w:rPr>
          <w:rFonts w:cs="Times New Roman"/>
        </w:rPr>
        <w:t xml:space="preserve"> included:</w:t>
      </w:r>
    </w:p>
    <w:p w:rsidR="00D1462E" w:rsidRPr="00E65654" w:rsidRDefault="00D1462E" w:rsidP="00E607A6">
      <w:pPr>
        <w:autoSpaceDE w:val="0"/>
        <w:autoSpaceDN w:val="0"/>
        <w:adjustRightInd w:val="0"/>
        <w:spacing w:after="0" w:line="240" w:lineRule="auto"/>
        <w:jc w:val="both"/>
        <w:rPr>
          <w:rFonts w:cs="Times New Roman"/>
        </w:rPr>
      </w:pPr>
    </w:p>
    <w:p w:rsidR="00341BDF" w:rsidRDefault="00E607A6" w:rsidP="000B1B2C">
      <w:pPr>
        <w:pStyle w:val="ListParagraph"/>
        <w:numPr>
          <w:ilvl w:val="0"/>
          <w:numId w:val="3"/>
        </w:numPr>
        <w:autoSpaceDE w:val="0"/>
        <w:autoSpaceDN w:val="0"/>
        <w:adjustRightInd w:val="0"/>
        <w:spacing w:after="0" w:line="240" w:lineRule="auto"/>
        <w:jc w:val="both"/>
        <w:rPr>
          <w:rFonts w:cs="Times New Roman"/>
        </w:rPr>
      </w:pPr>
      <w:r w:rsidRPr="00E65654">
        <w:rPr>
          <w:rFonts w:cs="Times New Roman"/>
        </w:rPr>
        <w:t xml:space="preserve">Management fees </w:t>
      </w:r>
      <w:r w:rsidR="00032F62">
        <w:rPr>
          <w:rFonts w:cs="Times New Roman"/>
        </w:rPr>
        <w:t>and salaries and benefits of $67,89</w:t>
      </w:r>
      <w:r w:rsidRPr="00E65654">
        <w:rPr>
          <w:rFonts w:cs="Times New Roman"/>
        </w:rPr>
        <w:t>0, compared to $60,000 the previous year.  The Company maintained CEO management fees payments of $5,000 per month which commenced on November 2012, when the Company began to trade on the TSX</w:t>
      </w:r>
      <w:r w:rsidR="00C24E4D">
        <w:rPr>
          <w:rFonts w:cs="Times New Roman"/>
        </w:rPr>
        <w:t xml:space="preserve"> </w:t>
      </w:r>
      <w:r w:rsidRPr="00E65654">
        <w:rPr>
          <w:rFonts w:cs="Times New Roman"/>
        </w:rPr>
        <w:t>Venture Exchange</w:t>
      </w:r>
      <w:r w:rsidR="00E65654" w:rsidRPr="00E65654">
        <w:rPr>
          <w:rFonts w:cs="Times New Roman"/>
        </w:rPr>
        <w:t>.</w:t>
      </w:r>
      <w:r w:rsidR="00B559D2">
        <w:rPr>
          <w:rFonts w:cs="Times New Roman"/>
        </w:rPr>
        <w:t xml:space="preserve"> </w:t>
      </w:r>
      <w:r w:rsidR="000B1B2C">
        <w:rPr>
          <w:rFonts w:cs="Times New Roman"/>
        </w:rPr>
        <w:t xml:space="preserve">The primary reason for the increase was due to changing the method of remuneration of such officer from a contractor status to an employee status. This amount was repaid to the Company by the Officer subsequent to the year ended January 31, 2015. The </w:t>
      </w:r>
      <w:r w:rsidR="00B559D2">
        <w:rPr>
          <w:rFonts w:cs="Times New Roman"/>
        </w:rPr>
        <w:t>Company was responsible for making EI and CPP contributions which increased the management fee</w:t>
      </w:r>
      <w:r w:rsidR="000B1B2C">
        <w:rPr>
          <w:rFonts w:cs="Times New Roman"/>
        </w:rPr>
        <w:t>s</w:t>
      </w:r>
      <w:r w:rsidR="00B559D2">
        <w:rPr>
          <w:rFonts w:cs="Times New Roman"/>
        </w:rPr>
        <w:t xml:space="preserve"> $7,890 from the previous year.</w:t>
      </w:r>
    </w:p>
    <w:p w:rsidR="00A44686" w:rsidRDefault="00A44686">
      <w:pPr>
        <w:autoSpaceDE w:val="0"/>
        <w:autoSpaceDN w:val="0"/>
        <w:adjustRightInd w:val="0"/>
        <w:spacing w:after="0" w:line="240" w:lineRule="auto"/>
        <w:ind w:left="360"/>
        <w:jc w:val="both"/>
        <w:rPr>
          <w:rFonts w:cs="Times New Roman"/>
        </w:rPr>
      </w:pPr>
    </w:p>
    <w:p w:rsidR="00032F62" w:rsidRDefault="00A87ECC" w:rsidP="00032F62">
      <w:pPr>
        <w:pStyle w:val="ListParagraph"/>
        <w:numPr>
          <w:ilvl w:val="0"/>
          <w:numId w:val="3"/>
        </w:numPr>
        <w:autoSpaceDE w:val="0"/>
        <w:autoSpaceDN w:val="0"/>
        <w:adjustRightInd w:val="0"/>
        <w:spacing w:after="0" w:line="240" w:lineRule="auto"/>
        <w:jc w:val="both"/>
        <w:rPr>
          <w:rFonts w:cs="Times New Roman"/>
        </w:rPr>
      </w:pPr>
      <w:r w:rsidRPr="00E65654">
        <w:rPr>
          <w:rFonts w:cs="Times New Roman"/>
        </w:rPr>
        <w:t xml:space="preserve">Professional fees of </w:t>
      </w:r>
      <w:r w:rsidR="008D2EF6" w:rsidRPr="00E65654">
        <w:rPr>
          <w:rFonts w:cs="Times New Roman"/>
        </w:rPr>
        <w:t>$</w:t>
      </w:r>
      <w:r w:rsidR="00213B65" w:rsidRPr="00E65654">
        <w:t>40,</w:t>
      </w:r>
      <w:r w:rsidR="00341BDF">
        <w:t>841</w:t>
      </w:r>
      <w:r w:rsidR="009A0602" w:rsidRPr="00E65654">
        <w:rPr>
          <w:rFonts w:cs="Times New Roman"/>
        </w:rPr>
        <w:t xml:space="preserve">, compared to </w:t>
      </w:r>
      <w:r w:rsidR="00480B5B" w:rsidRPr="00E65654">
        <w:rPr>
          <w:rFonts w:cs="Times New Roman"/>
        </w:rPr>
        <w:t>$</w:t>
      </w:r>
      <w:r w:rsidR="009F1F10" w:rsidRPr="00E65654">
        <w:t>40,804</w:t>
      </w:r>
      <w:r w:rsidR="009A0602" w:rsidRPr="00E65654">
        <w:rPr>
          <w:rFonts w:cs="Times New Roman"/>
        </w:rPr>
        <w:t xml:space="preserve"> for the </w:t>
      </w:r>
      <w:r w:rsidR="00646416" w:rsidRPr="00E65654">
        <w:rPr>
          <w:rFonts w:cs="Times New Roman"/>
        </w:rPr>
        <w:t>previous year</w:t>
      </w:r>
      <w:r w:rsidR="009A0602" w:rsidRPr="00E65654">
        <w:rPr>
          <w:rFonts w:cs="Times New Roman"/>
        </w:rPr>
        <w:t>.</w:t>
      </w:r>
    </w:p>
    <w:p w:rsidR="00A44686" w:rsidRPr="00032F62" w:rsidRDefault="00A44686" w:rsidP="00032F62">
      <w:pPr>
        <w:autoSpaceDE w:val="0"/>
        <w:autoSpaceDN w:val="0"/>
        <w:adjustRightInd w:val="0"/>
        <w:spacing w:after="0" w:line="240" w:lineRule="auto"/>
        <w:jc w:val="both"/>
        <w:rPr>
          <w:rFonts w:cs="Times New Roman"/>
        </w:rPr>
      </w:pPr>
    </w:p>
    <w:p w:rsidR="00D1462E" w:rsidRPr="00E65654" w:rsidRDefault="009A0602">
      <w:pPr>
        <w:pStyle w:val="ListParagraph"/>
        <w:numPr>
          <w:ilvl w:val="0"/>
          <w:numId w:val="3"/>
        </w:numPr>
        <w:autoSpaceDE w:val="0"/>
        <w:autoSpaceDN w:val="0"/>
        <w:adjustRightInd w:val="0"/>
        <w:spacing w:after="0" w:line="240" w:lineRule="auto"/>
        <w:jc w:val="both"/>
        <w:rPr>
          <w:rFonts w:cs="Times New Roman"/>
        </w:rPr>
      </w:pPr>
      <w:r w:rsidRPr="00E65654">
        <w:rPr>
          <w:rFonts w:cs="Times New Roman"/>
        </w:rPr>
        <w:t>Office</w:t>
      </w:r>
      <w:r w:rsidR="006D65F5" w:rsidRPr="00E65654">
        <w:rPr>
          <w:rFonts w:cs="Times New Roman"/>
        </w:rPr>
        <w:t xml:space="preserve"> and miscellaneous </w:t>
      </w:r>
      <w:r w:rsidRPr="00E65654">
        <w:rPr>
          <w:rFonts w:cs="Times New Roman"/>
        </w:rPr>
        <w:t xml:space="preserve">of </w:t>
      </w:r>
      <w:r w:rsidR="008D2EF6" w:rsidRPr="00E65654">
        <w:rPr>
          <w:rFonts w:cs="Times New Roman"/>
        </w:rPr>
        <w:t>$</w:t>
      </w:r>
      <w:r w:rsidR="00E607A6" w:rsidRPr="00E65654">
        <w:t>17</w:t>
      </w:r>
      <w:r w:rsidRPr="00E65654">
        <w:rPr>
          <w:rFonts w:cs="Times New Roman"/>
        </w:rPr>
        <w:t>,</w:t>
      </w:r>
      <w:r w:rsidR="000277C9">
        <w:rPr>
          <w:rFonts w:cs="Times New Roman"/>
        </w:rPr>
        <w:t>199</w:t>
      </w:r>
      <w:r w:rsidRPr="00E65654">
        <w:rPr>
          <w:rFonts w:cs="Times New Roman"/>
        </w:rPr>
        <w:t xml:space="preserve"> compared to </w:t>
      </w:r>
      <w:r w:rsidR="00B860FE" w:rsidRPr="00E65654">
        <w:rPr>
          <w:rFonts w:cs="Times New Roman"/>
        </w:rPr>
        <w:t>$</w:t>
      </w:r>
      <w:r w:rsidR="00E607A6" w:rsidRPr="00E65654">
        <w:t>10,469</w:t>
      </w:r>
      <w:r w:rsidR="006D65F5" w:rsidRPr="00E65654">
        <w:rPr>
          <w:rFonts w:cs="Times New Roman"/>
        </w:rPr>
        <w:t xml:space="preserve"> </w:t>
      </w:r>
      <w:r w:rsidRPr="00E65654">
        <w:rPr>
          <w:rFonts w:cs="Times New Roman"/>
        </w:rPr>
        <w:t>for the previous</w:t>
      </w:r>
      <w:r w:rsidR="00E97595" w:rsidRPr="00E65654">
        <w:rPr>
          <w:rFonts w:cs="Times New Roman"/>
        </w:rPr>
        <w:t xml:space="preserve"> </w:t>
      </w:r>
      <w:r w:rsidR="00E607A6" w:rsidRPr="00E65654">
        <w:rPr>
          <w:rFonts w:cs="Times New Roman"/>
        </w:rPr>
        <w:t>year.  The primary reason for this increase was due to</w:t>
      </w:r>
      <w:r w:rsidRPr="00E65654">
        <w:rPr>
          <w:rFonts w:cs="Times New Roman"/>
        </w:rPr>
        <w:t xml:space="preserve"> </w:t>
      </w:r>
      <w:r w:rsidR="009C3EAA" w:rsidRPr="00E65654">
        <w:rPr>
          <w:rFonts w:cs="Times New Roman"/>
        </w:rPr>
        <w:t xml:space="preserve">increased </w:t>
      </w:r>
      <w:r w:rsidRPr="00E65654">
        <w:rPr>
          <w:rFonts w:cs="Times New Roman"/>
        </w:rPr>
        <w:t>office and administration expenses associated with daily</w:t>
      </w:r>
      <w:r w:rsidR="00E97595" w:rsidRPr="00E65654">
        <w:rPr>
          <w:rFonts w:cs="Times New Roman"/>
        </w:rPr>
        <w:t xml:space="preserve"> </w:t>
      </w:r>
      <w:r w:rsidRPr="00E65654">
        <w:rPr>
          <w:rFonts w:cs="Times New Roman"/>
        </w:rPr>
        <w:t xml:space="preserve">operations of the business for the </w:t>
      </w:r>
      <w:r w:rsidR="00A87ECC" w:rsidRPr="00E65654">
        <w:rPr>
          <w:rFonts w:cs="Times New Roman"/>
        </w:rPr>
        <w:t>period ended</w:t>
      </w:r>
      <w:r w:rsidR="0093095E" w:rsidRPr="00E65654">
        <w:rPr>
          <w:rFonts w:cs="Times New Roman"/>
        </w:rPr>
        <w:t xml:space="preserve"> January 31, </w:t>
      </w:r>
      <w:r w:rsidR="009E37F9" w:rsidRPr="00E65654">
        <w:rPr>
          <w:rFonts w:cs="Times New Roman"/>
        </w:rPr>
        <w:t>2015</w:t>
      </w:r>
      <w:r w:rsidR="009C3EAA" w:rsidRPr="00E65654">
        <w:rPr>
          <w:rFonts w:cs="Times New Roman"/>
        </w:rPr>
        <w:t xml:space="preserve">. </w:t>
      </w:r>
    </w:p>
    <w:p w:rsidR="00D1462E" w:rsidRPr="00E65654" w:rsidRDefault="00D1462E">
      <w:pPr>
        <w:pStyle w:val="ListParagraph"/>
        <w:autoSpaceDE w:val="0"/>
        <w:autoSpaceDN w:val="0"/>
        <w:adjustRightInd w:val="0"/>
        <w:spacing w:after="0" w:line="240" w:lineRule="auto"/>
        <w:jc w:val="both"/>
        <w:rPr>
          <w:rFonts w:cs="Times New Roman"/>
        </w:rPr>
      </w:pPr>
    </w:p>
    <w:p w:rsidR="00341BDF" w:rsidRPr="00341BDF" w:rsidRDefault="009A0602">
      <w:pPr>
        <w:pStyle w:val="ListParagraph"/>
        <w:numPr>
          <w:ilvl w:val="0"/>
          <w:numId w:val="3"/>
        </w:numPr>
        <w:autoSpaceDE w:val="0"/>
        <w:autoSpaceDN w:val="0"/>
        <w:adjustRightInd w:val="0"/>
        <w:spacing w:after="0" w:line="240" w:lineRule="auto"/>
        <w:jc w:val="both"/>
        <w:rPr>
          <w:rFonts w:cs="Times New Roman"/>
        </w:rPr>
      </w:pPr>
      <w:r w:rsidRPr="00E65654">
        <w:rPr>
          <w:rFonts w:cs="Times New Roman"/>
        </w:rPr>
        <w:t xml:space="preserve">Share-based payments of </w:t>
      </w:r>
      <w:r w:rsidR="008D2EF6" w:rsidRPr="00E65654">
        <w:rPr>
          <w:rFonts w:cs="Times New Roman"/>
        </w:rPr>
        <w:t>$</w:t>
      </w:r>
      <w:r w:rsidR="00F41760" w:rsidRPr="00E65654">
        <w:rPr>
          <w:rFonts w:cs="Times New Roman"/>
        </w:rPr>
        <w:t>15,881</w:t>
      </w:r>
      <w:r w:rsidR="006D65F5" w:rsidRPr="00E65654">
        <w:rPr>
          <w:rFonts w:cs="Times New Roman"/>
        </w:rPr>
        <w:t>, compared to $</w:t>
      </w:r>
      <w:r w:rsidR="00F41760" w:rsidRPr="00E65654">
        <w:t>Nil</w:t>
      </w:r>
      <w:r w:rsidR="00907C6B" w:rsidRPr="00E65654">
        <w:rPr>
          <w:rFonts w:cs="Times New Roman"/>
        </w:rPr>
        <w:t xml:space="preserve"> </w:t>
      </w:r>
      <w:r w:rsidRPr="00E65654">
        <w:rPr>
          <w:rFonts w:cs="Times New Roman"/>
        </w:rPr>
        <w:t>for the</w:t>
      </w:r>
      <w:r w:rsidR="00055EB7" w:rsidRPr="00E65654">
        <w:rPr>
          <w:rFonts w:cs="Times New Roman"/>
        </w:rPr>
        <w:t xml:space="preserve"> </w:t>
      </w:r>
      <w:r w:rsidR="008D2EF6" w:rsidRPr="00E65654">
        <w:rPr>
          <w:rFonts w:cs="Times New Roman"/>
        </w:rPr>
        <w:t>previous year. The</w:t>
      </w:r>
      <w:r w:rsidRPr="00E65654">
        <w:rPr>
          <w:rFonts w:cs="Times New Roman"/>
        </w:rPr>
        <w:t xml:space="preserve"> </w:t>
      </w:r>
      <w:r w:rsidR="00F41760" w:rsidRPr="00E65654">
        <w:rPr>
          <w:rFonts w:cs="Times New Roman"/>
        </w:rPr>
        <w:t>increase</w:t>
      </w:r>
      <w:r w:rsidR="00213B65" w:rsidRPr="00E65654">
        <w:rPr>
          <w:rFonts w:cs="Times New Roman"/>
        </w:rPr>
        <w:t xml:space="preserve"> was the</w:t>
      </w:r>
      <w:r w:rsidR="008D2EF6" w:rsidRPr="00E65654">
        <w:rPr>
          <w:rFonts w:cs="Times New Roman"/>
        </w:rPr>
        <w:t xml:space="preserve"> result of </w:t>
      </w:r>
      <w:r w:rsidR="008D2EF6" w:rsidRPr="00E65654">
        <w:t>director stock options</w:t>
      </w:r>
      <w:r w:rsidR="00213B65" w:rsidRPr="00E65654">
        <w:t xml:space="preserve"> being granted during the year ended January 31, </w:t>
      </w:r>
      <w:r w:rsidR="009E37F9" w:rsidRPr="00E65654">
        <w:t>2015</w:t>
      </w:r>
      <w:r w:rsidR="00213B65" w:rsidRPr="00E65654">
        <w:t xml:space="preserve">, while </w:t>
      </w:r>
      <w:r w:rsidR="00297A74" w:rsidRPr="00E65654">
        <w:t xml:space="preserve">no </w:t>
      </w:r>
      <w:r w:rsidR="00213B65" w:rsidRPr="00E65654">
        <w:t>director stock options were</w:t>
      </w:r>
      <w:r w:rsidR="00017119" w:rsidRPr="00E65654">
        <w:t xml:space="preserve"> </w:t>
      </w:r>
      <w:r w:rsidR="008D2EF6" w:rsidRPr="00E65654">
        <w:t>granted</w:t>
      </w:r>
      <w:r w:rsidR="00017119" w:rsidRPr="00E65654">
        <w:t xml:space="preserve"> </w:t>
      </w:r>
      <w:r w:rsidR="008D2EF6" w:rsidRPr="00E65654">
        <w:t>in the year ended</w:t>
      </w:r>
      <w:r w:rsidR="0093095E" w:rsidRPr="00E65654">
        <w:t xml:space="preserve"> January 31, </w:t>
      </w:r>
      <w:r w:rsidR="009E37F9" w:rsidRPr="00E65654">
        <w:t>2014</w:t>
      </w:r>
      <w:r w:rsidR="00213B65" w:rsidRPr="00E65654">
        <w:t>.</w:t>
      </w:r>
    </w:p>
    <w:p w:rsidR="00A44686" w:rsidRDefault="00A44686">
      <w:pPr>
        <w:pStyle w:val="ListParagraph"/>
        <w:autoSpaceDE w:val="0"/>
        <w:autoSpaceDN w:val="0"/>
        <w:adjustRightInd w:val="0"/>
        <w:spacing w:after="0" w:line="240" w:lineRule="auto"/>
        <w:jc w:val="both"/>
        <w:rPr>
          <w:rFonts w:cs="Times New Roman"/>
        </w:rPr>
      </w:pPr>
    </w:p>
    <w:p w:rsidR="00D1462E" w:rsidRPr="00E65654" w:rsidRDefault="00C83867">
      <w:pPr>
        <w:pStyle w:val="ListParagraph"/>
        <w:numPr>
          <w:ilvl w:val="0"/>
          <w:numId w:val="3"/>
        </w:numPr>
        <w:autoSpaceDE w:val="0"/>
        <w:autoSpaceDN w:val="0"/>
        <w:adjustRightInd w:val="0"/>
        <w:spacing w:after="0" w:line="240" w:lineRule="auto"/>
        <w:jc w:val="both"/>
        <w:rPr>
          <w:rFonts w:cs="Times New Roman"/>
        </w:rPr>
      </w:pPr>
      <w:r w:rsidRPr="00E65654">
        <w:t>Investor relations</w:t>
      </w:r>
      <w:r w:rsidR="00027798" w:rsidRPr="00E65654">
        <w:t xml:space="preserve"> expense of $</w:t>
      </w:r>
      <w:r w:rsidR="00F41760" w:rsidRPr="00E65654">
        <w:t>389</w:t>
      </w:r>
      <w:r w:rsidR="00027798" w:rsidRPr="00E65654">
        <w:t xml:space="preserve"> and filing fees of $</w:t>
      </w:r>
      <w:r w:rsidR="00F41760" w:rsidRPr="00E65654">
        <w:t>16,084</w:t>
      </w:r>
      <w:r w:rsidR="00027798" w:rsidRPr="00E65654">
        <w:t>, compared to $</w:t>
      </w:r>
      <w:r w:rsidR="00F41760" w:rsidRPr="00E65654">
        <w:t>Nil</w:t>
      </w:r>
      <w:r w:rsidR="00213B65" w:rsidRPr="00E65654">
        <w:t xml:space="preserve"> </w:t>
      </w:r>
      <w:r w:rsidR="00027798" w:rsidRPr="00E65654">
        <w:t>and $</w:t>
      </w:r>
      <w:r w:rsidR="00F41760" w:rsidRPr="00E65654">
        <w:t>27,185</w:t>
      </w:r>
      <w:r w:rsidR="00027798" w:rsidRPr="00E65654">
        <w:t xml:space="preserve"> respectively the previous y</w:t>
      </w:r>
      <w:r w:rsidR="00F41760" w:rsidRPr="00E65654">
        <w:t>ear. The reason for the decrease</w:t>
      </w:r>
      <w:r w:rsidR="00027798" w:rsidRPr="00E65654">
        <w:t xml:space="preserve"> </w:t>
      </w:r>
      <w:r w:rsidR="00213B65" w:rsidRPr="00E65654">
        <w:t xml:space="preserve">in filing fees was due to </w:t>
      </w:r>
      <w:r w:rsidR="00297A74" w:rsidRPr="00E65654">
        <w:rPr>
          <w:rFonts w:cs="Times New Roman"/>
        </w:rPr>
        <w:t>increased business efficiencies</w:t>
      </w:r>
      <w:r w:rsidR="00F41760" w:rsidRPr="00E65654">
        <w:rPr>
          <w:rFonts w:cs="Times New Roman"/>
        </w:rPr>
        <w:t xml:space="preserve"> during the year ended January 31, 2015.</w:t>
      </w:r>
    </w:p>
    <w:p w:rsidR="00D1462E" w:rsidRPr="00E65654" w:rsidRDefault="00D1462E">
      <w:pPr>
        <w:pStyle w:val="ListParagraph"/>
        <w:autoSpaceDE w:val="0"/>
        <w:autoSpaceDN w:val="0"/>
        <w:adjustRightInd w:val="0"/>
        <w:spacing w:after="0" w:line="240" w:lineRule="auto"/>
        <w:jc w:val="both"/>
        <w:rPr>
          <w:rFonts w:cs="Times New Roman"/>
        </w:rPr>
      </w:pPr>
    </w:p>
    <w:p w:rsidR="00027798" w:rsidRPr="00E65654" w:rsidRDefault="00027798" w:rsidP="00027798">
      <w:pPr>
        <w:pStyle w:val="ListParagraph"/>
        <w:numPr>
          <w:ilvl w:val="0"/>
          <w:numId w:val="3"/>
        </w:numPr>
        <w:autoSpaceDE w:val="0"/>
        <w:autoSpaceDN w:val="0"/>
        <w:adjustRightInd w:val="0"/>
        <w:spacing w:after="0" w:line="240" w:lineRule="auto"/>
        <w:jc w:val="both"/>
        <w:rPr>
          <w:rFonts w:cs="Times New Roman"/>
        </w:rPr>
      </w:pPr>
      <w:r w:rsidRPr="00E65654">
        <w:rPr>
          <w:rFonts w:cs="Times New Roman"/>
        </w:rPr>
        <w:t>Travel of $</w:t>
      </w:r>
      <w:r w:rsidR="000277C9">
        <w:t>1,105</w:t>
      </w:r>
      <w:r w:rsidRPr="00E65654">
        <w:rPr>
          <w:rFonts w:cs="Times New Roman"/>
        </w:rPr>
        <w:t>, compared to $</w:t>
      </w:r>
      <w:r w:rsidR="00BB2450" w:rsidRPr="00E65654">
        <w:t>3,422</w:t>
      </w:r>
      <w:r w:rsidRPr="00E65654">
        <w:rPr>
          <w:rFonts w:cs="Times New Roman"/>
        </w:rPr>
        <w:t xml:space="preserve"> for the previous yea</w:t>
      </w:r>
      <w:r w:rsidR="00C208D6" w:rsidRPr="00E65654">
        <w:rPr>
          <w:rFonts w:cs="Times New Roman"/>
        </w:rPr>
        <w:t xml:space="preserve">r. The primary reason for this decrease </w:t>
      </w:r>
      <w:r w:rsidRPr="00E65654">
        <w:rPr>
          <w:rFonts w:cs="Times New Roman"/>
        </w:rPr>
        <w:t xml:space="preserve">was due to the </w:t>
      </w:r>
      <w:r w:rsidR="00C208D6" w:rsidRPr="00E65654">
        <w:rPr>
          <w:rFonts w:cs="Times New Roman"/>
        </w:rPr>
        <w:t>decreased</w:t>
      </w:r>
      <w:r w:rsidRPr="00E65654">
        <w:rPr>
          <w:rFonts w:cs="Times New Roman"/>
        </w:rPr>
        <w:t xml:space="preserve"> </w:t>
      </w:r>
      <w:r w:rsidR="00341BDF">
        <w:rPr>
          <w:rFonts w:cs="Times New Roman"/>
        </w:rPr>
        <w:t>travel</w:t>
      </w:r>
      <w:r w:rsidRPr="00E65654">
        <w:rPr>
          <w:rFonts w:cs="Times New Roman"/>
        </w:rPr>
        <w:t xml:space="preserve"> during the year ended</w:t>
      </w:r>
      <w:r w:rsidR="0093095E" w:rsidRPr="00E65654">
        <w:rPr>
          <w:rFonts w:cs="Times New Roman"/>
        </w:rPr>
        <w:t xml:space="preserve"> January 31, </w:t>
      </w:r>
      <w:r w:rsidR="009E37F9" w:rsidRPr="00E65654">
        <w:rPr>
          <w:rFonts w:cs="Times New Roman"/>
        </w:rPr>
        <w:t>2015</w:t>
      </w:r>
      <w:r w:rsidR="00BB2450" w:rsidRPr="00E65654">
        <w:rPr>
          <w:rFonts w:cs="Times New Roman"/>
        </w:rPr>
        <w:t>.</w:t>
      </w:r>
    </w:p>
    <w:p w:rsidR="009A0602" w:rsidRPr="00E65654" w:rsidRDefault="009A0602" w:rsidP="00027798">
      <w:pPr>
        <w:autoSpaceDE w:val="0"/>
        <w:autoSpaceDN w:val="0"/>
        <w:adjustRightInd w:val="0"/>
        <w:spacing w:after="0" w:line="240" w:lineRule="auto"/>
        <w:rPr>
          <w:rFonts w:cs="Times New Roman"/>
        </w:rPr>
      </w:pPr>
    </w:p>
    <w:p w:rsidR="00020A10" w:rsidRPr="00E65654" w:rsidRDefault="00355F70" w:rsidP="003944C3">
      <w:pPr>
        <w:autoSpaceDE w:val="0"/>
        <w:autoSpaceDN w:val="0"/>
        <w:adjustRightInd w:val="0"/>
        <w:spacing w:after="0" w:line="240" w:lineRule="auto"/>
        <w:jc w:val="both"/>
        <w:rPr>
          <w:rFonts w:cs="Calibri-Bold"/>
          <w:b/>
          <w:bCs/>
          <w:color w:val="000000"/>
        </w:rPr>
      </w:pPr>
      <w:r w:rsidRPr="00E65654">
        <w:rPr>
          <w:rFonts w:cs="Calibri-Bold"/>
          <w:b/>
          <w:bCs/>
          <w:color w:val="000000"/>
        </w:rPr>
        <w:t>Summary of Quarterly Results</w:t>
      </w:r>
    </w:p>
    <w:p w:rsidR="008E73B5" w:rsidRPr="00E65654" w:rsidRDefault="008E73B5" w:rsidP="003944C3">
      <w:pPr>
        <w:autoSpaceDE w:val="0"/>
        <w:autoSpaceDN w:val="0"/>
        <w:adjustRightInd w:val="0"/>
        <w:spacing w:after="0" w:line="240" w:lineRule="auto"/>
        <w:jc w:val="both"/>
        <w:rPr>
          <w:rFonts w:cs="Calibri-Bold"/>
          <w:b/>
          <w:bCs/>
          <w:color w:val="000000"/>
        </w:rPr>
      </w:pPr>
    </w:p>
    <w:p w:rsidR="00C208D6" w:rsidRDefault="00020A10" w:rsidP="003C0310">
      <w:pPr>
        <w:autoSpaceDE w:val="0"/>
        <w:autoSpaceDN w:val="0"/>
        <w:adjustRightInd w:val="0"/>
        <w:spacing w:after="0" w:line="240" w:lineRule="auto"/>
        <w:rPr>
          <w:rFonts w:cs="Calibri"/>
          <w:color w:val="000000"/>
        </w:rPr>
      </w:pPr>
      <w:r w:rsidRPr="00E65654">
        <w:rPr>
          <w:rFonts w:cs="Calibri"/>
          <w:color w:val="000000"/>
        </w:rPr>
        <w:t xml:space="preserve">The following </w:t>
      </w:r>
      <w:r w:rsidR="00355F70" w:rsidRPr="00E65654">
        <w:rPr>
          <w:rFonts w:cs="Calibri"/>
          <w:color w:val="000000"/>
        </w:rPr>
        <w:t xml:space="preserve">financial data was derived from the Company's financial statements for each of the </w:t>
      </w:r>
      <w:r w:rsidR="00E82CA9" w:rsidRPr="00E65654">
        <w:rPr>
          <w:rFonts w:cs="Calibri"/>
          <w:color w:val="000000"/>
        </w:rPr>
        <w:t>eight</w:t>
      </w:r>
      <w:r w:rsidR="00355F70" w:rsidRPr="00E65654">
        <w:rPr>
          <w:rFonts w:cs="Calibri"/>
          <w:color w:val="000000"/>
        </w:rPr>
        <w:t xml:space="preserve"> most recently completed financial quarters:</w:t>
      </w:r>
      <w:r w:rsidR="003C0310">
        <w:rPr>
          <w:rFonts w:cs="Calibri"/>
          <w:color w:val="000000"/>
        </w:rPr>
        <w:br/>
      </w:r>
    </w:p>
    <w:tbl>
      <w:tblPr>
        <w:tblStyle w:val="TableGrid"/>
        <w:tblW w:w="9465" w:type="dxa"/>
        <w:tblLayout w:type="fixed"/>
        <w:tblLook w:val="04A0"/>
      </w:tblPr>
      <w:tblGrid>
        <w:gridCol w:w="2093"/>
        <w:gridCol w:w="1843"/>
        <w:gridCol w:w="1843"/>
        <w:gridCol w:w="1843"/>
        <w:gridCol w:w="1843"/>
      </w:tblGrid>
      <w:tr w:rsidR="003C0310" w:rsidTr="003C0310">
        <w:tc>
          <w:tcPr>
            <w:tcW w:w="209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color w:val="000000"/>
              </w:rPr>
            </w:pP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b/>
                <w:color w:val="000000"/>
              </w:rPr>
            </w:pPr>
            <w:r>
              <w:rPr>
                <w:rFonts w:cs="Calibri"/>
                <w:b/>
                <w:color w:val="000000"/>
              </w:rPr>
              <w:t>July 31, 2014</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b/>
                <w:color w:val="000000"/>
              </w:rPr>
            </w:pPr>
            <w:r>
              <w:rPr>
                <w:rFonts w:cs="Calibri"/>
                <w:b/>
                <w:color w:val="000000"/>
              </w:rPr>
              <w:t>October 31, 2014</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b/>
                <w:color w:val="000000"/>
              </w:rPr>
            </w:pPr>
            <w:r>
              <w:rPr>
                <w:rFonts w:cs="Calibri"/>
                <w:b/>
                <w:color w:val="000000"/>
              </w:rPr>
              <w:t>January 31, 2015</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b/>
                <w:color w:val="000000"/>
              </w:rPr>
            </w:pPr>
            <w:r>
              <w:rPr>
                <w:rFonts w:cs="Calibri"/>
                <w:b/>
                <w:color w:val="000000"/>
              </w:rPr>
              <w:t>April 30, 2015</w:t>
            </w:r>
          </w:p>
        </w:tc>
      </w:tr>
      <w:tr w:rsidR="003C0310" w:rsidTr="003C0310">
        <w:tc>
          <w:tcPr>
            <w:tcW w:w="2093" w:type="dxa"/>
            <w:tcBorders>
              <w:top w:val="single" w:sz="4" w:space="0" w:color="auto"/>
              <w:left w:val="single" w:sz="4" w:space="0" w:color="auto"/>
              <w:bottom w:val="single" w:sz="4" w:space="0" w:color="auto"/>
              <w:right w:val="single" w:sz="4" w:space="0" w:color="auto"/>
            </w:tcBorders>
            <w:hideMark/>
          </w:tcPr>
          <w:p w:rsidR="003C0310" w:rsidRDefault="003C0310" w:rsidP="00BD5D2A">
            <w:pPr>
              <w:autoSpaceDE w:val="0"/>
              <w:autoSpaceDN w:val="0"/>
              <w:adjustRightInd w:val="0"/>
              <w:rPr>
                <w:rFonts w:cs="Calibri"/>
                <w:color w:val="000000"/>
              </w:rPr>
            </w:pPr>
            <w:r>
              <w:rPr>
                <w:rFonts w:cs="Calibri"/>
                <w:color w:val="000000"/>
              </w:rPr>
              <w:t>Revenues</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color w:val="000000"/>
              </w:rPr>
            </w:pPr>
            <w:r>
              <w:rPr>
                <w:rFonts w:cs="Calibri"/>
                <w:color w:val="000000"/>
              </w:rPr>
              <w:t>$Nil</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color w:val="000000"/>
              </w:rPr>
            </w:pPr>
            <w:r>
              <w:rPr>
                <w:rFonts w:cs="Calibri"/>
                <w:color w:val="000000"/>
              </w:rPr>
              <w:t>$Nil</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color w:val="000000"/>
              </w:rPr>
            </w:pPr>
            <w:r>
              <w:rPr>
                <w:rFonts w:cs="Calibri"/>
                <w:color w:val="000000"/>
              </w:rPr>
              <w:t>$Nil</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color w:val="000000"/>
              </w:rPr>
            </w:pPr>
            <w:r>
              <w:rPr>
                <w:rFonts w:cs="Calibri"/>
                <w:color w:val="000000"/>
              </w:rPr>
              <w:t>$Nil</w:t>
            </w:r>
          </w:p>
        </w:tc>
      </w:tr>
      <w:tr w:rsidR="003C0310" w:rsidTr="003C0310">
        <w:tc>
          <w:tcPr>
            <w:tcW w:w="2093" w:type="dxa"/>
            <w:tcBorders>
              <w:top w:val="single" w:sz="4" w:space="0" w:color="auto"/>
              <w:left w:val="single" w:sz="4" w:space="0" w:color="auto"/>
              <w:bottom w:val="single" w:sz="4" w:space="0" w:color="auto"/>
              <w:right w:val="single" w:sz="4" w:space="0" w:color="auto"/>
            </w:tcBorders>
            <w:hideMark/>
          </w:tcPr>
          <w:p w:rsidR="003C0310" w:rsidRDefault="003C0310" w:rsidP="00BD5D2A">
            <w:pPr>
              <w:autoSpaceDE w:val="0"/>
              <w:autoSpaceDN w:val="0"/>
              <w:adjustRightInd w:val="0"/>
              <w:rPr>
                <w:rFonts w:cs="Calibri"/>
                <w:color w:val="000000"/>
              </w:rPr>
            </w:pPr>
            <w:r>
              <w:rPr>
                <w:rFonts w:cs="Calibri"/>
                <w:color w:val="000000"/>
              </w:rPr>
              <w:t>Net Loss before other income/expenses</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color w:val="000000"/>
              </w:rPr>
            </w:pPr>
            <w:r>
              <w:rPr>
                <w:lang w:val="en-GB"/>
              </w:rPr>
              <w:t>($38,250)</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lang w:val="en-GB"/>
              </w:rPr>
            </w:pPr>
            <w:r>
              <w:rPr>
                <w:lang w:val="en-GB"/>
              </w:rPr>
              <w:t>($33,650)</w:t>
            </w:r>
          </w:p>
        </w:tc>
        <w:tc>
          <w:tcPr>
            <w:tcW w:w="1843" w:type="dxa"/>
            <w:tcBorders>
              <w:top w:val="single" w:sz="4" w:space="0" w:color="auto"/>
              <w:left w:val="single" w:sz="4" w:space="0" w:color="auto"/>
              <w:bottom w:val="single" w:sz="4" w:space="0" w:color="auto"/>
              <w:right w:val="single" w:sz="4" w:space="0" w:color="auto"/>
            </w:tcBorders>
          </w:tcPr>
          <w:p w:rsidR="003C0310" w:rsidRPr="007F5A52" w:rsidRDefault="003C0310" w:rsidP="004B049B">
            <w:pPr>
              <w:autoSpaceDE w:val="0"/>
              <w:autoSpaceDN w:val="0"/>
              <w:adjustRightInd w:val="0"/>
              <w:jc w:val="both"/>
              <w:rPr>
                <w:highlight w:val="yellow"/>
                <w:lang w:val="en-GB"/>
              </w:rPr>
            </w:pPr>
            <w:r w:rsidRPr="00D84977">
              <w:rPr>
                <w:lang w:val="en-GB"/>
              </w:rPr>
              <w:t>($</w:t>
            </w:r>
            <w:r>
              <w:rPr>
                <w:lang w:val="en-GB"/>
              </w:rPr>
              <w:t>56,556</w:t>
            </w:r>
            <w:r w:rsidRPr="00D84977">
              <w:rPr>
                <w:lang w:val="en-GB"/>
              </w:rPr>
              <w:t>)</w:t>
            </w:r>
          </w:p>
        </w:tc>
        <w:tc>
          <w:tcPr>
            <w:tcW w:w="1843" w:type="dxa"/>
            <w:tcBorders>
              <w:top w:val="single" w:sz="4" w:space="0" w:color="auto"/>
              <w:left w:val="single" w:sz="4" w:space="0" w:color="auto"/>
              <w:bottom w:val="single" w:sz="4" w:space="0" w:color="auto"/>
              <w:right w:val="single" w:sz="4" w:space="0" w:color="auto"/>
            </w:tcBorders>
          </w:tcPr>
          <w:p w:rsidR="003C0310" w:rsidRPr="003C0310" w:rsidRDefault="003C0310" w:rsidP="004B049B">
            <w:pPr>
              <w:autoSpaceDE w:val="0"/>
              <w:autoSpaceDN w:val="0"/>
              <w:adjustRightInd w:val="0"/>
              <w:jc w:val="both"/>
              <w:rPr>
                <w:lang w:val="en-GB"/>
              </w:rPr>
            </w:pPr>
            <w:r>
              <w:rPr>
                <w:lang w:val="en-GB"/>
              </w:rPr>
              <w:t>($46,449)</w:t>
            </w:r>
          </w:p>
        </w:tc>
      </w:tr>
      <w:tr w:rsidR="003C0310" w:rsidTr="003C0310">
        <w:tc>
          <w:tcPr>
            <w:tcW w:w="2093" w:type="dxa"/>
            <w:tcBorders>
              <w:top w:val="single" w:sz="4" w:space="0" w:color="auto"/>
              <w:left w:val="single" w:sz="4" w:space="0" w:color="auto"/>
              <w:bottom w:val="single" w:sz="4" w:space="0" w:color="auto"/>
              <w:right w:val="single" w:sz="4" w:space="0" w:color="auto"/>
            </w:tcBorders>
            <w:hideMark/>
          </w:tcPr>
          <w:p w:rsidR="003C0310" w:rsidRDefault="003C0310" w:rsidP="00BD5D2A">
            <w:pPr>
              <w:autoSpaceDE w:val="0"/>
              <w:autoSpaceDN w:val="0"/>
              <w:adjustRightInd w:val="0"/>
              <w:rPr>
                <w:rFonts w:cs="Calibri"/>
                <w:color w:val="000000"/>
              </w:rPr>
            </w:pPr>
            <w:r>
              <w:rPr>
                <w:rFonts w:cs="Calibri"/>
                <w:color w:val="000000"/>
              </w:rPr>
              <w:t>Other Items: Loss of disposition of exploration and evaluation properties</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color w:val="000000"/>
              </w:rPr>
            </w:pPr>
            <w:r>
              <w:rPr>
                <w:rFonts w:cs="Calibri"/>
                <w:color w:val="000000"/>
              </w:rPr>
              <w:t>$Nil</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color w:val="000000"/>
              </w:rPr>
            </w:pPr>
            <w:r>
              <w:rPr>
                <w:rFonts w:cs="Calibri"/>
                <w:color w:val="000000"/>
              </w:rPr>
              <w:t>$Nil</w:t>
            </w:r>
          </w:p>
        </w:tc>
        <w:tc>
          <w:tcPr>
            <w:tcW w:w="1843" w:type="dxa"/>
            <w:tcBorders>
              <w:top w:val="single" w:sz="4" w:space="0" w:color="auto"/>
              <w:left w:val="single" w:sz="4" w:space="0" w:color="auto"/>
              <w:bottom w:val="single" w:sz="4" w:space="0" w:color="auto"/>
              <w:right w:val="single" w:sz="4" w:space="0" w:color="auto"/>
            </w:tcBorders>
          </w:tcPr>
          <w:p w:rsidR="003C0310" w:rsidRPr="007F5A52" w:rsidRDefault="003C0310" w:rsidP="00BD5D2A">
            <w:pPr>
              <w:autoSpaceDE w:val="0"/>
              <w:autoSpaceDN w:val="0"/>
              <w:adjustRightInd w:val="0"/>
              <w:jc w:val="both"/>
              <w:rPr>
                <w:rFonts w:cs="Calibri"/>
                <w:color w:val="000000"/>
                <w:highlight w:val="yellow"/>
              </w:rPr>
            </w:pPr>
            <w:r w:rsidRPr="00C418F9">
              <w:rPr>
                <w:rFonts w:cs="Calibri"/>
                <w:color w:val="000000"/>
              </w:rPr>
              <w:t>($213,614)</w:t>
            </w:r>
          </w:p>
        </w:tc>
        <w:tc>
          <w:tcPr>
            <w:tcW w:w="1843" w:type="dxa"/>
            <w:tcBorders>
              <w:top w:val="single" w:sz="4" w:space="0" w:color="auto"/>
              <w:left w:val="single" w:sz="4" w:space="0" w:color="auto"/>
              <w:bottom w:val="single" w:sz="4" w:space="0" w:color="auto"/>
              <w:right w:val="single" w:sz="4" w:space="0" w:color="auto"/>
            </w:tcBorders>
          </w:tcPr>
          <w:p w:rsidR="003C0310" w:rsidRPr="00C418F9" w:rsidRDefault="003C0310" w:rsidP="00BD5D2A">
            <w:pPr>
              <w:autoSpaceDE w:val="0"/>
              <w:autoSpaceDN w:val="0"/>
              <w:adjustRightInd w:val="0"/>
              <w:jc w:val="both"/>
              <w:rPr>
                <w:rFonts w:cs="Calibri"/>
                <w:color w:val="000000"/>
              </w:rPr>
            </w:pPr>
            <w:r>
              <w:rPr>
                <w:rFonts w:cs="Calibri"/>
                <w:color w:val="000000"/>
              </w:rPr>
              <w:t>$Nil</w:t>
            </w:r>
          </w:p>
        </w:tc>
      </w:tr>
      <w:tr w:rsidR="003C0310" w:rsidTr="003C0310">
        <w:tc>
          <w:tcPr>
            <w:tcW w:w="2093" w:type="dxa"/>
            <w:tcBorders>
              <w:top w:val="single" w:sz="4" w:space="0" w:color="auto"/>
              <w:left w:val="single" w:sz="4" w:space="0" w:color="auto"/>
              <w:bottom w:val="single" w:sz="4" w:space="0" w:color="auto"/>
              <w:right w:val="single" w:sz="4" w:space="0" w:color="auto"/>
            </w:tcBorders>
            <w:hideMark/>
          </w:tcPr>
          <w:p w:rsidR="003C0310" w:rsidRDefault="003C0310" w:rsidP="00BD5D2A">
            <w:pPr>
              <w:autoSpaceDE w:val="0"/>
              <w:autoSpaceDN w:val="0"/>
              <w:adjustRightInd w:val="0"/>
              <w:rPr>
                <w:rFonts w:cs="Calibri"/>
                <w:color w:val="000000"/>
              </w:rPr>
            </w:pPr>
            <w:r>
              <w:rPr>
                <w:rFonts w:cs="Calibri"/>
                <w:color w:val="000000"/>
              </w:rPr>
              <w:t>Net Loss after other income/expenses</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color w:val="000000"/>
              </w:rPr>
            </w:pPr>
            <w:r>
              <w:rPr>
                <w:lang w:val="en-GB"/>
              </w:rPr>
              <w:t>($38,250)</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lang w:val="en-GB"/>
              </w:rPr>
            </w:pPr>
            <w:r>
              <w:rPr>
                <w:lang w:val="en-GB"/>
              </w:rPr>
              <w:t>($33,650)</w:t>
            </w:r>
          </w:p>
        </w:tc>
        <w:tc>
          <w:tcPr>
            <w:tcW w:w="1843" w:type="dxa"/>
            <w:tcBorders>
              <w:top w:val="single" w:sz="4" w:space="0" w:color="auto"/>
              <w:left w:val="single" w:sz="4" w:space="0" w:color="auto"/>
              <w:bottom w:val="single" w:sz="4" w:space="0" w:color="auto"/>
              <w:right w:val="single" w:sz="4" w:space="0" w:color="auto"/>
            </w:tcBorders>
          </w:tcPr>
          <w:p w:rsidR="003C0310" w:rsidRPr="007F5A52" w:rsidRDefault="003C0310" w:rsidP="004B049B">
            <w:pPr>
              <w:autoSpaceDE w:val="0"/>
              <w:autoSpaceDN w:val="0"/>
              <w:adjustRightInd w:val="0"/>
              <w:jc w:val="both"/>
              <w:rPr>
                <w:highlight w:val="yellow"/>
                <w:lang w:val="en-GB"/>
              </w:rPr>
            </w:pPr>
            <w:r>
              <w:rPr>
                <w:lang w:val="en-GB"/>
              </w:rPr>
              <w:t>($270,170</w:t>
            </w:r>
            <w:r w:rsidRPr="001E2D47">
              <w:rPr>
                <w:lang w:val="en-GB"/>
              </w:rPr>
              <w:t>)</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4B049B">
            <w:pPr>
              <w:autoSpaceDE w:val="0"/>
              <w:autoSpaceDN w:val="0"/>
              <w:adjustRightInd w:val="0"/>
              <w:jc w:val="both"/>
              <w:rPr>
                <w:lang w:val="en-GB"/>
              </w:rPr>
            </w:pPr>
            <w:r>
              <w:rPr>
                <w:lang w:val="en-GB"/>
              </w:rPr>
              <w:t>($46,449)</w:t>
            </w:r>
          </w:p>
        </w:tc>
      </w:tr>
      <w:tr w:rsidR="003C0310" w:rsidTr="003C0310">
        <w:tc>
          <w:tcPr>
            <w:tcW w:w="2093" w:type="dxa"/>
            <w:tcBorders>
              <w:top w:val="single" w:sz="4" w:space="0" w:color="auto"/>
              <w:left w:val="single" w:sz="4" w:space="0" w:color="auto"/>
              <w:bottom w:val="single" w:sz="4" w:space="0" w:color="auto"/>
              <w:right w:val="single" w:sz="4" w:space="0" w:color="auto"/>
            </w:tcBorders>
            <w:hideMark/>
          </w:tcPr>
          <w:p w:rsidR="003C0310" w:rsidRDefault="003C0310" w:rsidP="00BD5D2A">
            <w:pPr>
              <w:autoSpaceDE w:val="0"/>
              <w:autoSpaceDN w:val="0"/>
              <w:adjustRightInd w:val="0"/>
              <w:rPr>
                <w:rFonts w:cs="Calibri"/>
                <w:color w:val="000000"/>
              </w:rPr>
            </w:pPr>
            <w:r>
              <w:rPr>
                <w:rFonts w:cs="Calibri"/>
                <w:color w:val="000000"/>
              </w:rPr>
              <w:t>Net Loss per share - basic and diluted</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rFonts w:cs="Calibri"/>
                <w:color w:val="000000"/>
              </w:rPr>
            </w:pPr>
            <w:r>
              <w:rPr>
                <w:bCs/>
                <w:lang w:val="en-GB"/>
              </w:rPr>
              <w:t>($0.00)</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bCs/>
                <w:lang w:val="en-GB"/>
              </w:rPr>
            </w:pPr>
            <w:r>
              <w:rPr>
                <w:bCs/>
                <w:lang w:val="en-GB"/>
              </w:rPr>
              <w:t>($0.00)</w:t>
            </w:r>
          </w:p>
        </w:tc>
        <w:tc>
          <w:tcPr>
            <w:tcW w:w="1843" w:type="dxa"/>
            <w:tcBorders>
              <w:top w:val="single" w:sz="4" w:space="0" w:color="auto"/>
              <w:left w:val="single" w:sz="4" w:space="0" w:color="auto"/>
              <w:bottom w:val="single" w:sz="4" w:space="0" w:color="auto"/>
              <w:right w:val="single" w:sz="4" w:space="0" w:color="auto"/>
            </w:tcBorders>
          </w:tcPr>
          <w:p w:rsidR="003C0310" w:rsidRPr="007F5A52" w:rsidRDefault="003C0310" w:rsidP="00C418F9">
            <w:pPr>
              <w:autoSpaceDE w:val="0"/>
              <w:autoSpaceDN w:val="0"/>
              <w:adjustRightInd w:val="0"/>
              <w:jc w:val="both"/>
              <w:rPr>
                <w:bCs/>
                <w:highlight w:val="yellow"/>
                <w:lang w:val="en-GB"/>
              </w:rPr>
            </w:pPr>
            <w:r w:rsidRPr="001E2D47">
              <w:rPr>
                <w:bCs/>
                <w:lang w:val="en-GB"/>
              </w:rPr>
              <w:t>($0.0</w:t>
            </w:r>
            <w:r>
              <w:rPr>
                <w:bCs/>
                <w:lang w:val="en-GB"/>
              </w:rPr>
              <w:t>2</w:t>
            </w:r>
            <w:r w:rsidRPr="001E2D47">
              <w:rPr>
                <w:bCs/>
                <w:lang w:val="en-GB"/>
              </w:rPr>
              <w:t>)</w:t>
            </w:r>
          </w:p>
        </w:tc>
        <w:tc>
          <w:tcPr>
            <w:tcW w:w="1843" w:type="dxa"/>
            <w:tcBorders>
              <w:top w:val="single" w:sz="4" w:space="0" w:color="auto"/>
              <w:left w:val="single" w:sz="4" w:space="0" w:color="auto"/>
              <w:bottom w:val="single" w:sz="4" w:space="0" w:color="auto"/>
              <w:right w:val="single" w:sz="4" w:space="0" w:color="auto"/>
            </w:tcBorders>
          </w:tcPr>
          <w:p w:rsidR="003C0310" w:rsidRPr="001E2D47" w:rsidRDefault="003C0310" w:rsidP="00C418F9">
            <w:pPr>
              <w:autoSpaceDE w:val="0"/>
              <w:autoSpaceDN w:val="0"/>
              <w:adjustRightInd w:val="0"/>
              <w:jc w:val="both"/>
              <w:rPr>
                <w:bCs/>
                <w:lang w:val="en-GB"/>
              </w:rPr>
            </w:pPr>
            <w:r>
              <w:rPr>
                <w:bCs/>
                <w:lang w:val="en-GB"/>
              </w:rPr>
              <w:t>($0.00)</w:t>
            </w:r>
          </w:p>
        </w:tc>
      </w:tr>
      <w:tr w:rsidR="003C0310" w:rsidTr="003C0310">
        <w:tc>
          <w:tcPr>
            <w:tcW w:w="2093" w:type="dxa"/>
            <w:tcBorders>
              <w:top w:val="single" w:sz="4" w:space="0" w:color="auto"/>
              <w:left w:val="single" w:sz="4" w:space="0" w:color="auto"/>
              <w:bottom w:val="single" w:sz="4" w:space="0" w:color="auto"/>
              <w:right w:val="single" w:sz="4" w:space="0" w:color="auto"/>
            </w:tcBorders>
            <w:hideMark/>
          </w:tcPr>
          <w:p w:rsidR="003C0310" w:rsidRDefault="003C0310" w:rsidP="00BD5D2A">
            <w:pPr>
              <w:autoSpaceDE w:val="0"/>
              <w:autoSpaceDN w:val="0"/>
              <w:adjustRightInd w:val="0"/>
              <w:rPr>
                <w:rFonts w:cs="Calibri"/>
                <w:color w:val="000000"/>
              </w:rPr>
            </w:pPr>
            <w:r>
              <w:rPr>
                <w:rFonts w:cs="Calibri"/>
                <w:color w:val="000000"/>
              </w:rPr>
              <w:t>Weighted average number of shares outstanding</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bCs/>
                <w:lang w:val="en-GB"/>
              </w:rPr>
            </w:pPr>
            <w:r>
              <w:rPr>
                <w:bCs/>
                <w:lang w:val="en-GB"/>
              </w:rPr>
              <w:t>11,286,260</w:t>
            </w:r>
          </w:p>
        </w:tc>
        <w:tc>
          <w:tcPr>
            <w:tcW w:w="1843" w:type="dxa"/>
            <w:tcBorders>
              <w:top w:val="single" w:sz="4" w:space="0" w:color="auto"/>
              <w:left w:val="single" w:sz="4" w:space="0" w:color="auto"/>
              <w:bottom w:val="single" w:sz="4" w:space="0" w:color="auto"/>
              <w:right w:val="single" w:sz="4" w:space="0" w:color="auto"/>
            </w:tcBorders>
          </w:tcPr>
          <w:p w:rsidR="003C0310" w:rsidRDefault="003C0310" w:rsidP="00BD5D2A">
            <w:pPr>
              <w:autoSpaceDE w:val="0"/>
              <w:autoSpaceDN w:val="0"/>
              <w:adjustRightInd w:val="0"/>
              <w:jc w:val="both"/>
              <w:rPr>
                <w:bCs/>
                <w:lang w:val="en-GB"/>
              </w:rPr>
            </w:pPr>
            <w:r>
              <w:rPr>
                <w:bCs/>
                <w:lang w:val="en-GB"/>
              </w:rPr>
              <w:t>11,286,260</w:t>
            </w:r>
          </w:p>
        </w:tc>
        <w:tc>
          <w:tcPr>
            <w:tcW w:w="1843" w:type="dxa"/>
            <w:tcBorders>
              <w:top w:val="single" w:sz="4" w:space="0" w:color="auto"/>
              <w:left w:val="single" w:sz="4" w:space="0" w:color="auto"/>
              <w:bottom w:val="single" w:sz="4" w:space="0" w:color="auto"/>
              <w:right w:val="single" w:sz="4" w:space="0" w:color="auto"/>
            </w:tcBorders>
          </w:tcPr>
          <w:p w:rsidR="003C0310" w:rsidRPr="007F5A52" w:rsidRDefault="003C0310" w:rsidP="00BD5D2A">
            <w:pPr>
              <w:autoSpaceDE w:val="0"/>
              <w:autoSpaceDN w:val="0"/>
              <w:adjustRightInd w:val="0"/>
              <w:jc w:val="both"/>
              <w:rPr>
                <w:bCs/>
                <w:highlight w:val="yellow"/>
                <w:lang w:val="en-GB"/>
              </w:rPr>
            </w:pPr>
            <w:r w:rsidRPr="001E2D47">
              <w:t>11,296,260</w:t>
            </w:r>
          </w:p>
        </w:tc>
        <w:tc>
          <w:tcPr>
            <w:tcW w:w="1843" w:type="dxa"/>
            <w:tcBorders>
              <w:top w:val="single" w:sz="4" w:space="0" w:color="auto"/>
              <w:left w:val="single" w:sz="4" w:space="0" w:color="auto"/>
              <w:bottom w:val="single" w:sz="4" w:space="0" w:color="auto"/>
              <w:right w:val="single" w:sz="4" w:space="0" w:color="auto"/>
            </w:tcBorders>
          </w:tcPr>
          <w:p w:rsidR="003C0310" w:rsidRPr="001E2D47" w:rsidRDefault="007F68DB" w:rsidP="00BD5D2A">
            <w:pPr>
              <w:autoSpaceDE w:val="0"/>
              <w:autoSpaceDN w:val="0"/>
              <w:adjustRightInd w:val="0"/>
              <w:jc w:val="both"/>
            </w:pPr>
            <w:r>
              <w:t>11,296,260</w:t>
            </w:r>
          </w:p>
        </w:tc>
      </w:tr>
    </w:tbl>
    <w:p w:rsidR="00C208D6" w:rsidRPr="00644A3E" w:rsidRDefault="00C208D6" w:rsidP="003944C3">
      <w:pPr>
        <w:autoSpaceDE w:val="0"/>
        <w:autoSpaceDN w:val="0"/>
        <w:adjustRightInd w:val="0"/>
        <w:spacing w:after="0" w:line="240" w:lineRule="auto"/>
        <w:jc w:val="both"/>
        <w:rPr>
          <w:rFonts w:cs="Calibri"/>
          <w:color w:val="000000"/>
        </w:rPr>
      </w:pPr>
    </w:p>
    <w:p w:rsidR="00355F70" w:rsidRPr="00644A3E" w:rsidRDefault="00355F70" w:rsidP="003944C3">
      <w:pPr>
        <w:autoSpaceDE w:val="0"/>
        <w:autoSpaceDN w:val="0"/>
        <w:adjustRightInd w:val="0"/>
        <w:spacing w:after="0" w:line="240" w:lineRule="auto"/>
        <w:jc w:val="both"/>
        <w:rPr>
          <w:rFonts w:cs="Calibri"/>
          <w:color w:val="000000"/>
        </w:rPr>
      </w:pPr>
    </w:p>
    <w:tbl>
      <w:tblPr>
        <w:tblStyle w:val="TableGrid"/>
        <w:tblW w:w="0" w:type="auto"/>
        <w:tblLayout w:type="fixed"/>
        <w:tblLook w:val="04A0"/>
      </w:tblPr>
      <w:tblGrid>
        <w:gridCol w:w="2093"/>
        <w:gridCol w:w="1800"/>
        <w:gridCol w:w="1800"/>
        <w:gridCol w:w="1890"/>
        <w:gridCol w:w="1890"/>
      </w:tblGrid>
      <w:tr w:rsidR="003C0310" w:rsidRPr="00644A3E" w:rsidTr="00A43FFF">
        <w:tc>
          <w:tcPr>
            <w:tcW w:w="2093" w:type="dxa"/>
          </w:tcPr>
          <w:p w:rsidR="003C0310" w:rsidRPr="00644A3E" w:rsidRDefault="003C0310" w:rsidP="003944C3">
            <w:pPr>
              <w:autoSpaceDE w:val="0"/>
              <w:autoSpaceDN w:val="0"/>
              <w:adjustRightInd w:val="0"/>
              <w:jc w:val="both"/>
              <w:rPr>
                <w:rFonts w:cs="Calibri"/>
                <w:color w:val="000000"/>
              </w:rPr>
            </w:pPr>
          </w:p>
        </w:tc>
        <w:tc>
          <w:tcPr>
            <w:tcW w:w="1800" w:type="dxa"/>
          </w:tcPr>
          <w:p w:rsidR="003C0310" w:rsidRPr="00644A3E" w:rsidRDefault="003C0310" w:rsidP="003944C3">
            <w:pPr>
              <w:autoSpaceDE w:val="0"/>
              <w:autoSpaceDN w:val="0"/>
              <w:adjustRightInd w:val="0"/>
              <w:jc w:val="both"/>
              <w:rPr>
                <w:rFonts w:cs="Calibri"/>
                <w:b/>
                <w:color w:val="000000"/>
              </w:rPr>
            </w:pPr>
            <w:r w:rsidRPr="00644A3E">
              <w:rPr>
                <w:rFonts w:cs="Calibri"/>
                <w:b/>
                <w:color w:val="000000"/>
              </w:rPr>
              <w:t>July 31, 201</w:t>
            </w:r>
            <w:r>
              <w:rPr>
                <w:rFonts w:cs="Calibri"/>
                <w:b/>
                <w:color w:val="000000"/>
              </w:rPr>
              <w:t>3</w:t>
            </w:r>
          </w:p>
        </w:tc>
        <w:tc>
          <w:tcPr>
            <w:tcW w:w="1800" w:type="dxa"/>
          </w:tcPr>
          <w:p w:rsidR="003C0310" w:rsidRPr="00644A3E" w:rsidRDefault="003C0310" w:rsidP="003944C3">
            <w:pPr>
              <w:autoSpaceDE w:val="0"/>
              <w:autoSpaceDN w:val="0"/>
              <w:adjustRightInd w:val="0"/>
              <w:jc w:val="both"/>
              <w:rPr>
                <w:rFonts w:cs="Calibri"/>
                <w:b/>
                <w:color w:val="000000"/>
              </w:rPr>
            </w:pPr>
            <w:r w:rsidRPr="00644A3E">
              <w:rPr>
                <w:rFonts w:cs="Calibri"/>
                <w:b/>
                <w:color w:val="000000"/>
              </w:rPr>
              <w:t>October 31, 201</w:t>
            </w:r>
            <w:r>
              <w:rPr>
                <w:rFonts w:cs="Calibri"/>
                <w:b/>
                <w:color w:val="000000"/>
              </w:rPr>
              <w:t>3</w:t>
            </w:r>
          </w:p>
        </w:tc>
        <w:tc>
          <w:tcPr>
            <w:tcW w:w="1890" w:type="dxa"/>
          </w:tcPr>
          <w:p w:rsidR="003C0310" w:rsidRPr="00644A3E" w:rsidRDefault="003C0310" w:rsidP="003944C3">
            <w:pPr>
              <w:autoSpaceDE w:val="0"/>
              <w:autoSpaceDN w:val="0"/>
              <w:adjustRightInd w:val="0"/>
              <w:jc w:val="both"/>
              <w:rPr>
                <w:rFonts w:cs="Calibri"/>
                <w:b/>
                <w:color w:val="000000"/>
              </w:rPr>
            </w:pPr>
            <w:r w:rsidRPr="00644A3E">
              <w:rPr>
                <w:rFonts w:cs="Calibri"/>
                <w:b/>
                <w:color w:val="000000"/>
              </w:rPr>
              <w:t xml:space="preserve">January 31, </w:t>
            </w:r>
            <w:r>
              <w:rPr>
                <w:rFonts w:cs="Calibri"/>
                <w:b/>
                <w:color w:val="000000"/>
              </w:rPr>
              <w:t>2014</w:t>
            </w:r>
          </w:p>
        </w:tc>
        <w:tc>
          <w:tcPr>
            <w:tcW w:w="1890" w:type="dxa"/>
          </w:tcPr>
          <w:p w:rsidR="003C0310" w:rsidRPr="00644A3E" w:rsidRDefault="003C0310" w:rsidP="003944C3">
            <w:pPr>
              <w:autoSpaceDE w:val="0"/>
              <w:autoSpaceDN w:val="0"/>
              <w:adjustRightInd w:val="0"/>
              <w:jc w:val="both"/>
              <w:rPr>
                <w:rFonts w:cs="Calibri"/>
                <w:b/>
                <w:color w:val="000000"/>
              </w:rPr>
            </w:pPr>
            <w:r>
              <w:rPr>
                <w:rFonts w:cs="Calibri"/>
                <w:b/>
                <w:color w:val="000000"/>
              </w:rPr>
              <w:t>April 30, 2014</w:t>
            </w:r>
          </w:p>
        </w:tc>
      </w:tr>
      <w:tr w:rsidR="003C0310" w:rsidRPr="00644A3E" w:rsidTr="00A43FFF">
        <w:tc>
          <w:tcPr>
            <w:tcW w:w="2093" w:type="dxa"/>
          </w:tcPr>
          <w:p w:rsidR="003C0310" w:rsidRPr="00644A3E" w:rsidRDefault="003C0310" w:rsidP="00AF3EEB">
            <w:pPr>
              <w:autoSpaceDE w:val="0"/>
              <w:autoSpaceDN w:val="0"/>
              <w:adjustRightInd w:val="0"/>
              <w:rPr>
                <w:rFonts w:cs="Calibri"/>
                <w:color w:val="000000"/>
              </w:rPr>
            </w:pPr>
            <w:r w:rsidRPr="00644A3E">
              <w:rPr>
                <w:rFonts w:cs="Calibri"/>
                <w:color w:val="000000"/>
              </w:rPr>
              <w:t>Revenues</w:t>
            </w:r>
          </w:p>
        </w:tc>
        <w:tc>
          <w:tcPr>
            <w:tcW w:w="1800" w:type="dxa"/>
          </w:tcPr>
          <w:p w:rsidR="003C0310" w:rsidRPr="00644A3E" w:rsidRDefault="003C0310" w:rsidP="003944C3">
            <w:pPr>
              <w:autoSpaceDE w:val="0"/>
              <w:autoSpaceDN w:val="0"/>
              <w:adjustRightInd w:val="0"/>
              <w:jc w:val="both"/>
              <w:rPr>
                <w:rFonts w:cs="Calibri"/>
                <w:color w:val="000000"/>
              </w:rPr>
            </w:pPr>
            <w:r w:rsidRPr="00644A3E">
              <w:rPr>
                <w:rFonts w:cs="Calibri"/>
                <w:color w:val="000000"/>
              </w:rPr>
              <w:t>$Nil</w:t>
            </w:r>
          </w:p>
        </w:tc>
        <w:tc>
          <w:tcPr>
            <w:tcW w:w="1800" w:type="dxa"/>
          </w:tcPr>
          <w:p w:rsidR="003C0310" w:rsidRPr="00644A3E" w:rsidRDefault="003C0310" w:rsidP="003944C3">
            <w:pPr>
              <w:autoSpaceDE w:val="0"/>
              <w:autoSpaceDN w:val="0"/>
              <w:adjustRightInd w:val="0"/>
              <w:jc w:val="both"/>
              <w:rPr>
                <w:rFonts w:cs="Calibri"/>
                <w:color w:val="000000"/>
              </w:rPr>
            </w:pPr>
            <w:r w:rsidRPr="00644A3E">
              <w:rPr>
                <w:rFonts w:cs="Calibri"/>
                <w:color w:val="000000"/>
              </w:rPr>
              <w:t>$Nil</w:t>
            </w:r>
          </w:p>
        </w:tc>
        <w:tc>
          <w:tcPr>
            <w:tcW w:w="1890" w:type="dxa"/>
          </w:tcPr>
          <w:p w:rsidR="003C0310" w:rsidRPr="00644A3E" w:rsidRDefault="003C0310" w:rsidP="003944C3">
            <w:pPr>
              <w:autoSpaceDE w:val="0"/>
              <w:autoSpaceDN w:val="0"/>
              <w:adjustRightInd w:val="0"/>
              <w:jc w:val="both"/>
              <w:rPr>
                <w:rFonts w:cs="Calibri"/>
                <w:color w:val="000000"/>
                <w:highlight w:val="yellow"/>
              </w:rPr>
            </w:pPr>
            <w:r w:rsidRPr="00056D5E">
              <w:rPr>
                <w:rFonts w:cs="Calibri"/>
                <w:color w:val="000000"/>
              </w:rPr>
              <w:t>$Nil</w:t>
            </w:r>
          </w:p>
        </w:tc>
        <w:tc>
          <w:tcPr>
            <w:tcW w:w="1890" w:type="dxa"/>
          </w:tcPr>
          <w:p w:rsidR="003C0310" w:rsidRPr="00056D5E" w:rsidRDefault="003C0310" w:rsidP="003944C3">
            <w:pPr>
              <w:autoSpaceDE w:val="0"/>
              <w:autoSpaceDN w:val="0"/>
              <w:adjustRightInd w:val="0"/>
              <w:jc w:val="both"/>
              <w:rPr>
                <w:rFonts w:cs="Calibri"/>
                <w:color w:val="000000"/>
              </w:rPr>
            </w:pPr>
            <w:r>
              <w:rPr>
                <w:rFonts w:cs="Calibri"/>
                <w:color w:val="000000"/>
              </w:rPr>
              <w:t>$Nil</w:t>
            </w:r>
          </w:p>
        </w:tc>
      </w:tr>
      <w:tr w:rsidR="003C0310" w:rsidRPr="00644A3E" w:rsidTr="00A43FFF">
        <w:tc>
          <w:tcPr>
            <w:tcW w:w="2093" w:type="dxa"/>
          </w:tcPr>
          <w:p w:rsidR="003C0310" w:rsidRPr="00644A3E" w:rsidRDefault="003C0310" w:rsidP="00AF3EEB">
            <w:pPr>
              <w:autoSpaceDE w:val="0"/>
              <w:autoSpaceDN w:val="0"/>
              <w:adjustRightInd w:val="0"/>
              <w:rPr>
                <w:rFonts w:cs="Calibri"/>
                <w:color w:val="000000"/>
              </w:rPr>
            </w:pPr>
            <w:r w:rsidRPr="00644A3E">
              <w:rPr>
                <w:rFonts w:cs="Calibri"/>
                <w:color w:val="000000"/>
              </w:rPr>
              <w:t>Net Loss before other income/expenses</w:t>
            </w:r>
          </w:p>
        </w:tc>
        <w:tc>
          <w:tcPr>
            <w:tcW w:w="1800" w:type="dxa"/>
          </w:tcPr>
          <w:p w:rsidR="003C0310" w:rsidRDefault="003C0310" w:rsidP="00BD5D2A">
            <w:pPr>
              <w:autoSpaceDE w:val="0"/>
              <w:autoSpaceDN w:val="0"/>
              <w:adjustRightInd w:val="0"/>
              <w:jc w:val="both"/>
              <w:rPr>
                <w:rFonts w:cs="Calibri"/>
                <w:color w:val="000000"/>
              </w:rPr>
            </w:pPr>
            <w:r>
              <w:rPr>
                <w:lang w:val="en-GB"/>
              </w:rPr>
              <w:t>($59,686)</w:t>
            </w:r>
          </w:p>
        </w:tc>
        <w:tc>
          <w:tcPr>
            <w:tcW w:w="1800" w:type="dxa"/>
          </w:tcPr>
          <w:p w:rsidR="003C0310" w:rsidRDefault="003C0310" w:rsidP="00BD5D2A">
            <w:pPr>
              <w:autoSpaceDE w:val="0"/>
              <w:autoSpaceDN w:val="0"/>
              <w:adjustRightInd w:val="0"/>
              <w:jc w:val="both"/>
              <w:rPr>
                <w:lang w:val="en-GB"/>
              </w:rPr>
            </w:pPr>
            <w:r>
              <w:rPr>
                <w:lang w:val="en-GB"/>
              </w:rPr>
              <w:t>($25,262)</w:t>
            </w:r>
          </w:p>
        </w:tc>
        <w:tc>
          <w:tcPr>
            <w:tcW w:w="1890" w:type="dxa"/>
          </w:tcPr>
          <w:p w:rsidR="003C0310" w:rsidRPr="007F5A52" w:rsidRDefault="003C0310" w:rsidP="00BD5D2A">
            <w:pPr>
              <w:autoSpaceDE w:val="0"/>
              <w:autoSpaceDN w:val="0"/>
              <w:adjustRightInd w:val="0"/>
              <w:jc w:val="both"/>
              <w:rPr>
                <w:highlight w:val="yellow"/>
                <w:lang w:val="en-GB"/>
              </w:rPr>
            </w:pPr>
            <w:r w:rsidRPr="00A7179D">
              <w:rPr>
                <w:lang w:val="en-GB"/>
              </w:rPr>
              <w:t>($24,461)</w:t>
            </w:r>
          </w:p>
        </w:tc>
        <w:tc>
          <w:tcPr>
            <w:tcW w:w="1890" w:type="dxa"/>
          </w:tcPr>
          <w:p w:rsidR="003C0310" w:rsidRPr="00A7179D" w:rsidRDefault="003C0310" w:rsidP="00BD5D2A">
            <w:pPr>
              <w:autoSpaceDE w:val="0"/>
              <w:autoSpaceDN w:val="0"/>
              <w:adjustRightInd w:val="0"/>
              <w:jc w:val="both"/>
              <w:rPr>
                <w:lang w:val="en-GB"/>
              </w:rPr>
            </w:pPr>
            <w:r>
              <w:rPr>
                <w:rFonts w:cs="Calibri"/>
                <w:color w:val="000000"/>
              </w:rPr>
              <w:t>($31,851)</w:t>
            </w:r>
          </w:p>
        </w:tc>
      </w:tr>
      <w:tr w:rsidR="003C0310" w:rsidRPr="00644A3E" w:rsidTr="00A43FFF">
        <w:tc>
          <w:tcPr>
            <w:tcW w:w="2093" w:type="dxa"/>
          </w:tcPr>
          <w:p w:rsidR="003C0310" w:rsidRPr="00644A3E" w:rsidRDefault="003C0310" w:rsidP="00AF3EEB">
            <w:pPr>
              <w:autoSpaceDE w:val="0"/>
              <w:autoSpaceDN w:val="0"/>
              <w:adjustRightInd w:val="0"/>
              <w:rPr>
                <w:rFonts w:cs="Calibri"/>
                <w:color w:val="000000"/>
              </w:rPr>
            </w:pPr>
            <w:r w:rsidRPr="00644A3E">
              <w:rPr>
                <w:rFonts w:cs="Calibri"/>
                <w:color w:val="000000"/>
              </w:rPr>
              <w:t>Other Items: Loss of disposition of exploration and evaluation properties</w:t>
            </w:r>
          </w:p>
        </w:tc>
        <w:tc>
          <w:tcPr>
            <w:tcW w:w="1800" w:type="dxa"/>
          </w:tcPr>
          <w:p w:rsidR="003C0310" w:rsidRDefault="003C0310" w:rsidP="00BD5D2A">
            <w:pPr>
              <w:autoSpaceDE w:val="0"/>
              <w:autoSpaceDN w:val="0"/>
              <w:adjustRightInd w:val="0"/>
              <w:jc w:val="both"/>
              <w:rPr>
                <w:rFonts w:cs="Calibri"/>
                <w:color w:val="000000"/>
              </w:rPr>
            </w:pPr>
            <w:r>
              <w:rPr>
                <w:rFonts w:cs="Calibri"/>
                <w:color w:val="000000"/>
              </w:rPr>
              <w:t>$Nil</w:t>
            </w:r>
          </w:p>
        </w:tc>
        <w:tc>
          <w:tcPr>
            <w:tcW w:w="1800" w:type="dxa"/>
          </w:tcPr>
          <w:p w:rsidR="003C0310" w:rsidRDefault="003C0310" w:rsidP="00BD5D2A">
            <w:pPr>
              <w:autoSpaceDE w:val="0"/>
              <w:autoSpaceDN w:val="0"/>
              <w:adjustRightInd w:val="0"/>
              <w:jc w:val="both"/>
              <w:rPr>
                <w:rFonts w:cs="Calibri"/>
                <w:color w:val="000000"/>
              </w:rPr>
            </w:pPr>
            <w:r>
              <w:rPr>
                <w:rFonts w:cs="Calibri"/>
                <w:color w:val="000000"/>
              </w:rPr>
              <w:t>$Nil</w:t>
            </w:r>
          </w:p>
        </w:tc>
        <w:tc>
          <w:tcPr>
            <w:tcW w:w="1890" w:type="dxa"/>
          </w:tcPr>
          <w:p w:rsidR="003C0310" w:rsidRDefault="003C0310" w:rsidP="00BD5D2A">
            <w:pPr>
              <w:autoSpaceDE w:val="0"/>
              <w:autoSpaceDN w:val="0"/>
              <w:adjustRightInd w:val="0"/>
              <w:jc w:val="both"/>
              <w:rPr>
                <w:rFonts w:cs="Calibri"/>
                <w:color w:val="000000"/>
              </w:rPr>
            </w:pPr>
            <w:r>
              <w:rPr>
                <w:rFonts w:cs="Calibri"/>
                <w:color w:val="000000"/>
              </w:rPr>
              <w:t>($18,000)</w:t>
            </w:r>
          </w:p>
        </w:tc>
        <w:tc>
          <w:tcPr>
            <w:tcW w:w="1890" w:type="dxa"/>
          </w:tcPr>
          <w:p w:rsidR="003C0310" w:rsidRDefault="003C0310" w:rsidP="00BD5D2A">
            <w:pPr>
              <w:autoSpaceDE w:val="0"/>
              <w:autoSpaceDN w:val="0"/>
              <w:adjustRightInd w:val="0"/>
              <w:jc w:val="both"/>
              <w:rPr>
                <w:rFonts w:cs="Calibri"/>
                <w:color w:val="000000"/>
              </w:rPr>
            </w:pPr>
            <w:r>
              <w:rPr>
                <w:rFonts w:cs="Calibri"/>
                <w:color w:val="000000"/>
              </w:rPr>
              <w:t>$Nil</w:t>
            </w:r>
          </w:p>
        </w:tc>
      </w:tr>
      <w:tr w:rsidR="003C0310" w:rsidRPr="00644A3E" w:rsidTr="00A43FFF">
        <w:tc>
          <w:tcPr>
            <w:tcW w:w="2093" w:type="dxa"/>
          </w:tcPr>
          <w:p w:rsidR="003C0310" w:rsidRPr="00644A3E" w:rsidRDefault="003C0310" w:rsidP="00AF3EEB">
            <w:pPr>
              <w:autoSpaceDE w:val="0"/>
              <w:autoSpaceDN w:val="0"/>
              <w:adjustRightInd w:val="0"/>
              <w:rPr>
                <w:rFonts w:cs="Calibri"/>
                <w:color w:val="000000"/>
              </w:rPr>
            </w:pPr>
            <w:r w:rsidRPr="00644A3E">
              <w:rPr>
                <w:rFonts w:cs="Calibri"/>
                <w:color w:val="000000"/>
              </w:rPr>
              <w:t>Net Loss after other income/expenses</w:t>
            </w:r>
          </w:p>
        </w:tc>
        <w:tc>
          <w:tcPr>
            <w:tcW w:w="1800" w:type="dxa"/>
          </w:tcPr>
          <w:p w:rsidR="003C0310" w:rsidRDefault="003C0310" w:rsidP="00BD5D2A">
            <w:pPr>
              <w:autoSpaceDE w:val="0"/>
              <w:autoSpaceDN w:val="0"/>
              <w:adjustRightInd w:val="0"/>
              <w:jc w:val="both"/>
              <w:rPr>
                <w:rFonts w:cs="Calibri"/>
                <w:color w:val="000000"/>
              </w:rPr>
            </w:pPr>
            <w:r>
              <w:rPr>
                <w:lang w:val="en-GB"/>
              </w:rPr>
              <w:t>($59,686)</w:t>
            </w:r>
          </w:p>
        </w:tc>
        <w:tc>
          <w:tcPr>
            <w:tcW w:w="1800" w:type="dxa"/>
          </w:tcPr>
          <w:p w:rsidR="003C0310" w:rsidRDefault="003C0310" w:rsidP="00BD5D2A">
            <w:pPr>
              <w:autoSpaceDE w:val="0"/>
              <w:autoSpaceDN w:val="0"/>
              <w:adjustRightInd w:val="0"/>
              <w:jc w:val="both"/>
              <w:rPr>
                <w:lang w:val="en-GB"/>
              </w:rPr>
            </w:pPr>
            <w:r>
              <w:rPr>
                <w:lang w:val="en-GB"/>
              </w:rPr>
              <w:t>($25,262)</w:t>
            </w:r>
          </w:p>
        </w:tc>
        <w:tc>
          <w:tcPr>
            <w:tcW w:w="1890" w:type="dxa"/>
          </w:tcPr>
          <w:p w:rsidR="003C0310" w:rsidRDefault="003C0310" w:rsidP="00BD5D2A">
            <w:pPr>
              <w:autoSpaceDE w:val="0"/>
              <w:autoSpaceDN w:val="0"/>
              <w:adjustRightInd w:val="0"/>
              <w:jc w:val="both"/>
              <w:rPr>
                <w:lang w:val="en-GB"/>
              </w:rPr>
            </w:pPr>
            <w:r>
              <w:rPr>
                <w:lang w:val="en-GB"/>
              </w:rPr>
              <w:t>($42,461)</w:t>
            </w:r>
          </w:p>
        </w:tc>
        <w:tc>
          <w:tcPr>
            <w:tcW w:w="1890" w:type="dxa"/>
          </w:tcPr>
          <w:p w:rsidR="003C0310" w:rsidRDefault="003C0310" w:rsidP="00BD5D2A">
            <w:pPr>
              <w:autoSpaceDE w:val="0"/>
              <w:autoSpaceDN w:val="0"/>
              <w:adjustRightInd w:val="0"/>
              <w:jc w:val="both"/>
              <w:rPr>
                <w:lang w:val="en-GB"/>
              </w:rPr>
            </w:pPr>
            <w:r>
              <w:rPr>
                <w:rFonts w:cs="Calibri"/>
                <w:color w:val="000000"/>
              </w:rPr>
              <w:t>($31,851)</w:t>
            </w:r>
          </w:p>
        </w:tc>
      </w:tr>
      <w:tr w:rsidR="003C0310" w:rsidRPr="00644A3E" w:rsidTr="00A43FFF">
        <w:tc>
          <w:tcPr>
            <w:tcW w:w="2093" w:type="dxa"/>
          </w:tcPr>
          <w:p w:rsidR="003C0310" w:rsidRPr="00644A3E" w:rsidRDefault="003C0310" w:rsidP="00AF3EEB">
            <w:pPr>
              <w:autoSpaceDE w:val="0"/>
              <w:autoSpaceDN w:val="0"/>
              <w:adjustRightInd w:val="0"/>
              <w:rPr>
                <w:rFonts w:cs="Calibri"/>
                <w:color w:val="000000"/>
              </w:rPr>
            </w:pPr>
            <w:r w:rsidRPr="00644A3E">
              <w:rPr>
                <w:rFonts w:cs="Calibri"/>
                <w:color w:val="000000"/>
              </w:rPr>
              <w:t>Net Loss per share - basic and diluted</w:t>
            </w:r>
          </w:p>
        </w:tc>
        <w:tc>
          <w:tcPr>
            <w:tcW w:w="1800" w:type="dxa"/>
          </w:tcPr>
          <w:p w:rsidR="003C0310" w:rsidRDefault="003C0310" w:rsidP="00BD5D2A">
            <w:pPr>
              <w:autoSpaceDE w:val="0"/>
              <w:autoSpaceDN w:val="0"/>
              <w:adjustRightInd w:val="0"/>
              <w:jc w:val="both"/>
              <w:rPr>
                <w:rFonts w:cs="Calibri"/>
                <w:color w:val="000000"/>
              </w:rPr>
            </w:pPr>
            <w:r>
              <w:rPr>
                <w:bCs/>
                <w:lang w:val="en-GB"/>
              </w:rPr>
              <w:t>($0.01)</w:t>
            </w:r>
          </w:p>
        </w:tc>
        <w:tc>
          <w:tcPr>
            <w:tcW w:w="1800" w:type="dxa"/>
          </w:tcPr>
          <w:p w:rsidR="003C0310" w:rsidRDefault="003C0310" w:rsidP="00BD5D2A">
            <w:pPr>
              <w:autoSpaceDE w:val="0"/>
              <w:autoSpaceDN w:val="0"/>
              <w:adjustRightInd w:val="0"/>
              <w:jc w:val="both"/>
              <w:rPr>
                <w:bCs/>
                <w:lang w:val="en-GB"/>
              </w:rPr>
            </w:pPr>
            <w:r>
              <w:rPr>
                <w:bCs/>
                <w:lang w:val="en-GB"/>
              </w:rPr>
              <w:t>($0.00)</w:t>
            </w:r>
          </w:p>
        </w:tc>
        <w:tc>
          <w:tcPr>
            <w:tcW w:w="1890" w:type="dxa"/>
          </w:tcPr>
          <w:p w:rsidR="003C0310" w:rsidRDefault="003C0310" w:rsidP="00BD5D2A">
            <w:pPr>
              <w:autoSpaceDE w:val="0"/>
              <w:autoSpaceDN w:val="0"/>
              <w:adjustRightInd w:val="0"/>
              <w:jc w:val="both"/>
              <w:rPr>
                <w:bCs/>
                <w:lang w:val="en-GB"/>
              </w:rPr>
            </w:pPr>
            <w:r>
              <w:rPr>
                <w:bCs/>
                <w:lang w:val="en-GB"/>
              </w:rPr>
              <w:t>($0.00)</w:t>
            </w:r>
          </w:p>
        </w:tc>
        <w:tc>
          <w:tcPr>
            <w:tcW w:w="1890" w:type="dxa"/>
          </w:tcPr>
          <w:p w:rsidR="003C0310" w:rsidRDefault="003C0310" w:rsidP="00BD5D2A">
            <w:pPr>
              <w:autoSpaceDE w:val="0"/>
              <w:autoSpaceDN w:val="0"/>
              <w:adjustRightInd w:val="0"/>
              <w:jc w:val="both"/>
              <w:rPr>
                <w:bCs/>
                <w:lang w:val="en-GB"/>
              </w:rPr>
            </w:pPr>
            <w:r>
              <w:rPr>
                <w:rFonts w:cs="Calibri"/>
                <w:color w:val="000000"/>
              </w:rPr>
              <w:t>($0.003)</w:t>
            </w:r>
          </w:p>
        </w:tc>
      </w:tr>
      <w:tr w:rsidR="003C0310" w:rsidRPr="00644A3E" w:rsidTr="00A43FFF">
        <w:tc>
          <w:tcPr>
            <w:tcW w:w="2093" w:type="dxa"/>
          </w:tcPr>
          <w:p w:rsidR="003C0310" w:rsidRPr="00644A3E" w:rsidRDefault="003C0310" w:rsidP="00AF3EEB">
            <w:pPr>
              <w:autoSpaceDE w:val="0"/>
              <w:autoSpaceDN w:val="0"/>
              <w:adjustRightInd w:val="0"/>
              <w:rPr>
                <w:rFonts w:cs="Calibri"/>
                <w:color w:val="000000"/>
              </w:rPr>
            </w:pPr>
            <w:r w:rsidRPr="00644A3E">
              <w:rPr>
                <w:rFonts w:cs="Calibri"/>
                <w:color w:val="000000"/>
              </w:rPr>
              <w:t>Weighted average number of shares outstanding</w:t>
            </w:r>
          </w:p>
        </w:tc>
        <w:tc>
          <w:tcPr>
            <w:tcW w:w="1800" w:type="dxa"/>
          </w:tcPr>
          <w:p w:rsidR="003C0310" w:rsidRDefault="003C0310" w:rsidP="00BD5D2A">
            <w:pPr>
              <w:autoSpaceDE w:val="0"/>
              <w:autoSpaceDN w:val="0"/>
              <w:adjustRightInd w:val="0"/>
              <w:jc w:val="both"/>
              <w:rPr>
                <w:bCs/>
                <w:lang w:val="en-GB"/>
              </w:rPr>
            </w:pPr>
            <w:r>
              <w:rPr>
                <w:bCs/>
                <w:lang w:val="en-GB"/>
              </w:rPr>
              <w:t>11,257,130</w:t>
            </w:r>
          </w:p>
        </w:tc>
        <w:tc>
          <w:tcPr>
            <w:tcW w:w="1800" w:type="dxa"/>
          </w:tcPr>
          <w:p w:rsidR="003C0310" w:rsidRDefault="003C0310" w:rsidP="00BD5D2A">
            <w:pPr>
              <w:autoSpaceDE w:val="0"/>
              <w:autoSpaceDN w:val="0"/>
              <w:adjustRightInd w:val="0"/>
              <w:jc w:val="both"/>
              <w:rPr>
                <w:bCs/>
                <w:lang w:val="en-GB"/>
              </w:rPr>
            </w:pPr>
            <w:r>
              <w:rPr>
                <w:bCs/>
                <w:lang w:val="en-GB"/>
              </w:rPr>
              <w:t>11,286,260</w:t>
            </w:r>
          </w:p>
        </w:tc>
        <w:tc>
          <w:tcPr>
            <w:tcW w:w="1890" w:type="dxa"/>
          </w:tcPr>
          <w:p w:rsidR="003C0310" w:rsidRDefault="003C0310" w:rsidP="004B049B">
            <w:pPr>
              <w:autoSpaceDE w:val="0"/>
              <w:autoSpaceDN w:val="0"/>
              <w:adjustRightInd w:val="0"/>
              <w:jc w:val="both"/>
              <w:rPr>
                <w:bCs/>
                <w:lang w:val="en-GB"/>
              </w:rPr>
            </w:pPr>
            <w:r>
              <w:t>11,274,205</w:t>
            </w:r>
          </w:p>
        </w:tc>
        <w:tc>
          <w:tcPr>
            <w:tcW w:w="1890" w:type="dxa"/>
          </w:tcPr>
          <w:p w:rsidR="003C0310" w:rsidRDefault="003C0310" w:rsidP="004B049B">
            <w:pPr>
              <w:autoSpaceDE w:val="0"/>
              <w:autoSpaceDN w:val="0"/>
              <w:adjustRightInd w:val="0"/>
              <w:jc w:val="both"/>
            </w:pPr>
            <w:r>
              <w:rPr>
                <w:bCs/>
                <w:lang w:val="en-GB"/>
              </w:rPr>
              <w:t>11,274,205</w:t>
            </w:r>
          </w:p>
        </w:tc>
      </w:tr>
    </w:tbl>
    <w:p w:rsidR="008E73B5" w:rsidRPr="00644A3E" w:rsidRDefault="008E73B5" w:rsidP="003944C3">
      <w:pPr>
        <w:autoSpaceDE w:val="0"/>
        <w:autoSpaceDN w:val="0"/>
        <w:adjustRightInd w:val="0"/>
        <w:spacing w:after="0" w:line="240" w:lineRule="auto"/>
        <w:jc w:val="both"/>
        <w:rPr>
          <w:rFonts w:cs="Calibri"/>
          <w:color w:val="000000"/>
        </w:rPr>
      </w:pPr>
    </w:p>
    <w:p w:rsidR="00F15C7B" w:rsidRPr="00E65654" w:rsidRDefault="00F15C7B" w:rsidP="003944C3">
      <w:pPr>
        <w:autoSpaceDE w:val="0"/>
        <w:autoSpaceDN w:val="0"/>
        <w:adjustRightInd w:val="0"/>
        <w:spacing w:after="0" w:line="240" w:lineRule="auto"/>
        <w:jc w:val="both"/>
        <w:rPr>
          <w:rFonts w:cs="Times New Roman"/>
        </w:rPr>
      </w:pPr>
      <w:r w:rsidRPr="00E65654">
        <w:rPr>
          <w:rFonts w:cs="Times New Roman"/>
        </w:rPr>
        <w:t>The factors that have caused variations in results over the quarters are:</w:t>
      </w:r>
    </w:p>
    <w:p w:rsidR="00F15C7B" w:rsidRPr="00E65654" w:rsidRDefault="00F15C7B" w:rsidP="003944C3">
      <w:pPr>
        <w:autoSpaceDE w:val="0"/>
        <w:autoSpaceDN w:val="0"/>
        <w:adjustRightInd w:val="0"/>
        <w:spacing w:after="0" w:line="240" w:lineRule="auto"/>
        <w:jc w:val="both"/>
        <w:rPr>
          <w:rFonts w:cs="Times New Roman"/>
        </w:rPr>
      </w:pPr>
    </w:p>
    <w:p w:rsidR="007F68DB" w:rsidRPr="00CE7277" w:rsidRDefault="007F68DB" w:rsidP="007F68DB">
      <w:pPr>
        <w:pStyle w:val="ListParagraph"/>
        <w:numPr>
          <w:ilvl w:val="0"/>
          <w:numId w:val="3"/>
        </w:numPr>
        <w:autoSpaceDE w:val="0"/>
        <w:autoSpaceDN w:val="0"/>
        <w:adjustRightInd w:val="0"/>
        <w:spacing w:after="0" w:line="240" w:lineRule="auto"/>
        <w:jc w:val="both"/>
        <w:rPr>
          <w:rFonts w:cs="Times New Roman"/>
        </w:rPr>
      </w:pPr>
      <w:r w:rsidRPr="00CE7277">
        <w:rPr>
          <w:rFonts w:cs="Times New Roman"/>
        </w:rPr>
        <w:t>The Company incurred a net loss of $</w:t>
      </w:r>
      <w:r>
        <w:rPr>
          <w:bCs/>
          <w:lang w:val="en-GB"/>
        </w:rPr>
        <w:t>46,449</w:t>
      </w:r>
      <w:r w:rsidRPr="00CE7277">
        <w:rPr>
          <w:bCs/>
          <w:lang w:val="en-GB"/>
        </w:rPr>
        <w:t xml:space="preserve"> </w:t>
      </w:r>
      <w:r w:rsidRPr="00CE7277">
        <w:rPr>
          <w:rFonts w:cs="Times New Roman"/>
        </w:rPr>
        <w:t>for</w:t>
      </w:r>
      <w:r w:rsidRPr="00E65654">
        <w:rPr>
          <w:rFonts w:cs="Times New Roman"/>
        </w:rPr>
        <w:t xml:space="preserve"> the </w:t>
      </w:r>
      <w:r>
        <w:rPr>
          <w:rFonts w:cs="Times New Roman"/>
        </w:rPr>
        <w:t>three month period</w:t>
      </w:r>
      <w:r w:rsidRPr="00E65654">
        <w:rPr>
          <w:rFonts w:cs="Times New Roman"/>
        </w:rPr>
        <w:t xml:space="preserve"> ended </w:t>
      </w:r>
      <w:r>
        <w:rPr>
          <w:rFonts w:cs="Times New Roman"/>
        </w:rPr>
        <w:t>April 30</w:t>
      </w:r>
      <w:r w:rsidRPr="00E65654">
        <w:rPr>
          <w:rFonts w:cs="Times New Roman"/>
        </w:rPr>
        <w:t>, 2015</w:t>
      </w:r>
      <w:r w:rsidRPr="00CE7277">
        <w:rPr>
          <w:rFonts w:cs="Times New Roman"/>
        </w:rPr>
        <w:t>, as compared to a net loss of</w:t>
      </w:r>
      <w:r w:rsidRPr="00CE7277">
        <w:rPr>
          <w:bCs/>
          <w:lang w:val="en-GB"/>
        </w:rPr>
        <w:t xml:space="preserve"> </w:t>
      </w:r>
      <w:r w:rsidRPr="00CE7277">
        <w:rPr>
          <w:rFonts w:cs="Times New Roman"/>
        </w:rPr>
        <w:t>$</w:t>
      </w:r>
      <w:r>
        <w:rPr>
          <w:bCs/>
          <w:lang w:val="en-GB"/>
        </w:rPr>
        <w:t>31,851</w:t>
      </w:r>
      <w:r w:rsidRPr="00CE7277">
        <w:rPr>
          <w:rFonts w:cs="Times New Roman"/>
        </w:rPr>
        <w:t xml:space="preserve"> for the</w:t>
      </w:r>
      <w:r>
        <w:rPr>
          <w:rFonts w:cs="Times New Roman"/>
        </w:rPr>
        <w:t xml:space="preserve"> three month</w:t>
      </w:r>
      <w:r w:rsidRPr="00CE7277">
        <w:rPr>
          <w:rFonts w:cs="Times New Roman"/>
        </w:rPr>
        <w:t xml:space="preserve"> period </w:t>
      </w:r>
      <w:r>
        <w:rPr>
          <w:rFonts w:cs="Times New Roman"/>
        </w:rPr>
        <w:t>ended April 30</w:t>
      </w:r>
      <w:r w:rsidRPr="00CE7277">
        <w:rPr>
          <w:rFonts w:cs="Times New Roman"/>
        </w:rPr>
        <w:t xml:space="preserve">, 2014. The primary </w:t>
      </w:r>
      <w:r w:rsidRPr="00CE7277">
        <w:rPr>
          <w:rFonts w:cs="Times New Roman"/>
        </w:rPr>
        <w:lastRenderedPageBreak/>
        <w:t xml:space="preserve">reason for this increased net loss was due to </w:t>
      </w:r>
      <w:r>
        <w:rPr>
          <w:rFonts w:cs="Times New Roman"/>
        </w:rPr>
        <w:t>increased professional fees and increased filing fees for the April 2015 quarter.</w:t>
      </w:r>
    </w:p>
    <w:p w:rsidR="007F68DB" w:rsidRDefault="007F68DB" w:rsidP="007F68DB">
      <w:pPr>
        <w:pStyle w:val="ListParagraph"/>
        <w:autoSpaceDE w:val="0"/>
        <w:autoSpaceDN w:val="0"/>
        <w:adjustRightInd w:val="0"/>
        <w:spacing w:after="240" w:line="240" w:lineRule="auto"/>
        <w:rPr>
          <w:rFonts w:cs="Times New Roman"/>
        </w:rPr>
      </w:pPr>
    </w:p>
    <w:p w:rsidR="00A370DC" w:rsidRPr="007F68DB" w:rsidRDefault="00A370DC" w:rsidP="007F68DB">
      <w:pPr>
        <w:pStyle w:val="ListParagraph"/>
        <w:numPr>
          <w:ilvl w:val="0"/>
          <w:numId w:val="3"/>
        </w:numPr>
        <w:autoSpaceDE w:val="0"/>
        <w:autoSpaceDN w:val="0"/>
        <w:adjustRightInd w:val="0"/>
        <w:spacing w:after="240" w:line="240" w:lineRule="auto"/>
        <w:rPr>
          <w:rFonts w:cs="Times New Roman"/>
        </w:rPr>
      </w:pPr>
      <w:r w:rsidRPr="007F68DB">
        <w:rPr>
          <w:rFonts w:cs="Times New Roman"/>
        </w:rPr>
        <w:t xml:space="preserve">The Company incurred a net loss of </w:t>
      </w:r>
      <w:r w:rsidR="00C418F9" w:rsidRPr="007F68DB">
        <w:rPr>
          <w:lang w:val="en-GB"/>
        </w:rPr>
        <w:t>$</w:t>
      </w:r>
      <w:r w:rsidR="004B049B" w:rsidRPr="007F68DB">
        <w:rPr>
          <w:lang w:val="en-GB"/>
        </w:rPr>
        <w:t>270,170</w:t>
      </w:r>
      <w:r w:rsidR="00C418F9" w:rsidRPr="007F68DB">
        <w:rPr>
          <w:lang w:val="en-GB"/>
        </w:rPr>
        <w:t xml:space="preserve"> </w:t>
      </w:r>
      <w:r w:rsidRPr="007F68DB">
        <w:rPr>
          <w:rFonts w:cs="Times New Roman"/>
        </w:rPr>
        <w:t>for the quarter ended January 31, 2015, as compared to a net loss of</w:t>
      </w:r>
      <w:r w:rsidRPr="007F68DB">
        <w:rPr>
          <w:rFonts w:cs="Calibri"/>
          <w:color w:val="000000"/>
        </w:rPr>
        <w:t xml:space="preserve"> </w:t>
      </w:r>
      <w:r w:rsidRPr="007F68DB">
        <w:rPr>
          <w:lang w:val="en-GB"/>
        </w:rPr>
        <w:t>$42,461</w:t>
      </w:r>
      <w:r w:rsidRPr="007F68DB">
        <w:rPr>
          <w:rFonts w:cs="Times New Roman"/>
        </w:rPr>
        <w:t xml:space="preserve"> for the quarter ended January 31, 2014. The increase</w:t>
      </w:r>
      <w:r w:rsidR="00DB13D2" w:rsidRPr="007F68DB">
        <w:rPr>
          <w:rFonts w:cs="Times New Roman"/>
        </w:rPr>
        <w:t>d</w:t>
      </w:r>
      <w:r w:rsidRPr="007F68DB">
        <w:rPr>
          <w:rFonts w:cs="Times New Roman"/>
        </w:rPr>
        <w:t xml:space="preserve"> </w:t>
      </w:r>
      <w:r w:rsidR="00996D55" w:rsidRPr="007F68DB">
        <w:rPr>
          <w:rFonts w:cs="Times New Roman"/>
        </w:rPr>
        <w:t xml:space="preserve">net loss </w:t>
      </w:r>
      <w:r w:rsidRPr="007F68DB">
        <w:rPr>
          <w:rFonts w:cs="Times New Roman"/>
        </w:rPr>
        <w:t xml:space="preserve">was </w:t>
      </w:r>
      <w:r w:rsidR="00C418F9" w:rsidRPr="007F68DB">
        <w:rPr>
          <w:rFonts w:cs="Times New Roman"/>
        </w:rPr>
        <w:t xml:space="preserve">primary due to an </w:t>
      </w:r>
      <w:proofErr w:type="spellStart"/>
      <w:r w:rsidR="00C418F9" w:rsidRPr="007F68DB">
        <w:rPr>
          <w:rFonts w:cs="Times New Roman"/>
        </w:rPr>
        <w:t>i</w:t>
      </w:r>
      <w:r w:rsidR="00C418F9" w:rsidRPr="007F68DB">
        <w:rPr>
          <w:lang w:val="en-GB"/>
        </w:rPr>
        <w:t>mpairment</w:t>
      </w:r>
      <w:proofErr w:type="spellEnd"/>
      <w:r w:rsidR="00C418F9" w:rsidRPr="007F68DB">
        <w:rPr>
          <w:lang w:val="en-GB"/>
        </w:rPr>
        <w:t xml:space="preserve"> write-down of exploration and evaluation property</w:t>
      </w:r>
      <w:r w:rsidR="00C418F9" w:rsidRPr="007F68DB">
        <w:rPr>
          <w:bCs/>
          <w:lang w:val="en-GB"/>
        </w:rPr>
        <w:t xml:space="preserve"> of $</w:t>
      </w:r>
      <w:r w:rsidR="004B049B" w:rsidRPr="007F68DB">
        <w:rPr>
          <w:rFonts w:cs="Calibri"/>
          <w:color w:val="000000"/>
        </w:rPr>
        <w:t>213,614</w:t>
      </w:r>
      <w:r w:rsidR="004B049B" w:rsidRPr="007F68DB">
        <w:rPr>
          <w:bCs/>
          <w:lang w:val="en-GB"/>
        </w:rPr>
        <w:t xml:space="preserve"> </w:t>
      </w:r>
      <w:r w:rsidR="00C418F9" w:rsidRPr="007F68DB">
        <w:rPr>
          <w:bCs/>
          <w:lang w:val="en-GB"/>
        </w:rPr>
        <w:t xml:space="preserve">(2014- $18,000), along with </w:t>
      </w:r>
      <w:r w:rsidR="00DB13D2" w:rsidRPr="007F68DB">
        <w:rPr>
          <w:rFonts w:cs="Times New Roman"/>
        </w:rPr>
        <w:t>s</w:t>
      </w:r>
      <w:r w:rsidRPr="007F68DB">
        <w:rPr>
          <w:rFonts w:cs="Times New Roman"/>
        </w:rPr>
        <w:t>hare-based payment</w:t>
      </w:r>
      <w:r w:rsidR="00996D55" w:rsidRPr="007F68DB">
        <w:rPr>
          <w:rFonts w:cs="Times New Roman"/>
        </w:rPr>
        <w:t xml:space="preserve"> expense </w:t>
      </w:r>
      <w:r w:rsidRPr="007F68DB">
        <w:rPr>
          <w:rFonts w:cs="Times New Roman"/>
        </w:rPr>
        <w:t>of $15,881</w:t>
      </w:r>
      <w:r w:rsidR="00996D55" w:rsidRPr="007F68DB">
        <w:rPr>
          <w:rFonts w:cs="Times New Roman"/>
        </w:rPr>
        <w:t xml:space="preserve"> recognized</w:t>
      </w:r>
      <w:r w:rsidRPr="007F68DB">
        <w:rPr>
          <w:rFonts w:cs="Times New Roman"/>
        </w:rPr>
        <w:t xml:space="preserve"> in the quarter, compared to $</w:t>
      </w:r>
      <w:r w:rsidRPr="00E65654">
        <w:t>Nil</w:t>
      </w:r>
      <w:r w:rsidRPr="007F68DB">
        <w:rPr>
          <w:rFonts w:cs="Times New Roman"/>
        </w:rPr>
        <w:t xml:space="preserve"> for th</w:t>
      </w:r>
      <w:r w:rsidR="00FD6120" w:rsidRPr="007F68DB">
        <w:rPr>
          <w:rFonts w:cs="Times New Roman"/>
        </w:rPr>
        <w:t>e same quarter the previous yea</w:t>
      </w:r>
      <w:r w:rsidRPr="00E65654">
        <w:t>r</w:t>
      </w:r>
      <w:r w:rsidR="00C418F9">
        <w:t>.</w:t>
      </w:r>
      <w:r w:rsidR="007F68DB">
        <w:br/>
      </w:r>
    </w:p>
    <w:p w:rsidR="00996D55" w:rsidRPr="00E65654" w:rsidRDefault="00996D55" w:rsidP="007F68DB">
      <w:pPr>
        <w:pStyle w:val="ListParagraph"/>
        <w:numPr>
          <w:ilvl w:val="0"/>
          <w:numId w:val="3"/>
        </w:numPr>
        <w:autoSpaceDE w:val="0"/>
        <w:autoSpaceDN w:val="0"/>
        <w:adjustRightInd w:val="0"/>
        <w:spacing w:after="0" w:line="240" w:lineRule="auto"/>
        <w:rPr>
          <w:rFonts w:cs="Times New Roman"/>
        </w:rPr>
      </w:pPr>
      <w:r w:rsidRPr="00E65654">
        <w:rPr>
          <w:rFonts w:cs="Times New Roman"/>
        </w:rPr>
        <w:t>The Company incurred a net loss of $</w:t>
      </w:r>
      <w:r w:rsidRPr="00E65654">
        <w:rPr>
          <w:lang w:val="en-GB"/>
        </w:rPr>
        <w:t>38,250</w:t>
      </w:r>
      <w:r w:rsidRPr="00E65654">
        <w:rPr>
          <w:rFonts w:cs="Times New Roman"/>
        </w:rPr>
        <w:t xml:space="preserve"> for the three month period ended July 31, 2014, as compared to the loss of </w:t>
      </w:r>
      <w:r w:rsidRPr="00E65654">
        <w:rPr>
          <w:rFonts w:cs="Calibri"/>
          <w:color w:val="000000"/>
        </w:rPr>
        <w:t>$</w:t>
      </w:r>
      <w:r w:rsidRPr="00E65654">
        <w:rPr>
          <w:bCs/>
          <w:lang w:val="en-GB"/>
        </w:rPr>
        <w:t xml:space="preserve">59,686 </w:t>
      </w:r>
      <w:r w:rsidRPr="00E65654">
        <w:rPr>
          <w:rFonts w:cs="Calibri"/>
          <w:color w:val="000000"/>
        </w:rPr>
        <w:t>f</w:t>
      </w:r>
      <w:r w:rsidRPr="00E65654">
        <w:rPr>
          <w:rFonts w:cs="Times New Roman"/>
        </w:rPr>
        <w:t>or three month period ended July 31, 2013. The primary reason for this variation was professional fees of $</w:t>
      </w:r>
      <w:r w:rsidRPr="00E65654">
        <w:t xml:space="preserve">17,340 </w:t>
      </w:r>
      <w:r w:rsidRPr="00E65654">
        <w:rPr>
          <w:rFonts w:cs="Times New Roman"/>
        </w:rPr>
        <w:t>for the three month period ended July 31, 2014, compared to $</w:t>
      </w:r>
      <w:r w:rsidRPr="00E65654">
        <w:t>43,118 of professional fees</w:t>
      </w:r>
      <w:r w:rsidRPr="00E65654">
        <w:rPr>
          <w:rFonts w:cs="Times New Roman"/>
        </w:rPr>
        <w:t xml:space="preserve"> for the same three month period in 2013. The Company incurring higher than normal accounting, auditing and legal fees during the quarter ended July 31, 2013.</w:t>
      </w:r>
    </w:p>
    <w:p w:rsidR="00996D55" w:rsidRPr="00E65654" w:rsidRDefault="00996D55" w:rsidP="007F68DB">
      <w:pPr>
        <w:pStyle w:val="ListParagraph"/>
        <w:autoSpaceDE w:val="0"/>
        <w:autoSpaceDN w:val="0"/>
        <w:adjustRightInd w:val="0"/>
        <w:spacing w:after="0" w:line="240" w:lineRule="auto"/>
        <w:rPr>
          <w:rFonts w:cs="Times New Roman"/>
        </w:rPr>
      </w:pPr>
    </w:p>
    <w:p w:rsidR="00996D55" w:rsidRPr="00E65654" w:rsidRDefault="00996D55" w:rsidP="007F68DB">
      <w:pPr>
        <w:pStyle w:val="ListParagraph"/>
        <w:numPr>
          <w:ilvl w:val="0"/>
          <w:numId w:val="3"/>
        </w:numPr>
        <w:autoSpaceDE w:val="0"/>
        <w:autoSpaceDN w:val="0"/>
        <w:adjustRightInd w:val="0"/>
        <w:spacing w:after="0" w:line="240" w:lineRule="auto"/>
        <w:rPr>
          <w:rFonts w:cs="Times New Roman"/>
        </w:rPr>
      </w:pPr>
      <w:r w:rsidRPr="00E65654">
        <w:rPr>
          <w:rFonts w:cs="Times New Roman"/>
        </w:rPr>
        <w:t xml:space="preserve">The Company incurred a net loss of </w:t>
      </w:r>
      <w:r w:rsidRPr="00E65654">
        <w:rPr>
          <w:lang w:val="en-GB"/>
        </w:rPr>
        <w:t>$</w:t>
      </w:r>
      <w:r w:rsidR="00512002">
        <w:rPr>
          <w:lang w:val="en-GB"/>
        </w:rPr>
        <w:t>38,250</w:t>
      </w:r>
      <w:r w:rsidRPr="00E65654">
        <w:rPr>
          <w:rFonts w:cs="Times New Roman"/>
        </w:rPr>
        <w:t xml:space="preserve"> for the three month period ended </w:t>
      </w:r>
      <w:r w:rsidR="00512002">
        <w:rPr>
          <w:rFonts w:cs="Times New Roman"/>
        </w:rPr>
        <w:t>July</w:t>
      </w:r>
      <w:r w:rsidRPr="00E65654">
        <w:rPr>
          <w:rFonts w:cs="Times New Roman"/>
        </w:rPr>
        <w:t xml:space="preserve"> 31, 201</w:t>
      </w:r>
      <w:r w:rsidR="00512002">
        <w:rPr>
          <w:rFonts w:cs="Times New Roman"/>
        </w:rPr>
        <w:t>4</w:t>
      </w:r>
      <w:r w:rsidRPr="00E65654">
        <w:rPr>
          <w:rFonts w:cs="Times New Roman"/>
        </w:rPr>
        <w:t xml:space="preserve">, as compared to a net loss of </w:t>
      </w:r>
      <w:r w:rsidRPr="00E65654">
        <w:rPr>
          <w:lang w:val="en-GB"/>
        </w:rPr>
        <w:t xml:space="preserve">$59,686 </w:t>
      </w:r>
      <w:r w:rsidRPr="00E65654">
        <w:rPr>
          <w:rFonts w:cs="Times New Roman"/>
        </w:rPr>
        <w:t xml:space="preserve">for the three month period ended July 31, 2013. The </w:t>
      </w:r>
      <w:r w:rsidR="00512002">
        <w:rPr>
          <w:rFonts w:cs="Times New Roman"/>
        </w:rPr>
        <w:t xml:space="preserve">decreased net </w:t>
      </w:r>
      <w:r w:rsidRPr="00E65654">
        <w:rPr>
          <w:rFonts w:cs="Times New Roman"/>
        </w:rPr>
        <w:t xml:space="preserve">loss </w:t>
      </w:r>
      <w:r w:rsidR="00512002">
        <w:rPr>
          <w:rFonts w:cs="Times New Roman"/>
        </w:rPr>
        <w:t xml:space="preserve">in 2014 compared to the same period the year prior </w:t>
      </w:r>
      <w:r w:rsidRPr="00E65654">
        <w:rPr>
          <w:rFonts w:cs="Times New Roman"/>
        </w:rPr>
        <w:t xml:space="preserve">was mainly due to a decrease in professional fees during the </w:t>
      </w:r>
      <w:r w:rsidR="00512002">
        <w:rPr>
          <w:rFonts w:cs="Times New Roman"/>
        </w:rPr>
        <w:t>three month period ended July</w:t>
      </w:r>
      <w:r w:rsidRPr="00E65654">
        <w:rPr>
          <w:rFonts w:cs="Times New Roman"/>
        </w:rPr>
        <w:t xml:space="preserve"> 31, 201</w:t>
      </w:r>
      <w:r w:rsidR="00512002">
        <w:rPr>
          <w:rFonts w:cs="Times New Roman"/>
        </w:rPr>
        <w:t>4</w:t>
      </w:r>
      <w:r w:rsidRPr="00E65654">
        <w:rPr>
          <w:rFonts w:cs="Times New Roman"/>
        </w:rPr>
        <w:t>.</w:t>
      </w:r>
      <w:r w:rsidRPr="00E65654">
        <w:rPr>
          <w:rFonts w:cs="Times New Roman"/>
        </w:rPr>
        <w:br/>
      </w:r>
    </w:p>
    <w:p w:rsidR="00F15C7B" w:rsidRPr="00E65654" w:rsidRDefault="00F15C7B" w:rsidP="003944C3">
      <w:pPr>
        <w:autoSpaceDE w:val="0"/>
        <w:autoSpaceDN w:val="0"/>
        <w:adjustRightInd w:val="0"/>
        <w:spacing w:after="0" w:line="240" w:lineRule="auto"/>
        <w:jc w:val="both"/>
        <w:rPr>
          <w:rFonts w:cs="Calibri-Bold"/>
          <w:b/>
          <w:bCs/>
          <w:color w:val="000000"/>
        </w:rPr>
      </w:pPr>
    </w:p>
    <w:p w:rsidR="008E73B5" w:rsidRPr="00E65654" w:rsidRDefault="00020A10" w:rsidP="003944C3">
      <w:pPr>
        <w:autoSpaceDE w:val="0"/>
        <w:autoSpaceDN w:val="0"/>
        <w:adjustRightInd w:val="0"/>
        <w:spacing w:after="0" w:line="240" w:lineRule="auto"/>
        <w:jc w:val="both"/>
        <w:rPr>
          <w:rFonts w:cs="Calibri-Bold"/>
          <w:b/>
          <w:bCs/>
          <w:color w:val="000000"/>
        </w:rPr>
      </w:pPr>
      <w:r w:rsidRPr="00E65654">
        <w:rPr>
          <w:rFonts w:cs="Calibri-Bold"/>
          <w:b/>
          <w:bCs/>
          <w:color w:val="000000"/>
        </w:rPr>
        <w:t>Liquidity and Capital Resources</w:t>
      </w:r>
    </w:p>
    <w:p w:rsidR="00F838A6" w:rsidRPr="00E65654" w:rsidRDefault="0069587A" w:rsidP="00E65654">
      <w:pPr>
        <w:pStyle w:val="NormalWeb"/>
        <w:shd w:val="clear" w:color="auto" w:fill="FFFFFF"/>
        <w:jc w:val="both"/>
        <w:rPr>
          <w:rFonts w:asciiTheme="minorHAnsi" w:hAnsiTheme="minorHAnsi"/>
          <w:color w:val="000000"/>
          <w:sz w:val="22"/>
          <w:szCs w:val="22"/>
        </w:rPr>
      </w:pPr>
      <w:r w:rsidRPr="00E65654">
        <w:rPr>
          <w:rFonts w:asciiTheme="minorHAnsi" w:hAnsiTheme="minorHAnsi"/>
          <w:color w:val="000000"/>
          <w:sz w:val="22"/>
          <w:szCs w:val="22"/>
        </w:rPr>
        <w:t xml:space="preserve">The Company is in the exploration stage and therefore has no cash inflow from operations. </w:t>
      </w:r>
      <w:r w:rsidR="00BA129A" w:rsidRPr="00E65654">
        <w:rPr>
          <w:rFonts w:asciiTheme="minorHAnsi" w:hAnsiTheme="minorHAnsi"/>
          <w:color w:val="000000"/>
          <w:sz w:val="22"/>
          <w:szCs w:val="22"/>
        </w:rPr>
        <w:t>Its</w:t>
      </w:r>
      <w:r w:rsidRPr="00E65654">
        <w:rPr>
          <w:rFonts w:asciiTheme="minorHAnsi" w:hAnsiTheme="minorHAnsi"/>
          <w:color w:val="000000"/>
          <w:sz w:val="22"/>
          <w:szCs w:val="22"/>
        </w:rPr>
        <w:t xml:space="preserve"> only</w:t>
      </w:r>
      <w:r w:rsidR="00633179" w:rsidRPr="00E65654">
        <w:rPr>
          <w:rFonts w:asciiTheme="minorHAnsi" w:hAnsiTheme="minorHAnsi"/>
          <w:color w:val="000000"/>
          <w:sz w:val="22"/>
          <w:szCs w:val="22"/>
        </w:rPr>
        <w:t xml:space="preserve"> </w:t>
      </w:r>
      <w:r w:rsidRPr="00E65654">
        <w:rPr>
          <w:rFonts w:asciiTheme="minorHAnsi" w:hAnsiTheme="minorHAnsi"/>
          <w:color w:val="000000"/>
          <w:sz w:val="22"/>
          <w:szCs w:val="22"/>
        </w:rPr>
        <w:t>significant source of funds since incorporation has been from the sale of common shares. From the date of</w:t>
      </w:r>
      <w:r w:rsidR="00E76715" w:rsidRPr="00E65654">
        <w:rPr>
          <w:rFonts w:asciiTheme="minorHAnsi" w:hAnsiTheme="minorHAnsi"/>
          <w:color w:val="000000"/>
          <w:sz w:val="22"/>
          <w:szCs w:val="22"/>
        </w:rPr>
        <w:t xml:space="preserve"> </w:t>
      </w:r>
      <w:r w:rsidRPr="00E65654">
        <w:rPr>
          <w:rFonts w:asciiTheme="minorHAnsi" w:hAnsiTheme="minorHAnsi"/>
          <w:color w:val="000000"/>
          <w:sz w:val="22"/>
          <w:szCs w:val="22"/>
        </w:rPr>
        <w:t>incorporation on July 29, 2</w:t>
      </w:r>
      <w:r w:rsidR="00E65654" w:rsidRPr="00E65654">
        <w:rPr>
          <w:rFonts w:asciiTheme="minorHAnsi" w:hAnsiTheme="minorHAnsi"/>
          <w:color w:val="000000"/>
          <w:sz w:val="22"/>
          <w:szCs w:val="22"/>
        </w:rPr>
        <w:t xml:space="preserve">010, to </w:t>
      </w:r>
      <w:r w:rsidR="00DB13D2">
        <w:rPr>
          <w:rFonts w:asciiTheme="minorHAnsi" w:hAnsiTheme="minorHAnsi"/>
          <w:color w:val="000000"/>
          <w:sz w:val="22"/>
          <w:szCs w:val="22"/>
        </w:rPr>
        <w:t>the date of this MD&amp;A</w:t>
      </w:r>
      <w:r w:rsidR="00E65654" w:rsidRPr="00E65654">
        <w:rPr>
          <w:rFonts w:asciiTheme="minorHAnsi" w:hAnsiTheme="minorHAnsi"/>
          <w:color w:val="000000"/>
          <w:sz w:val="22"/>
          <w:szCs w:val="22"/>
        </w:rPr>
        <w:t>, it</w:t>
      </w:r>
      <w:r w:rsidRPr="00E65654">
        <w:rPr>
          <w:rFonts w:asciiTheme="minorHAnsi" w:hAnsiTheme="minorHAnsi"/>
          <w:color w:val="000000"/>
          <w:sz w:val="22"/>
          <w:szCs w:val="22"/>
        </w:rPr>
        <w:t xml:space="preserve"> raised $</w:t>
      </w:r>
      <w:r w:rsidR="007F68DB">
        <w:rPr>
          <w:rFonts w:asciiTheme="minorHAnsi" w:hAnsiTheme="minorHAnsi"/>
          <w:color w:val="000000"/>
          <w:sz w:val="22"/>
          <w:szCs w:val="22"/>
        </w:rPr>
        <w:t>1,0</w:t>
      </w:r>
      <w:r w:rsidRPr="00E65654">
        <w:rPr>
          <w:rFonts w:asciiTheme="minorHAnsi" w:hAnsiTheme="minorHAnsi"/>
          <w:color w:val="000000"/>
          <w:sz w:val="22"/>
          <w:szCs w:val="22"/>
        </w:rPr>
        <w:t>24,932 through the issuance of 1</w:t>
      </w:r>
      <w:r w:rsidR="00DB13D2">
        <w:rPr>
          <w:rFonts w:asciiTheme="minorHAnsi" w:hAnsiTheme="minorHAnsi"/>
          <w:color w:val="000000"/>
          <w:sz w:val="22"/>
          <w:szCs w:val="22"/>
        </w:rPr>
        <w:t>2</w:t>
      </w:r>
      <w:r w:rsidRPr="00E65654">
        <w:rPr>
          <w:rFonts w:asciiTheme="minorHAnsi" w:hAnsiTheme="minorHAnsi"/>
          <w:color w:val="000000"/>
          <w:sz w:val="22"/>
          <w:szCs w:val="22"/>
        </w:rPr>
        <w:t>,996,260 common shares. The Company has also issued: 50,000 common</w:t>
      </w:r>
      <w:r w:rsidR="00633179" w:rsidRPr="00E65654">
        <w:rPr>
          <w:rFonts w:asciiTheme="minorHAnsi" w:hAnsiTheme="minorHAnsi"/>
          <w:color w:val="000000"/>
          <w:sz w:val="22"/>
          <w:szCs w:val="22"/>
        </w:rPr>
        <w:t xml:space="preserve"> </w:t>
      </w:r>
      <w:r w:rsidRPr="00E65654">
        <w:rPr>
          <w:rFonts w:asciiTheme="minorHAnsi" w:hAnsiTheme="minorHAnsi"/>
          <w:color w:val="000000"/>
          <w:sz w:val="22"/>
          <w:szCs w:val="22"/>
        </w:rPr>
        <w:t>shares to Karl Antonius for services provided to the Company in bringing the opportunity to acquire the</w:t>
      </w:r>
      <w:r w:rsidR="008F6374" w:rsidRPr="00E65654">
        <w:rPr>
          <w:rFonts w:asciiTheme="minorHAnsi" w:hAnsiTheme="minorHAnsi"/>
          <w:color w:val="000000"/>
          <w:sz w:val="22"/>
          <w:szCs w:val="22"/>
        </w:rPr>
        <w:t xml:space="preserve"> </w:t>
      </w:r>
      <w:r w:rsidRPr="00E65654">
        <w:rPr>
          <w:rFonts w:asciiTheme="minorHAnsi" w:hAnsiTheme="minorHAnsi"/>
          <w:color w:val="000000"/>
          <w:sz w:val="22"/>
          <w:szCs w:val="22"/>
        </w:rPr>
        <w:t>Property; 100,000 common shares to Fred Bonner, a director of the Company, for services to the</w:t>
      </w:r>
      <w:r w:rsidR="00633179" w:rsidRPr="00E65654">
        <w:rPr>
          <w:rFonts w:asciiTheme="minorHAnsi" w:hAnsiTheme="minorHAnsi"/>
          <w:color w:val="000000"/>
          <w:sz w:val="22"/>
          <w:szCs w:val="22"/>
        </w:rPr>
        <w:t xml:space="preserve"> </w:t>
      </w:r>
      <w:r w:rsidRPr="00E65654">
        <w:rPr>
          <w:rFonts w:asciiTheme="minorHAnsi" w:hAnsiTheme="minorHAnsi"/>
          <w:color w:val="000000"/>
          <w:sz w:val="22"/>
          <w:szCs w:val="22"/>
        </w:rPr>
        <w:t>Company in regard to bringing mining acquisition opportunities to the attention of the Company; and</w:t>
      </w:r>
      <w:r w:rsidR="00633179" w:rsidRPr="00E65654">
        <w:rPr>
          <w:rFonts w:asciiTheme="minorHAnsi" w:hAnsiTheme="minorHAnsi"/>
          <w:color w:val="000000"/>
          <w:sz w:val="22"/>
          <w:szCs w:val="22"/>
        </w:rPr>
        <w:t xml:space="preserve"> </w:t>
      </w:r>
      <w:r w:rsidRPr="00E65654">
        <w:rPr>
          <w:rFonts w:asciiTheme="minorHAnsi" w:hAnsiTheme="minorHAnsi"/>
          <w:color w:val="000000"/>
          <w:sz w:val="22"/>
          <w:szCs w:val="22"/>
        </w:rPr>
        <w:t>1</w:t>
      </w:r>
      <w:r w:rsidR="00E8276F" w:rsidRPr="00E65654">
        <w:rPr>
          <w:rFonts w:asciiTheme="minorHAnsi" w:hAnsiTheme="minorHAnsi"/>
          <w:color w:val="000000"/>
          <w:sz w:val="22"/>
          <w:szCs w:val="22"/>
        </w:rPr>
        <w:t>5</w:t>
      </w:r>
      <w:r w:rsidRPr="00E65654">
        <w:rPr>
          <w:rFonts w:asciiTheme="minorHAnsi" w:hAnsiTheme="minorHAnsi"/>
          <w:color w:val="000000"/>
          <w:sz w:val="22"/>
          <w:szCs w:val="22"/>
        </w:rPr>
        <w:t>0,000 common shares to Rubicon Minerals Corporation under the terms of the Pattullo Option</w:t>
      </w:r>
      <w:r w:rsidR="00633179" w:rsidRPr="00E65654">
        <w:rPr>
          <w:rFonts w:asciiTheme="minorHAnsi" w:hAnsiTheme="minorHAnsi"/>
          <w:color w:val="000000"/>
          <w:sz w:val="22"/>
          <w:szCs w:val="22"/>
        </w:rPr>
        <w:t xml:space="preserve"> </w:t>
      </w:r>
      <w:r w:rsidR="00545B0F" w:rsidRPr="00E65654">
        <w:rPr>
          <w:rFonts w:asciiTheme="minorHAnsi" w:hAnsiTheme="minorHAnsi"/>
          <w:color w:val="000000"/>
          <w:sz w:val="22"/>
          <w:szCs w:val="22"/>
        </w:rPr>
        <w:t xml:space="preserve">Agreement. </w:t>
      </w:r>
    </w:p>
    <w:p w:rsidR="0069587A" w:rsidRPr="00E65654" w:rsidRDefault="0069587A" w:rsidP="003944C3">
      <w:pPr>
        <w:autoSpaceDE w:val="0"/>
        <w:autoSpaceDN w:val="0"/>
        <w:adjustRightInd w:val="0"/>
        <w:spacing w:after="0" w:line="240" w:lineRule="auto"/>
        <w:jc w:val="both"/>
        <w:rPr>
          <w:rFonts w:cs="Times New Roman"/>
          <w:color w:val="000000"/>
        </w:rPr>
      </w:pPr>
      <w:r w:rsidRPr="00E65654">
        <w:rPr>
          <w:rFonts w:cs="Times New Roman"/>
          <w:color w:val="000000"/>
        </w:rPr>
        <w:t>On August 3, 2012, the Company filed its final long form prospectus pertaining to its initial public</w:t>
      </w:r>
      <w:r w:rsidR="00633179" w:rsidRPr="00E65654">
        <w:rPr>
          <w:rFonts w:cs="Times New Roman"/>
          <w:color w:val="000000"/>
        </w:rPr>
        <w:t xml:space="preserve"> </w:t>
      </w:r>
      <w:r w:rsidRPr="00E65654">
        <w:rPr>
          <w:rFonts w:cs="Times New Roman"/>
          <w:color w:val="000000"/>
        </w:rPr>
        <w:t>offering of shares with the British Columbia, Nova Scotia and Ontario Securities Commissions. The</w:t>
      </w:r>
      <w:r w:rsidR="00633179" w:rsidRPr="00E65654">
        <w:rPr>
          <w:rFonts w:cs="Times New Roman"/>
          <w:color w:val="000000"/>
        </w:rPr>
        <w:t xml:space="preserve"> </w:t>
      </w:r>
      <w:r w:rsidRPr="00E65654">
        <w:rPr>
          <w:rFonts w:cs="Times New Roman"/>
          <w:color w:val="000000"/>
        </w:rPr>
        <w:t xml:space="preserve">prospectus can be found on SEDAR at </w:t>
      </w:r>
      <w:r w:rsidRPr="00E65654">
        <w:rPr>
          <w:rFonts w:cs="Times New Roman"/>
          <w:color w:val="0000FF"/>
        </w:rPr>
        <w:t>www.sedar.com</w:t>
      </w:r>
      <w:r w:rsidRPr="00E65654">
        <w:rPr>
          <w:rFonts w:cs="Times New Roman"/>
          <w:color w:val="000000"/>
        </w:rPr>
        <w:t>.</w:t>
      </w:r>
    </w:p>
    <w:p w:rsidR="0069587A" w:rsidRPr="00E65654" w:rsidRDefault="0069587A" w:rsidP="003944C3">
      <w:pPr>
        <w:autoSpaceDE w:val="0"/>
        <w:autoSpaceDN w:val="0"/>
        <w:adjustRightInd w:val="0"/>
        <w:spacing w:after="0" w:line="240" w:lineRule="auto"/>
        <w:jc w:val="both"/>
        <w:rPr>
          <w:rFonts w:cs="Times New Roman"/>
          <w:color w:val="000000"/>
        </w:rPr>
      </w:pPr>
    </w:p>
    <w:p w:rsidR="00D1462E" w:rsidRPr="00E65654" w:rsidRDefault="00BE4D88">
      <w:pPr>
        <w:autoSpaceDE w:val="0"/>
        <w:autoSpaceDN w:val="0"/>
        <w:adjustRightInd w:val="0"/>
        <w:spacing w:after="0" w:line="240" w:lineRule="auto"/>
        <w:jc w:val="both"/>
      </w:pPr>
      <w:r w:rsidRPr="00E65654">
        <w:rPr>
          <w:rFonts w:cs="Times New Roman"/>
        </w:rPr>
        <w:t>On October 31, 2012, the</w:t>
      </w:r>
      <w:r w:rsidRPr="00E65654">
        <w:t xml:space="preserve"> Company completed an initial public offering to issue 3,350,000 common shares at $0.15 per share for gross proceeds of $502,500. Under the terms of an agency agreement, the Company paid the agent a commission of 8% of the aggregate gross proceeds </w:t>
      </w:r>
      <w:r w:rsidR="00893BCD" w:rsidRPr="00E65654">
        <w:t>of</w:t>
      </w:r>
      <w:r w:rsidRPr="00E65654">
        <w:t xml:space="preserve"> the </w:t>
      </w:r>
      <w:r w:rsidR="00893BCD" w:rsidRPr="00E65654">
        <w:t>o</w:t>
      </w:r>
      <w:r w:rsidRPr="00E65654">
        <w:t xml:space="preserve">ffering, a corporate finance fee of $30,000 in cash and paid additional share issuance costs of $59,581 in relation to the offering. The Company also issued share purchase warrants equal to 8% of the number of shares sold pursuant to the </w:t>
      </w:r>
      <w:r w:rsidR="00893BCD" w:rsidRPr="00E65654">
        <w:t>o</w:t>
      </w:r>
      <w:r w:rsidRPr="00E65654">
        <w:t xml:space="preserve">ffering, </w:t>
      </w:r>
      <w:r w:rsidR="00893BCD" w:rsidRPr="00E65654">
        <w:t xml:space="preserve">each warrant </w:t>
      </w:r>
      <w:r w:rsidRPr="00E65654">
        <w:t xml:space="preserve">exercisable at a price of $0.15 per </w:t>
      </w:r>
      <w:r w:rsidR="00893BCD" w:rsidRPr="00E65654">
        <w:t xml:space="preserve">share </w:t>
      </w:r>
      <w:r w:rsidRPr="00E65654">
        <w:t>for a period of 24 months from the date of issuance.</w:t>
      </w:r>
      <w:r w:rsidR="00E65654" w:rsidRPr="00E65654">
        <w:t xml:space="preserve"> These warrants expired before any were executed.</w:t>
      </w:r>
    </w:p>
    <w:p w:rsidR="00E65654" w:rsidRPr="00E65654" w:rsidRDefault="00E65654" w:rsidP="00E65654">
      <w:pPr>
        <w:pStyle w:val="NormalWeb"/>
        <w:shd w:val="clear" w:color="auto" w:fill="FFFFFF"/>
        <w:jc w:val="both"/>
        <w:rPr>
          <w:rFonts w:asciiTheme="minorHAnsi" w:hAnsiTheme="minorHAnsi"/>
          <w:color w:val="000000"/>
          <w:sz w:val="22"/>
          <w:szCs w:val="22"/>
        </w:rPr>
      </w:pPr>
      <w:r w:rsidRPr="00E65654">
        <w:rPr>
          <w:rFonts w:asciiTheme="minorHAnsi" w:hAnsiTheme="minorHAnsi"/>
          <w:sz w:val="22"/>
          <w:szCs w:val="22"/>
        </w:rPr>
        <w:t xml:space="preserve">On May 11, 2015 the Company closed a </w:t>
      </w:r>
      <w:r w:rsidRPr="00E65654">
        <w:rPr>
          <w:rFonts w:asciiTheme="minorHAnsi" w:hAnsiTheme="minorHAnsi"/>
          <w:sz w:val="22"/>
          <w:szCs w:val="22"/>
          <w:lang w:val="en-US" w:eastAsia="en-US"/>
        </w:rPr>
        <w:t xml:space="preserve">non-brokered private placement equity financing. Under the financing, the Company issued 2,000,000 units at a price of $0.05 per unit for gross proceeds of $100,000.  Each unit is comprised of one common share of the Company and one common share </w:t>
      </w:r>
      <w:r w:rsidRPr="00E65654">
        <w:rPr>
          <w:rFonts w:asciiTheme="minorHAnsi" w:hAnsiTheme="minorHAnsi"/>
          <w:sz w:val="22"/>
          <w:szCs w:val="22"/>
          <w:lang w:val="en-US" w:eastAsia="en-US"/>
        </w:rPr>
        <w:lastRenderedPageBreak/>
        <w:t xml:space="preserve">purchase warrant exercisable for two years for an additional share at a price of $0.10. </w:t>
      </w:r>
      <w:r w:rsidRPr="00E65654">
        <w:rPr>
          <w:rFonts w:asciiTheme="minorHAnsi" w:hAnsiTheme="minorHAnsi"/>
          <w:color w:val="000000"/>
          <w:sz w:val="22"/>
          <w:szCs w:val="22"/>
        </w:rPr>
        <w:t xml:space="preserve">As of </w:t>
      </w:r>
      <w:r w:rsidR="007F68DB">
        <w:rPr>
          <w:rFonts w:asciiTheme="minorHAnsi" w:hAnsiTheme="minorHAnsi"/>
          <w:color w:val="000000"/>
          <w:sz w:val="22"/>
          <w:szCs w:val="22"/>
        </w:rPr>
        <w:t xml:space="preserve">April 30, </w:t>
      </w:r>
      <w:r w:rsidRPr="00E65654">
        <w:rPr>
          <w:rFonts w:asciiTheme="minorHAnsi" w:hAnsiTheme="minorHAnsi"/>
          <w:color w:val="000000"/>
          <w:sz w:val="22"/>
          <w:szCs w:val="22"/>
        </w:rPr>
        <w:t xml:space="preserve">2015 there were </w:t>
      </w:r>
      <w:r w:rsidRPr="00E65654">
        <w:rPr>
          <w:rFonts w:asciiTheme="minorHAnsi" w:hAnsiTheme="minorHAnsi"/>
          <w:sz w:val="22"/>
          <w:szCs w:val="22"/>
        </w:rPr>
        <w:t>11,296,260</w:t>
      </w:r>
      <w:r w:rsidRPr="00E65654">
        <w:rPr>
          <w:rFonts w:asciiTheme="minorHAnsi" w:hAnsiTheme="minorHAnsi"/>
          <w:color w:val="000000"/>
          <w:sz w:val="22"/>
          <w:szCs w:val="22"/>
        </w:rPr>
        <w:t xml:space="preserve"> common shares outstanding. </w:t>
      </w:r>
      <w:r w:rsidRPr="00E65654">
        <w:rPr>
          <w:rFonts w:asciiTheme="minorHAnsi" w:hAnsiTheme="minorHAnsi"/>
          <w:sz w:val="22"/>
          <w:szCs w:val="22"/>
          <w:lang w:val="en-US" w:eastAsia="en-US"/>
        </w:rPr>
        <w:t>A</w:t>
      </w:r>
      <w:r w:rsidRPr="00E65654">
        <w:rPr>
          <w:rFonts w:asciiTheme="minorHAnsi" w:hAnsiTheme="minorHAnsi"/>
          <w:color w:val="000000"/>
          <w:sz w:val="22"/>
          <w:szCs w:val="22"/>
        </w:rPr>
        <w:t>s of the date of this MD&amp;A, the Company has a total of 13,296,260 common shares outstanding.</w:t>
      </w:r>
    </w:p>
    <w:p w:rsidR="007F68DB" w:rsidRPr="00E65654" w:rsidRDefault="007F68DB" w:rsidP="007F68DB">
      <w:pPr>
        <w:autoSpaceDE w:val="0"/>
        <w:autoSpaceDN w:val="0"/>
        <w:adjustRightInd w:val="0"/>
        <w:spacing w:after="0" w:line="240" w:lineRule="auto"/>
        <w:jc w:val="both"/>
        <w:rPr>
          <w:rFonts w:cs="Times New Roman"/>
          <w:color w:val="000000"/>
        </w:rPr>
      </w:pPr>
      <w:r w:rsidRPr="00E65654">
        <w:rPr>
          <w:rFonts w:cs="Times New Roman"/>
          <w:color w:val="000000"/>
        </w:rPr>
        <w:t xml:space="preserve">As at </w:t>
      </w:r>
      <w:r>
        <w:rPr>
          <w:rFonts w:cs="Times New Roman"/>
          <w:color w:val="000000"/>
        </w:rPr>
        <w:t>April 30</w:t>
      </w:r>
      <w:r w:rsidRPr="00E65654">
        <w:rPr>
          <w:rFonts w:cs="Times New Roman"/>
          <w:color w:val="000000"/>
        </w:rPr>
        <w:t>, 2015, current assets were $</w:t>
      </w:r>
      <w:r>
        <w:rPr>
          <w:rFonts w:cs="Times New Roman"/>
          <w:color w:val="000000"/>
        </w:rPr>
        <w:t xml:space="preserve">73,363 </w:t>
      </w:r>
      <w:r w:rsidRPr="00E65654">
        <w:rPr>
          <w:rFonts w:cs="Times New Roman"/>
          <w:color w:val="000000"/>
        </w:rPr>
        <w:t>(January 31, 201</w:t>
      </w:r>
      <w:r>
        <w:rPr>
          <w:rFonts w:cs="Times New Roman"/>
          <w:color w:val="000000"/>
        </w:rPr>
        <w:t>5</w:t>
      </w:r>
      <w:r w:rsidRPr="00E65654">
        <w:rPr>
          <w:rFonts w:cs="Times New Roman"/>
          <w:color w:val="000000"/>
        </w:rPr>
        <w:t xml:space="preserve"> - $</w:t>
      </w:r>
      <w:r>
        <w:t>88,256</w:t>
      </w:r>
      <w:r w:rsidRPr="00E65654">
        <w:rPr>
          <w:rFonts w:cs="Times New Roman"/>
          <w:color w:val="000000"/>
        </w:rPr>
        <w:t>) and current liabilities were $</w:t>
      </w:r>
      <w:r>
        <w:rPr>
          <w:rFonts w:cs="Times New Roman"/>
          <w:color w:val="000000"/>
        </w:rPr>
        <w:t>99,261</w:t>
      </w:r>
      <w:r w:rsidRPr="00E65654">
        <w:rPr>
          <w:rFonts w:cs="Times New Roman"/>
          <w:color w:val="000000"/>
        </w:rPr>
        <w:t xml:space="preserve"> (January 31, 201</w:t>
      </w:r>
      <w:r>
        <w:rPr>
          <w:rFonts w:cs="Times New Roman"/>
          <w:color w:val="000000"/>
        </w:rPr>
        <w:t>5</w:t>
      </w:r>
      <w:r w:rsidRPr="00E65654">
        <w:rPr>
          <w:rFonts w:cs="Times New Roman"/>
          <w:color w:val="000000"/>
        </w:rPr>
        <w:t xml:space="preserve"> - $</w:t>
      </w:r>
      <w:r>
        <w:t>67,705</w:t>
      </w:r>
      <w:r w:rsidRPr="00E65654">
        <w:t>)</w:t>
      </w:r>
      <w:r w:rsidRPr="00E65654">
        <w:rPr>
          <w:rFonts w:cs="Times New Roman"/>
          <w:color w:val="000000"/>
        </w:rPr>
        <w:t xml:space="preserve"> resulting in a working </w:t>
      </w:r>
      <w:r>
        <w:rPr>
          <w:rFonts w:cs="Times New Roman"/>
          <w:color w:val="000000"/>
        </w:rPr>
        <w:t>deficiency of $25,898 (</w:t>
      </w:r>
      <w:r w:rsidRPr="00E65654">
        <w:rPr>
          <w:rFonts w:cs="Times New Roman"/>
          <w:color w:val="000000"/>
        </w:rPr>
        <w:t>January 31, 2015</w:t>
      </w:r>
      <w:r>
        <w:rPr>
          <w:rFonts w:cs="Times New Roman"/>
          <w:color w:val="000000"/>
        </w:rPr>
        <w:t xml:space="preserve"> - working capital </w:t>
      </w:r>
      <w:r w:rsidR="000F184D">
        <w:rPr>
          <w:rFonts w:cs="Times New Roman"/>
          <w:color w:val="000000"/>
        </w:rPr>
        <w:t>position of</w:t>
      </w:r>
      <w:r>
        <w:rPr>
          <w:rFonts w:cs="Times New Roman"/>
          <w:color w:val="000000"/>
        </w:rPr>
        <w:t xml:space="preserve"> $</w:t>
      </w:r>
      <w:r w:rsidRPr="00CE7277">
        <w:rPr>
          <w:rFonts w:cs="Times New Roman"/>
        </w:rPr>
        <w:t>20,551</w:t>
      </w:r>
      <w:r>
        <w:rPr>
          <w:rFonts w:cs="Times New Roman"/>
          <w:color w:val="000000"/>
        </w:rPr>
        <w:t>)</w:t>
      </w:r>
      <w:r w:rsidRPr="00E65654">
        <w:rPr>
          <w:rFonts w:cs="Times New Roman"/>
          <w:color w:val="000000"/>
        </w:rPr>
        <w:t>. There are no known trends affecting liquidity or capital resources.</w:t>
      </w:r>
    </w:p>
    <w:p w:rsidR="007F68DB" w:rsidRDefault="007F68DB" w:rsidP="003944C3">
      <w:pPr>
        <w:autoSpaceDE w:val="0"/>
        <w:autoSpaceDN w:val="0"/>
        <w:adjustRightInd w:val="0"/>
        <w:spacing w:after="0" w:line="240" w:lineRule="auto"/>
        <w:jc w:val="both"/>
        <w:rPr>
          <w:rFonts w:cs="Times New Roman"/>
          <w:color w:val="000000"/>
        </w:rPr>
      </w:pPr>
    </w:p>
    <w:p w:rsidR="0069587A" w:rsidRPr="00E65654" w:rsidRDefault="0069587A" w:rsidP="003944C3">
      <w:pPr>
        <w:autoSpaceDE w:val="0"/>
        <w:autoSpaceDN w:val="0"/>
        <w:adjustRightInd w:val="0"/>
        <w:spacing w:after="0" w:line="240" w:lineRule="auto"/>
        <w:jc w:val="both"/>
        <w:rPr>
          <w:rFonts w:cs="Times New Roman"/>
          <w:color w:val="000000"/>
        </w:rPr>
      </w:pPr>
      <w:proofErr w:type="gramStart"/>
      <w:r w:rsidRPr="00E65654">
        <w:rPr>
          <w:rFonts w:cs="Times New Roman"/>
          <w:color w:val="000000"/>
        </w:rPr>
        <w:t>As at</w:t>
      </w:r>
      <w:r w:rsidR="0093095E" w:rsidRPr="00E65654">
        <w:rPr>
          <w:rFonts w:cs="Times New Roman"/>
          <w:color w:val="000000"/>
        </w:rPr>
        <w:t xml:space="preserve"> </w:t>
      </w:r>
      <w:r w:rsidR="000F184D">
        <w:rPr>
          <w:rFonts w:cs="Times New Roman"/>
          <w:color w:val="000000"/>
        </w:rPr>
        <w:t>April 30,</w:t>
      </w:r>
      <w:r w:rsidR="0093095E" w:rsidRPr="00E65654">
        <w:rPr>
          <w:rFonts w:cs="Times New Roman"/>
          <w:color w:val="000000"/>
        </w:rPr>
        <w:t xml:space="preserve"> </w:t>
      </w:r>
      <w:r w:rsidR="009E37F9" w:rsidRPr="00E65654">
        <w:rPr>
          <w:rFonts w:cs="Times New Roman"/>
          <w:color w:val="000000"/>
        </w:rPr>
        <w:t>2015</w:t>
      </w:r>
      <w:r w:rsidRPr="00E65654">
        <w:rPr>
          <w:rFonts w:cs="Times New Roman"/>
          <w:color w:val="000000"/>
        </w:rPr>
        <w:t xml:space="preserve">, the Company had total assets of </w:t>
      </w:r>
      <w:r w:rsidR="00552DB8" w:rsidRPr="00E65654">
        <w:rPr>
          <w:rFonts w:cs="Times New Roman"/>
          <w:color w:val="000000"/>
        </w:rPr>
        <w:t>$</w:t>
      </w:r>
      <w:r w:rsidR="000F184D">
        <w:rPr>
          <w:rFonts w:cs="Times New Roman"/>
          <w:color w:val="000000"/>
        </w:rPr>
        <w:t>74,444</w:t>
      </w:r>
      <w:r w:rsidR="00E8276F" w:rsidRPr="00E65654">
        <w:t xml:space="preserve"> </w:t>
      </w:r>
      <w:r w:rsidRPr="00E65654">
        <w:rPr>
          <w:rFonts w:cs="Times New Roman"/>
          <w:color w:val="000000"/>
        </w:rPr>
        <w:t xml:space="preserve">(January 31, </w:t>
      </w:r>
      <w:r w:rsidR="009E37F9" w:rsidRPr="00E65654">
        <w:rPr>
          <w:rFonts w:cs="Times New Roman"/>
          <w:color w:val="000000"/>
        </w:rPr>
        <w:t>201</w:t>
      </w:r>
      <w:r w:rsidR="000F184D">
        <w:rPr>
          <w:rFonts w:cs="Times New Roman"/>
          <w:color w:val="000000"/>
        </w:rPr>
        <w:t>5</w:t>
      </w:r>
      <w:r w:rsidRPr="00E65654">
        <w:rPr>
          <w:rFonts w:cs="Times New Roman"/>
          <w:color w:val="000000"/>
        </w:rPr>
        <w:t xml:space="preserve"> - $</w:t>
      </w:r>
      <w:r w:rsidR="000F184D">
        <w:t>89,337</w:t>
      </w:r>
      <w:r w:rsidRPr="00E65654">
        <w:rPr>
          <w:rFonts w:cs="Times New Roman"/>
          <w:color w:val="000000"/>
        </w:rPr>
        <w:t>).</w:t>
      </w:r>
      <w:proofErr w:type="gramEnd"/>
      <w:r w:rsidRPr="00E65654">
        <w:rPr>
          <w:rFonts w:cs="Times New Roman"/>
          <w:color w:val="000000"/>
        </w:rPr>
        <w:t xml:space="preserve"> The</w:t>
      </w:r>
      <w:r w:rsidR="001E684E" w:rsidRPr="00E65654">
        <w:rPr>
          <w:rFonts w:cs="Times New Roman"/>
          <w:color w:val="000000"/>
        </w:rPr>
        <w:t xml:space="preserve"> </w:t>
      </w:r>
      <w:r w:rsidRPr="00E65654">
        <w:rPr>
          <w:rFonts w:cs="Times New Roman"/>
          <w:color w:val="000000"/>
        </w:rPr>
        <w:t>principal assets are cash of</w:t>
      </w:r>
      <w:r w:rsidR="00552DB8" w:rsidRPr="00E65654">
        <w:rPr>
          <w:rFonts w:cs="Times New Roman"/>
          <w:color w:val="000000"/>
        </w:rPr>
        <w:t xml:space="preserve"> $</w:t>
      </w:r>
      <w:r w:rsidR="000F184D">
        <w:t>2,553</w:t>
      </w:r>
      <w:r w:rsidRPr="00E65654">
        <w:rPr>
          <w:rFonts w:cs="Times New Roman"/>
          <w:color w:val="000000"/>
        </w:rPr>
        <w:t xml:space="preserve"> (January 31, </w:t>
      </w:r>
      <w:r w:rsidR="009E37F9" w:rsidRPr="00E65654">
        <w:rPr>
          <w:rFonts w:cs="Times New Roman"/>
          <w:color w:val="000000"/>
        </w:rPr>
        <w:t>201</w:t>
      </w:r>
      <w:r w:rsidR="000F184D">
        <w:rPr>
          <w:rFonts w:cs="Times New Roman"/>
          <w:color w:val="000000"/>
        </w:rPr>
        <w:t>5</w:t>
      </w:r>
      <w:r w:rsidRPr="00E65654">
        <w:rPr>
          <w:rFonts w:cs="Times New Roman"/>
          <w:color w:val="000000"/>
        </w:rPr>
        <w:t xml:space="preserve"> - $</w:t>
      </w:r>
      <w:r w:rsidR="000F184D">
        <w:t>31,268</w:t>
      </w:r>
      <w:r w:rsidRPr="00E65654">
        <w:rPr>
          <w:rFonts w:cs="Times New Roman"/>
          <w:color w:val="000000"/>
        </w:rPr>
        <w:t xml:space="preserve">), amounts receivable of </w:t>
      </w:r>
      <w:r w:rsidR="00552DB8" w:rsidRPr="00E65654">
        <w:rPr>
          <w:rFonts w:cs="Times New Roman"/>
          <w:color w:val="000000"/>
        </w:rPr>
        <w:t>$</w:t>
      </w:r>
      <w:r w:rsidR="000F184D">
        <w:t>65,424</w:t>
      </w:r>
      <w:r w:rsidR="00BE4D88" w:rsidRPr="00E65654">
        <w:rPr>
          <w:rFonts w:cs="Times New Roman"/>
          <w:color w:val="000000"/>
        </w:rPr>
        <w:t xml:space="preserve"> (January 31, </w:t>
      </w:r>
      <w:r w:rsidR="000F184D">
        <w:rPr>
          <w:rFonts w:cs="Times New Roman"/>
          <w:color w:val="000000"/>
        </w:rPr>
        <w:t>2015</w:t>
      </w:r>
      <w:r w:rsidR="00BE4D88" w:rsidRPr="00E65654">
        <w:rPr>
          <w:rFonts w:cs="Times New Roman"/>
          <w:color w:val="000000"/>
        </w:rPr>
        <w:t xml:space="preserve"> - $</w:t>
      </w:r>
      <w:r w:rsidR="000F184D">
        <w:t>54</w:t>
      </w:r>
      <w:proofErr w:type="gramStart"/>
      <w:r w:rsidR="000F184D">
        <w:t>,384</w:t>
      </w:r>
      <w:r w:rsidR="004B049B">
        <w:t>1</w:t>
      </w:r>
      <w:proofErr w:type="gramEnd"/>
      <w:r w:rsidR="00BE4D88" w:rsidRPr="00E65654">
        <w:rPr>
          <w:rFonts w:cs="Times New Roman"/>
          <w:color w:val="000000"/>
        </w:rPr>
        <w:t>), prepaid expenses of $</w:t>
      </w:r>
      <w:r w:rsidR="000F184D">
        <w:t>5,386</w:t>
      </w:r>
      <w:r w:rsidR="00E8276F" w:rsidRPr="00E65654">
        <w:t xml:space="preserve"> (January 31, </w:t>
      </w:r>
      <w:r w:rsidR="000F184D">
        <w:t>2015 - $2,604</w:t>
      </w:r>
      <w:r w:rsidR="0025415B">
        <w:t xml:space="preserve">), Equipment </w:t>
      </w:r>
      <w:r w:rsidR="004B049B">
        <w:t>of $1,081 (January 31, 201</w:t>
      </w:r>
      <w:r w:rsidR="000F184D">
        <w:t>5 - $1,081</w:t>
      </w:r>
      <w:r w:rsidR="0025415B">
        <w:t xml:space="preserve">), </w:t>
      </w:r>
      <w:r w:rsidRPr="00E65654">
        <w:rPr>
          <w:rFonts w:cs="Times New Roman"/>
          <w:color w:val="000000"/>
        </w:rPr>
        <w:t xml:space="preserve">and capitalized exploration and evaluation properties costs of </w:t>
      </w:r>
      <w:r w:rsidR="00485C47" w:rsidRPr="00E65654">
        <w:rPr>
          <w:rFonts w:cs="Times New Roman"/>
          <w:color w:val="000000"/>
        </w:rPr>
        <w:t>$</w:t>
      </w:r>
      <w:r w:rsidR="004B049B">
        <w:t>Nil</w:t>
      </w:r>
      <w:r w:rsidR="00485C47" w:rsidRPr="00E65654">
        <w:rPr>
          <w:rFonts w:cs="Times New Roman"/>
          <w:color w:val="000000"/>
        </w:rPr>
        <w:t xml:space="preserve"> </w:t>
      </w:r>
      <w:r w:rsidRPr="00E65654">
        <w:rPr>
          <w:rFonts w:cs="Times New Roman"/>
          <w:color w:val="000000"/>
        </w:rPr>
        <w:t>(January 31, 201</w:t>
      </w:r>
      <w:r w:rsidR="000F184D">
        <w:rPr>
          <w:rFonts w:cs="Times New Roman"/>
          <w:color w:val="000000"/>
        </w:rPr>
        <w:t>5</w:t>
      </w:r>
      <w:r w:rsidRPr="00E65654">
        <w:rPr>
          <w:rFonts w:cs="Times New Roman"/>
          <w:color w:val="000000"/>
        </w:rPr>
        <w:t xml:space="preserve"> - $</w:t>
      </w:r>
      <w:r w:rsidR="000F184D">
        <w:t>Nil</w:t>
      </w:r>
      <w:r w:rsidRPr="00E65654">
        <w:rPr>
          <w:rFonts w:cs="Times New Roman"/>
          <w:color w:val="000000"/>
        </w:rPr>
        <w:t xml:space="preserve">). </w:t>
      </w:r>
    </w:p>
    <w:p w:rsidR="0069587A" w:rsidRPr="00E65654" w:rsidRDefault="0069587A" w:rsidP="003944C3">
      <w:pPr>
        <w:autoSpaceDE w:val="0"/>
        <w:autoSpaceDN w:val="0"/>
        <w:adjustRightInd w:val="0"/>
        <w:spacing w:after="0" w:line="240" w:lineRule="auto"/>
        <w:jc w:val="both"/>
        <w:rPr>
          <w:rFonts w:cs="Times New Roman"/>
          <w:color w:val="000000"/>
        </w:rPr>
      </w:pPr>
    </w:p>
    <w:p w:rsidR="0069587A" w:rsidRPr="00E65654" w:rsidRDefault="0069587A" w:rsidP="003944C3">
      <w:pPr>
        <w:autoSpaceDE w:val="0"/>
        <w:autoSpaceDN w:val="0"/>
        <w:adjustRightInd w:val="0"/>
        <w:spacing w:after="0" w:line="240" w:lineRule="auto"/>
        <w:jc w:val="both"/>
        <w:rPr>
          <w:rFonts w:cs="Times New Roman"/>
          <w:color w:val="000000"/>
        </w:rPr>
      </w:pPr>
      <w:r w:rsidRPr="00E65654">
        <w:rPr>
          <w:rFonts w:cs="Times New Roman"/>
          <w:color w:val="000000"/>
        </w:rPr>
        <w:t>The Company is in the process of exploring its mineral properties and has not yet determined whether</w:t>
      </w:r>
      <w:r w:rsidR="00422428" w:rsidRPr="00E65654">
        <w:rPr>
          <w:rFonts w:cs="Times New Roman"/>
          <w:color w:val="000000"/>
        </w:rPr>
        <w:t xml:space="preserve"> </w:t>
      </w:r>
      <w:r w:rsidRPr="00E65654">
        <w:rPr>
          <w:rFonts w:cs="Times New Roman"/>
          <w:color w:val="000000"/>
        </w:rPr>
        <w:t>these properties contain mineral reserves that are economically recoverable. The recoverability of the</w:t>
      </w:r>
      <w:r w:rsidR="00422428" w:rsidRPr="00E65654">
        <w:rPr>
          <w:rFonts w:cs="Times New Roman"/>
          <w:color w:val="000000"/>
        </w:rPr>
        <w:t xml:space="preserve"> </w:t>
      </w:r>
      <w:r w:rsidRPr="00E65654">
        <w:rPr>
          <w:rFonts w:cs="Times New Roman"/>
          <w:color w:val="000000"/>
        </w:rPr>
        <w:t>amounts shown for resource properties are dependent upon the existence of economically recoverable</w:t>
      </w:r>
      <w:r w:rsidR="00422428" w:rsidRPr="00E65654">
        <w:rPr>
          <w:rFonts w:cs="Times New Roman"/>
          <w:color w:val="000000"/>
        </w:rPr>
        <w:t xml:space="preserve"> </w:t>
      </w:r>
      <w:r w:rsidRPr="00E65654">
        <w:rPr>
          <w:rFonts w:cs="Times New Roman"/>
          <w:color w:val="000000"/>
        </w:rPr>
        <w:t>reserves, the ability of the Company to obtain necessary financing to complete the development of those</w:t>
      </w:r>
      <w:r w:rsidR="006B68F5" w:rsidRPr="00E65654">
        <w:rPr>
          <w:rFonts w:cs="Times New Roman"/>
          <w:color w:val="000000"/>
        </w:rPr>
        <w:t xml:space="preserve"> </w:t>
      </w:r>
      <w:r w:rsidRPr="00E65654">
        <w:rPr>
          <w:rFonts w:cs="Times New Roman"/>
          <w:color w:val="000000"/>
        </w:rPr>
        <w:t>reserves and upon future profitable production.</w:t>
      </w:r>
    </w:p>
    <w:p w:rsidR="0069587A" w:rsidRPr="00E65654" w:rsidRDefault="0069587A" w:rsidP="003944C3">
      <w:pPr>
        <w:autoSpaceDE w:val="0"/>
        <w:autoSpaceDN w:val="0"/>
        <w:adjustRightInd w:val="0"/>
        <w:spacing w:after="0" w:line="240" w:lineRule="auto"/>
        <w:jc w:val="both"/>
        <w:rPr>
          <w:rFonts w:cs="Times New Roman"/>
          <w:color w:val="000000"/>
        </w:rPr>
      </w:pPr>
    </w:p>
    <w:p w:rsidR="0069587A" w:rsidRPr="00E65654" w:rsidRDefault="0069587A" w:rsidP="003944C3">
      <w:pPr>
        <w:autoSpaceDE w:val="0"/>
        <w:autoSpaceDN w:val="0"/>
        <w:adjustRightInd w:val="0"/>
        <w:spacing w:after="0" w:line="240" w:lineRule="auto"/>
        <w:jc w:val="both"/>
        <w:rPr>
          <w:rFonts w:cs="Times New Roman"/>
          <w:color w:val="000000"/>
        </w:rPr>
      </w:pPr>
      <w:r w:rsidRPr="00E65654">
        <w:rPr>
          <w:rFonts w:cs="Times New Roman"/>
          <w:color w:val="000000"/>
        </w:rPr>
        <w:t>While the information in this MD&amp;A has been prepared on a going concern basis, which presumes the</w:t>
      </w:r>
      <w:r w:rsidR="00422428" w:rsidRPr="00E65654">
        <w:rPr>
          <w:rFonts w:cs="Times New Roman"/>
          <w:color w:val="000000"/>
        </w:rPr>
        <w:t xml:space="preserve"> </w:t>
      </w:r>
      <w:r w:rsidRPr="00E65654">
        <w:rPr>
          <w:rFonts w:cs="Times New Roman"/>
          <w:color w:val="000000"/>
        </w:rPr>
        <w:t>realization of assets and discharge of liabilities in the normal course of business for the foreseeable future,</w:t>
      </w:r>
      <w:r w:rsidR="006B68F5" w:rsidRPr="00E65654">
        <w:rPr>
          <w:rFonts w:cs="Times New Roman"/>
          <w:color w:val="000000"/>
        </w:rPr>
        <w:t xml:space="preserve"> </w:t>
      </w:r>
      <w:r w:rsidRPr="00E65654">
        <w:rPr>
          <w:rFonts w:cs="Times New Roman"/>
          <w:color w:val="000000"/>
        </w:rPr>
        <w:t>there are conditions and events that cast significant doubt on the validity of this presumption. The</w:t>
      </w:r>
      <w:r w:rsidR="006B68F5" w:rsidRPr="00E65654">
        <w:rPr>
          <w:rFonts w:cs="Times New Roman"/>
          <w:color w:val="000000"/>
        </w:rPr>
        <w:t xml:space="preserve"> </w:t>
      </w:r>
      <w:r w:rsidRPr="00E65654">
        <w:rPr>
          <w:rFonts w:cs="Times New Roman"/>
          <w:color w:val="000000"/>
        </w:rPr>
        <w:t>Company’s ability to continue as a going concern is dependent upon achieving profitable operations and</w:t>
      </w:r>
      <w:r w:rsidR="006B68F5" w:rsidRPr="00E65654">
        <w:rPr>
          <w:rFonts w:cs="Times New Roman"/>
          <w:color w:val="000000"/>
        </w:rPr>
        <w:t xml:space="preserve"> </w:t>
      </w:r>
      <w:r w:rsidRPr="00E65654">
        <w:rPr>
          <w:rFonts w:cs="Times New Roman"/>
          <w:color w:val="000000"/>
        </w:rPr>
        <w:t>upon obtaining additional financing. While the Company is using its best efforts in this regard, the</w:t>
      </w:r>
      <w:r w:rsidR="00422428" w:rsidRPr="00E65654">
        <w:rPr>
          <w:rFonts w:cs="Times New Roman"/>
          <w:color w:val="000000"/>
        </w:rPr>
        <w:t xml:space="preserve"> </w:t>
      </w:r>
      <w:r w:rsidRPr="00E65654">
        <w:rPr>
          <w:rFonts w:cs="Times New Roman"/>
          <w:color w:val="000000"/>
        </w:rPr>
        <w:t>outcome of these matters cannot be predicted at this time.</w:t>
      </w:r>
    </w:p>
    <w:p w:rsidR="0069587A" w:rsidRPr="00E65654" w:rsidRDefault="0069587A" w:rsidP="003944C3">
      <w:pPr>
        <w:autoSpaceDE w:val="0"/>
        <w:autoSpaceDN w:val="0"/>
        <w:adjustRightInd w:val="0"/>
        <w:spacing w:after="0" w:line="240" w:lineRule="auto"/>
        <w:jc w:val="both"/>
        <w:rPr>
          <w:rFonts w:cs="Times New Roman"/>
          <w:color w:val="000000"/>
        </w:rPr>
      </w:pPr>
    </w:p>
    <w:p w:rsidR="0069587A" w:rsidRPr="00E65654" w:rsidRDefault="0069587A" w:rsidP="003944C3">
      <w:pPr>
        <w:autoSpaceDE w:val="0"/>
        <w:autoSpaceDN w:val="0"/>
        <w:adjustRightInd w:val="0"/>
        <w:spacing w:after="0" w:line="240" w:lineRule="auto"/>
        <w:jc w:val="both"/>
        <w:rPr>
          <w:rFonts w:cs="Times New Roman"/>
          <w:color w:val="000000"/>
        </w:rPr>
      </w:pPr>
      <w:r w:rsidRPr="00E65654">
        <w:rPr>
          <w:rFonts w:cs="Times New Roman"/>
          <w:color w:val="000000"/>
        </w:rPr>
        <w:t>Under the Pattullo Property Option Agreement the Company can acquire a 100% interest in the Property</w:t>
      </w:r>
      <w:r w:rsidR="00422428" w:rsidRPr="00E65654">
        <w:rPr>
          <w:rFonts w:cs="Times New Roman"/>
          <w:color w:val="000000"/>
        </w:rPr>
        <w:t xml:space="preserve"> </w:t>
      </w:r>
      <w:r w:rsidRPr="00E65654">
        <w:rPr>
          <w:rFonts w:cs="Times New Roman"/>
          <w:color w:val="000000"/>
        </w:rPr>
        <w:t xml:space="preserve">in </w:t>
      </w:r>
      <w:r w:rsidR="000C0CBD" w:rsidRPr="00E65654">
        <w:rPr>
          <w:rFonts w:cs="Times New Roman"/>
          <w:color w:val="000000"/>
        </w:rPr>
        <w:t xml:space="preserve">exchange for </w:t>
      </w:r>
      <w:r w:rsidRPr="00E65654">
        <w:rPr>
          <w:rFonts w:cs="Times New Roman"/>
          <w:color w:val="000000"/>
        </w:rPr>
        <w:t>the Company agreeing to, over a four year period, pay a total of $105,000 in cash to</w:t>
      </w:r>
      <w:r w:rsidR="00422428" w:rsidRPr="00E65654">
        <w:rPr>
          <w:rFonts w:cs="Times New Roman"/>
          <w:color w:val="000000"/>
        </w:rPr>
        <w:t xml:space="preserve"> </w:t>
      </w:r>
      <w:r w:rsidRPr="00E65654">
        <w:rPr>
          <w:rFonts w:cs="Times New Roman"/>
          <w:color w:val="000000"/>
        </w:rPr>
        <w:t xml:space="preserve">the </w:t>
      </w:r>
      <w:proofErr w:type="spellStart"/>
      <w:r w:rsidRPr="00E65654">
        <w:rPr>
          <w:rFonts w:cs="Times New Roman"/>
          <w:color w:val="000000"/>
        </w:rPr>
        <w:t>Optionor</w:t>
      </w:r>
      <w:proofErr w:type="spellEnd"/>
      <w:r w:rsidRPr="00E65654">
        <w:rPr>
          <w:rFonts w:cs="Times New Roman"/>
          <w:color w:val="000000"/>
        </w:rPr>
        <w:t xml:space="preserve"> and, over a two year period, issue 150,000 common shares of the Company to the </w:t>
      </w:r>
      <w:proofErr w:type="spellStart"/>
      <w:r w:rsidRPr="00E65654">
        <w:rPr>
          <w:rFonts w:cs="Times New Roman"/>
          <w:color w:val="000000"/>
        </w:rPr>
        <w:t>Optionor</w:t>
      </w:r>
      <w:proofErr w:type="spellEnd"/>
      <w:r w:rsidRPr="00E65654">
        <w:rPr>
          <w:rFonts w:cs="Times New Roman"/>
          <w:color w:val="000000"/>
        </w:rPr>
        <w:t>.</w:t>
      </w:r>
      <w:r w:rsidR="00422428" w:rsidRPr="00E65654">
        <w:rPr>
          <w:rFonts w:cs="Times New Roman"/>
          <w:color w:val="000000"/>
        </w:rPr>
        <w:t xml:space="preserve"> </w:t>
      </w:r>
      <w:r w:rsidRPr="00E65654">
        <w:rPr>
          <w:rFonts w:cs="Times New Roman"/>
          <w:color w:val="000000"/>
        </w:rPr>
        <w:t>Upon the commencement of any commercial production on the Property, Rheingold must pay the</w:t>
      </w:r>
      <w:r w:rsidR="00422428" w:rsidRPr="00E65654">
        <w:rPr>
          <w:rFonts w:cs="Times New Roman"/>
          <w:color w:val="000000"/>
        </w:rPr>
        <w:t xml:space="preserve"> </w:t>
      </w:r>
      <w:proofErr w:type="spellStart"/>
      <w:r w:rsidRPr="00E65654">
        <w:rPr>
          <w:rFonts w:cs="Times New Roman"/>
          <w:color w:val="000000"/>
        </w:rPr>
        <w:t>Optionor</w:t>
      </w:r>
      <w:proofErr w:type="spellEnd"/>
      <w:r w:rsidRPr="00E65654">
        <w:rPr>
          <w:rFonts w:cs="Times New Roman"/>
          <w:color w:val="000000"/>
        </w:rPr>
        <w:t xml:space="preserve"> a 2% net smelter royalty, </w:t>
      </w:r>
      <w:r w:rsidR="00B1205D" w:rsidRPr="00E65654">
        <w:rPr>
          <w:rFonts w:cs="Times New Roman"/>
          <w:color w:val="000000"/>
        </w:rPr>
        <w:t>1%</w:t>
      </w:r>
      <w:r w:rsidR="00645B07" w:rsidRPr="00E65654">
        <w:rPr>
          <w:rFonts w:cs="Times New Roman"/>
          <w:color w:val="000000"/>
        </w:rPr>
        <w:t xml:space="preserve"> </w:t>
      </w:r>
      <w:r w:rsidRPr="00E65654">
        <w:rPr>
          <w:rFonts w:cs="Times New Roman"/>
          <w:color w:val="000000"/>
        </w:rPr>
        <w:t xml:space="preserve">of which can be </w:t>
      </w:r>
      <w:r w:rsidR="000C0CBD" w:rsidRPr="00E65654">
        <w:rPr>
          <w:rFonts w:cs="Times New Roman"/>
          <w:color w:val="000000"/>
        </w:rPr>
        <w:t>re</w:t>
      </w:r>
      <w:r w:rsidRPr="00E65654">
        <w:rPr>
          <w:rFonts w:cs="Times New Roman"/>
          <w:color w:val="000000"/>
        </w:rPr>
        <w:t>purchased by Rheingold by paying</w:t>
      </w:r>
      <w:r w:rsidR="00EA2B9B" w:rsidRPr="00E65654">
        <w:rPr>
          <w:rFonts w:cs="Times New Roman"/>
          <w:color w:val="000000"/>
        </w:rPr>
        <w:t xml:space="preserve"> </w:t>
      </w:r>
      <w:r w:rsidRPr="00E65654">
        <w:rPr>
          <w:rFonts w:cs="Times New Roman"/>
          <w:color w:val="000000"/>
        </w:rPr>
        <w:t>$1,000,000 in cash to the</w:t>
      </w:r>
      <w:r w:rsidR="0027200D" w:rsidRPr="00E65654">
        <w:rPr>
          <w:rFonts w:cs="Times New Roman"/>
          <w:color w:val="000000"/>
        </w:rPr>
        <w:t xml:space="preserve"> </w:t>
      </w:r>
      <w:proofErr w:type="spellStart"/>
      <w:r w:rsidR="0027200D" w:rsidRPr="00E65654">
        <w:rPr>
          <w:rFonts w:cs="Times New Roman"/>
          <w:color w:val="000000"/>
        </w:rPr>
        <w:t>Optionor</w:t>
      </w:r>
      <w:proofErr w:type="spellEnd"/>
      <w:r w:rsidR="0027200D" w:rsidRPr="00E65654">
        <w:rPr>
          <w:rFonts w:cs="Times New Roman"/>
          <w:color w:val="000000"/>
        </w:rPr>
        <w:t xml:space="preserve">. As of the date of this MD&amp;A, </w:t>
      </w:r>
      <w:r w:rsidR="000F184D">
        <w:rPr>
          <w:rFonts w:cs="Times New Roman"/>
          <w:color w:val="000000"/>
        </w:rPr>
        <w:t xml:space="preserve">Rheingold </w:t>
      </w:r>
      <w:r w:rsidR="00E8276F" w:rsidRPr="00E65654">
        <w:rPr>
          <w:rFonts w:cs="Times New Roman"/>
          <w:color w:val="000000"/>
        </w:rPr>
        <w:t xml:space="preserve">has made option payments totalling </w:t>
      </w:r>
      <w:r w:rsidR="005E0EC7" w:rsidRPr="00E65654">
        <w:rPr>
          <w:rFonts w:cs="Times New Roman"/>
          <w:color w:val="000000"/>
        </w:rPr>
        <w:t>$75</w:t>
      </w:r>
      <w:r w:rsidR="00E8276F" w:rsidRPr="00E65654">
        <w:rPr>
          <w:rFonts w:cs="Times New Roman"/>
          <w:color w:val="000000"/>
        </w:rPr>
        <w:t xml:space="preserve">,000 and issued a total of 150,000 common shares of the Company to the </w:t>
      </w:r>
      <w:proofErr w:type="spellStart"/>
      <w:r w:rsidR="00E8276F" w:rsidRPr="00E65654">
        <w:rPr>
          <w:rFonts w:cs="Times New Roman"/>
          <w:color w:val="000000"/>
        </w:rPr>
        <w:t>Optionor</w:t>
      </w:r>
      <w:proofErr w:type="spellEnd"/>
      <w:r w:rsidR="00E8276F" w:rsidRPr="00E65654">
        <w:rPr>
          <w:rFonts w:cs="Times New Roman"/>
          <w:color w:val="000000"/>
        </w:rPr>
        <w:t xml:space="preserve">.  </w:t>
      </w:r>
      <w:r w:rsidR="005E0EC7" w:rsidRPr="00E65654">
        <w:rPr>
          <w:rFonts w:cs="Times New Roman"/>
          <w:color w:val="000000"/>
        </w:rPr>
        <w:t xml:space="preserve">The final option payment of </w:t>
      </w:r>
      <w:r w:rsidR="00B60063">
        <w:rPr>
          <w:rFonts w:cs="Times New Roman"/>
          <w:color w:val="000000"/>
        </w:rPr>
        <w:t xml:space="preserve">$30,000 is due by June 17, 2015, should the </w:t>
      </w:r>
      <w:r w:rsidR="00DB13D2">
        <w:rPr>
          <w:rFonts w:cs="Times New Roman"/>
          <w:color w:val="000000"/>
        </w:rPr>
        <w:t>C</w:t>
      </w:r>
      <w:r w:rsidR="00B60063">
        <w:rPr>
          <w:rFonts w:cs="Times New Roman"/>
          <w:color w:val="000000"/>
        </w:rPr>
        <w:t>ompany wish to acquire a 100% interest in the property.</w:t>
      </w:r>
    </w:p>
    <w:p w:rsidR="008E73B5" w:rsidRPr="00E65654" w:rsidRDefault="008E73B5" w:rsidP="003944C3">
      <w:pPr>
        <w:autoSpaceDE w:val="0"/>
        <w:autoSpaceDN w:val="0"/>
        <w:adjustRightInd w:val="0"/>
        <w:spacing w:after="0" w:line="240" w:lineRule="auto"/>
        <w:jc w:val="both"/>
        <w:rPr>
          <w:rFonts w:cs="Calibri-Bold"/>
          <w:b/>
          <w:bCs/>
          <w:color w:val="000000"/>
        </w:rPr>
      </w:pPr>
    </w:p>
    <w:p w:rsidR="00E95CDB" w:rsidRPr="00E65654" w:rsidRDefault="00E95CDB" w:rsidP="003944C3">
      <w:pPr>
        <w:autoSpaceDE w:val="0"/>
        <w:autoSpaceDN w:val="0"/>
        <w:adjustRightInd w:val="0"/>
        <w:spacing w:after="0" w:line="240" w:lineRule="auto"/>
        <w:jc w:val="both"/>
        <w:rPr>
          <w:rFonts w:cs="Calibri-Bold"/>
          <w:b/>
          <w:bCs/>
          <w:color w:val="000000"/>
        </w:rPr>
      </w:pPr>
      <w:r w:rsidRPr="00E65654">
        <w:rPr>
          <w:rFonts w:cs="Calibri-Bold"/>
          <w:b/>
          <w:bCs/>
          <w:color w:val="000000"/>
        </w:rPr>
        <w:t>Exploration Expenditures</w:t>
      </w:r>
    </w:p>
    <w:p w:rsidR="00E95CDB" w:rsidRPr="00E65654" w:rsidRDefault="00E95CDB" w:rsidP="003944C3">
      <w:pPr>
        <w:autoSpaceDE w:val="0"/>
        <w:autoSpaceDN w:val="0"/>
        <w:adjustRightInd w:val="0"/>
        <w:spacing w:after="0" w:line="240" w:lineRule="auto"/>
        <w:jc w:val="both"/>
        <w:rPr>
          <w:rFonts w:cs="Calibri-Bold"/>
          <w:b/>
          <w:bCs/>
          <w:color w:val="000000"/>
        </w:rPr>
      </w:pPr>
    </w:p>
    <w:p w:rsidR="00E95CDB" w:rsidRPr="00E65654" w:rsidRDefault="00E95CDB" w:rsidP="003944C3">
      <w:pPr>
        <w:autoSpaceDE w:val="0"/>
        <w:autoSpaceDN w:val="0"/>
        <w:adjustRightInd w:val="0"/>
        <w:spacing w:after="0" w:line="240" w:lineRule="auto"/>
        <w:jc w:val="both"/>
        <w:rPr>
          <w:rFonts w:cs="Times New Roman"/>
        </w:rPr>
      </w:pPr>
      <w:r w:rsidRPr="00E65654">
        <w:rPr>
          <w:rFonts w:cs="Times New Roman"/>
        </w:rPr>
        <w:t>From incorporation to</w:t>
      </w:r>
      <w:r w:rsidR="0093095E" w:rsidRPr="00E65654">
        <w:rPr>
          <w:rFonts w:cs="Times New Roman"/>
        </w:rPr>
        <w:t xml:space="preserve"> </w:t>
      </w:r>
      <w:r w:rsidR="000F184D">
        <w:rPr>
          <w:rFonts w:cs="Times New Roman"/>
        </w:rPr>
        <w:t>April 30</w:t>
      </w:r>
      <w:r w:rsidR="0093095E" w:rsidRPr="00E65654">
        <w:rPr>
          <w:rFonts w:cs="Times New Roman"/>
        </w:rPr>
        <w:t xml:space="preserve">, </w:t>
      </w:r>
      <w:r w:rsidR="009E37F9" w:rsidRPr="00E65654">
        <w:rPr>
          <w:rFonts w:cs="Times New Roman"/>
        </w:rPr>
        <w:t>2015</w:t>
      </w:r>
      <w:r w:rsidRPr="00E65654">
        <w:rPr>
          <w:rFonts w:cs="Times New Roman"/>
        </w:rPr>
        <w:t>, the Company incurred the following exploration expenditures</w:t>
      </w:r>
      <w:r w:rsidR="009879D1" w:rsidRPr="00E65654">
        <w:rPr>
          <w:rFonts w:cs="Times New Roman"/>
        </w:rPr>
        <w:t xml:space="preserve"> on its Pattullo Property</w:t>
      </w:r>
      <w:r w:rsidRPr="00E65654">
        <w:rPr>
          <w:rFonts w:cs="Times New Roman"/>
        </w:rPr>
        <w:t xml:space="preserve"> that were capitalized as incurred</w:t>
      </w:r>
      <w:r w:rsidR="004B049B">
        <w:rPr>
          <w:rFonts w:cs="Times New Roman"/>
        </w:rPr>
        <w:t>:</w:t>
      </w:r>
    </w:p>
    <w:p w:rsidR="00E95CDB" w:rsidRPr="00644A3E" w:rsidRDefault="00E95CDB" w:rsidP="003944C3">
      <w:pPr>
        <w:autoSpaceDE w:val="0"/>
        <w:autoSpaceDN w:val="0"/>
        <w:adjustRightInd w:val="0"/>
        <w:spacing w:after="0" w:line="240" w:lineRule="auto"/>
        <w:jc w:val="both"/>
        <w:rPr>
          <w:rFonts w:cs="Times New Roman"/>
        </w:rPr>
      </w:pPr>
    </w:p>
    <w:tbl>
      <w:tblPr>
        <w:tblStyle w:val="TableGrid"/>
        <w:tblW w:w="0" w:type="auto"/>
        <w:tblLook w:val="04A0"/>
      </w:tblPr>
      <w:tblGrid>
        <w:gridCol w:w="6629"/>
        <w:gridCol w:w="2947"/>
      </w:tblGrid>
      <w:tr w:rsidR="00E95CDB" w:rsidRPr="00644A3E" w:rsidTr="00E95CDB">
        <w:tc>
          <w:tcPr>
            <w:tcW w:w="6629" w:type="dxa"/>
          </w:tcPr>
          <w:p w:rsidR="00E95CDB" w:rsidRPr="00644A3E" w:rsidRDefault="00E95CDB" w:rsidP="003944C3">
            <w:pPr>
              <w:autoSpaceDE w:val="0"/>
              <w:autoSpaceDN w:val="0"/>
              <w:adjustRightInd w:val="0"/>
              <w:jc w:val="both"/>
              <w:rPr>
                <w:rFonts w:cs="Calibri-Bold"/>
                <w:b/>
                <w:bCs/>
                <w:color w:val="000000"/>
              </w:rPr>
            </w:pPr>
            <w:r w:rsidRPr="00644A3E">
              <w:rPr>
                <w:rFonts w:cs="Calibri-Bold"/>
                <w:b/>
                <w:bCs/>
                <w:color w:val="000000"/>
              </w:rPr>
              <w:t>Description of exploration work completed</w:t>
            </w:r>
          </w:p>
        </w:tc>
        <w:tc>
          <w:tcPr>
            <w:tcW w:w="2947" w:type="dxa"/>
          </w:tcPr>
          <w:p w:rsidR="00E95CDB" w:rsidRPr="00644A3E" w:rsidRDefault="00E95CDB" w:rsidP="003944C3">
            <w:pPr>
              <w:autoSpaceDE w:val="0"/>
              <w:autoSpaceDN w:val="0"/>
              <w:adjustRightInd w:val="0"/>
              <w:jc w:val="both"/>
              <w:rPr>
                <w:rFonts w:cs="Calibri-Bold"/>
                <w:b/>
                <w:bCs/>
                <w:color w:val="000000"/>
              </w:rPr>
            </w:pPr>
            <w:r w:rsidRPr="00644A3E">
              <w:rPr>
                <w:rFonts w:cs="Calibri-Bold"/>
                <w:b/>
                <w:bCs/>
                <w:color w:val="000000"/>
              </w:rPr>
              <w:t>Cost (not including tax)</w:t>
            </w:r>
          </w:p>
        </w:tc>
      </w:tr>
      <w:tr w:rsidR="00E95CDB" w:rsidRPr="00644A3E" w:rsidTr="00E95CDB">
        <w:tc>
          <w:tcPr>
            <w:tcW w:w="6629" w:type="dxa"/>
          </w:tcPr>
          <w:p w:rsidR="00E95CDB" w:rsidRPr="00644A3E" w:rsidRDefault="00E95CDB" w:rsidP="003944C3">
            <w:pPr>
              <w:autoSpaceDE w:val="0"/>
              <w:autoSpaceDN w:val="0"/>
              <w:adjustRightInd w:val="0"/>
              <w:jc w:val="both"/>
              <w:rPr>
                <w:rFonts w:cs="Calibri-Bold"/>
                <w:bCs/>
                <w:color w:val="000000"/>
              </w:rPr>
            </w:pPr>
            <w:r w:rsidRPr="00644A3E">
              <w:rPr>
                <w:rFonts w:cs="Calibri-Bold"/>
                <w:bCs/>
                <w:color w:val="000000"/>
              </w:rPr>
              <w:t>Line cutting (includes cutting grid of approximately 29.45 kilometers)</w:t>
            </w:r>
          </w:p>
        </w:tc>
        <w:tc>
          <w:tcPr>
            <w:tcW w:w="2947" w:type="dxa"/>
          </w:tcPr>
          <w:p w:rsidR="00E95CDB" w:rsidRPr="00644A3E" w:rsidRDefault="00E95CDB" w:rsidP="003944C3">
            <w:pPr>
              <w:autoSpaceDE w:val="0"/>
              <w:autoSpaceDN w:val="0"/>
              <w:adjustRightInd w:val="0"/>
              <w:jc w:val="both"/>
              <w:rPr>
                <w:rFonts w:cs="Calibri-Bold"/>
                <w:bCs/>
                <w:color w:val="000000"/>
              </w:rPr>
            </w:pPr>
            <w:r w:rsidRPr="00644A3E">
              <w:rPr>
                <w:rFonts w:cs="Calibri-Bold"/>
                <w:bCs/>
                <w:color w:val="000000"/>
              </w:rPr>
              <w:t>$27,252</w:t>
            </w:r>
          </w:p>
        </w:tc>
      </w:tr>
      <w:tr w:rsidR="00E95CDB" w:rsidRPr="00644A3E" w:rsidTr="00E95CDB">
        <w:tc>
          <w:tcPr>
            <w:tcW w:w="6629" w:type="dxa"/>
          </w:tcPr>
          <w:p w:rsidR="00E95CDB" w:rsidRPr="00644A3E" w:rsidRDefault="00E95CDB" w:rsidP="003944C3">
            <w:pPr>
              <w:autoSpaceDE w:val="0"/>
              <w:autoSpaceDN w:val="0"/>
              <w:adjustRightInd w:val="0"/>
              <w:jc w:val="both"/>
              <w:rPr>
                <w:rFonts w:cs="Calibri-Bold"/>
                <w:bCs/>
                <w:color w:val="000000"/>
              </w:rPr>
            </w:pPr>
            <w:proofErr w:type="spellStart"/>
            <w:r w:rsidRPr="00644A3E">
              <w:rPr>
                <w:rFonts w:cs="Calibri-Bold"/>
                <w:bCs/>
                <w:color w:val="000000"/>
              </w:rPr>
              <w:t>Mag</w:t>
            </w:r>
            <w:proofErr w:type="spellEnd"/>
            <w:r w:rsidRPr="00644A3E">
              <w:rPr>
                <w:rFonts w:cs="Calibri-Bold"/>
                <w:bCs/>
                <w:color w:val="000000"/>
              </w:rPr>
              <w:t>, IP, and TDEM ground geophysical surveys (includes labour, lodging, transportation, and equipment)</w:t>
            </w:r>
          </w:p>
        </w:tc>
        <w:tc>
          <w:tcPr>
            <w:tcW w:w="2947" w:type="dxa"/>
          </w:tcPr>
          <w:p w:rsidR="00E95CDB" w:rsidRPr="00644A3E" w:rsidRDefault="002C4150" w:rsidP="003944C3">
            <w:pPr>
              <w:autoSpaceDE w:val="0"/>
              <w:autoSpaceDN w:val="0"/>
              <w:adjustRightInd w:val="0"/>
              <w:jc w:val="both"/>
              <w:rPr>
                <w:rFonts w:cs="Calibri-Bold"/>
                <w:bCs/>
                <w:color w:val="000000"/>
              </w:rPr>
            </w:pPr>
            <w:r w:rsidRPr="002C4150">
              <w:rPr>
                <w:rFonts w:cs="Calibri-Bold"/>
                <w:bCs/>
                <w:color w:val="000000"/>
              </w:rPr>
              <w:t>$79,100</w:t>
            </w:r>
          </w:p>
        </w:tc>
      </w:tr>
      <w:tr w:rsidR="00E95CDB" w:rsidRPr="00644A3E" w:rsidTr="00E95CDB">
        <w:tc>
          <w:tcPr>
            <w:tcW w:w="6629" w:type="dxa"/>
          </w:tcPr>
          <w:p w:rsidR="00E95CDB" w:rsidRPr="00644A3E" w:rsidRDefault="00E95CDB" w:rsidP="003944C3">
            <w:pPr>
              <w:autoSpaceDE w:val="0"/>
              <w:autoSpaceDN w:val="0"/>
              <w:adjustRightInd w:val="0"/>
              <w:jc w:val="both"/>
              <w:rPr>
                <w:rFonts w:cs="Calibri-Bold"/>
                <w:bCs/>
                <w:color w:val="000000"/>
              </w:rPr>
            </w:pPr>
            <w:r w:rsidRPr="00644A3E">
              <w:rPr>
                <w:rFonts w:cs="Calibri-Bold"/>
                <w:bCs/>
                <w:color w:val="000000"/>
              </w:rPr>
              <w:t>Consulting fees</w:t>
            </w:r>
          </w:p>
        </w:tc>
        <w:tc>
          <w:tcPr>
            <w:tcW w:w="2947" w:type="dxa"/>
          </w:tcPr>
          <w:p w:rsidR="00E95CDB" w:rsidRPr="00644A3E" w:rsidRDefault="00485C47" w:rsidP="003944C3">
            <w:pPr>
              <w:autoSpaceDE w:val="0"/>
              <w:autoSpaceDN w:val="0"/>
              <w:adjustRightInd w:val="0"/>
              <w:jc w:val="both"/>
              <w:rPr>
                <w:rFonts w:cs="Calibri-Bold"/>
                <w:bCs/>
                <w:color w:val="000000"/>
              </w:rPr>
            </w:pPr>
            <w:r>
              <w:rPr>
                <w:rFonts w:cs="Calibri-Bold"/>
                <w:bCs/>
                <w:color w:val="000000"/>
              </w:rPr>
              <w:t>$</w:t>
            </w:r>
            <w:r w:rsidR="00E8276F" w:rsidRPr="003A7914">
              <w:rPr>
                <w:lang w:val="en-GB" w:eastAsia="zh-CN"/>
              </w:rPr>
              <w:t>15,662</w:t>
            </w:r>
          </w:p>
        </w:tc>
      </w:tr>
      <w:tr w:rsidR="00E95CDB" w:rsidRPr="00644A3E" w:rsidTr="00E95CDB">
        <w:tc>
          <w:tcPr>
            <w:tcW w:w="6629" w:type="dxa"/>
          </w:tcPr>
          <w:p w:rsidR="00E95CDB" w:rsidRPr="00644A3E" w:rsidRDefault="00E95CDB" w:rsidP="003944C3">
            <w:pPr>
              <w:autoSpaceDE w:val="0"/>
              <w:autoSpaceDN w:val="0"/>
              <w:adjustRightInd w:val="0"/>
              <w:jc w:val="both"/>
              <w:rPr>
                <w:rFonts w:cs="Calibri-Bold"/>
                <w:b/>
                <w:bCs/>
                <w:color w:val="000000"/>
              </w:rPr>
            </w:pPr>
            <w:r w:rsidRPr="00644A3E">
              <w:rPr>
                <w:rFonts w:cs="Calibri-Bold"/>
                <w:b/>
                <w:bCs/>
                <w:color w:val="000000"/>
              </w:rPr>
              <w:lastRenderedPageBreak/>
              <w:t>TOTAL:</w:t>
            </w:r>
          </w:p>
        </w:tc>
        <w:tc>
          <w:tcPr>
            <w:tcW w:w="2947" w:type="dxa"/>
          </w:tcPr>
          <w:p w:rsidR="00E95CDB" w:rsidRPr="00644A3E" w:rsidRDefault="00485C47" w:rsidP="00485C47">
            <w:pPr>
              <w:autoSpaceDE w:val="0"/>
              <w:autoSpaceDN w:val="0"/>
              <w:adjustRightInd w:val="0"/>
              <w:jc w:val="both"/>
              <w:rPr>
                <w:rFonts w:cs="Calibri-Bold"/>
                <w:bCs/>
                <w:color w:val="000000"/>
              </w:rPr>
            </w:pPr>
            <w:r>
              <w:rPr>
                <w:rFonts w:cs="Calibri-Bold"/>
                <w:bCs/>
                <w:color w:val="000000"/>
              </w:rPr>
              <w:t>$</w:t>
            </w:r>
            <w:r w:rsidR="00E8276F" w:rsidRPr="003A7914">
              <w:rPr>
                <w:lang w:val="en-GB" w:eastAsia="zh-CN"/>
              </w:rPr>
              <w:t>122,014</w:t>
            </w:r>
          </w:p>
        </w:tc>
      </w:tr>
    </w:tbl>
    <w:p w:rsidR="00E95CDB" w:rsidRPr="00644A3E" w:rsidRDefault="00E95CDB" w:rsidP="003944C3">
      <w:pPr>
        <w:autoSpaceDE w:val="0"/>
        <w:autoSpaceDN w:val="0"/>
        <w:adjustRightInd w:val="0"/>
        <w:spacing w:after="0" w:line="240" w:lineRule="auto"/>
        <w:jc w:val="both"/>
        <w:rPr>
          <w:rFonts w:cs="Calibri-Bold"/>
          <w:b/>
          <w:bCs/>
          <w:color w:val="000000"/>
        </w:rPr>
      </w:pPr>
    </w:p>
    <w:p w:rsidR="009879D1" w:rsidRDefault="009879D1" w:rsidP="00137674">
      <w:pPr>
        <w:autoSpaceDE w:val="0"/>
        <w:autoSpaceDN w:val="0"/>
        <w:adjustRightInd w:val="0"/>
        <w:spacing w:after="0" w:line="240" w:lineRule="auto"/>
        <w:jc w:val="both"/>
        <w:rPr>
          <w:bCs/>
          <w:lang w:val="en-GB"/>
        </w:rPr>
      </w:pPr>
      <w:r>
        <w:rPr>
          <w:rFonts w:cs="Times New Roman"/>
        </w:rPr>
        <w:t>The Company also capitalized</w:t>
      </w:r>
      <w:r w:rsidRPr="009879D1">
        <w:rPr>
          <w:rFonts w:cs="Times New Roman"/>
        </w:rPr>
        <w:t xml:space="preserve"> </w:t>
      </w:r>
      <w:r w:rsidR="00BD5D2A">
        <w:rPr>
          <w:lang w:val="en-GB"/>
        </w:rPr>
        <w:t>acquisition</w:t>
      </w:r>
      <w:r w:rsidR="00F76CA8">
        <w:rPr>
          <w:lang w:val="en-GB"/>
        </w:rPr>
        <w:t xml:space="preserve"> costs of </w:t>
      </w:r>
      <w:r w:rsidR="00BD5D2A">
        <w:rPr>
          <w:lang w:val="en-GB"/>
        </w:rPr>
        <w:t>$</w:t>
      </w:r>
      <w:r w:rsidR="004B049B">
        <w:rPr>
          <w:lang w:val="en-GB"/>
        </w:rPr>
        <w:t>90,000</w:t>
      </w:r>
      <w:r w:rsidR="00137674">
        <w:rPr>
          <w:lang w:val="en-GB"/>
        </w:rPr>
        <w:t xml:space="preserve">. </w:t>
      </w:r>
      <w:r w:rsidR="004B049B">
        <w:rPr>
          <w:lang w:val="en-GB"/>
        </w:rPr>
        <w:t xml:space="preserve">During the </w:t>
      </w:r>
      <w:r w:rsidR="000F184D">
        <w:rPr>
          <w:lang w:val="en-GB"/>
        </w:rPr>
        <w:t xml:space="preserve">three month period ended April 30, </w:t>
      </w:r>
      <w:r w:rsidR="004B049B">
        <w:rPr>
          <w:lang w:val="en-GB"/>
        </w:rPr>
        <w:t xml:space="preserve">2015 the Company recorded a </w:t>
      </w:r>
      <w:r w:rsidR="004B049B" w:rsidRPr="00CE7277">
        <w:rPr>
          <w:lang w:val="en-GB"/>
        </w:rPr>
        <w:t>write-down of exploration and evaluation property</w:t>
      </w:r>
      <w:r w:rsidR="004B049B" w:rsidRPr="00CE7277">
        <w:rPr>
          <w:bCs/>
          <w:lang w:val="en-GB"/>
        </w:rPr>
        <w:t xml:space="preserve"> of</w:t>
      </w:r>
      <w:r w:rsidR="000F184D">
        <w:rPr>
          <w:bCs/>
          <w:lang w:val="en-GB"/>
        </w:rPr>
        <w:t xml:space="preserve"> $Nil</w:t>
      </w:r>
      <w:r w:rsidR="004B049B" w:rsidRPr="00CE7277">
        <w:rPr>
          <w:bCs/>
          <w:lang w:val="en-GB"/>
        </w:rPr>
        <w:t xml:space="preserve"> </w:t>
      </w:r>
      <w:r w:rsidR="000F184D">
        <w:rPr>
          <w:bCs/>
          <w:lang w:val="en-GB"/>
        </w:rPr>
        <w:t>(</w:t>
      </w:r>
      <w:r w:rsidR="000F184D">
        <w:rPr>
          <w:lang w:val="en-GB"/>
        </w:rPr>
        <w:t xml:space="preserve">January 31, 2015 - </w:t>
      </w:r>
      <w:r w:rsidR="004B049B" w:rsidRPr="00CE7277">
        <w:rPr>
          <w:bCs/>
          <w:lang w:val="en-GB"/>
        </w:rPr>
        <w:t>$</w:t>
      </w:r>
      <w:r w:rsidR="004B049B">
        <w:rPr>
          <w:rFonts w:cs="Calibri"/>
          <w:color w:val="000000"/>
        </w:rPr>
        <w:t>212,01</w:t>
      </w:r>
      <w:r w:rsidR="004B049B" w:rsidRPr="00C418F9">
        <w:rPr>
          <w:rFonts w:cs="Calibri"/>
          <w:color w:val="000000"/>
        </w:rPr>
        <w:t>4</w:t>
      </w:r>
      <w:r w:rsidR="000F184D">
        <w:rPr>
          <w:rFonts w:cs="Calibri"/>
          <w:color w:val="000000"/>
        </w:rPr>
        <w:t>)</w:t>
      </w:r>
      <w:r w:rsidR="004B049B">
        <w:rPr>
          <w:bCs/>
          <w:lang w:val="en-GB"/>
        </w:rPr>
        <w:t xml:space="preserve"> in relation to the Pattullo Property claims. </w:t>
      </w:r>
    </w:p>
    <w:p w:rsidR="004B049B" w:rsidRDefault="004B049B" w:rsidP="00137674">
      <w:pPr>
        <w:autoSpaceDE w:val="0"/>
        <w:autoSpaceDN w:val="0"/>
        <w:adjustRightInd w:val="0"/>
        <w:spacing w:after="0" w:line="240" w:lineRule="auto"/>
        <w:jc w:val="both"/>
        <w:rPr>
          <w:rFonts w:cs="Times New Roman"/>
        </w:rPr>
      </w:pPr>
    </w:p>
    <w:p w:rsidR="00E95CDB" w:rsidRPr="00644A3E" w:rsidRDefault="00E95CDB" w:rsidP="00137674">
      <w:pPr>
        <w:autoSpaceDE w:val="0"/>
        <w:autoSpaceDN w:val="0"/>
        <w:adjustRightInd w:val="0"/>
        <w:spacing w:after="0" w:line="240" w:lineRule="auto"/>
        <w:jc w:val="both"/>
        <w:rPr>
          <w:rFonts w:cs="Times New Roman"/>
        </w:rPr>
      </w:pPr>
      <w:r w:rsidRPr="00644A3E">
        <w:rPr>
          <w:rFonts w:cs="Times New Roman"/>
        </w:rPr>
        <w:t xml:space="preserve">A grid consisting of approximately 29.45 kilometers of line was cut on the Property by </w:t>
      </w:r>
      <w:proofErr w:type="spellStart"/>
      <w:r w:rsidRPr="00644A3E">
        <w:rPr>
          <w:rFonts w:cs="Times New Roman"/>
        </w:rPr>
        <w:t>Haveman</w:t>
      </w:r>
      <w:proofErr w:type="spellEnd"/>
      <w:r w:rsidRPr="00644A3E">
        <w:rPr>
          <w:rFonts w:cs="Times New Roman"/>
        </w:rPr>
        <w:t xml:space="preserve"> Brothers</w:t>
      </w:r>
      <w:r w:rsidR="007267B0">
        <w:rPr>
          <w:rFonts w:cs="Times New Roman"/>
        </w:rPr>
        <w:t xml:space="preserve"> </w:t>
      </w:r>
      <w:r w:rsidRPr="00644A3E">
        <w:rPr>
          <w:rFonts w:cs="Times New Roman"/>
        </w:rPr>
        <w:t>Forestry Services Ltd. in the summer of 2011.</w:t>
      </w:r>
    </w:p>
    <w:p w:rsidR="00E95CDB" w:rsidRPr="00644A3E" w:rsidRDefault="00E95CDB" w:rsidP="00137674">
      <w:pPr>
        <w:autoSpaceDE w:val="0"/>
        <w:autoSpaceDN w:val="0"/>
        <w:adjustRightInd w:val="0"/>
        <w:spacing w:after="0" w:line="240" w:lineRule="auto"/>
        <w:jc w:val="both"/>
        <w:rPr>
          <w:rFonts w:cs="Times New Roman"/>
        </w:rPr>
      </w:pPr>
    </w:p>
    <w:p w:rsidR="00E95CDB" w:rsidRPr="00644A3E" w:rsidRDefault="00E95CDB" w:rsidP="00137674">
      <w:pPr>
        <w:autoSpaceDE w:val="0"/>
        <w:autoSpaceDN w:val="0"/>
        <w:adjustRightInd w:val="0"/>
        <w:spacing w:after="0" w:line="240" w:lineRule="auto"/>
        <w:jc w:val="both"/>
        <w:rPr>
          <w:rFonts w:cs="Times New Roman"/>
        </w:rPr>
      </w:pPr>
      <w:r w:rsidRPr="00644A3E">
        <w:rPr>
          <w:rFonts w:cs="Times New Roman"/>
        </w:rPr>
        <w:t xml:space="preserve">In the summer of 2011, Exploitation </w:t>
      </w:r>
      <w:proofErr w:type="spellStart"/>
      <w:r w:rsidRPr="00644A3E">
        <w:rPr>
          <w:rFonts w:cs="Times New Roman"/>
        </w:rPr>
        <w:t>Senex</w:t>
      </w:r>
      <w:proofErr w:type="spellEnd"/>
      <w:r w:rsidRPr="00644A3E">
        <w:rPr>
          <w:rFonts w:cs="Times New Roman"/>
        </w:rPr>
        <w:t xml:space="preserve"> Inc. completed a ground geophysical survey, which included</w:t>
      </w:r>
      <w:r w:rsidR="007267B0">
        <w:rPr>
          <w:rFonts w:cs="Times New Roman"/>
        </w:rPr>
        <w:t xml:space="preserve"> </w:t>
      </w:r>
      <w:r w:rsidRPr="00644A3E">
        <w:rPr>
          <w:rFonts w:cs="Times New Roman"/>
        </w:rPr>
        <w:t>magnetometer, time domain electromagnetic (“</w:t>
      </w:r>
      <w:r w:rsidRPr="00644A3E">
        <w:rPr>
          <w:rFonts w:cs="Times New Roman"/>
          <w:b/>
          <w:bCs/>
        </w:rPr>
        <w:t>TDEM</w:t>
      </w:r>
      <w:r w:rsidRPr="00644A3E">
        <w:rPr>
          <w:rFonts w:cs="Times New Roman"/>
        </w:rPr>
        <w:t>”) and induce polarization (“</w:t>
      </w:r>
      <w:r w:rsidRPr="00644A3E">
        <w:rPr>
          <w:rFonts w:cs="Times New Roman"/>
          <w:b/>
          <w:bCs/>
        </w:rPr>
        <w:t>IP</w:t>
      </w:r>
      <w:r w:rsidRPr="00644A3E">
        <w:rPr>
          <w:rFonts w:cs="Times New Roman"/>
        </w:rPr>
        <w:t>”).</w:t>
      </w:r>
    </w:p>
    <w:p w:rsidR="00E95CDB" w:rsidRPr="00644A3E" w:rsidRDefault="00E95CDB" w:rsidP="00137674">
      <w:pPr>
        <w:autoSpaceDE w:val="0"/>
        <w:autoSpaceDN w:val="0"/>
        <w:adjustRightInd w:val="0"/>
        <w:spacing w:after="0" w:line="240" w:lineRule="auto"/>
        <w:jc w:val="both"/>
        <w:rPr>
          <w:rFonts w:cs="Times New Roman"/>
        </w:rPr>
      </w:pPr>
    </w:p>
    <w:p w:rsidR="00E95CDB" w:rsidRPr="00644A3E" w:rsidRDefault="00E95CDB" w:rsidP="00137674">
      <w:pPr>
        <w:autoSpaceDE w:val="0"/>
        <w:autoSpaceDN w:val="0"/>
        <w:adjustRightInd w:val="0"/>
        <w:spacing w:after="0" w:line="240" w:lineRule="auto"/>
        <w:jc w:val="both"/>
        <w:rPr>
          <w:rFonts w:cs="Times New Roman"/>
        </w:rPr>
      </w:pPr>
      <w:r w:rsidRPr="00644A3E">
        <w:rPr>
          <w:rFonts w:cs="Times New Roman"/>
        </w:rPr>
        <w:t>A magnetometer (</w:t>
      </w:r>
      <w:proofErr w:type="spellStart"/>
      <w:r w:rsidRPr="00644A3E">
        <w:rPr>
          <w:rFonts w:cs="Times New Roman"/>
        </w:rPr>
        <w:t>Scintrex</w:t>
      </w:r>
      <w:proofErr w:type="spellEnd"/>
      <w:r w:rsidRPr="00644A3E">
        <w:rPr>
          <w:rFonts w:cs="Times New Roman"/>
        </w:rPr>
        <w:t xml:space="preserve"> Omni Magnetometer with Base) survey was completed over approximately 24</w:t>
      </w:r>
      <w:r w:rsidR="007267B0">
        <w:rPr>
          <w:rFonts w:cs="Times New Roman"/>
        </w:rPr>
        <w:t xml:space="preserve"> </w:t>
      </w:r>
      <w:r w:rsidRPr="00644A3E">
        <w:rPr>
          <w:rFonts w:cs="Times New Roman"/>
        </w:rPr>
        <w:t>kilometers of the grid and collected 2,058 data points. The survey was conducted on lines 100 meters</w:t>
      </w:r>
      <w:r w:rsidR="007267B0">
        <w:rPr>
          <w:rFonts w:cs="Times New Roman"/>
        </w:rPr>
        <w:t xml:space="preserve"> </w:t>
      </w:r>
      <w:r w:rsidRPr="00644A3E">
        <w:rPr>
          <w:rFonts w:cs="Times New Roman"/>
        </w:rPr>
        <w:t>apart. The magnetometer survey was conducted using a method commonly referred to as a “walking</w:t>
      </w:r>
      <w:r w:rsidR="007267B0">
        <w:rPr>
          <w:rFonts w:cs="Times New Roman"/>
        </w:rPr>
        <w:t xml:space="preserve"> </w:t>
      </w:r>
      <w:r w:rsidRPr="00644A3E">
        <w:rPr>
          <w:rFonts w:cs="Times New Roman"/>
        </w:rPr>
        <w:t xml:space="preserve">survey” with readings taken at </w:t>
      </w:r>
      <w:r w:rsidR="00975B6A">
        <w:rPr>
          <w:rFonts w:cs="Times New Roman"/>
        </w:rPr>
        <w:t>one</w:t>
      </w:r>
      <w:r w:rsidRPr="00644A3E">
        <w:rPr>
          <w:rFonts w:cs="Times New Roman"/>
        </w:rPr>
        <w:t xml:space="preserve"> second intervals while the operator walked the grid line. The ground</w:t>
      </w:r>
      <w:r w:rsidR="007267B0">
        <w:rPr>
          <w:rFonts w:cs="Times New Roman"/>
        </w:rPr>
        <w:t xml:space="preserve"> </w:t>
      </w:r>
      <w:r w:rsidRPr="00644A3E">
        <w:rPr>
          <w:rFonts w:cs="Times New Roman"/>
        </w:rPr>
        <w:t>magnetometer survey identified a magnetic high referred to as an “anomaly”. It might be more aptly</w:t>
      </w:r>
      <w:r w:rsidR="007267B0">
        <w:rPr>
          <w:rFonts w:cs="Times New Roman"/>
        </w:rPr>
        <w:t xml:space="preserve"> </w:t>
      </w:r>
      <w:r w:rsidRPr="00644A3E">
        <w:rPr>
          <w:rFonts w:cs="Times New Roman"/>
        </w:rPr>
        <w:t xml:space="preserve">referred to as a feature that is part of a magnetic trend evident in the </w:t>
      </w:r>
      <w:r w:rsidR="007267B0">
        <w:rPr>
          <w:rFonts w:cs="Times New Roman"/>
        </w:rPr>
        <w:t xml:space="preserve">regional magnetic data obtained </w:t>
      </w:r>
      <w:r w:rsidRPr="00644A3E">
        <w:rPr>
          <w:rFonts w:cs="Times New Roman"/>
        </w:rPr>
        <w:t>from</w:t>
      </w:r>
      <w:r w:rsidR="007267B0">
        <w:rPr>
          <w:rFonts w:cs="Times New Roman"/>
        </w:rPr>
        <w:t xml:space="preserve"> </w:t>
      </w:r>
      <w:r w:rsidRPr="00644A3E">
        <w:rPr>
          <w:rFonts w:cs="Times New Roman"/>
        </w:rPr>
        <w:t xml:space="preserve">the Ontario Government airborne survey. This feature is likely related to late porphyry </w:t>
      </w:r>
      <w:proofErr w:type="spellStart"/>
      <w:r w:rsidRPr="00644A3E">
        <w:rPr>
          <w:rFonts w:cs="Times New Roman"/>
        </w:rPr>
        <w:t>intrusives</w:t>
      </w:r>
      <w:proofErr w:type="spellEnd"/>
      <w:r w:rsidRPr="00644A3E">
        <w:rPr>
          <w:rFonts w:cs="Times New Roman"/>
        </w:rPr>
        <w:t xml:space="preserve"> in the</w:t>
      </w:r>
      <w:r w:rsidR="007267B0">
        <w:rPr>
          <w:rFonts w:cs="Times New Roman"/>
        </w:rPr>
        <w:t xml:space="preserve"> </w:t>
      </w:r>
      <w:proofErr w:type="spellStart"/>
      <w:r w:rsidRPr="00644A3E">
        <w:rPr>
          <w:rFonts w:cs="Times New Roman"/>
        </w:rPr>
        <w:t>felsic</w:t>
      </w:r>
      <w:proofErr w:type="spellEnd"/>
      <w:r w:rsidRPr="00644A3E">
        <w:rPr>
          <w:rFonts w:cs="Times New Roman"/>
        </w:rPr>
        <w:t xml:space="preserve"> </w:t>
      </w:r>
      <w:proofErr w:type="spellStart"/>
      <w:r w:rsidRPr="00644A3E">
        <w:rPr>
          <w:rFonts w:cs="Times New Roman"/>
        </w:rPr>
        <w:t>volcanics</w:t>
      </w:r>
      <w:proofErr w:type="spellEnd"/>
      <w:r w:rsidRPr="00644A3E">
        <w:rPr>
          <w:rFonts w:cs="Times New Roman"/>
        </w:rPr>
        <w:t xml:space="preserve"> and sediments projected to trend through the area. </w:t>
      </w:r>
      <w:proofErr w:type="spellStart"/>
      <w:r w:rsidRPr="00644A3E">
        <w:rPr>
          <w:rFonts w:cs="Times New Roman"/>
        </w:rPr>
        <w:t>Felsic</w:t>
      </w:r>
      <w:proofErr w:type="spellEnd"/>
      <w:r w:rsidRPr="00644A3E">
        <w:rPr>
          <w:rFonts w:cs="Times New Roman"/>
        </w:rPr>
        <w:t xml:space="preserve"> porphyries were encountered by</w:t>
      </w:r>
      <w:r w:rsidR="007267B0">
        <w:rPr>
          <w:rFonts w:cs="Times New Roman"/>
        </w:rPr>
        <w:t xml:space="preserve"> </w:t>
      </w:r>
      <w:proofErr w:type="spellStart"/>
      <w:r w:rsidRPr="00644A3E">
        <w:rPr>
          <w:rFonts w:cs="Times New Roman"/>
        </w:rPr>
        <w:t>Skyharbour</w:t>
      </w:r>
      <w:proofErr w:type="spellEnd"/>
      <w:r w:rsidRPr="00644A3E">
        <w:rPr>
          <w:rFonts w:cs="Times New Roman"/>
        </w:rPr>
        <w:t xml:space="preserve"> Resources Ltd. in diamond drill holes. The northwest trending magnetic low at the west end</w:t>
      </w:r>
      <w:r w:rsidR="007267B0">
        <w:rPr>
          <w:rFonts w:cs="Times New Roman"/>
        </w:rPr>
        <w:t xml:space="preserve"> </w:t>
      </w:r>
      <w:r w:rsidRPr="00644A3E">
        <w:rPr>
          <w:rFonts w:cs="Times New Roman"/>
        </w:rPr>
        <w:t xml:space="preserve">of the grid reflects the margin of an interpreted northwest trending </w:t>
      </w:r>
      <w:proofErr w:type="spellStart"/>
      <w:r w:rsidRPr="00644A3E">
        <w:rPr>
          <w:rFonts w:cs="Times New Roman"/>
        </w:rPr>
        <w:t>mafic</w:t>
      </w:r>
      <w:proofErr w:type="spellEnd"/>
      <w:r w:rsidRPr="00644A3E">
        <w:rPr>
          <w:rFonts w:cs="Times New Roman"/>
        </w:rPr>
        <w:t xml:space="preserve"> dike also evident on the airborne</w:t>
      </w:r>
      <w:r w:rsidR="007267B0">
        <w:rPr>
          <w:rFonts w:cs="Times New Roman"/>
        </w:rPr>
        <w:t xml:space="preserve"> </w:t>
      </w:r>
      <w:r w:rsidRPr="00644A3E">
        <w:rPr>
          <w:rFonts w:cs="Times New Roman"/>
        </w:rPr>
        <w:t>magnetic data. Of perhaps some significance is the “break” in the magnetic pattern near the center of the</w:t>
      </w:r>
      <w:r w:rsidR="007267B0">
        <w:rPr>
          <w:rFonts w:cs="Times New Roman"/>
        </w:rPr>
        <w:t xml:space="preserve"> </w:t>
      </w:r>
      <w:r w:rsidRPr="00644A3E">
        <w:rPr>
          <w:rFonts w:cs="Times New Roman"/>
        </w:rPr>
        <w:t>grid. This north trending feature could reflect a north trending structure that may be related to gold</w:t>
      </w:r>
      <w:r w:rsidR="007267B0">
        <w:rPr>
          <w:rFonts w:cs="Times New Roman"/>
        </w:rPr>
        <w:t xml:space="preserve"> </w:t>
      </w:r>
      <w:r w:rsidRPr="00644A3E">
        <w:rPr>
          <w:rFonts w:cs="Times New Roman"/>
        </w:rPr>
        <w:t>emplacement.</w:t>
      </w:r>
    </w:p>
    <w:p w:rsidR="00E95CDB" w:rsidRPr="00644A3E" w:rsidRDefault="00E95CDB" w:rsidP="00137674">
      <w:pPr>
        <w:autoSpaceDE w:val="0"/>
        <w:autoSpaceDN w:val="0"/>
        <w:adjustRightInd w:val="0"/>
        <w:spacing w:after="0" w:line="240" w:lineRule="auto"/>
        <w:jc w:val="both"/>
        <w:rPr>
          <w:rFonts w:cs="Times New Roman"/>
        </w:rPr>
      </w:pPr>
    </w:p>
    <w:p w:rsidR="00E95CDB" w:rsidRPr="00644A3E" w:rsidRDefault="00E95CDB" w:rsidP="00137674">
      <w:pPr>
        <w:autoSpaceDE w:val="0"/>
        <w:autoSpaceDN w:val="0"/>
        <w:adjustRightInd w:val="0"/>
        <w:spacing w:after="0" w:line="240" w:lineRule="auto"/>
        <w:jc w:val="both"/>
        <w:rPr>
          <w:rFonts w:cs="Times New Roman"/>
        </w:rPr>
      </w:pPr>
      <w:r w:rsidRPr="00644A3E">
        <w:rPr>
          <w:rFonts w:cs="Times New Roman"/>
        </w:rPr>
        <w:t>A TDEM survey (HP PROTEM 47 TDEM) was completed over approximately 12 kilometers of the grid</w:t>
      </w:r>
      <w:r w:rsidR="007267B0">
        <w:rPr>
          <w:rFonts w:cs="Times New Roman"/>
        </w:rPr>
        <w:t xml:space="preserve"> </w:t>
      </w:r>
      <w:r w:rsidRPr="00644A3E">
        <w:rPr>
          <w:rFonts w:cs="Times New Roman"/>
        </w:rPr>
        <w:t>and collected 3740 data points. The TDEM survey was conducted on lines 100 meters apart and was</w:t>
      </w:r>
      <w:r w:rsidR="007267B0">
        <w:rPr>
          <w:rFonts w:cs="Times New Roman"/>
        </w:rPr>
        <w:t xml:space="preserve"> </w:t>
      </w:r>
      <w:r w:rsidRPr="00644A3E">
        <w:rPr>
          <w:rFonts w:cs="Times New Roman"/>
        </w:rPr>
        <w:t>carried out with readings at 25 meter intervals along the grid lines. The partial TDEM coverage suggests a</w:t>
      </w:r>
      <w:r w:rsidR="007267B0">
        <w:rPr>
          <w:rFonts w:cs="Times New Roman"/>
        </w:rPr>
        <w:t xml:space="preserve"> </w:t>
      </w:r>
      <w:r w:rsidRPr="00644A3E">
        <w:rPr>
          <w:rFonts w:cs="Times New Roman"/>
        </w:rPr>
        <w:t>possible conductor(s) in the central part of the grid between line 0 an</w:t>
      </w:r>
      <w:r w:rsidR="007267B0">
        <w:rPr>
          <w:rFonts w:cs="Times New Roman"/>
        </w:rPr>
        <w:t xml:space="preserve">d 400 east. The response on the </w:t>
      </w:r>
      <w:r w:rsidRPr="00644A3E">
        <w:rPr>
          <w:rFonts w:cs="Times New Roman"/>
        </w:rPr>
        <w:t>later</w:t>
      </w:r>
      <w:r w:rsidR="007267B0">
        <w:rPr>
          <w:rFonts w:cs="Times New Roman"/>
        </w:rPr>
        <w:t xml:space="preserve"> </w:t>
      </w:r>
      <w:r w:rsidRPr="00644A3E">
        <w:rPr>
          <w:rFonts w:cs="Times New Roman"/>
        </w:rPr>
        <w:t>channels suggests the conductive source is bedrock.</w:t>
      </w:r>
    </w:p>
    <w:p w:rsidR="00E95CDB" w:rsidRPr="00644A3E" w:rsidRDefault="00E95CDB" w:rsidP="00137674">
      <w:pPr>
        <w:autoSpaceDE w:val="0"/>
        <w:autoSpaceDN w:val="0"/>
        <w:adjustRightInd w:val="0"/>
        <w:spacing w:after="0" w:line="240" w:lineRule="auto"/>
        <w:jc w:val="both"/>
        <w:rPr>
          <w:rFonts w:cs="Times New Roman"/>
        </w:rPr>
      </w:pPr>
    </w:p>
    <w:p w:rsidR="005E5C73" w:rsidRDefault="00E95CDB" w:rsidP="00137674">
      <w:pPr>
        <w:autoSpaceDE w:val="0"/>
        <w:autoSpaceDN w:val="0"/>
        <w:adjustRightInd w:val="0"/>
        <w:spacing w:after="0" w:line="240" w:lineRule="auto"/>
        <w:jc w:val="both"/>
        <w:rPr>
          <w:rFonts w:cs="Times New Roman"/>
        </w:rPr>
      </w:pPr>
      <w:r w:rsidRPr="00644A3E">
        <w:rPr>
          <w:rFonts w:cs="Times New Roman"/>
        </w:rPr>
        <w:t>An IP survey was attempted over three kilometers of the grid but was abandoned due to difficulties</w:t>
      </w:r>
      <w:r w:rsidR="007267B0">
        <w:rPr>
          <w:rFonts w:cs="Times New Roman"/>
        </w:rPr>
        <w:t xml:space="preserve"> </w:t>
      </w:r>
      <w:r w:rsidRPr="00644A3E">
        <w:rPr>
          <w:rFonts w:cs="Times New Roman"/>
        </w:rPr>
        <w:t>getting current into bedrock caused by excessive thicknesses of saturated clays in the overburden.</w:t>
      </w:r>
    </w:p>
    <w:p w:rsidR="005E5C73" w:rsidRDefault="005E5C73" w:rsidP="00137674">
      <w:pPr>
        <w:autoSpaceDE w:val="0"/>
        <w:autoSpaceDN w:val="0"/>
        <w:adjustRightInd w:val="0"/>
        <w:spacing w:after="0" w:line="240" w:lineRule="auto"/>
        <w:jc w:val="both"/>
        <w:rPr>
          <w:rFonts w:cs="Times New Roman"/>
        </w:rPr>
      </w:pPr>
    </w:p>
    <w:p w:rsidR="00D1462E" w:rsidRDefault="009879D1" w:rsidP="00137674">
      <w:pPr>
        <w:spacing w:line="240" w:lineRule="auto"/>
        <w:jc w:val="both"/>
        <w:rPr>
          <w:bCs/>
        </w:rPr>
      </w:pPr>
      <w:r w:rsidRPr="005176C6">
        <w:t xml:space="preserve">The Company staked </w:t>
      </w:r>
      <w:r w:rsidR="00DB13D2" w:rsidRPr="00DB13D2">
        <w:t>80 mineral claim units</w:t>
      </w:r>
      <w:r w:rsidR="00DB13D2">
        <w:t xml:space="preserve"> in</w:t>
      </w:r>
      <w:r w:rsidRPr="005176C6">
        <w:t xml:space="preserve"> </w:t>
      </w:r>
      <w:r w:rsidR="00095C20">
        <w:t xml:space="preserve">Nova Scotia </w:t>
      </w:r>
      <w:r w:rsidRPr="005176C6">
        <w:t xml:space="preserve">claims through the Nova Scotia Department of Natural Resources </w:t>
      </w:r>
      <w:r>
        <w:t xml:space="preserve">in </w:t>
      </w:r>
      <w:r w:rsidRPr="005176C6">
        <w:t>2011 at a cost of $1,342. In connection with the staking of th</w:t>
      </w:r>
      <w:r>
        <w:t>ese Nova Scotia claims</w:t>
      </w:r>
      <w:r w:rsidRPr="005176C6">
        <w:t xml:space="preserve">, the Company issued 100,000 common shares valued at $5,000 ($0.05 per common share) </w:t>
      </w:r>
      <w:r>
        <w:t xml:space="preserve">to a director of the Company </w:t>
      </w:r>
      <w:r w:rsidRPr="005176C6">
        <w:t>as a finder’s fee</w:t>
      </w:r>
      <w:r>
        <w:t xml:space="preserve">. </w:t>
      </w:r>
      <w:r w:rsidR="00A3513A">
        <w:t>T</w:t>
      </w:r>
      <w:r w:rsidR="00A3513A" w:rsidRPr="00EE2E72">
        <w:rPr>
          <w:rFonts w:eastAsia="Times New Roman" w:cs="Times New Roman"/>
          <w:iCs/>
          <w:lang w:val="en-US"/>
        </w:rPr>
        <w:t>he Company decided it did not have the funds necessary to meet the work commitment obligations on the</w:t>
      </w:r>
      <w:r w:rsidR="00A3513A">
        <w:rPr>
          <w:rFonts w:eastAsia="Times New Roman" w:cs="Times New Roman"/>
          <w:iCs/>
          <w:lang w:val="en-US"/>
        </w:rPr>
        <w:t xml:space="preserve"> Nova Scotia mineral claims</w:t>
      </w:r>
      <w:r w:rsidR="00A3513A" w:rsidRPr="00EE2E72">
        <w:rPr>
          <w:rFonts w:eastAsia="Times New Roman" w:cs="Times New Roman"/>
          <w:iCs/>
          <w:lang w:val="en-US"/>
        </w:rPr>
        <w:t xml:space="preserve"> in order to renew the claims by June 17, 2012, and thus felt it was in the best interests of its shareholders to sell its interest in </w:t>
      </w:r>
      <w:r w:rsidR="00DC756E">
        <w:rPr>
          <w:rFonts w:eastAsia="Times New Roman" w:cs="Times New Roman"/>
          <w:iCs/>
          <w:lang w:val="en-US"/>
        </w:rPr>
        <w:t>these claims</w:t>
      </w:r>
      <w:r w:rsidR="00A3513A" w:rsidRPr="00EE2E72">
        <w:rPr>
          <w:rFonts w:eastAsia="Times New Roman" w:cs="Times New Roman"/>
          <w:iCs/>
          <w:lang w:val="en-US"/>
        </w:rPr>
        <w:t xml:space="preserve">. </w:t>
      </w:r>
      <w:r>
        <w:t>During the</w:t>
      </w:r>
      <w:r>
        <w:rPr>
          <w:rFonts w:hint="eastAsia"/>
        </w:rPr>
        <w:t xml:space="preserve"> year end</w:t>
      </w:r>
      <w:r>
        <w:t xml:space="preserve">ed January 31, </w:t>
      </w:r>
      <w:r w:rsidR="00CE3918">
        <w:t>2013</w:t>
      </w:r>
      <w:r>
        <w:rPr>
          <w:rFonts w:hint="eastAsia"/>
        </w:rPr>
        <w:t xml:space="preserve">, the Company entered into an agreement </w:t>
      </w:r>
      <w:r>
        <w:rPr>
          <w:rFonts w:hint="eastAsia"/>
          <w:lang w:eastAsia="ko-KR"/>
        </w:rPr>
        <w:t xml:space="preserve">with Millen Mountain Exploration Inc., a company related by way of a director and shareholder in common, </w:t>
      </w:r>
      <w:r w:rsidR="00A3513A">
        <w:rPr>
          <w:rFonts w:hint="eastAsia"/>
        </w:rPr>
        <w:t>to transfer</w:t>
      </w:r>
      <w:r w:rsidR="00A3513A">
        <w:t xml:space="preserve"> these </w:t>
      </w:r>
      <w:r>
        <w:rPr>
          <w:rFonts w:hint="eastAsia"/>
        </w:rPr>
        <w:t>Nova Scotia mineral rights and explora</w:t>
      </w:r>
      <w:r>
        <w:t>t</w:t>
      </w:r>
      <w:r>
        <w:rPr>
          <w:rFonts w:hint="eastAsia"/>
        </w:rPr>
        <w:t>ion licenses in exchange for the principal sum of $18,000</w:t>
      </w:r>
      <w:r>
        <w:rPr>
          <w:lang w:eastAsia="ko-KR"/>
        </w:rPr>
        <w:t>, which currently remains unpaid</w:t>
      </w:r>
      <w:r w:rsidR="00F76CA8">
        <w:rPr>
          <w:lang w:eastAsia="ko-KR"/>
        </w:rPr>
        <w:t xml:space="preserve"> as of the date of this MD&amp;A</w:t>
      </w:r>
      <w:r>
        <w:rPr>
          <w:lang w:eastAsia="ko-KR"/>
        </w:rPr>
        <w:t xml:space="preserve">. </w:t>
      </w:r>
      <w:r w:rsidR="00095C20">
        <w:rPr>
          <w:lang w:eastAsia="ko-KR"/>
        </w:rPr>
        <w:t xml:space="preserve"> </w:t>
      </w:r>
      <w:r>
        <w:rPr>
          <w:lang w:eastAsia="ko-KR"/>
        </w:rPr>
        <w:t xml:space="preserve">From the date of incorporation to </w:t>
      </w:r>
      <w:r w:rsidR="00BF3FC7">
        <w:rPr>
          <w:bCs/>
          <w:lang w:eastAsia="zh-CN"/>
        </w:rPr>
        <w:t>April 30, 2015</w:t>
      </w:r>
      <w:r>
        <w:rPr>
          <w:lang w:eastAsia="ko-KR"/>
        </w:rPr>
        <w:t xml:space="preserve"> the Company has recognized a cumulative amount of $</w:t>
      </w:r>
      <w:r w:rsidR="00E73E21">
        <w:rPr>
          <w:lang w:val="en-GB" w:eastAsia="zh-CN"/>
        </w:rPr>
        <w:t>24,892</w:t>
      </w:r>
      <w:r>
        <w:rPr>
          <w:lang w:eastAsia="ko-KR"/>
        </w:rPr>
        <w:t xml:space="preserve"> in acquisition and exploration costs related to the </w:t>
      </w:r>
      <w:r w:rsidR="00095C20">
        <w:rPr>
          <w:lang w:eastAsia="ko-KR"/>
        </w:rPr>
        <w:t xml:space="preserve">Nova Scotia mineral claims. </w:t>
      </w:r>
      <w:r w:rsidR="00A43FFF">
        <w:rPr>
          <w:bCs/>
        </w:rPr>
        <w:t xml:space="preserve">During the three month period ended April </w:t>
      </w:r>
      <w:r w:rsidR="00A43FFF">
        <w:rPr>
          <w:bCs/>
        </w:rPr>
        <w:lastRenderedPageBreak/>
        <w:t>30, 2015</w:t>
      </w:r>
      <w:r w:rsidR="0025415B" w:rsidRPr="003A7914">
        <w:rPr>
          <w:bCs/>
        </w:rPr>
        <w:t>, the Company recorded a write-d</w:t>
      </w:r>
      <w:r w:rsidR="0025415B">
        <w:rPr>
          <w:bCs/>
        </w:rPr>
        <w:t>own in the amount of $</w:t>
      </w:r>
      <w:r w:rsidR="00A43FFF">
        <w:rPr>
          <w:bCs/>
        </w:rPr>
        <w:t>Nil (</w:t>
      </w:r>
      <w:r w:rsidR="00A43FFF" w:rsidRPr="003A7914">
        <w:rPr>
          <w:bCs/>
        </w:rPr>
        <w:t xml:space="preserve">January </w:t>
      </w:r>
      <w:r w:rsidR="00A43FFF">
        <w:rPr>
          <w:bCs/>
        </w:rPr>
        <w:t>31, 2015 - $1,600</w:t>
      </w:r>
      <w:r w:rsidR="0025415B" w:rsidRPr="003A7914">
        <w:rPr>
          <w:bCs/>
        </w:rPr>
        <w:t xml:space="preserve">) in relation to the </w:t>
      </w:r>
      <w:r w:rsidR="0025415B">
        <w:t xml:space="preserve">Nova Scotia </w:t>
      </w:r>
      <w:r w:rsidR="0025415B" w:rsidRPr="005176C6">
        <w:t>claims</w:t>
      </w:r>
      <w:r w:rsidR="0025415B" w:rsidRPr="003A7914">
        <w:rPr>
          <w:bCs/>
        </w:rPr>
        <w:t xml:space="preserve">. </w:t>
      </w:r>
    </w:p>
    <w:p w:rsidR="00E95CDB" w:rsidRPr="00644A3E" w:rsidRDefault="00E95CDB" w:rsidP="003944C3">
      <w:pPr>
        <w:autoSpaceDE w:val="0"/>
        <w:autoSpaceDN w:val="0"/>
        <w:adjustRightInd w:val="0"/>
        <w:spacing w:after="0" w:line="240" w:lineRule="auto"/>
        <w:jc w:val="both"/>
        <w:rPr>
          <w:rFonts w:cs="Times New Roman"/>
          <w:b/>
          <w:bCs/>
        </w:rPr>
      </w:pPr>
      <w:r w:rsidRPr="00644A3E">
        <w:rPr>
          <w:rFonts w:cs="Times New Roman"/>
          <w:b/>
          <w:bCs/>
        </w:rPr>
        <w:t>Off</w:t>
      </w:r>
      <w:r w:rsidRPr="00644A3E">
        <w:rPr>
          <w:rFonts w:cs="Cambria"/>
        </w:rPr>
        <w:t>‐</w:t>
      </w:r>
      <w:r w:rsidRPr="00644A3E">
        <w:rPr>
          <w:rFonts w:cs="Times New Roman"/>
          <w:b/>
          <w:bCs/>
        </w:rPr>
        <w:t>Balance Sheet Arrangements</w:t>
      </w:r>
    </w:p>
    <w:p w:rsidR="00E95CDB" w:rsidRPr="00644A3E" w:rsidRDefault="00E95CDB" w:rsidP="003944C3">
      <w:pPr>
        <w:autoSpaceDE w:val="0"/>
        <w:autoSpaceDN w:val="0"/>
        <w:adjustRightInd w:val="0"/>
        <w:spacing w:after="0" w:line="240" w:lineRule="auto"/>
        <w:jc w:val="both"/>
        <w:rPr>
          <w:rFonts w:cs="Times New Roman"/>
          <w:b/>
          <w:bCs/>
        </w:rPr>
      </w:pPr>
    </w:p>
    <w:p w:rsidR="00E95CDB" w:rsidRPr="00EE2E72" w:rsidRDefault="00E95CDB" w:rsidP="003944C3">
      <w:pPr>
        <w:autoSpaceDE w:val="0"/>
        <w:autoSpaceDN w:val="0"/>
        <w:adjustRightInd w:val="0"/>
        <w:spacing w:after="0" w:line="240" w:lineRule="auto"/>
        <w:jc w:val="both"/>
        <w:rPr>
          <w:rFonts w:cs="Times New Roman"/>
        </w:rPr>
      </w:pPr>
      <w:r w:rsidRPr="00644A3E">
        <w:rPr>
          <w:rFonts w:cs="Times New Roman"/>
        </w:rPr>
        <w:t xml:space="preserve">The Company does not have any off-balance sheet arrangements </w:t>
      </w:r>
      <w:r w:rsidR="007267B0">
        <w:rPr>
          <w:rFonts w:cs="Times New Roman"/>
        </w:rPr>
        <w:t xml:space="preserve">and does not contemplate having </w:t>
      </w:r>
      <w:r w:rsidRPr="00644A3E">
        <w:rPr>
          <w:rFonts w:cs="Times New Roman"/>
        </w:rPr>
        <w:t>them</w:t>
      </w:r>
      <w:r w:rsidR="007267B0">
        <w:rPr>
          <w:rFonts w:cs="Times New Roman"/>
        </w:rPr>
        <w:t xml:space="preserve"> </w:t>
      </w:r>
      <w:r w:rsidRPr="00644A3E">
        <w:rPr>
          <w:rFonts w:cs="Times New Roman"/>
        </w:rPr>
        <w:t>in the foreseeable future.</w:t>
      </w:r>
    </w:p>
    <w:p w:rsidR="00EE2E72" w:rsidRDefault="00EE2E72" w:rsidP="00EE2E72">
      <w:pPr>
        <w:spacing w:before="100" w:beforeAutospacing="1" w:after="100" w:afterAutospacing="1" w:line="240" w:lineRule="auto"/>
        <w:jc w:val="both"/>
        <w:rPr>
          <w:rFonts w:eastAsia="Times New Roman" w:cs="Times New Roman"/>
          <w:b/>
          <w:bCs/>
          <w:iCs/>
          <w:lang w:val="en-US"/>
        </w:rPr>
      </w:pPr>
      <w:r w:rsidRPr="00EE2E72">
        <w:rPr>
          <w:rFonts w:eastAsia="Times New Roman" w:cs="Times New Roman"/>
          <w:b/>
          <w:bCs/>
          <w:iCs/>
          <w:lang w:val="en-US"/>
        </w:rPr>
        <w:t>Transactions between Related Parties</w:t>
      </w:r>
    </w:p>
    <w:p w:rsidR="00A43FFF" w:rsidRPr="003A7914" w:rsidRDefault="00A43FFF" w:rsidP="00A43FFF">
      <w:pPr>
        <w:rPr>
          <w:bCs/>
        </w:rPr>
      </w:pPr>
      <w:r w:rsidRPr="003A7914">
        <w:rPr>
          <w:bCs/>
        </w:rPr>
        <w:t>The remuneration of directors and other members of key management were as follows:</w:t>
      </w:r>
    </w:p>
    <w:p w:rsidR="00A43FFF" w:rsidRDefault="00A43FFF" w:rsidP="00A43FFF">
      <w:pPr>
        <w:ind w:left="547"/>
        <w:rPr>
          <w:bCs/>
        </w:rPr>
      </w:pPr>
    </w:p>
    <w:tbl>
      <w:tblPr>
        <w:tblpPr w:leftFromText="180" w:rightFromText="180" w:vertAnchor="text" w:tblpY="1"/>
        <w:tblOverlap w:val="never"/>
        <w:tblW w:w="8460" w:type="dxa"/>
        <w:tblLayout w:type="fixed"/>
        <w:tblLook w:val="0000"/>
      </w:tblPr>
      <w:tblGrid>
        <w:gridCol w:w="4590"/>
        <w:gridCol w:w="238"/>
        <w:gridCol w:w="1652"/>
        <w:gridCol w:w="238"/>
        <w:gridCol w:w="1742"/>
      </w:tblGrid>
      <w:tr w:rsidR="00A43FFF" w:rsidRPr="00CE4CBC" w:rsidTr="00A43FFF">
        <w:tc>
          <w:tcPr>
            <w:tcW w:w="4590" w:type="dxa"/>
          </w:tcPr>
          <w:p w:rsidR="00A43FFF" w:rsidRPr="00CE4CBC" w:rsidRDefault="00A43FFF" w:rsidP="00A43FFF">
            <w:pPr>
              <w:rPr>
                <w:rFonts w:ascii="Times" w:hAnsi="Times"/>
                <w:b/>
                <w:lang w:val="en-GB"/>
              </w:rPr>
            </w:pPr>
          </w:p>
        </w:tc>
        <w:tc>
          <w:tcPr>
            <w:tcW w:w="238" w:type="dxa"/>
          </w:tcPr>
          <w:p w:rsidR="00A43FFF" w:rsidRPr="00CE4CBC" w:rsidRDefault="00A43FFF" w:rsidP="00A43FFF">
            <w:pPr>
              <w:jc w:val="right"/>
              <w:rPr>
                <w:rFonts w:ascii="Times" w:hAnsi="Times"/>
                <w:b/>
                <w:bCs/>
              </w:rPr>
            </w:pPr>
          </w:p>
        </w:tc>
        <w:tc>
          <w:tcPr>
            <w:tcW w:w="1652" w:type="dxa"/>
            <w:vAlign w:val="bottom"/>
          </w:tcPr>
          <w:p w:rsidR="00A43FFF" w:rsidRDefault="00A43FFF" w:rsidP="00A43FFF">
            <w:pPr>
              <w:jc w:val="right"/>
              <w:rPr>
                <w:b/>
                <w:lang w:eastAsia="ko-KR"/>
              </w:rPr>
            </w:pPr>
            <w:r>
              <w:rPr>
                <w:b/>
                <w:lang w:eastAsia="ko-KR"/>
              </w:rPr>
              <w:t xml:space="preserve">For the three month period ended 30 </w:t>
            </w:r>
          </w:p>
          <w:p w:rsidR="00A43FFF" w:rsidRPr="00CE4CBC" w:rsidRDefault="00A43FFF" w:rsidP="00A43FFF">
            <w:pPr>
              <w:jc w:val="right"/>
              <w:rPr>
                <w:b/>
              </w:rPr>
            </w:pPr>
            <w:r>
              <w:rPr>
                <w:b/>
                <w:lang w:eastAsia="ko-KR"/>
              </w:rPr>
              <w:t>April 2015</w:t>
            </w:r>
          </w:p>
        </w:tc>
        <w:tc>
          <w:tcPr>
            <w:tcW w:w="238" w:type="dxa"/>
          </w:tcPr>
          <w:p w:rsidR="00A43FFF" w:rsidRPr="00CE4CBC" w:rsidRDefault="00A43FFF" w:rsidP="00A43FFF">
            <w:pPr>
              <w:jc w:val="right"/>
              <w:rPr>
                <w:b/>
              </w:rPr>
            </w:pPr>
          </w:p>
        </w:tc>
        <w:tc>
          <w:tcPr>
            <w:tcW w:w="1742" w:type="dxa"/>
            <w:vAlign w:val="bottom"/>
          </w:tcPr>
          <w:p w:rsidR="00A43FFF" w:rsidRDefault="00A43FFF" w:rsidP="00A43FFF">
            <w:pPr>
              <w:jc w:val="right"/>
              <w:rPr>
                <w:b/>
                <w:lang w:eastAsia="ko-KR"/>
              </w:rPr>
            </w:pPr>
            <w:r>
              <w:rPr>
                <w:b/>
                <w:lang w:eastAsia="ko-KR"/>
              </w:rPr>
              <w:t xml:space="preserve">For the three month period ended 30 </w:t>
            </w:r>
          </w:p>
          <w:p w:rsidR="00A43FFF" w:rsidRPr="00CE4CBC" w:rsidRDefault="00A43FFF" w:rsidP="00A43FFF">
            <w:pPr>
              <w:jc w:val="right"/>
              <w:rPr>
                <w:b/>
              </w:rPr>
            </w:pPr>
            <w:r>
              <w:rPr>
                <w:b/>
                <w:lang w:eastAsia="ko-KR"/>
              </w:rPr>
              <w:t>April 2014</w:t>
            </w:r>
          </w:p>
        </w:tc>
      </w:tr>
      <w:tr w:rsidR="00A43FFF" w:rsidRPr="00CE4CBC" w:rsidTr="00A43FFF">
        <w:tc>
          <w:tcPr>
            <w:tcW w:w="4590" w:type="dxa"/>
          </w:tcPr>
          <w:p w:rsidR="00A43FFF" w:rsidRPr="00CE4CBC" w:rsidRDefault="00A43FFF" w:rsidP="00A43FFF">
            <w:pPr>
              <w:rPr>
                <w:rFonts w:ascii="Times" w:hAnsi="Times"/>
                <w:b/>
                <w:lang w:val="en-GB"/>
              </w:rPr>
            </w:pPr>
          </w:p>
        </w:tc>
        <w:tc>
          <w:tcPr>
            <w:tcW w:w="238" w:type="dxa"/>
          </w:tcPr>
          <w:p w:rsidR="00A43FFF" w:rsidRPr="00CE4CBC" w:rsidRDefault="00A43FFF" w:rsidP="00A43FFF">
            <w:pPr>
              <w:jc w:val="right"/>
              <w:rPr>
                <w:rFonts w:ascii="Times" w:hAnsi="Times"/>
                <w:b/>
                <w:bCs/>
                <w:lang w:val="en-GB"/>
              </w:rPr>
            </w:pPr>
          </w:p>
        </w:tc>
        <w:tc>
          <w:tcPr>
            <w:tcW w:w="1652" w:type="dxa"/>
            <w:vAlign w:val="bottom"/>
          </w:tcPr>
          <w:p w:rsidR="00A43FFF" w:rsidRPr="00CE4CBC" w:rsidRDefault="00A43FFF" w:rsidP="00A43FFF">
            <w:pPr>
              <w:jc w:val="right"/>
              <w:rPr>
                <w:rFonts w:ascii="Times" w:hAnsi="Times"/>
                <w:b/>
                <w:bCs/>
                <w:lang w:val="en-GB"/>
              </w:rPr>
            </w:pPr>
          </w:p>
        </w:tc>
        <w:tc>
          <w:tcPr>
            <w:tcW w:w="238" w:type="dxa"/>
          </w:tcPr>
          <w:p w:rsidR="00A43FFF" w:rsidRPr="00CE4CBC" w:rsidRDefault="00A43FFF" w:rsidP="00A43FFF">
            <w:pPr>
              <w:jc w:val="right"/>
              <w:rPr>
                <w:rFonts w:ascii="Times" w:hAnsi="Times"/>
                <w:b/>
                <w:bCs/>
                <w:lang w:val="en-GB"/>
              </w:rPr>
            </w:pPr>
          </w:p>
        </w:tc>
        <w:tc>
          <w:tcPr>
            <w:tcW w:w="1742" w:type="dxa"/>
            <w:vAlign w:val="bottom"/>
          </w:tcPr>
          <w:p w:rsidR="00A43FFF" w:rsidRPr="00CE4CBC" w:rsidRDefault="00A43FFF" w:rsidP="00A43FFF">
            <w:pPr>
              <w:jc w:val="right"/>
              <w:rPr>
                <w:rFonts w:ascii="Times" w:hAnsi="Times"/>
                <w:b/>
                <w:bCs/>
                <w:lang w:val="en-GB"/>
              </w:rPr>
            </w:pPr>
          </w:p>
        </w:tc>
      </w:tr>
      <w:tr w:rsidR="00A43FFF" w:rsidRPr="00CE4CBC" w:rsidTr="00A43FFF">
        <w:tc>
          <w:tcPr>
            <w:tcW w:w="4590" w:type="dxa"/>
          </w:tcPr>
          <w:p w:rsidR="00A43FFF" w:rsidRDefault="00A43FFF" w:rsidP="00A43FFF">
            <w:pPr>
              <w:jc w:val="both"/>
            </w:pPr>
            <w:r>
              <w:t>Short-term benefits - Management and other fees</w:t>
            </w:r>
          </w:p>
        </w:tc>
        <w:tc>
          <w:tcPr>
            <w:tcW w:w="238" w:type="dxa"/>
          </w:tcPr>
          <w:p w:rsidR="00A43FFF" w:rsidRPr="00CE4CBC" w:rsidRDefault="00A43FFF" w:rsidP="00A43FFF">
            <w:pPr>
              <w:jc w:val="right"/>
              <w:rPr>
                <w:rFonts w:ascii="Times" w:hAnsi="Times"/>
                <w:lang w:val="en-GB"/>
              </w:rPr>
            </w:pPr>
          </w:p>
        </w:tc>
        <w:tc>
          <w:tcPr>
            <w:tcW w:w="1652" w:type="dxa"/>
            <w:vAlign w:val="bottom"/>
          </w:tcPr>
          <w:p w:rsidR="00A43FFF" w:rsidRDefault="00A43FFF" w:rsidP="00A43FFF">
            <w:pPr>
              <w:jc w:val="right"/>
              <w:rPr>
                <w:rFonts w:ascii="Times" w:hAnsi="Times"/>
                <w:lang w:val="en-GB" w:eastAsia="ko-KR"/>
              </w:rPr>
            </w:pPr>
            <w:r>
              <w:rPr>
                <w:rFonts w:ascii="Times" w:hAnsi="Times"/>
                <w:lang w:val="en-GB" w:eastAsia="ko-KR"/>
              </w:rPr>
              <w:t>15,000</w:t>
            </w:r>
          </w:p>
        </w:tc>
        <w:tc>
          <w:tcPr>
            <w:tcW w:w="238" w:type="dxa"/>
          </w:tcPr>
          <w:p w:rsidR="00A43FFF" w:rsidRPr="00CE4CBC" w:rsidRDefault="00A43FFF" w:rsidP="00A43FFF">
            <w:pPr>
              <w:jc w:val="right"/>
              <w:rPr>
                <w:rFonts w:ascii="Times" w:hAnsi="Times"/>
                <w:lang w:val="en-GB"/>
              </w:rPr>
            </w:pPr>
          </w:p>
        </w:tc>
        <w:tc>
          <w:tcPr>
            <w:tcW w:w="1742" w:type="dxa"/>
            <w:vAlign w:val="bottom"/>
          </w:tcPr>
          <w:p w:rsidR="00A43FFF" w:rsidRDefault="00A43FFF" w:rsidP="00A43FFF">
            <w:pPr>
              <w:jc w:val="right"/>
              <w:rPr>
                <w:rFonts w:ascii="Times" w:hAnsi="Times"/>
                <w:lang w:val="en-GB" w:eastAsia="ko-KR"/>
              </w:rPr>
            </w:pPr>
            <w:r>
              <w:rPr>
                <w:rFonts w:ascii="Times" w:hAnsi="Times"/>
                <w:lang w:val="en-GB" w:eastAsia="ko-KR"/>
              </w:rPr>
              <w:t>15,000</w:t>
            </w:r>
          </w:p>
        </w:tc>
      </w:tr>
      <w:tr w:rsidR="00A43FFF" w:rsidRPr="00CE4CBC" w:rsidTr="00A43FFF">
        <w:tc>
          <w:tcPr>
            <w:tcW w:w="4590" w:type="dxa"/>
          </w:tcPr>
          <w:p w:rsidR="00A43FFF" w:rsidRDefault="00A43FFF" w:rsidP="00A43FFF">
            <w:pPr>
              <w:jc w:val="both"/>
            </w:pPr>
          </w:p>
        </w:tc>
        <w:tc>
          <w:tcPr>
            <w:tcW w:w="238" w:type="dxa"/>
          </w:tcPr>
          <w:p w:rsidR="00A43FFF" w:rsidRPr="00CE4CBC" w:rsidRDefault="00A43FFF" w:rsidP="00A43FFF">
            <w:pPr>
              <w:jc w:val="right"/>
              <w:rPr>
                <w:rFonts w:ascii="Times" w:hAnsi="Times"/>
                <w:lang w:val="en-GB"/>
              </w:rPr>
            </w:pPr>
          </w:p>
        </w:tc>
        <w:tc>
          <w:tcPr>
            <w:tcW w:w="1652" w:type="dxa"/>
            <w:tcBorders>
              <w:top w:val="single" w:sz="4" w:space="0" w:color="auto"/>
            </w:tcBorders>
            <w:vAlign w:val="bottom"/>
          </w:tcPr>
          <w:p w:rsidR="00A43FFF" w:rsidRDefault="00A43FFF" w:rsidP="00A43FFF">
            <w:pPr>
              <w:jc w:val="right"/>
              <w:rPr>
                <w:rFonts w:ascii="Times" w:hAnsi="Times"/>
                <w:lang w:val="en-GB" w:eastAsia="ko-KR"/>
              </w:rPr>
            </w:pPr>
          </w:p>
        </w:tc>
        <w:tc>
          <w:tcPr>
            <w:tcW w:w="238" w:type="dxa"/>
          </w:tcPr>
          <w:p w:rsidR="00A43FFF" w:rsidRPr="00CE4CBC" w:rsidRDefault="00A43FFF" w:rsidP="00A43FFF">
            <w:pPr>
              <w:jc w:val="right"/>
              <w:rPr>
                <w:rFonts w:ascii="Times" w:hAnsi="Times"/>
                <w:lang w:val="en-GB"/>
              </w:rPr>
            </w:pPr>
          </w:p>
        </w:tc>
        <w:tc>
          <w:tcPr>
            <w:tcW w:w="1742" w:type="dxa"/>
            <w:tcBorders>
              <w:top w:val="single" w:sz="4" w:space="0" w:color="auto"/>
            </w:tcBorders>
            <w:vAlign w:val="bottom"/>
          </w:tcPr>
          <w:p w:rsidR="00A43FFF" w:rsidRDefault="00A43FFF" w:rsidP="00A43FFF">
            <w:pPr>
              <w:jc w:val="right"/>
              <w:rPr>
                <w:rFonts w:ascii="Times" w:hAnsi="Times"/>
                <w:lang w:val="en-GB" w:eastAsia="ko-KR"/>
              </w:rPr>
            </w:pPr>
          </w:p>
        </w:tc>
      </w:tr>
      <w:tr w:rsidR="00A43FFF" w:rsidRPr="00CE4CBC" w:rsidTr="00A43FFF">
        <w:tc>
          <w:tcPr>
            <w:tcW w:w="4590" w:type="dxa"/>
          </w:tcPr>
          <w:p w:rsidR="00A43FFF" w:rsidRDefault="00A43FFF" w:rsidP="00A43FFF">
            <w:pPr>
              <w:jc w:val="both"/>
            </w:pPr>
          </w:p>
        </w:tc>
        <w:tc>
          <w:tcPr>
            <w:tcW w:w="238" w:type="dxa"/>
          </w:tcPr>
          <w:p w:rsidR="00A43FFF" w:rsidRPr="00CE4CBC" w:rsidRDefault="00A43FFF" w:rsidP="00A43FFF">
            <w:pPr>
              <w:jc w:val="right"/>
              <w:rPr>
                <w:rFonts w:ascii="Times" w:hAnsi="Times"/>
                <w:lang w:val="en-GB"/>
              </w:rPr>
            </w:pPr>
          </w:p>
        </w:tc>
        <w:tc>
          <w:tcPr>
            <w:tcW w:w="1652" w:type="dxa"/>
            <w:tcBorders>
              <w:bottom w:val="single" w:sz="12" w:space="0" w:color="auto"/>
            </w:tcBorders>
            <w:vAlign w:val="bottom"/>
          </w:tcPr>
          <w:p w:rsidR="00A43FFF" w:rsidRDefault="00A43FFF" w:rsidP="00A43FFF">
            <w:pPr>
              <w:jc w:val="right"/>
              <w:rPr>
                <w:rFonts w:ascii="Times" w:hAnsi="Times"/>
                <w:lang w:val="en-GB" w:eastAsia="ko-KR"/>
              </w:rPr>
            </w:pPr>
            <w:r>
              <w:rPr>
                <w:rFonts w:ascii="Times" w:hAnsi="Times"/>
                <w:lang w:val="en-GB" w:eastAsia="ko-KR"/>
              </w:rPr>
              <w:t>15,000</w:t>
            </w:r>
          </w:p>
        </w:tc>
        <w:tc>
          <w:tcPr>
            <w:tcW w:w="238" w:type="dxa"/>
          </w:tcPr>
          <w:p w:rsidR="00A43FFF" w:rsidRPr="00CE4CBC" w:rsidRDefault="00A43FFF" w:rsidP="00A43FFF">
            <w:pPr>
              <w:jc w:val="right"/>
              <w:rPr>
                <w:rFonts w:ascii="Times" w:hAnsi="Times"/>
                <w:lang w:val="en-GB"/>
              </w:rPr>
            </w:pPr>
          </w:p>
        </w:tc>
        <w:tc>
          <w:tcPr>
            <w:tcW w:w="1742" w:type="dxa"/>
            <w:tcBorders>
              <w:bottom w:val="single" w:sz="12" w:space="0" w:color="auto"/>
            </w:tcBorders>
            <w:vAlign w:val="bottom"/>
          </w:tcPr>
          <w:p w:rsidR="00A43FFF" w:rsidRPr="00CE4CBC" w:rsidRDefault="00A43FFF" w:rsidP="00A43FFF">
            <w:pPr>
              <w:jc w:val="right"/>
              <w:rPr>
                <w:rFonts w:ascii="Times" w:hAnsi="Times"/>
                <w:lang w:val="en-GB" w:eastAsia="ko-KR"/>
              </w:rPr>
            </w:pPr>
            <w:r>
              <w:rPr>
                <w:rFonts w:ascii="Times" w:hAnsi="Times"/>
                <w:lang w:val="en-GB" w:eastAsia="ko-KR"/>
              </w:rPr>
              <w:t>15,000</w:t>
            </w:r>
          </w:p>
        </w:tc>
      </w:tr>
    </w:tbl>
    <w:p w:rsidR="00A43FFF" w:rsidRDefault="00A43FFF" w:rsidP="00A43FFF">
      <w:pPr>
        <w:ind w:left="547"/>
        <w:rPr>
          <w:bCs/>
        </w:rPr>
      </w:pPr>
      <w:r>
        <w:rPr>
          <w:bCs/>
        </w:rPr>
        <w:br w:type="textWrapping" w:clear="all"/>
      </w:r>
    </w:p>
    <w:p w:rsidR="00A43FFF" w:rsidRDefault="00A43FFF" w:rsidP="00A43FFF">
      <w:pPr>
        <w:rPr>
          <w:bCs/>
        </w:rPr>
      </w:pPr>
      <w:r>
        <w:rPr>
          <w:bCs/>
        </w:rPr>
        <w:t xml:space="preserve">These transactions are in the normal course of operations and are measured at the exchange amount, which is the amount of consideration established and agreed to by the related parties. </w:t>
      </w:r>
    </w:p>
    <w:p w:rsidR="00A43FFF" w:rsidRPr="00913F44" w:rsidRDefault="00A43FFF" w:rsidP="00A43FFF">
      <w:pPr>
        <w:jc w:val="both"/>
      </w:pPr>
      <w:r w:rsidRPr="004F73DB">
        <w:rPr>
          <w:rFonts w:hint="eastAsia"/>
        </w:rPr>
        <w:t>The assets of the Company include the following amounts due from related parties</w:t>
      </w:r>
      <w:r>
        <w:t>:</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0"/>
        <w:gridCol w:w="1710"/>
        <w:gridCol w:w="236"/>
        <w:gridCol w:w="1654"/>
      </w:tblGrid>
      <w:tr w:rsidR="00A43FFF" w:rsidRPr="00913F44" w:rsidTr="00A43FFF">
        <w:tc>
          <w:tcPr>
            <w:tcW w:w="5220" w:type="dxa"/>
          </w:tcPr>
          <w:p w:rsidR="00A43FFF" w:rsidRPr="008E1D55" w:rsidRDefault="00A43FFF" w:rsidP="00A43FFF">
            <w:pPr>
              <w:ind w:left="-108"/>
              <w:jc w:val="both"/>
              <w:rPr>
                <w:rFonts w:ascii="Times New Roman" w:hAnsi="Times New Roman"/>
              </w:rPr>
            </w:pPr>
          </w:p>
        </w:tc>
        <w:tc>
          <w:tcPr>
            <w:tcW w:w="1710" w:type="dxa"/>
            <w:vAlign w:val="bottom"/>
          </w:tcPr>
          <w:p w:rsidR="00A43FFF" w:rsidRPr="00141554" w:rsidRDefault="00A43FFF" w:rsidP="00A43FFF">
            <w:pPr>
              <w:ind w:left="-108"/>
              <w:jc w:val="right"/>
              <w:rPr>
                <w:rFonts w:ascii="Times New Roman" w:hAnsi="Times New Roman"/>
                <w:b/>
              </w:rPr>
            </w:pPr>
            <w:r w:rsidRPr="00141554">
              <w:rPr>
                <w:rFonts w:ascii="Times New Roman" w:hAnsi="Times New Roman"/>
                <w:b/>
              </w:rPr>
              <w:t xml:space="preserve">As at </w:t>
            </w:r>
            <w:r>
              <w:rPr>
                <w:rFonts w:ascii="Times New Roman" w:hAnsi="Times New Roman"/>
                <w:b/>
              </w:rPr>
              <w:t>30</w:t>
            </w:r>
            <w:r w:rsidRPr="00141554">
              <w:rPr>
                <w:rFonts w:ascii="Times New Roman" w:hAnsi="Times New Roman"/>
                <w:b/>
              </w:rPr>
              <w:t xml:space="preserve"> </w:t>
            </w:r>
          </w:p>
          <w:p w:rsidR="00A43FFF" w:rsidRPr="00141554" w:rsidRDefault="00A43FFF" w:rsidP="00A43FFF">
            <w:pPr>
              <w:ind w:left="-108"/>
              <w:jc w:val="right"/>
              <w:rPr>
                <w:rFonts w:ascii="Times New Roman" w:hAnsi="Times New Roman"/>
                <w:b/>
              </w:rPr>
            </w:pPr>
            <w:r>
              <w:rPr>
                <w:rFonts w:ascii="Times New Roman" w:hAnsi="Times New Roman"/>
                <w:b/>
              </w:rPr>
              <w:t>April</w:t>
            </w:r>
            <w:r w:rsidRPr="00141554">
              <w:rPr>
                <w:rFonts w:ascii="Times New Roman" w:hAnsi="Times New Roman"/>
                <w:b/>
              </w:rPr>
              <w:t xml:space="preserve"> </w:t>
            </w:r>
            <w:r>
              <w:rPr>
                <w:rFonts w:ascii="Times New Roman" w:hAnsi="Times New Roman"/>
                <w:b/>
              </w:rPr>
              <w:t>2015</w:t>
            </w:r>
          </w:p>
          <w:p w:rsidR="00A43FFF" w:rsidRPr="00141554" w:rsidRDefault="00A43FFF" w:rsidP="00A43FFF">
            <w:pPr>
              <w:ind w:left="-108"/>
              <w:jc w:val="right"/>
              <w:rPr>
                <w:rFonts w:ascii="Times New Roman" w:hAnsi="Times New Roman"/>
                <w:b/>
              </w:rPr>
            </w:pPr>
            <w:r w:rsidRPr="00141554">
              <w:rPr>
                <w:rFonts w:ascii="Times New Roman" w:hAnsi="Times New Roman"/>
                <w:b/>
              </w:rPr>
              <w:t>$</w:t>
            </w:r>
          </w:p>
        </w:tc>
        <w:tc>
          <w:tcPr>
            <w:tcW w:w="236" w:type="dxa"/>
          </w:tcPr>
          <w:p w:rsidR="00A43FFF" w:rsidRPr="008E1D55" w:rsidRDefault="00A43FFF" w:rsidP="00A43FFF">
            <w:pPr>
              <w:ind w:left="-108"/>
              <w:jc w:val="right"/>
              <w:rPr>
                <w:rFonts w:ascii="Times New Roman" w:hAnsi="Times New Roman"/>
                <w:b/>
              </w:rPr>
            </w:pPr>
          </w:p>
        </w:tc>
        <w:tc>
          <w:tcPr>
            <w:tcW w:w="1654" w:type="dxa"/>
            <w:vAlign w:val="bottom"/>
          </w:tcPr>
          <w:p w:rsidR="00A43FFF" w:rsidRPr="00141554" w:rsidRDefault="00A43FFF" w:rsidP="00A43FFF">
            <w:pPr>
              <w:ind w:left="-108"/>
              <w:jc w:val="right"/>
              <w:rPr>
                <w:rFonts w:ascii="Times New Roman" w:hAnsi="Times New Roman"/>
                <w:b/>
              </w:rPr>
            </w:pPr>
            <w:r>
              <w:rPr>
                <w:rFonts w:ascii="Times New Roman" w:hAnsi="Times New Roman"/>
                <w:b/>
              </w:rPr>
              <w:t>As at 31</w:t>
            </w:r>
            <w:r w:rsidRPr="00141554">
              <w:rPr>
                <w:rFonts w:ascii="Times New Roman" w:hAnsi="Times New Roman"/>
                <w:b/>
              </w:rPr>
              <w:t xml:space="preserve"> </w:t>
            </w:r>
          </w:p>
          <w:p w:rsidR="00A43FFF" w:rsidRPr="00141554" w:rsidRDefault="00A43FFF" w:rsidP="00A43FFF">
            <w:pPr>
              <w:ind w:left="-108"/>
              <w:jc w:val="right"/>
              <w:rPr>
                <w:rFonts w:ascii="Times New Roman" w:hAnsi="Times New Roman"/>
                <w:b/>
              </w:rPr>
            </w:pPr>
            <w:r>
              <w:rPr>
                <w:rFonts w:ascii="Times New Roman" w:hAnsi="Times New Roman"/>
                <w:b/>
              </w:rPr>
              <w:t>January 2015</w:t>
            </w:r>
          </w:p>
          <w:p w:rsidR="00A43FFF" w:rsidRPr="00141554" w:rsidRDefault="00A43FFF" w:rsidP="00A43FFF">
            <w:pPr>
              <w:ind w:left="-108"/>
              <w:jc w:val="right"/>
              <w:rPr>
                <w:rFonts w:ascii="Times New Roman" w:hAnsi="Times New Roman"/>
                <w:b/>
              </w:rPr>
            </w:pPr>
            <w:r w:rsidRPr="00141554">
              <w:rPr>
                <w:rFonts w:ascii="Times New Roman" w:hAnsi="Times New Roman"/>
                <w:b/>
              </w:rPr>
              <w:t>(Audited)</w:t>
            </w:r>
          </w:p>
          <w:p w:rsidR="00A43FFF" w:rsidRPr="00141554" w:rsidRDefault="00A43FFF" w:rsidP="00A43FFF">
            <w:pPr>
              <w:ind w:left="-108"/>
              <w:jc w:val="right"/>
              <w:rPr>
                <w:rFonts w:ascii="Times New Roman" w:hAnsi="Times New Roman"/>
                <w:b/>
              </w:rPr>
            </w:pPr>
            <w:r w:rsidRPr="00141554">
              <w:rPr>
                <w:rFonts w:ascii="Times New Roman" w:hAnsi="Times New Roman"/>
                <w:b/>
              </w:rPr>
              <w:t>$</w:t>
            </w:r>
          </w:p>
        </w:tc>
      </w:tr>
      <w:tr w:rsidR="00A43FFF" w:rsidRPr="00913F44" w:rsidTr="00A43FFF">
        <w:tc>
          <w:tcPr>
            <w:tcW w:w="5220" w:type="dxa"/>
          </w:tcPr>
          <w:p w:rsidR="00A43FFF" w:rsidRPr="008E1D55" w:rsidRDefault="00A43FFF" w:rsidP="00A43FFF">
            <w:pPr>
              <w:ind w:left="-108"/>
              <w:jc w:val="both"/>
              <w:rPr>
                <w:rFonts w:ascii="Times New Roman" w:hAnsi="Times New Roman"/>
              </w:rPr>
            </w:pPr>
          </w:p>
        </w:tc>
        <w:tc>
          <w:tcPr>
            <w:tcW w:w="1710" w:type="dxa"/>
            <w:shd w:val="clear" w:color="auto" w:fill="auto"/>
            <w:vAlign w:val="bottom"/>
          </w:tcPr>
          <w:p w:rsidR="00A43FFF" w:rsidRPr="008E1D55" w:rsidRDefault="00A43FFF" w:rsidP="00A43FFF">
            <w:pPr>
              <w:tabs>
                <w:tab w:val="decimal" w:pos="1224"/>
              </w:tabs>
              <w:ind w:left="-108"/>
              <w:rPr>
                <w:rFonts w:ascii="Times New Roman" w:hAnsi="Times New Roman"/>
              </w:rPr>
            </w:pPr>
          </w:p>
        </w:tc>
        <w:tc>
          <w:tcPr>
            <w:tcW w:w="236" w:type="dxa"/>
          </w:tcPr>
          <w:p w:rsidR="00A43FFF" w:rsidRPr="008E1D55" w:rsidRDefault="00A43FFF" w:rsidP="00A43FFF">
            <w:pPr>
              <w:tabs>
                <w:tab w:val="decimal" w:pos="1224"/>
              </w:tabs>
              <w:ind w:left="-108"/>
              <w:rPr>
                <w:rFonts w:ascii="Times New Roman" w:hAnsi="Times New Roman"/>
              </w:rPr>
            </w:pPr>
          </w:p>
        </w:tc>
        <w:tc>
          <w:tcPr>
            <w:tcW w:w="1654" w:type="dxa"/>
            <w:vAlign w:val="bottom"/>
          </w:tcPr>
          <w:p w:rsidR="00A43FFF" w:rsidRPr="008E1D55" w:rsidRDefault="00A43FFF" w:rsidP="00A43FFF">
            <w:pPr>
              <w:tabs>
                <w:tab w:val="decimal" w:pos="1224"/>
              </w:tabs>
              <w:ind w:left="-108"/>
              <w:rPr>
                <w:rFonts w:ascii="Times New Roman" w:hAnsi="Times New Roman"/>
              </w:rPr>
            </w:pPr>
          </w:p>
        </w:tc>
      </w:tr>
      <w:tr w:rsidR="00A43FFF" w:rsidRPr="00141554" w:rsidTr="00A43FFF">
        <w:tc>
          <w:tcPr>
            <w:tcW w:w="5220" w:type="dxa"/>
          </w:tcPr>
          <w:p w:rsidR="00A43FFF" w:rsidRDefault="00A43FFF" w:rsidP="00A43FFF">
            <w:pPr>
              <w:ind w:left="-108"/>
              <w:jc w:val="both"/>
              <w:rPr>
                <w:rFonts w:ascii="Times New Roman" w:hAnsi="Times New Roman"/>
              </w:rPr>
            </w:pPr>
            <w:r w:rsidRPr="00141554">
              <w:rPr>
                <w:rFonts w:ascii="Times New Roman" w:hAnsi="Times New Roman"/>
              </w:rPr>
              <w:t>An officer of the Company</w:t>
            </w:r>
          </w:p>
          <w:p w:rsidR="00A43FFF" w:rsidRPr="00141554" w:rsidRDefault="00A43FFF" w:rsidP="00A43FFF">
            <w:pPr>
              <w:ind w:left="-108"/>
              <w:jc w:val="both"/>
              <w:rPr>
                <w:rFonts w:ascii="Times New Roman" w:hAnsi="Times New Roman"/>
              </w:rPr>
            </w:pPr>
            <w:r>
              <w:rPr>
                <w:rFonts w:ascii="Times New Roman" w:hAnsi="Times New Roman"/>
              </w:rPr>
              <w:t>A director of the Company</w:t>
            </w:r>
          </w:p>
        </w:tc>
        <w:tc>
          <w:tcPr>
            <w:tcW w:w="1710" w:type="dxa"/>
            <w:tcBorders>
              <w:bottom w:val="single" w:sz="4" w:space="0" w:color="auto"/>
            </w:tcBorders>
            <w:shd w:val="clear" w:color="auto" w:fill="auto"/>
            <w:vAlign w:val="bottom"/>
          </w:tcPr>
          <w:p w:rsidR="00A43FFF" w:rsidRPr="001C74DA" w:rsidRDefault="00A43FFF" w:rsidP="00A43FFF">
            <w:pPr>
              <w:tabs>
                <w:tab w:val="right" w:pos="1224"/>
              </w:tabs>
              <w:ind w:left="-108"/>
              <w:jc w:val="right"/>
              <w:rPr>
                <w:rFonts w:ascii="Times New Roman" w:hAnsi="Times New Roman"/>
                <w:highlight w:val="yellow"/>
              </w:rPr>
            </w:pPr>
            <w:r>
              <w:rPr>
                <w:rFonts w:ascii="Times New Roman" w:hAnsi="Times New Roman"/>
              </w:rPr>
              <w:t>33,484</w:t>
            </w:r>
          </w:p>
          <w:p w:rsidR="00A43FFF" w:rsidRPr="00141554" w:rsidRDefault="00A43FFF" w:rsidP="00A43FFF">
            <w:pPr>
              <w:tabs>
                <w:tab w:val="right" w:pos="1224"/>
              </w:tabs>
              <w:ind w:left="-108"/>
              <w:jc w:val="right"/>
              <w:rPr>
                <w:rFonts w:ascii="Times New Roman" w:hAnsi="Times New Roman"/>
              </w:rPr>
            </w:pPr>
            <w:r w:rsidRPr="007F249E">
              <w:rPr>
                <w:rFonts w:ascii="Times New Roman" w:hAnsi="Times New Roman"/>
              </w:rPr>
              <w:t>(4,</w:t>
            </w:r>
            <w:r>
              <w:rPr>
                <w:rFonts w:ascii="Times New Roman" w:hAnsi="Times New Roman"/>
              </w:rPr>
              <w:t>054)</w:t>
            </w:r>
          </w:p>
        </w:tc>
        <w:tc>
          <w:tcPr>
            <w:tcW w:w="236" w:type="dxa"/>
          </w:tcPr>
          <w:p w:rsidR="00A43FFF" w:rsidRPr="00141554" w:rsidRDefault="00A43FFF" w:rsidP="00A43FFF">
            <w:pPr>
              <w:tabs>
                <w:tab w:val="right" w:pos="1224"/>
              </w:tabs>
              <w:ind w:left="-108"/>
              <w:jc w:val="right"/>
              <w:rPr>
                <w:rFonts w:ascii="Times New Roman" w:hAnsi="Times New Roman"/>
              </w:rPr>
            </w:pPr>
          </w:p>
        </w:tc>
        <w:tc>
          <w:tcPr>
            <w:tcW w:w="1654" w:type="dxa"/>
            <w:tcBorders>
              <w:bottom w:val="single" w:sz="4" w:space="0" w:color="auto"/>
            </w:tcBorders>
            <w:vAlign w:val="bottom"/>
          </w:tcPr>
          <w:p w:rsidR="00A43FFF" w:rsidRDefault="00A43FFF" w:rsidP="00A43FFF">
            <w:pPr>
              <w:tabs>
                <w:tab w:val="right" w:pos="1224"/>
              </w:tabs>
              <w:ind w:left="-108"/>
              <w:jc w:val="right"/>
              <w:rPr>
                <w:rFonts w:ascii="Times New Roman" w:hAnsi="Times New Roman"/>
              </w:rPr>
            </w:pPr>
            <w:r>
              <w:rPr>
                <w:rFonts w:ascii="Times New Roman" w:hAnsi="Times New Roman"/>
              </w:rPr>
              <w:t>29,457</w:t>
            </w:r>
          </w:p>
          <w:p w:rsidR="00A43FFF" w:rsidRPr="00141554" w:rsidRDefault="00A43FFF" w:rsidP="00A43FFF">
            <w:pPr>
              <w:tabs>
                <w:tab w:val="right" w:pos="1224"/>
              </w:tabs>
              <w:ind w:left="-108"/>
              <w:jc w:val="right"/>
              <w:rPr>
                <w:rFonts w:ascii="Times New Roman" w:hAnsi="Times New Roman"/>
              </w:rPr>
            </w:pPr>
            <w:r>
              <w:rPr>
                <w:rFonts w:ascii="Times New Roman" w:hAnsi="Times New Roman"/>
              </w:rPr>
              <w:t>(4,054)</w:t>
            </w:r>
          </w:p>
        </w:tc>
      </w:tr>
      <w:tr w:rsidR="00A43FFF" w:rsidRPr="00141554" w:rsidTr="00A43FFF">
        <w:tc>
          <w:tcPr>
            <w:tcW w:w="5220" w:type="dxa"/>
          </w:tcPr>
          <w:p w:rsidR="00A43FFF" w:rsidRPr="00141554" w:rsidRDefault="00A43FFF" w:rsidP="00A43FFF">
            <w:pPr>
              <w:ind w:left="-108"/>
              <w:jc w:val="both"/>
              <w:rPr>
                <w:rFonts w:ascii="Times New Roman" w:hAnsi="Times New Roman"/>
              </w:rPr>
            </w:pPr>
          </w:p>
        </w:tc>
        <w:tc>
          <w:tcPr>
            <w:tcW w:w="1710" w:type="dxa"/>
            <w:tcBorders>
              <w:top w:val="single" w:sz="4" w:space="0" w:color="auto"/>
            </w:tcBorders>
            <w:shd w:val="clear" w:color="auto" w:fill="auto"/>
            <w:vAlign w:val="bottom"/>
          </w:tcPr>
          <w:p w:rsidR="00A43FFF" w:rsidRPr="00141554" w:rsidRDefault="00A43FFF" w:rsidP="00A43FFF">
            <w:pPr>
              <w:tabs>
                <w:tab w:val="decimal" w:pos="1224"/>
              </w:tabs>
              <w:ind w:left="-108"/>
              <w:rPr>
                <w:rFonts w:ascii="Times New Roman" w:hAnsi="Times New Roman"/>
              </w:rPr>
            </w:pPr>
          </w:p>
        </w:tc>
        <w:tc>
          <w:tcPr>
            <w:tcW w:w="236" w:type="dxa"/>
          </w:tcPr>
          <w:p w:rsidR="00A43FFF" w:rsidRPr="00141554" w:rsidRDefault="00A43FFF" w:rsidP="00A43FFF">
            <w:pPr>
              <w:tabs>
                <w:tab w:val="decimal" w:pos="1224"/>
              </w:tabs>
              <w:ind w:left="-108"/>
              <w:rPr>
                <w:rFonts w:ascii="Times New Roman" w:hAnsi="Times New Roman"/>
              </w:rPr>
            </w:pPr>
          </w:p>
        </w:tc>
        <w:tc>
          <w:tcPr>
            <w:tcW w:w="1654" w:type="dxa"/>
            <w:tcBorders>
              <w:top w:val="single" w:sz="4" w:space="0" w:color="auto"/>
            </w:tcBorders>
            <w:vAlign w:val="bottom"/>
          </w:tcPr>
          <w:p w:rsidR="00A43FFF" w:rsidRPr="00141554" w:rsidRDefault="00A43FFF" w:rsidP="00A43FFF">
            <w:pPr>
              <w:tabs>
                <w:tab w:val="decimal" w:pos="1224"/>
              </w:tabs>
              <w:ind w:left="-108"/>
              <w:rPr>
                <w:rFonts w:ascii="Times New Roman" w:hAnsi="Times New Roman"/>
              </w:rPr>
            </w:pPr>
          </w:p>
        </w:tc>
      </w:tr>
      <w:tr w:rsidR="00A43FFF" w:rsidRPr="00141554" w:rsidTr="00A43FFF">
        <w:tc>
          <w:tcPr>
            <w:tcW w:w="5220" w:type="dxa"/>
          </w:tcPr>
          <w:p w:rsidR="00A43FFF" w:rsidRPr="00141554" w:rsidRDefault="00A43FFF" w:rsidP="00A43FFF">
            <w:pPr>
              <w:ind w:left="-108"/>
              <w:jc w:val="both"/>
              <w:rPr>
                <w:rFonts w:ascii="Times New Roman" w:hAnsi="Times New Roman"/>
              </w:rPr>
            </w:pPr>
            <w:r w:rsidRPr="00141554">
              <w:rPr>
                <w:rFonts w:ascii="Times New Roman" w:hAnsi="Times New Roman"/>
              </w:rPr>
              <w:t>Total amount due from related parties</w:t>
            </w:r>
          </w:p>
        </w:tc>
        <w:tc>
          <w:tcPr>
            <w:tcW w:w="1710" w:type="dxa"/>
            <w:tcBorders>
              <w:bottom w:val="single" w:sz="12" w:space="0" w:color="auto"/>
            </w:tcBorders>
            <w:shd w:val="clear" w:color="auto" w:fill="auto"/>
            <w:vAlign w:val="bottom"/>
          </w:tcPr>
          <w:p w:rsidR="00A43FFF" w:rsidRPr="00141554" w:rsidRDefault="00A43FFF" w:rsidP="00A43FFF">
            <w:pPr>
              <w:tabs>
                <w:tab w:val="right" w:pos="1224"/>
              </w:tabs>
              <w:ind w:left="-108"/>
              <w:jc w:val="right"/>
              <w:rPr>
                <w:rFonts w:ascii="Times New Roman" w:hAnsi="Times New Roman"/>
              </w:rPr>
            </w:pPr>
            <w:r>
              <w:rPr>
                <w:rFonts w:ascii="Times New Roman" w:hAnsi="Times New Roman"/>
              </w:rPr>
              <w:t>29,430</w:t>
            </w:r>
          </w:p>
        </w:tc>
        <w:tc>
          <w:tcPr>
            <w:tcW w:w="236" w:type="dxa"/>
          </w:tcPr>
          <w:p w:rsidR="00A43FFF" w:rsidRPr="00141554" w:rsidRDefault="00A43FFF" w:rsidP="00A43FFF">
            <w:pPr>
              <w:tabs>
                <w:tab w:val="decimal" w:pos="1224"/>
              </w:tabs>
              <w:ind w:left="-108"/>
              <w:rPr>
                <w:rFonts w:ascii="Times New Roman" w:hAnsi="Times New Roman"/>
              </w:rPr>
            </w:pPr>
          </w:p>
        </w:tc>
        <w:tc>
          <w:tcPr>
            <w:tcW w:w="1654" w:type="dxa"/>
            <w:tcBorders>
              <w:bottom w:val="single" w:sz="12" w:space="0" w:color="auto"/>
            </w:tcBorders>
            <w:vAlign w:val="bottom"/>
          </w:tcPr>
          <w:p w:rsidR="00A43FFF" w:rsidRPr="00141554" w:rsidRDefault="00A43FFF" w:rsidP="00A43FFF">
            <w:pPr>
              <w:tabs>
                <w:tab w:val="right" w:pos="1224"/>
              </w:tabs>
              <w:ind w:left="-108"/>
              <w:jc w:val="right"/>
              <w:rPr>
                <w:rFonts w:ascii="Times New Roman" w:hAnsi="Times New Roman"/>
              </w:rPr>
            </w:pPr>
            <w:r>
              <w:rPr>
                <w:rFonts w:ascii="Times New Roman" w:hAnsi="Times New Roman"/>
              </w:rPr>
              <w:t>25,403</w:t>
            </w:r>
          </w:p>
        </w:tc>
      </w:tr>
    </w:tbl>
    <w:p w:rsidR="00A43FFF" w:rsidRDefault="00A43FFF" w:rsidP="00A43FFF">
      <w:pPr>
        <w:ind w:left="540"/>
        <w:jc w:val="both"/>
      </w:pPr>
    </w:p>
    <w:p w:rsidR="0025415B" w:rsidRPr="00137674" w:rsidRDefault="0025415B" w:rsidP="00137674">
      <w:pPr>
        <w:spacing w:line="240" w:lineRule="auto"/>
        <w:jc w:val="both"/>
        <w:rPr>
          <w:rFonts w:cs="Times New Roman"/>
        </w:rPr>
      </w:pPr>
      <w:r w:rsidRPr="00137674">
        <w:rPr>
          <w:bCs/>
        </w:rPr>
        <w:lastRenderedPageBreak/>
        <w:t xml:space="preserve">The balance due from an officer of the Company as at </w:t>
      </w:r>
      <w:r w:rsidR="00BF3FC7">
        <w:rPr>
          <w:bCs/>
        </w:rPr>
        <w:t>April 30, 2015</w:t>
      </w:r>
      <w:r w:rsidRPr="00137674">
        <w:rPr>
          <w:bCs/>
        </w:rPr>
        <w:t xml:space="preserve"> relates to the employee portion of </w:t>
      </w:r>
      <w:proofErr w:type="spellStart"/>
      <w:r w:rsidRPr="00137674">
        <w:rPr>
          <w:bCs/>
        </w:rPr>
        <w:t>statuatory</w:t>
      </w:r>
      <w:proofErr w:type="spellEnd"/>
      <w:r w:rsidRPr="00137674">
        <w:rPr>
          <w:bCs/>
        </w:rPr>
        <w:t xml:space="preserve"> withholding amounts associated with changing the method of remuneration of the officer to an employee from </w:t>
      </w:r>
      <w:r w:rsidR="00137674" w:rsidRPr="00137674">
        <w:rPr>
          <w:bCs/>
        </w:rPr>
        <w:t xml:space="preserve">a contractor. This amount was </w:t>
      </w:r>
      <w:r w:rsidR="00BF3FC7">
        <w:rPr>
          <w:bCs/>
        </w:rPr>
        <w:t>re</w:t>
      </w:r>
      <w:r w:rsidRPr="00137674">
        <w:rPr>
          <w:bCs/>
        </w:rPr>
        <w:t>paid to the Compa</w:t>
      </w:r>
      <w:r w:rsidR="00A43FFF" w:rsidRPr="00137674">
        <w:rPr>
          <w:bCs/>
        </w:rPr>
        <w:t>ny by the officer o</w:t>
      </w:r>
      <w:r w:rsidR="00A43FFF" w:rsidRPr="00137674">
        <w:t>n June 1, 2015.</w:t>
      </w:r>
    </w:p>
    <w:p w:rsidR="00033C59" w:rsidRPr="00137674" w:rsidRDefault="00E95CDB" w:rsidP="00137674">
      <w:pPr>
        <w:autoSpaceDE w:val="0"/>
        <w:autoSpaceDN w:val="0"/>
        <w:adjustRightInd w:val="0"/>
        <w:spacing w:after="0" w:line="240" w:lineRule="auto"/>
        <w:jc w:val="both"/>
        <w:rPr>
          <w:rFonts w:cs="Times New Roman"/>
        </w:rPr>
      </w:pPr>
      <w:r w:rsidRPr="00137674">
        <w:rPr>
          <w:rFonts w:cs="Times New Roman"/>
        </w:rPr>
        <w:t>These transactions are in the normal course of operations and are m</w:t>
      </w:r>
      <w:r w:rsidR="00300EAD" w:rsidRPr="00137674">
        <w:rPr>
          <w:rFonts w:cs="Times New Roman"/>
        </w:rPr>
        <w:t xml:space="preserve">easured at the exchange amount, </w:t>
      </w:r>
      <w:r w:rsidRPr="00137674">
        <w:rPr>
          <w:rFonts w:cs="Times New Roman"/>
        </w:rPr>
        <w:t>which is the amount of consideration established and agreed to by the related parties</w:t>
      </w:r>
    </w:p>
    <w:p w:rsidR="00033C59" w:rsidRPr="00137674" w:rsidRDefault="00033C59" w:rsidP="00137674">
      <w:pPr>
        <w:autoSpaceDE w:val="0"/>
        <w:autoSpaceDN w:val="0"/>
        <w:adjustRightInd w:val="0"/>
        <w:spacing w:after="0" w:line="240" w:lineRule="auto"/>
        <w:jc w:val="both"/>
        <w:rPr>
          <w:rFonts w:cs="Times New Roman"/>
        </w:rPr>
      </w:pPr>
    </w:p>
    <w:p w:rsidR="00033C59" w:rsidRPr="00137674" w:rsidRDefault="00033C59" w:rsidP="00137674">
      <w:pPr>
        <w:autoSpaceDE w:val="0"/>
        <w:autoSpaceDN w:val="0"/>
        <w:adjustRightInd w:val="0"/>
        <w:spacing w:after="0" w:line="240" w:lineRule="auto"/>
        <w:jc w:val="both"/>
        <w:rPr>
          <w:lang w:val="en-US" w:eastAsia="en-US"/>
        </w:rPr>
      </w:pPr>
      <w:r w:rsidRPr="00137674">
        <w:t xml:space="preserve">On May 11, 2015 the Company closed a </w:t>
      </w:r>
      <w:r w:rsidRPr="00137674">
        <w:rPr>
          <w:lang w:val="en-US" w:eastAsia="en-US"/>
        </w:rPr>
        <w:t xml:space="preserve">non-brokered private placement equity financing. Under the financing, the Company issued 2,000,000 units at a price of $0.05 per unit for gross proceeds of $100,000.  Each unit is comprised of one common share of the Company and one common share purchase warrant exercisable for two years for an additional share at a price of $0.10. Officers and Directors of the Company invested a total of $38,636 as part of this private placement financing and were issued 772,720 units. </w:t>
      </w:r>
    </w:p>
    <w:p w:rsidR="00ED4BF6" w:rsidRPr="00137674" w:rsidRDefault="00ED4BF6" w:rsidP="00137674">
      <w:pPr>
        <w:autoSpaceDE w:val="0"/>
        <w:autoSpaceDN w:val="0"/>
        <w:adjustRightInd w:val="0"/>
        <w:spacing w:after="0" w:line="240" w:lineRule="auto"/>
        <w:jc w:val="both"/>
        <w:rPr>
          <w:rFonts w:cs="Calibri-Bold"/>
          <w:b/>
          <w:bCs/>
          <w:color w:val="000000"/>
        </w:rPr>
      </w:pPr>
    </w:p>
    <w:p w:rsidR="00E83CC4" w:rsidRPr="00137674" w:rsidRDefault="00E83CC4" w:rsidP="00137674">
      <w:pPr>
        <w:autoSpaceDE w:val="0"/>
        <w:autoSpaceDN w:val="0"/>
        <w:adjustRightInd w:val="0"/>
        <w:spacing w:after="0" w:line="240" w:lineRule="auto"/>
        <w:jc w:val="both"/>
        <w:rPr>
          <w:rFonts w:cs="Times New Roman"/>
          <w:b/>
          <w:bCs/>
        </w:rPr>
      </w:pPr>
      <w:r w:rsidRPr="00137674">
        <w:rPr>
          <w:rFonts w:cs="Times New Roman"/>
          <w:b/>
          <w:bCs/>
        </w:rPr>
        <w:t>Use of Judgments, Estimates and Assumptions</w:t>
      </w:r>
    </w:p>
    <w:p w:rsidR="00E83CC4" w:rsidRPr="00137674" w:rsidRDefault="00E83CC4" w:rsidP="00137674">
      <w:pPr>
        <w:autoSpaceDE w:val="0"/>
        <w:autoSpaceDN w:val="0"/>
        <w:adjustRightInd w:val="0"/>
        <w:spacing w:after="0" w:line="240" w:lineRule="auto"/>
        <w:jc w:val="both"/>
        <w:rPr>
          <w:rFonts w:cs="Times New Roman"/>
          <w:b/>
          <w:bCs/>
        </w:rPr>
      </w:pPr>
    </w:p>
    <w:p w:rsidR="00E83CC4" w:rsidRPr="00137674" w:rsidRDefault="00E83CC4" w:rsidP="00137674">
      <w:pPr>
        <w:autoSpaceDE w:val="0"/>
        <w:autoSpaceDN w:val="0"/>
        <w:adjustRightInd w:val="0"/>
        <w:spacing w:after="0" w:line="240" w:lineRule="auto"/>
        <w:jc w:val="both"/>
        <w:rPr>
          <w:rFonts w:cs="Times New Roman"/>
        </w:rPr>
      </w:pPr>
      <w:r w:rsidRPr="00137674">
        <w:rPr>
          <w:rFonts w:cs="Times New Roman"/>
        </w:rPr>
        <w:t>Preparing financial statements requires management to make estimates and assumptions that affect the</w:t>
      </w:r>
      <w:r w:rsidR="005F35AC" w:rsidRPr="00137674">
        <w:rPr>
          <w:rFonts w:cs="Times New Roman"/>
        </w:rPr>
        <w:t xml:space="preserve"> </w:t>
      </w:r>
      <w:r w:rsidRPr="00137674">
        <w:rPr>
          <w:rFonts w:cs="Times New Roman"/>
        </w:rPr>
        <w:t>reported results. The estimates are based on historical experience and other assumptions believed to be</w:t>
      </w:r>
      <w:r w:rsidR="005F35AC" w:rsidRPr="00137674">
        <w:rPr>
          <w:rFonts w:cs="Times New Roman"/>
        </w:rPr>
        <w:t xml:space="preserve"> </w:t>
      </w:r>
      <w:r w:rsidRPr="00137674">
        <w:rPr>
          <w:rFonts w:cs="Times New Roman"/>
        </w:rPr>
        <w:t>reasonable under the circumstances. Areas requiring a significant degree of estimation and judgment</w:t>
      </w:r>
      <w:r w:rsidR="005F35AC" w:rsidRPr="00137674">
        <w:rPr>
          <w:rFonts w:cs="Times New Roman"/>
        </w:rPr>
        <w:t xml:space="preserve"> </w:t>
      </w:r>
      <w:r w:rsidRPr="00137674">
        <w:rPr>
          <w:rFonts w:cs="Times New Roman"/>
        </w:rPr>
        <w:t>relate to the fair value measurements for financial instruments and share-based payments, the recognition</w:t>
      </w:r>
      <w:r w:rsidR="005F35AC" w:rsidRPr="00137674">
        <w:rPr>
          <w:rFonts w:cs="Times New Roman"/>
        </w:rPr>
        <w:t xml:space="preserve"> </w:t>
      </w:r>
      <w:r w:rsidRPr="00137674">
        <w:rPr>
          <w:rFonts w:cs="Times New Roman"/>
        </w:rPr>
        <w:t>and valuation of provisions for decommissioning liabilities, the recoverability and measurement of</w:t>
      </w:r>
      <w:r w:rsidR="005F35AC" w:rsidRPr="00137674">
        <w:rPr>
          <w:rFonts w:cs="Times New Roman"/>
        </w:rPr>
        <w:t xml:space="preserve"> </w:t>
      </w:r>
      <w:r w:rsidRPr="00137674">
        <w:rPr>
          <w:rFonts w:cs="Times New Roman"/>
        </w:rPr>
        <w:t>deferred tax assets and liabilities and ability to continue as a going concern. Actual results may differ</w:t>
      </w:r>
      <w:r w:rsidR="005F35AC" w:rsidRPr="00137674">
        <w:rPr>
          <w:rFonts w:cs="Times New Roman"/>
        </w:rPr>
        <w:t xml:space="preserve"> </w:t>
      </w:r>
      <w:r w:rsidRPr="00137674">
        <w:rPr>
          <w:rFonts w:cs="Times New Roman"/>
        </w:rPr>
        <w:t>from those estimates and judgments.</w:t>
      </w:r>
    </w:p>
    <w:p w:rsidR="00E83CC4" w:rsidRPr="00137674" w:rsidRDefault="00E83CC4" w:rsidP="00137674">
      <w:pPr>
        <w:autoSpaceDE w:val="0"/>
        <w:autoSpaceDN w:val="0"/>
        <w:adjustRightInd w:val="0"/>
        <w:spacing w:after="0" w:line="240" w:lineRule="auto"/>
        <w:jc w:val="both"/>
        <w:rPr>
          <w:rFonts w:cs="Times New Roman"/>
        </w:rPr>
      </w:pPr>
    </w:p>
    <w:p w:rsidR="00E83CC4" w:rsidRPr="00137674" w:rsidRDefault="00E83CC4" w:rsidP="00137674">
      <w:pPr>
        <w:autoSpaceDE w:val="0"/>
        <w:autoSpaceDN w:val="0"/>
        <w:adjustRightInd w:val="0"/>
        <w:spacing w:after="0" w:line="240" w:lineRule="auto"/>
        <w:jc w:val="both"/>
        <w:rPr>
          <w:rFonts w:cs="Times New Roman"/>
        </w:rPr>
      </w:pPr>
      <w:r w:rsidRPr="00137674">
        <w:rPr>
          <w:rFonts w:cs="Times New Roman"/>
        </w:rPr>
        <w:t>Critical accounting policies are disclosed in the Company’s annual audited financial statements for the</w:t>
      </w:r>
      <w:r w:rsidR="005F35AC" w:rsidRPr="00137674">
        <w:rPr>
          <w:rFonts w:cs="Times New Roman"/>
        </w:rPr>
        <w:t xml:space="preserve"> </w:t>
      </w:r>
      <w:r w:rsidRPr="00137674">
        <w:rPr>
          <w:rFonts w:cs="Times New Roman"/>
        </w:rPr>
        <w:t>year ended</w:t>
      </w:r>
      <w:r w:rsidR="0093095E" w:rsidRPr="00137674">
        <w:rPr>
          <w:rFonts w:cs="Times New Roman"/>
        </w:rPr>
        <w:t xml:space="preserve"> January 31, </w:t>
      </w:r>
      <w:r w:rsidR="009E37F9" w:rsidRPr="00137674">
        <w:rPr>
          <w:rFonts w:cs="Times New Roman"/>
        </w:rPr>
        <w:t>2015</w:t>
      </w:r>
      <w:r w:rsidRPr="00137674">
        <w:rPr>
          <w:rFonts w:cs="Times New Roman"/>
        </w:rPr>
        <w:t>.</w:t>
      </w:r>
    </w:p>
    <w:p w:rsidR="00E83CC4" w:rsidRPr="00137674" w:rsidRDefault="00E83CC4" w:rsidP="00137674">
      <w:pPr>
        <w:autoSpaceDE w:val="0"/>
        <w:autoSpaceDN w:val="0"/>
        <w:adjustRightInd w:val="0"/>
        <w:spacing w:after="0" w:line="240" w:lineRule="auto"/>
        <w:jc w:val="both"/>
        <w:rPr>
          <w:rFonts w:cs="Times New Roman"/>
        </w:rPr>
      </w:pPr>
    </w:p>
    <w:p w:rsidR="00E83CC4" w:rsidRPr="00137674" w:rsidRDefault="00E83CC4" w:rsidP="00137674">
      <w:pPr>
        <w:autoSpaceDE w:val="0"/>
        <w:autoSpaceDN w:val="0"/>
        <w:adjustRightInd w:val="0"/>
        <w:spacing w:after="0" w:line="240" w:lineRule="auto"/>
        <w:jc w:val="both"/>
        <w:rPr>
          <w:rFonts w:cs="Times New Roman"/>
          <w:b/>
          <w:bCs/>
        </w:rPr>
      </w:pPr>
      <w:r w:rsidRPr="00137674">
        <w:rPr>
          <w:rFonts w:cs="Times New Roman"/>
          <w:b/>
          <w:bCs/>
        </w:rPr>
        <w:t>Financial Instruments and Other Instruments</w:t>
      </w:r>
    </w:p>
    <w:p w:rsidR="00E83CC4" w:rsidRPr="00137674" w:rsidRDefault="00E83CC4" w:rsidP="00137674">
      <w:pPr>
        <w:autoSpaceDE w:val="0"/>
        <w:autoSpaceDN w:val="0"/>
        <w:adjustRightInd w:val="0"/>
        <w:spacing w:after="0" w:line="240" w:lineRule="auto"/>
        <w:jc w:val="both"/>
        <w:rPr>
          <w:rFonts w:cs="Times New Roman"/>
          <w:b/>
          <w:bCs/>
        </w:rPr>
      </w:pPr>
    </w:p>
    <w:p w:rsidR="00E83CC4" w:rsidRPr="00137674" w:rsidRDefault="00E83CC4" w:rsidP="00137674">
      <w:pPr>
        <w:autoSpaceDE w:val="0"/>
        <w:autoSpaceDN w:val="0"/>
        <w:adjustRightInd w:val="0"/>
        <w:spacing w:after="0" w:line="240" w:lineRule="auto"/>
        <w:jc w:val="both"/>
        <w:rPr>
          <w:rFonts w:cs="Times New Roman"/>
        </w:rPr>
      </w:pPr>
      <w:r w:rsidRPr="00137674">
        <w:rPr>
          <w:rFonts w:cs="Times New Roman"/>
        </w:rPr>
        <w:t>The carrying values of cash and cash equivalents, amounts receivable and trade payables approximate</w:t>
      </w:r>
      <w:r w:rsidR="00B4631D" w:rsidRPr="00137674">
        <w:rPr>
          <w:rFonts w:cs="Times New Roman"/>
        </w:rPr>
        <w:t xml:space="preserve"> </w:t>
      </w:r>
      <w:r w:rsidRPr="00137674">
        <w:rPr>
          <w:rFonts w:cs="Times New Roman"/>
        </w:rPr>
        <w:t>their fair values because of the short-term maturity of these financial instruments. The Company has no</w:t>
      </w:r>
      <w:r w:rsidR="005F35AC" w:rsidRPr="00137674">
        <w:rPr>
          <w:rFonts w:cs="Times New Roman"/>
        </w:rPr>
        <w:t xml:space="preserve"> </w:t>
      </w:r>
      <w:r w:rsidRPr="00137674">
        <w:rPr>
          <w:rFonts w:cs="Times New Roman"/>
        </w:rPr>
        <w:t>exposure to asset backed commercial paper.</w:t>
      </w:r>
    </w:p>
    <w:p w:rsidR="00E83CC4" w:rsidRPr="00137674" w:rsidRDefault="00E83CC4" w:rsidP="00137674">
      <w:pPr>
        <w:autoSpaceDE w:val="0"/>
        <w:autoSpaceDN w:val="0"/>
        <w:adjustRightInd w:val="0"/>
        <w:spacing w:after="0" w:line="240" w:lineRule="auto"/>
        <w:jc w:val="both"/>
        <w:rPr>
          <w:rFonts w:cs="Times New Roman"/>
        </w:rPr>
      </w:pPr>
    </w:p>
    <w:p w:rsidR="00E83CC4" w:rsidRPr="00137674" w:rsidRDefault="00E83CC4" w:rsidP="00137674">
      <w:pPr>
        <w:autoSpaceDE w:val="0"/>
        <w:autoSpaceDN w:val="0"/>
        <w:adjustRightInd w:val="0"/>
        <w:spacing w:after="0" w:line="240" w:lineRule="auto"/>
        <w:jc w:val="both"/>
        <w:rPr>
          <w:rFonts w:cs="Times New Roman"/>
          <w:b/>
          <w:bCs/>
        </w:rPr>
      </w:pPr>
      <w:r w:rsidRPr="00137674">
        <w:rPr>
          <w:rFonts w:cs="Times New Roman"/>
          <w:b/>
          <w:bCs/>
        </w:rPr>
        <w:t>Credit risk</w:t>
      </w:r>
    </w:p>
    <w:p w:rsidR="00E83CC4" w:rsidRPr="00137674" w:rsidRDefault="00E83CC4" w:rsidP="00137674">
      <w:pPr>
        <w:autoSpaceDE w:val="0"/>
        <w:autoSpaceDN w:val="0"/>
        <w:adjustRightInd w:val="0"/>
        <w:spacing w:after="0" w:line="240" w:lineRule="auto"/>
        <w:jc w:val="both"/>
        <w:rPr>
          <w:rFonts w:cs="Times New Roman"/>
          <w:b/>
          <w:bCs/>
        </w:rPr>
      </w:pPr>
    </w:p>
    <w:p w:rsidR="00E83CC4" w:rsidRPr="00137674" w:rsidRDefault="00A43FFF" w:rsidP="00137674">
      <w:pPr>
        <w:spacing w:line="240" w:lineRule="auto"/>
        <w:rPr>
          <w:b/>
          <w:bCs/>
        </w:rPr>
      </w:pPr>
      <w:r w:rsidRPr="00137674">
        <w:rPr>
          <w:bCs/>
        </w:rPr>
        <w:t xml:space="preserve">Financial instruments that potentially subject the Company to credit risk consist of cash and cash equivalents and amounts receivable. The Company manages its credit risk relating to cash and cash equivalents by dealing only with high-related financial institutions as determined by rating agencies. As at </w:t>
      </w:r>
      <w:r w:rsidRPr="00137674">
        <w:rPr>
          <w:lang w:eastAsia="zh-CN"/>
        </w:rPr>
        <w:t>April 30,</w:t>
      </w:r>
      <w:r w:rsidRPr="00137674">
        <w:rPr>
          <w:bCs/>
        </w:rPr>
        <w:t xml:space="preserve"> 2015, amounts receivable of $65,424 comprised of Goods and Services Tax/Harmonized Sales Tax (“GST/HST”) receivable of $30,902 (January 31, 2015 - $28,891). As a result, credit risk is considered insignificant. </w:t>
      </w:r>
      <w:r w:rsidR="00137674">
        <w:rPr>
          <w:b/>
          <w:bCs/>
        </w:rPr>
        <w:br/>
      </w:r>
      <w:r w:rsidR="00137674">
        <w:rPr>
          <w:b/>
          <w:bCs/>
        </w:rPr>
        <w:br/>
      </w:r>
      <w:r w:rsidR="00E83CC4" w:rsidRPr="00E65654">
        <w:rPr>
          <w:rFonts w:cs="Times New Roman"/>
          <w:b/>
          <w:bCs/>
        </w:rPr>
        <w:t>Liquidity risk</w:t>
      </w:r>
    </w:p>
    <w:p w:rsidR="00D823E3" w:rsidRPr="00137674" w:rsidRDefault="00A43FFF" w:rsidP="00137674">
      <w:pPr>
        <w:spacing w:line="240" w:lineRule="auto"/>
        <w:jc w:val="both"/>
        <w:rPr>
          <w:b/>
          <w:bCs/>
        </w:rPr>
      </w:pPr>
      <w:r>
        <w:rPr>
          <w:bCs/>
        </w:rPr>
        <w:t>T</w:t>
      </w:r>
      <w:r w:rsidRPr="00137674">
        <w:rPr>
          <w:bCs/>
        </w:rPr>
        <w:t xml:space="preserve">he Company manages liquidity risk by maintaining an adequate level of cash and cash equivalents to meet its ongoing obligations.  The Company has been successful in raising equity financing in the past; however, there is no assurance that it will be able to do so in the future. </w:t>
      </w:r>
      <w:proofErr w:type="gramStart"/>
      <w:r w:rsidRPr="00137674">
        <w:rPr>
          <w:bCs/>
        </w:rPr>
        <w:t xml:space="preserve">As at </w:t>
      </w:r>
      <w:r w:rsidRPr="00137674">
        <w:rPr>
          <w:lang w:eastAsia="zh-CN"/>
        </w:rPr>
        <w:t>April</w:t>
      </w:r>
      <w:r w:rsidRPr="00137674">
        <w:rPr>
          <w:bCs/>
        </w:rPr>
        <w:t xml:space="preserve"> 30, 2015, the Company had a working capital deficiency of </w:t>
      </w:r>
      <w:r w:rsidRPr="00137674">
        <w:rPr>
          <w:lang w:eastAsia="zh-CN"/>
        </w:rPr>
        <w:t>$25,898 (</w:t>
      </w:r>
      <w:r w:rsidRPr="00137674">
        <w:rPr>
          <w:bCs/>
        </w:rPr>
        <w:t>31 January 2015</w:t>
      </w:r>
      <w:r w:rsidRPr="00137674">
        <w:rPr>
          <w:lang w:eastAsia="zh-CN"/>
        </w:rPr>
        <w:t xml:space="preserve"> – $20,551).</w:t>
      </w:r>
      <w:proofErr w:type="gramEnd"/>
      <w:r w:rsidRPr="00137674">
        <w:rPr>
          <w:lang w:eastAsia="zh-CN"/>
        </w:rPr>
        <w:t xml:space="preserve"> </w:t>
      </w:r>
      <w:r w:rsidR="00D823E3" w:rsidRPr="00137674">
        <w:t xml:space="preserve">On May 11, 2015 the </w:t>
      </w:r>
      <w:r w:rsidR="00D823E3" w:rsidRPr="00137674">
        <w:lastRenderedPageBreak/>
        <w:t xml:space="preserve">Company closed a </w:t>
      </w:r>
      <w:r w:rsidR="00D823E3" w:rsidRPr="00137674">
        <w:rPr>
          <w:lang w:val="en-US" w:eastAsia="en-US"/>
        </w:rPr>
        <w:t>non-brokered private placement equity financing. Under the financing, the Company issued 2,000,000 units at a price of $0.05 per unit for gross proceeds of $100,000.  Each unit is comprised of one common share of the Company and one common share purchase warrant exercisable for two years for an additional share at a price of $0.10.  The securities issued under the financing are subject to a four month hold period which will expire on September 12, 2015. The Company intends to use the proceeds of the financing for general working capital</w:t>
      </w:r>
      <w:r w:rsidRPr="00137674">
        <w:rPr>
          <w:lang w:val="en-US" w:eastAsia="en-US"/>
        </w:rPr>
        <w:t>.</w:t>
      </w:r>
    </w:p>
    <w:p w:rsidR="00E83CC4" w:rsidRPr="00137674" w:rsidRDefault="00E83CC4" w:rsidP="00137674">
      <w:pPr>
        <w:autoSpaceDE w:val="0"/>
        <w:autoSpaceDN w:val="0"/>
        <w:adjustRightInd w:val="0"/>
        <w:spacing w:after="0" w:line="240" w:lineRule="auto"/>
        <w:jc w:val="both"/>
        <w:rPr>
          <w:rFonts w:cs="Times New Roman"/>
          <w:b/>
          <w:bCs/>
        </w:rPr>
      </w:pPr>
      <w:r w:rsidRPr="00137674">
        <w:rPr>
          <w:rFonts w:cs="Times New Roman"/>
          <w:b/>
          <w:bCs/>
        </w:rPr>
        <w:t>Other risks</w:t>
      </w:r>
    </w:p>
    <w:p w:rsidR="00E83CC4" w:rsidRPr="00137674" w:rsidRDefault="00E83CC4" w:rsidP="00137674">
      <w:pPr>
        <w:autoSpaceDE w:val="0"/>
        <w:autoSpaceDN w:val="0"/>
        <w:adjustRightInd w:val="0"/>
        <w:spacing w:after="0" w:line="240" w:lineRule="auto"/>
        <w:jc w:val="both"/>
        <w:rPr>
          <w:rFonts w:cs="Times New Roman"/>
          <w:b/>
          <w:bCs/>
        </w:rPr>
      </w:pPr>
    </w:p>
    <w:p w:rsidR="00E83CC4" w:rsidRPr="00137674" w:rsidRDefault="00E83CC4" w:rsidP="00137674">
      <w:pPr>
        <w:autoSpaceDE w:val="0"/>
        <w:autoSpaceDN w:val="0"/>
        <w:adjustRightInd w:val="0"/>
        <w:spacing w:after="0" w:line="240" w:lineRule="auto"/>
        <w:jc w:val="both"/>
        <w:rPr>
          <w:rFonts w:cs="Times New Roman"/>
        </w:rPr>
      </w:pPr>
      <w:r w:rsidRPr="00137674">
        <w:rPr>
          <w:rFonts w:cs="Times New Roman"/>
        </w:rPr>
        <w:t>Unless otherwise noted, it is management’s opinion that the Company is not exposed to significant</w:t>
      </w:r>
      <w:r w:rsidR="007D3F4E" w:rsidRPr="00137674">
        <w:rPr>
          <w:rFonts w:cs="Times New Roman"/>
        </w:rPr>
        <w:t xml:space="preserve"> </w:t>
      </w:r>
      <w:r w:rsidRPr="00137674">
        <w:rPr>
          <w:rFonts w:cs="Times New Roman"/>
        </w:rPr>
        <w:t>currency risk, interest rate risk and commodity price risk arising from financial instruments.</w:t>
      </w:r>
    </w:p>
    <w:p w:rsidR="00E83CC4" w:rsidRPr="00137674" w:rsidRDefault="00E83CC4" w:rsidP="00137674">
      <w:pPr>
        <w:autoSpaceDE w:val="0"/>
        <w:autoSpaceDN w:val="0"/>
        <w:adjustRightInd w:val="0"/>
        <w:spacing w:after="0" w:line="240" w:lineRule="auto"/>
        <w:jc w:val="both"/>
        <w:rPr>
          <w:rFonts w:cs="Times New Roman"/>
        </w:rPr>
      </w:pPr>
    </w:p>
    <w:p w:rsidR="00E83CC4" w:rsidRPr="00137674" w:rsidRDefault="00E83CC4" w:rsidP="00137674">
      <w:pPr>
        <w:autoSpaceDE w:val="0"/>
        <w:autoSpaceDN w:val="0"/>
        <w:adjustRightInd w:val="0"/>
        <w:spacing w:after="0" w:line="240" w:lineRule="auto"/>
        <w:jc w:val="both"/>
        <w:rPr>
          <w:rFonts w:cs="Times New Roman"/>
          <w:b/>
          <w:bCs/>
        </w:rPr>
      </w:pPr>
      <w:r w:rsidRPr="00137674">
        <w:rPr>
          <w:rFonts w:cs="Times New Roman"/>
          <w:b/>
          <w:bCs/>
        </w:rPr>
        <w:t>Disclosure of Outstanding Security Data</w:t>
      </w:r>
    </w:p>
    <w:p w:rsidR="00A43FFF" w:rsidRPr="00137674" w:rsidRDefault="00F218D2" w:rsidP="00137674">
      <w:pPr>
        <w:pStyle w:val="NormalWeb"/>
        <w:shd w:val="clear" w:color="auto" w:fill="FFFFFF"/>
        <w:jc w:val="both"/>
        <w:rPr>
          <w:rFonts w:asciiTheme="minorHAnsi" w:hAnsiTheme="minorHAnsi"/>
          <w:sz w:val="22"/>
          <w:szCs w:val="22"/>
          <w:lang w:val="en-US" w:eastAsia="en-US"/>
        </w:rPr>
      </w:pPr>
      <w:r w:rsidRPr="00137674">
        <w:rPr>
          <w:rFonts w:asciiTheme="minorHAnsi" w:hAnsiTheme="minorHAnsi"/>
          <w:sz w:val="22"/>
          <w:szCs w:val="22"/>
        </w:rPr>
        <w:t xml:space="preserve">As of January 31, 2015 the Company had 11,296,260 common shares issued and outstanding. On May 11, 2015 the Company closed a </w:t>
      </w:r>
      <w:r w:rsidR="00D823E3" w:rsidRPr="00137674">
        <w:rPr>
          <w:rFonts w:asciiTheme="minorHAnsi" w:hAnsiTheme="minorHAnsi"/>
          <w:sz w:val="22"/>
          <w:szCs w:val="22"/>
          <w:lang w:val="en-US" w:eastAsia="en-US"/>
        </w:rPr>
        <w:t xml:space="preserve">non-brokered private placement equity financing. Under the financing, the Company issued 2,000,000 units at a price of $0.05 per unit for gross proceeds of $100,000.  Each unit is comprised of one common share of the Company and one common share purchase warrant exercisable for two years for an additional share at a price of $0.10.  </w:t>
      </w:r>
    </w:p>
    <w:p w:rsidR="00E83CC4" w:rsidRPr="00137674" w:rsidRDefault="00E83CC4" w:rsidP="00137674">
      <w:pPr>
        <w:pStyle w:val="NormalWeb"/>
        <w:shd w:val="clear" w:color="auto" w:fill="FFFFFF"/>
        <w:jc w:val="both"/>
        <w:rPr>
          <w:rFonts w:asciiTheme="minorHAnsi" w:hAnsiTheme="minorHAnsi"/>
          <w:sz w:val="22"/>
          <w:szCs w:val="22"/>
        </w:rPr>
      </w:pPr>
      <w:r w:rsidRPr="00137674">
        <w:rPr>
          <w:rFonts w:asciiTheme="minorHAnsi" w:hAnsiTheme="minorHAnsi"/>
          <w:sz w:val="22"/>
          <w:szCs w:val="22"/>
        </w:rPr>
        <w:t xml:space="preserve">As of the date of this MD&amp;A, the Company has: </w:t>
      </w:r>
      <w:r w:rsidR="00D823E3" w:rsidRPr="00137674">
        <w:rPr>
          <w:rFonts w:asciiTheme="minorHAnsi" w:hAnsiTheme="minorHAnsi"/>
          <w:sz w:val="22"/>
          <w:szCs w:val="22"/>
        </w:rPr>
        <w:t>13</w:t>
      </w:r>
      <w:r w:rsidR="00986992" w:rsidRPr="00137674">
        <w:rPr>
          <w:rFonts w:asciiTheme="minorHAnsi" w:hAnsiTheme="minorHAnsi"/>
          <w:sz w:val="22"/>
          <w:szCs w:val="22"/>
        </w:rPr>
        <w:t>,296,260</w:t>
      </w:r>
      <w:r w:rsidRPr="00137674">
        <w:rPr>
          <w:rFonts w:asciiTheme="minorHAnsi" w:hAnsiTheme="minorHAnsi"/>
          <w:sz w:val="22"/>
          <w:szCs w:val="22"/>
        </w:rPr>
        <w:t xml:space="preserve"> common shares issued and outstanding;</w:t>
      </w:r>
      <w:r w:rsidR="00F01A50" w:rsidRPr="00137674">
        <w:rPr>
          <w:rFonts w:asciiTheme="minorHAnsi" w:hAnsiTheme="minorHAnsi"/>
          <w:sz w:val="22"/>
          <w:szCs w:val="22"/>
        </w:rPr>
        <w:t xml:space="preserve"> </w:t>
      </w:r>
      <w:r w:rsidR="00D823E3" w:rsidRPr="00137674">
        <w:rPr>
          <w:rFonts w:asciiTheme="minorHAnsi" w:hAnsiTheme="minorHAnsi"/>
          <w:sz w:val="22"/>
          <w:szCs w:val="22"/>
          <w:lang w:val="en-GB" w:eastAsia="ko-KR"/>
        </w:rPr>
        <w:t>1,121,200</w:t>
      </w:r>
      <w:r w:rsidR="00D823E3" w:rsidRPr="00137674">
        <w:rPr>
          <w:rFonts w:asciiTheme="minorHAnsi" w:hAnsiTheme="minorHAnsi"/>
          <w:sz w:val="22"/>
          <w:szCs w:val="22"/>
        </w:rPr>
        <w:t xml:space="preserve"> </w:t>
      </w:r>
      <w:r w:rsidRPr="00137674">
        <w:rPr>
          <w:rFonts w:asciiTheme="minorHAnsi" w:hAnsiTheme="minorHAnsi"/>
          <w:sz w:val="22"/>
          <w:szCs w:val="22"/>
        </w:rPr>
        <w:t xml:space="preserve">stock options, </w:t>
      </w:r>
      <w:r w:rsidR="00D823E3" w:rsidRPr="00137674">
        <w:rPr>
          <w:rFonts w:asciiTheme="minorHAnsi" w:hAnsiTheme="minorHAnsi"/>
          <w:sz w:val="22"/>
          <w:szCs w:val="22"/>
        </w:rPr>
        <w:t xml:space="preserve">with 781,200 </w:t>
      </w:r>
      <w:r w:rsidRPr="00137674">
        <w:rPr>
          <w:rFonts w:asciiTheme="minorHAnsi" w:hAnsiTheme="minorHAnsi"/>
          <w:sz w:val="22"/>
          <w:szCs w:val="22"/>
        </w:rPr>
        <w:t>exercisable for one common share of the Company for $0.15 for a period of</w:t>
      </w:r>
      <w:r w:rsidR="00F01A50" w:rsidRPr="00137674">
        <w:rPr>
          <w:rFonts w:asciiTheme="minorHAnsi" w:hAnsiTheme="minorHAnsi"/>
          <w:sz w:val="22"/>
          <w:szCs w:val="22"/>
        </w:rPr>
        <w:t xml:space="preserve"> </w:t>
      </w:r>
      <w:r w:rsidRPr="00137674">
        <w:rPr>
          <w:rFonts w:asciiTheme="minorHAnsi" w:hAnsiTheme="minorHAnsi"/>
          <w:sz w:val="22"/>
          <w:szCs w:val="22"/>
        </w:rPr>
        <w:t>five years from the date of issuance</w:t>
      </w:r>
      <w:r w:rsidR="00D823E3" w:rsidRPr="00137674">
        <w:rPr>
          <w:rFonts w:asciiTheme="minorHAnsi" w:hAnsiTheme="minorHAnsi"/>
          <w:sz w:val="22"/>
          <w:szCs w:val="22"/>
        </w:rPr>
        <w:t xml:space="preserve"> and 340,000 exercisable for one common share of the Company for $0.10 for a period of five years from date of issuance</w:t>
      </w:r>
      <w:r w:rsidRPr="00137674">
        <w:rPr>
          <w:rFonts w:asciiTheme="minorHAnsi" w:hAnsiTheme="minorHAnsi"/>
          <w:sz w:val="22"/>
          <w:szCs w:val="22"/>
        </w:rPr>
        <w:t>,</w:t>
      </w:r>
      <w:r w:rsidR="00F218D2" w:rsidRPr="00137674">
        <w:rPr>
          <w:rFonts w:asciiTheme="minorHAnsi" w:hAnsiTheme="minorHAnsi"/>
          <w:sz w:val="22"/>
          <w:szCs w:val="22"/>
        </w:rPr>
        <w:t xml:space="preserve"> issued</w:t>
      </w:r>
      <w:r w:rsidRPr="00137674">
        <w:rPr>
          <w:rFonts w:asciiTheme="minorHAnsi" w:hAnsiTheme="minorHAnsi"/>
          <w:sz w:val="22"/>
          <w:szCs w:val="22"/>
        </w:rPr>
        <w:t xml:space="preserve"> and outstanding; and </w:t>
      </w:r>
      <w:r w:rsidR="00D823E3" w:rsidRPr="00137674">
        <w:rPr>
          <w:rFonts w:asciiTheme="minorHAnsi" w:hAnsiTheme="minorHAnsi"/>
          <w:sz w:val="22"/>
          <w:szCs w:val="22"/>
        </w:rPr>
        <w:t>2,000,000</w:t>
      </w:r>
      <w:r w:rsidRPr="00137674">
        <w:rPr>
          <w:rFonts w:asciiTheme="minorHAnsi" w:hAnsiTheme="minorHAnsi"/>
          <w:sz w:val="22"/>
          <w:szCs w:val="22"/>
        </w:rPr>
        <w:t xml:space="preserve"> warrants,</w:t>
      </w:r>
      <w:r w:rsidR="00F01A50" w:rsidRPr="00137674">
        <w:rPr>
          <w:rFonts w:asciiTheme="minorHAnsi" w:hAnsiTheme="minorHAnsi"/>
          <w:sz w:val="22"/>
          <w:szCs w:val="22"/>
        </w:rPr>
        <w:t xml:space="preserve"> </w:t>
      </w:r>
      <w:r w:rsidRPr="00137674">
        <w:rPr>
          <w:rFonts w:asciiTheme="minorHAnsi" w:hAnsiTheme="minorHAnsi"/>
          <w:sz w:val="22"/>
          <w:szCs w:val="22"/>
        </w:rPr>
        <w:t>each exercisable for one commo</w:t>
      </w:r>
      <w:r w:rsidR="00D823E3" w:rsidRPr="00137674">
        <w:rPr>
          <w:rFonts w:asciiTheme="minorHAnsi" w:hAnsiTheme="minorHAnsi"/>
          <w:sz w:val="22"/>
          <w:szCs w:val="22"/>
        </w:rPr>
        <w:t>n share of the Company for $0.10</w:t>
      </w:r>
      <w:r w:rsidRPr="00137674">
        <w:rPr>
          <w:rFonts w:asciiTheme="minorHAnsi" w:hAnsiTheme="minorHAnsi"/>
          <w:sz w:val="22"/>
          <w:szCs w:val="22"/>
        </w:rPr>
        <w:t xml:space="preserve"> for a period of two years from the date</w:t>
      </w:r>
      <w:r w:rsidR="00F01A50" w:rsidRPr="00137674">
        <w:rPr>
          <w:rFonts w:asciiTheme="minorHAnsi" w:hAnsiTheme="minorHAnsi"/>
          <w:sz w:val="22"/>
          <w:szCs w:val="22"/>
        </w:rPr>
        <w:t xml:space="preserve"> </w:t>
      </w:r>
      <w:r w:rsidRPr="00137674">
        <w:rPr>
          <w:rFonts w:asciiTheme="minorHAnsi" w:hAnsiTheme="minorHAnsi"/>
          <w:sz w:val="22"/>
          <w:szCs w:val="22"/>
        </w:rPr>
        <w:t>of issuance, issued and outstanding. The Company has no other securities issued or outstanding that are</w:t>
      </w:r>
      <w:r w:rsidR="00F01A50" w:rsidRPr="00137674">
        <w:rPr>
          <w:rFonts w:asciiTheme="minorHAnsi" w:hAnsiTheme="minorHAnsi"/>
          <w:sz w:val="22"/>
          <w:szCs w:val="22"/>
        </w:rPr>
        <w:t xml:space="preserve"> </w:t>
      </w:r>
      <w:r w:rsidRPr="00137674">
        <w:rPr>
          <w:rFonts w:asciiTheme="minorHAnsi" w:hAnsiTheme="minorHAnsi"/>
          <w:sz w:val="22"/>
          <w:szCs w:val="22"/>
        </w:rPr>
        <w:t>convertible into, or exercisable or exchangeable for, voting or equity securities of the Company.</w:t>
      </w:r>
    </w:p>
    <w:p w:rsidR="00E83CC4" w:rsidRPr="00137674" w:rsidRDefault="00E83CC4" w:rsidP="00137674">
      <w:pPr>
        <w:autoSpaceDE w:val="0"/>
        <w:autoSpaceDN w:val="0"/>
        <w:adjustRightInd w:val="0"/>
        <w:spacing w:after="0" w:line="240" w:lineRule="auto"/>
        <w:jc w:val="both"/>
        <w:rPr>
          <w:rFonts w:cs="Times New Roman"/>
          <w:b/>
          <w:bCs/>
        </w:rPr>
      </w:pPr>
      <w:r w:rsidRPr="00137674">
        <w:rPr>
          <w:rFonts w:cs="Times New Roman"/>
          <w:b/>
          <w:bCs/>
        </w:rPr>
        <w:t>Outlook</w:t>
      </w:r>
    </w:p>
    <w:p w:rsidR="00E83CC4" w:rsidRPr="00137674" w:rsidRDefault="00E83CC4" w:rsidP="00137674">
      <w:pPr>
        <w:autoSpaceDE w:val="0"/>
        <w:autoSpaceDN w:val="0"/>
        <w:adjustRightInd w:val="0"/>
        <w:spacing w:after="0" w:line="240" w:lineRule="auto"/>
        <w:jc w:val="both"/>
        <w:rPr>
          <w:rFonts w:cs="Times New Roman"/>
          <w:b/>
          <w:bCs/>
        </w:rPr>
      </w:pPr>
    </w:p>
    <w:p w:rsidR="00552DB8" w:rsidRPr="00137674" w:rsidRDefault="00A3513A" w:rsidP="00137674">
      <w:pPr>
        <w:autoSpaceDE w:val="0"/>
        <w:autoSpaceDN w:val="0"/>
        <w:adjustRightInd w:val="0"/>
        <w:spacing w:after="0" w:line="240" w:lineRule="auto"/>
        <w:jc w:val="both"/>
        <w:rPr>
          <w:rFonts w:cs="Times New Roman"/>
        </w:rPr>
      </w:pPr>
      <w:r w:rsidRPr="00137674">
        <w:t>For the coming year, the Company’s priorities are</w:t>
      </w:r>
      <w:r w:rsidR="00D823E3" w:rsidRPr="00137674">
        <w:t xml:space="preserve"> continue evaluating its Pattullo mineral project and, should management deem it is in the best interest of shareholders, </w:t>
      </w:r>
      <w:proofErr w:type="gramStart"/>
      <w:r w:rsidR="00D823E3" w:rsidRPr="00137674">
        <w:t>raise</w:t>
      </w:r>
      <w:proofErr w:type="gramEnd"/>
      <w:r w:rsidR="00D823E3" w:rsidRPr="00137674">
        <w:t xml:space="preserve"> additional financing to </w:t>
      </w:r>
      <w:r w:rsidRPr="00137674">
        <w:t xml:space="preserve">commence the recommended exploration program on the </w:t>
      </w:r>
      <w:r w:rsidR="00552DB8" w:rsidRPr="00137674">
        <w:t>Pattullo Property. The Company plans to</w:t>
      </w:r>
      <w:r w:rsidRPr="00137674">
        <w:t xml:space="preserve"> review the results of the exploration program to determine whether an additional exploration program is warranted for the Property. </w:t>
      </w:r>
    </w:p>
    <w:p w:rsidR="00552DB8" w:rsidRPr="00137674" w:rsidRDefault="00552DB8" w:rsidP="00137674">
      <w:pPr>
        <w:autoSpaceDE w:val="0"/>
        <w:autoSpaceDN w:val="0"/>
        <w:adjustRightInd w:val="0"/>
        <w:spacing w:after="0" w:line="240" w:lineRule="auto"/>
        <w:jc w:val="both"/>
        <w:rPr>
          <w:rFonts w:cs="Times New Roman"/>
        </w:rPr>
      </w:pPr>
    </w:p>
    <w:p w:rsidR="00473F7F" w:rsidRPr="00137674" w:rsidRDefault="00E83CC4" w:rsidP="00137674">
      <w:pPr>
        <w:autoSpaceDE w:val="0"/>
        <w:autoSpaceDN w:val="0"/>
        <w:adjustRightInd w:val="0"/>
        <w:spacing w:after="0" w:line="240" w:lineRule="auto"/>
        <w:jc w:val="both"/>
        <w:rPr>
          <w:rFonts w:cs="Times New Roman"/>
        </w:rPr>
      </w:pPr>
      <w:r w:rsidRPr="00137674">
        <w:rPr>
          <w:rFonts w:cs="Times New Roman"/>
        </w:rPr>
        <w:t>There are significant risks that might affect the Company’s further development. These include but are</w:t>
      </w:r>
      <w:r w:rsidR="009804E1" w:rsidRPr="00137674">
        <w:rPr>
          <w:rFonts w:cs="Times New Roman"/>
        </w:rPr>
        <w:t xml:space="preserve"> </w:t>
      </w:r>
      <w:r w:rsidRPr="00137674">
        <w:rPr>
          <w:rFonts w:cs="Times New Roman"/>
        </w:rPr>
        <w:t>not limited to: exploration programs that may not result in a commercial mining operation; negative cash</w:t>
      </w:r>
      <w:r w:rsidR="009804E1" w:rsidRPr="00137674">
        <w:rPr>
          <w:rFonts w:cs="Times New Roman"/>
        </w:rPr>
        <w:t xml:space="preserve"> </w:t>
      </w:r>
      <w:r w:rsidRPr="00137674">
        <w:rPr>
          <w:rFonts w:cs="Times New Roman"/>
        </w:rPr>
        <w:t>flow from operations; the Company’s ability to raise financing in the future for ongoing operations;</w:t>
      </w:r>
      <w:r w:rsidR="009804E1" w:rsidRPr="00137674">
        <w:rPr>
          <w:rFonts w:cs="Times New Roman"/>
        </w:rPr>
        <w:t xml:space="preserve"> </w:t>
      </w:r>
      <w:r w:rsidRPr="00137674">
        <w:rPr>
          <w:rFonts w:cs="Times New Roman"/>
        </w:rPr>
        <w:t>market fluctuations in metal prices; government regulations; and other conditions that may be out of the</w:t>
      </w:r>
      <w:r w:rsidR="009804E1" w:rsidRPr="00137674">
        <w:rPr>
          <w:rFonts w:cs="Times New Roman"/>
        </w:rPr>
        <w:t xml:space="preserve"> </w:t>
      </w:r>
      <w:r w:rsidRPr="00137674">
        <w:rPr>
          <w:rFonts w:cs="Times New Roman"/>
        </w:rPr>
        <w:t>Company’s control.</w:t>
      </w:r>
    </w:p>
    <w:p w:rsidR="00473F7F" w:rsidRPr="00137674" w:rsidRDefault="00473F7F" w:rsidP="00137674">
      <w:pPr>
        <w:autoSpaceDE w:val="0"/>
        <w:autoSpaceDN w:val="0"/>
        <w:adjustRightInd w:val="0"/>
        <w:spacing w:after="0" w:line="240" w:lineRule="auto"/>
        <w:jc w:val="both"/>
        <w:rPr>
          <w:rFonts w:cs="Times New Roman"/>
        </w:rPr>
      </w:pPr>
    </w:p>
    <w:p w:rsidR="00473F7F" w:rsidRPr="00137674" w:rsidRDefault="000729F9" w:rsidP="00137674">
      <w:pPr>
        <w:autoSpaceDE w:val="0"/>
        <w:autoSpaceDN w:val="0"/>
        <w:adjustRightInd w:val="0"/>
        <w:spacing w:after="0" w:line="240" w:lineRule="auto"/>
        <w:jc w:val="both"/>
        <w:rPr>
          <w:rFonts w:cs="Times New Roman"/>
        </w:rPr>
      </w:pPr>
      <w:r w:rsidRPr="00137674">
        <w:rPr>
          <w:rFonts w:eastAsia="Times New Roman" w:cs="Calibri"/>
          <w:b/>
        </w:rPr>
        <w:t>Accounting Policies</w:t>
      </w:r>
    </w:p>
    <w:p w:rsidR="00473F7F" w:rsidRPr="00137674" w:rsidRDefault="00473F7F" w:rsidP="00137674">
      <w:pPr>
        <w:autoSpaceDE w:val="0"/>
        <w:autoSpaceDN w:val="0"/>
        <w:adjustRightInd w:val="0"/>
        <w:spacing w:after="0" w:line="240" w:lineRule="auto"/>
        <w:jc w:val="both"/>
        <w:rPr>
          <w:rFonts w:cs="Times New Roman"/>
        </w:rPr>
      </w:pPr>
    </w:p>
    <w:p w:rsidR="00473F7F" w:rsidRPr="00137674" w:rsidRDefault="000729F9" w:rsidP="00137674">
      <w:pPr>
        <w:autoSpaceDE w:val="0"/>
        <w:autoSpaceDN w:val="0"/>
        <w:adjustRightInd w:val="0"/>
        <w:spacing w:after="0" w:line="240" w:lineRule="auto"/>
        <w:jc w:val="both"/>
        <w:rPr>
          <w:rFonts w:cs="Times New Roman"/>
        </w:rPr>
      </w:pPr>
      <w:r w:rsidRPr="00137674">
        <w:rPr>
          <w:rFonts w:eastAsia="Times New Roman" w:cs="Calibri"/>
        </w:rPr>
        <w:t xml:space="preserve">A detailed summary of all of the Company’s significant accounting policies is included in </w:t>
      </w:r>
      <w:r w:rsidR="0083067D" w:rsidRPr="00137674">
        <w:rPr>
          <w:rFonts w:eastAsia="Times New Roman" w:cs="Calibri"/>
        </w:rPr>
        <w:t xml:space="preserve">Note </w:t>
      </w:r>
      <w:r w:rsidR="00986992" w:rsidRPr="00137674">
        <w:rPr>
          <w:rFonts w:eastAsia="Times New Roman" w:cs="Calibri"/>
        </w:rPr>
        <w:t>3</w:t>
      </w:r>
      <w:r w:rsidRPr="00137674">
        <w:rPr>
          <w:rFonts w:eastAsia="Times New Roman" w:cs="Calibri"/>
        </w:rPr>
        <w:t xml:space="preserve"> to the audited financial s</w:t>
      </w:r>
      <w:bookmarkStart w:id="0" w:name="_GoBack"/>
      <w:bookmarkEnd w:id="0"/>
      <w:r w:rsidRPr="00137674">
        <w:rPr>
          <w:rFonts w:eastAsia="Times New Roman" w:cs="Calibri"/>
        </w:rPr>
        <w:t>tatements for the financial year ended</w:t>
      </w:r>
      <w:r w:rsidR="0093095E" w:rsidRPr="00137674">
        <w:rPr>
          <w:rFonts w:eastAsia="Times New Roman" w:cs="Calibri"/>
        </w:rPr>
        <w:t xml:space="preserve"> January 31, </w:t>
      </w:r>
      <w:r w:rsidR="009E37F9" w:rsidRPr="00137674">
        <w:rPr>
          <w:rFonts w:eastAsia="Times New Roman" w:cs="Calibri"/>
        </w:rPr>
        <w:t>2015</w:t>
      </w:r>
      <w:r w:rsidRPr="00137674">
        <w:rPr>
          <w:rFonts w:eastAsia="Times New Roman" w:cs="Calibri"/>
        </w:rPr>
        <w:t xml:space="preserve">.  The Company, in </w:t>
      </w:r>
      <w:r w:rsidRPr="00137674">
        <w:rPr>
          <w:rFonts w:eastAsia="Times New Roman" w:cs="Calibri"/>
        </w:rPr>
        <w:lastRenderedPageBreak/>
        <w:t xml:space="preserve">consultation with its Auditor, periodically reviews accounting policy changes implemented within its industry. </w:t>
      </w:r>
    </w:p>
    <w:p w:rsidR="00473F7F" w:rsidRPr="00137674" w:rsidRDefault="00473F7F" w:rsidP="00137674">
      <w:pPr>
        <w:autoSpaceDE w:val="0"/>
        <w:autoSpaceDN w:val="0"/>
        <w:adjustRightInd w:val="0"/>
        <w:spacing w:after="0" w:line="240" w:lineRule="auto"/>
        <w:jc w:val="both"/>
        <w:rPr>
          <w:rFonts w:cs="Times New Roman"/>
        </w:rPr>
      </w:pPr>
    </w:p>
    <w:p w:rsidR="00473F7F" w:rsidRPr="00137674" w:rsidRDefault="00722CD8" w:rsidP="00137674">
      <w:pPr>
        <w:autoSpaceDE w:val="0"/>
        <w:autoSpaceDN w:val="0"/>
        <w:adjustRightInd w:val="0"/>
        <w:spacing w:after="0" w:line="240" w:lineRule="auto"/>
        <w:jc w:val="both"/>
        <w:rPr>
          <w:rFonts w:cs="Times New Roman"/>
        </w:rPr>
      </w:pPr>
      <w:r w:rsidRPr="00137674">
        <w:rPr>
          <w:rFonts w:eastAsia="Times New Roman" w:cs="Calibri"/>
          <w:b/>
        </w:rPr>
        <w:t>Changes in accounting policies</w:t>
      </w:r>
    </w:p>
    <w:p w:rsidR="00473F7F" w:rsidRPr="00137674" w:rsidRDefault="00473F7F" w:rsidP="00137674">
      <w:pPr>
        <w:autoSpaceDE w:val="0"/>
        <w:autoSpaceDN w:val="0"/>
        <w:adjustRightInd w:val="0"/>
        <w:spacing w:after="0" w:line="240" w:lineRule="auto"/>
        <w:jc w:val="both"/>
        <w:rPr>
          <w:rFonts w:cs="Times New Roman"/>
        </w:rPr>
      </w:pPr>
    </w:p>
    <w:p w:rsidR="00473F7F" w:rsidRPr="00137674" w:rsidRDefault="00722CD8" w:rsidP="00137674">
      <w:pPr>
        <w:autoSpaceDE w:val="0"/>
        <w:autoSpaceDN w:val="0"/>
        <w:adjustRightInd w:val="0"/>
        <w:spacing w:after="0" w:line="240" w:lineRule="auto"/>
        <w:jc w:val="both"/>
        <w:rPr>
          <w:rFonts w:cs="Times New Roman"/>
        </w:rPr>
      </w:pPr>
      <w:r w:rsidRPr="00137674">
        <w:rPr>
          <w:rFonts w:eastAsia="Times New Roman" w:cs="Calibri"/>
        </w:rPr>
        <w:t>A number of standards and amendments were issued effective for accounting periods beginning on or after 1 January 2014.   Many of these updates are not applicable to the Company.  As of 1 February 2014, the Company adopted the following IFRS standards and amendments:</w:t>
      </w:r>
    </w:p>
    <w:p w:rsidR="00473F7F" w:rsidRPr="00137674" w:rsidRDefault="00473F7F" w:rsidP="00137674">
      <w:pPr>
        <w:autoSpaceDE w:val="0"/>
        <w:autoSpaceDN w:val="0"/>
        <w:adjustRightInd w:val="0"/>
        <w:spacing w:after="0" w:line="240" w:lineRule="auto"/>
        <w:jc w:val="both"/>
        <w:rPr>
          <w:rFonts w:cs="Times New Roman"/>
        </w:rPr>
      </w:pPr>
    </w:p>
    <w:p w:rsidR="00473F7F" w:rsidRPr="00137674" w:rsidRDefault="00722CD8" w:rsidP="00137674">
      <w:pPr>
        <w:autoSpaceDE w:val="0"/>
        <w:autoSpaceDN w:val="0"/>
        <w:adjustRightInd w:val="0"/>
        <w:spacing w:after="0" w:line="240" w:lineRule="auto"/>
        <w:jc w:val="both"/>
        <w:rPr>
          <w:rFonts w:eastAsia="Times New Roman" w:cs="Calibri"/>
        </w:rPr>
      </w:pPr>
      <w:r w:rsidRPr="00137674">
        <w:rPr>
          <w:rFonts w:eastAsia="Times New Roman" w:cs="Calibri"/>
        </w:rPr>
        <w:t xml:space="preserve">IAS 32 (Amendment) ‘Offsetting Financial Assets and Financial Liabilities’ is effective for annual periods beginning on or after 1 January 2014 that clarifies the application of offsetting requirements. </w:t>
      </w:r>
    </w:p>
    <w:p w:rsidR="00473F7F" w:rsidRPr="00137674" w:rsidRDefault="00473F7F" w:rsidP="00137674">
      <w:pPr>
        <w:autoSpaceDE w:val="0"/>
        <w:autoSpaceDN w:val="0"/>
        <w:adjustRightInd w:val="0"/>
        <w:spacing w:after="0" w:line="240" w:lineRule="auto"/>
        <w:jc w:val="both"/>
        <w:rPr>
          <w:rFonts w:eastAsia="Times New Roman" w:cs="Calibri"/>
        </w:rPr>
      </w:pPr>
    </w:p>
    <w:p w:rsidR="00473F7F" w:rsidRPr="00137674" w:rsidRDefault="00722CD8" w:rsidP="00137674">
      <w:pPr>
        <w:autoSpaceDE w:val="0"/>
        <w:autoSpaceDN w:val="0"/>
        <w:adjustRightInd w:val="0"/>
        <w:spacing w:after="0" w:line="240" w:lineRule="auto"/>
        <w:jc w:val="both"/>
        <w:rPr>
          <w:rFonts w:eastAsia="Times New Roman" w:cs="Calibri"/>
        </w:rPr>
      </w:pPr>
      <w:r w:rsidRPr="00137674">
        <w:rPr>
          <w:rFonts w:eastAsia="Times New Roman" w:cs="Calibri"/>
        </w:rPr>
        <w:t>IFRS 2 (Amendment) ‘Share-based Payment’ clarifies the definition of “vesting condition”. The amendments are effective for stock options granted beginning on or after 1 July 2014.</w:t>
      </w:r>
    </w:p>
    <w:p w:rsidR="00473F7F" w:rsidRPr="00137674" w:rsidRDefault="00473F7F" w:rsidP="00137674">
      <w:pPr>
        <w:autoSpaceDE w:val="0"/>
        <w:autoSpaceDN w:val="0"/>
        <w:adjustRightInd w:val="0"/>
        <w:spacing w:after="0" w:line="240" w:lineRule="auto"/>
        <w:jc w:val="both"/>
        <w:rPr>
          <w:rFonts w:eastAsia="Times New Roman" w:cs="Calibri"/>
        </w:rPr>
      </w:pPr>
    </w:p>
    <w:p w:rsidR="00722CD8" w:rsidRPr="00137674" w:rsidRDefault="00722CD8" w:rsidP="00137674">
      <w:pPr>
        <w:autoSpaceDE w:val="0"/>
        <w:autoSpaceDN w:val="0"/>
        <w:adjustRightInd w:val="0"/>
        <w:spacing w:after="0" w:line="240" w:lineRule="auto"/>
        <w:jc w:val="both"/>
        <w:rPr>
          <w:rFonts w:eastAsia="Times New Roman" w:cs="Calibri"/>
        </w:rPr>
      </w:pPr>
      <w:r w:rsidRPr="00137674">
        <w:rPr>
          <w:rFonts w:eastAsia="Times New Roman" w:cs="Calibri"/>
        </w:rPr>
        <w:t xml:space="preserve">The adoption of the above standards did not have a significant impact on the Company’s financial statements. </w:t>
      </w:r>
    </w:p>
    <w:p w:rsidR="00722CD8" w:rsidRPr="00137674" w:rsidRDefault="00722CD8" w:rsidP="00722CD8">
      <w:pPr>
        <w:keepNext/>
        <w:spacing w:after="0" w:line="240" w:lineRule="auto"/>
        <w:rPr>
          <w:rFonts w:eastAsia="Times New Roman" w:cs="Calibri"/>
          <w:b/>
        </w:rPr>
      </w:pPr>
      <w:r w:rsidRPr="00137674">
        <w:rPr>
          <w:rFonts w:eastAsia="Times New Roman" w:cs="Calibri"/>
          <w:b/>
        </w:rPr>
        <w:lastRenderedPageBreak/>
        <w:t>Accounting standards issued but not yet effective</w:t>
      </w:r>
    </w:p>
    <w:p w:rsidR="00473F7F" w:rsidRPr="00137674" w:rsidRDefault="00473F7F" w:rsidP="00722CD8">
      <w:pPr>
        <w:keepNext/>
        <w:spacing w:after="0" w:line="240" w:lineRule="auto"/>
        <w:jc w:val="both"/>
        <w:rPr>
          <w:rFonts w:eastAsia="Malgun Gothic" w:cs="Times New Roman"/>
          <w:b/>
          <w:bCs/>
          <w:snapToGrid w:val="0"/>
          <w:lang w:val="en-GB" w:eastAsia="en-US"/>
        </w:rPr>
      </w:pPr>
    </w:p>
    <w:p w:rsidR="00722CD8" w:rsidRPr="00137674" w:rsidRDefault="00722CD8" w:rsidP="00722CD8">
      <w:pPr>
        <w:keepNext/>
        <w:spacing w:after="0" w:line="240" w:lineRule="auto"/>
        <w:jc w:val="both"/>
        <w:rPr>
          <w:rFonts w:eastAsia="Times New Roman" w:cs="Calibri"/>
        </w:rPr>
      </w:pPr>
      <w:r w:rsidRPr="00137674">
        <w:rPr>
          <w:rFonts w:eastAsia="Times New Roman" w:cs="Calibri"/>
        </w:rPr>
        <w:t>At the date of authorization of these financial statements, the IASB and IFRIC have issued the following new and revised standards, amendments and interpretations which are not yet effective during the year ended 31 January 2015:</w:t>
      </w:r>
    </w:p>
    <w:p w:rsidR="00722CD8" w:rsidRPr="00137674" w:rsidRDefault="00722CD8" w:rsidP="00722CD8">
      <w:pPr>
        <w:keepNext/>
        <w:spacing w:after="0" w:line="240" w:lineRule="auto"/>
        <w:jc w:val="both"/>
        <w:rPr>
          <w:rFonts w:eastAsia="Times New Roman" w:cs="Calibri"/>
        </w:rPr>
      </w:pPr>
    </w:p>
    <w:p w:rsidR="00722CD8" w:rsidRPr="00137674" w:rsidRDefault="00722CD8" w:rsidP="00722CD8">
      <w:pPr>
        <w:keepNext/>
        <w:spacing w:after="0" w:line="240" w:lineRule="auto"/>
        <w:jc w:val="both"/>
        <w:rPr>
          <w:rFonts w:eastAsia="Times New Roman" w:cs="Calibri"/>
        </w:rPr>
      </w:pPr>
      <w:r w:rsidRPr="00137674">
        <w:rPr>
          <w:rFonts w:eastAsia="Times New Roman" w:cs="Calibri"/>
        </w:rPr>
        <w:t xml:space="preserve">IFRS 9 ‘Financial Instruments’: The IASB has undertaken a three-phase project to replace IAS 39 ‘Financial Instruments: Recognition and Measurement’ with IFRS 9 ‘Financial Instruments’. In November 2009, the IASB issued the first phase of IFRS 9, which details the classification and measurement requirements for financial assets. Requirements for financial liabilities were added to the standard in October 2010. In July 2014, the IASB issued the final elements of IFRS 9. IFRS 9 introduces new requirements for classifying and measuring financial assets, as follows: </w:t>
      </w:r>
    </w:p>
    <w:p w:rsidR="00722CD8" w:rsidRPr="00137674" w:rsidRDefault="00722CD8" w:rsidP="00722CD8">
      <w:pPr>
        <w:keepNext/>
        <w:spacing w:after="0" w:line="240" w:lineRule="auto"/>
        <w:jc w:val="both"/>
        <w:rPr>
          <w:rFonts w:eastAsia="Times New Roman" w:cs="Calibri"/>
        </w:rPr>
      </w:pPr>
    </w:p>
    <w:p w:rsidR="00722CD8" w:rsidRPr="00137674" w:rsidRDefault="00722CD8" w:rsidP="00722CD8">
      <w:pPr>
        <w:pStyle w:val="ListParagraph"/>
        <w:keepNext/>
        <w:numPr>
          <w:ilvl w:val="0"/>
          <w:numId w:val="11"/>
        </w:numPr>
        <w:spacing w:after="0" w:line="240" w:lineRule="auto"/>
        <w:jc w:val="both"/>
        <w:rPr>
          <w:rFonts w:eastAsia="Times New Roman" w:cs="Calibri"/>
        </w:rPr>
      </w:pPr>
      <w:r w:rsidRPr="00137674">
        <w:rPr>
          <w:rFonts w:eastAsia="Times New Roman" w:cs="Calibri"/>
        </w:rPr>
        <w:t xml:space="preserve">Financial assets meeting both a “business model” test and a “cash flow characteristics” test are measured at amortized cost (the use of fair value is optional in some limited circumstances). </w:t>
      </w:r>
    </w:p>
    <w:p w:rsidR="00722CD8" w:rsidRPr="00137674" w:rsidRDefault="00722CD8" w:rsidP="00722CD8">
      <w:pPr>
        <w:pStyle w:val="ListParagraph"/>
        <w:keepNext/>
        <w:numPr>
          <w:ilvl w:val="0"/>
          <w:numId w:val="11"/>
        </w:numPr>
        <w:spacing w:after="0" w:line="240" w:lineRule="auto"/>
        <w:jc w:val="both"/>
        <w:rPr>
          <w:rFonts w:eastAsia="Times New Roman" w:cs="Calibri"/>
        </w:rPr>
      </w:pPr>
      <w:r w:rsidRPr="00137674">
        <w:rPr>
          <w:rFonts w:eastAsia="Times New Roman" w:cs="Calibri"/>
        </w:rPr>
        <w:t xml:space="preserve">Investments in equity instruments can be designated as “fair value through other comprehensive income” with only dividends being recognized in profit or loss. </w:t>
      </w:r>
    </w:p>
    <w:p w:rsidR="00722CD8" w:rsidRPr="00137674" w:rsidRDefault="00722CD8" w:rsidP="00722CD8">
      <w:pPr>
        <w:pStyle w:val="ListParagraph"/>
        <w:keepNext/>
        <w:numPr>
          <w:ilvl w:val="0"/>
          <w:numId w:val="11"/>
        </w:numPr>
        <w:spacing w:after="0" w:line="240" w:lineRule="auto"/>
        <w:jc w:val="both"/>
        <w:rPr>
          <w:rFonts w:eastAsia="Times New Roman" w:cs="Calibri"/>
        </w:rPr>
      </w:pPr>
      <w:r w:rsidRPr="00137674">
        <w:rPr>
          <w:rFonts w:eastAsia="Times New Roman" w:cs="Calibri"/>
        </w:rPr>
        <w:t xml:space="preserve">All other instruments (including all derivatives) are measured at fair value with changes recognized in profit or loss. </w:t>
      </w:r>
    </w:p>
    <w:p w:rsidR="00722CD8" w:rsidRPr="00137674" w:rsidRDefault="00722CD8" w:rsidP="00722CD8">
      <w:pPr>
        <w:pStyle w:val="ListParagraph"/>
        <w:keepNext/>
        <w:numPr>
          <w:ilvl w:val="0"/>
          <w:numId w:val="11"/>
        </w:numPr>
        <w:spacing w:after="0" w:line="240" w:lineRule="auto"/>
        <w:jc w:val="both"/>
        <w:rPr>
          <w:rFonts w:eastAsia="Times New Roman" w:cs="Calibri"/>
        </w:rPr>
      </w:pPr>
      <w:r w:rsidRPr="00137674">
        <w:rPr>
          <w:rFonts w:eastAsia="Times New Roman" w:cs="Calibri"/>
        </w:rPr>
        <w:t xml:space="preserve">The concept of “embedded derivatives” does not apply to financial assets within the scope of the standard and the entire instrument must be classified and measured in accordance with the “business model” test and “cash flow characteristics” test. </w:t>
      </w:r>
    </w:p>
    <w:p w:rsidR="00722CD8" w:rsidRPr="00137674" w:rsidRDefault="00722CD8" w:rsidP="00722CD8">
      <w:pPr>
        <w:pStyle w:val="ListParagraph"/>
        <w:keepNext/>
        <w:numPr>
          <w:ilvl w:val="0"/>
          <w:numId w:val="11"/>
        </w:numPr>
        <w:spacing w:after="0" w:line="240" w:lineRule="auto"/>
        <w:jc w:val="both"/>
        <w:rPr>
          <w:rFonts w:eastAsia="Times New Roman" w:cs="Calibri"/>
        </w:rPr>
      </w:pPr>
      <w:r w:rsidRPr="00137674">
        <w:rPr>
          <w:rFonts w:eastAsia="Times New Roman" w:cs="Calibri"/>
        </w:rPr>
        <w:t>The revised financial liability provisions maintain the existing amortized cost measurement basis for most liabilities. New requirements apply where an entity chooses to measure a liability at fair value through profit or loss – in these cases, the portion of the change in fair value related to changes in the entity's own credit risk is presented in other comprehensive income rather than within profit or loss.</w:t>
      </w:r>
    </w:p>
    <w:p w:rsidR="00722CD8" w:rsidRPr="00137674" w:rsidRDefault="00722CD8" w:rsidP="00722CD8">
      <w:pPr>
        <w:keepNext/>
        <w:spacing w:after="0" w:line="240" w:lineRule="auto"/>
        <w:jc w:val="both"/>
        <w:rPr>
          <w:rFonts w:eastAsia="Times New Roman" w:cs="Calibri"/>
        </w:rPr>
      </w:pPr>
    </w:p>
    <w:p w:rsidR="00722CD8" w:rsidRPr="00137674" w:rsidRDefault="00722CD8" w:rsidP="00722CD8">
      <w:pPr>
        <w:keepNext/>
        <w:spacing w:after="0" w:line="240" w:lineRule="auto"/>
        <w:jc w:val="both"/>
        <w:rPr>
          <w:rFonts w:eastAsia="Times New Roman" w:cs="Calibri"/>
        </w:rPr>
      </w:pPr>
      <w:r w:rsidRPr="00137674">
        <w:rPr>
          <w:rFonts w:eastAsia="Times New Roman" w:cs="Calibri"/>
        </w:rPr>
        <w:t>The amendments are effective for annual periods beginning on or after 1 January 2018.</w:t>
      </w:r>
    </w:p>
    <w:p w:rsidR="00722CD8" w:rsidRPr="00137674" w:rsidRDefault="00722CD8" w:rsidP="00722CD8">
      <w:pPr>
        <w:keepNext/>
        <w:spacing w:after="0" w:line="240" w:lineRule="auto"/>
        <w:jc w:val="both"/>
        <w:rPr>
          <w:rFonts w:eastAsia="Times New Roman" w:cs="Calibri"/>
        </w:rPr>
      </w:pPr>
    </w:p>
    <w:p w:rsidR="00722CD8" w:rsidRPr="00137674" w:rsidRDefault="00722CD8" w:rsidP="00722CD8">
      <w:pPr>
        <w:keepNext/>
        <w:spacing w:after="0" w:line="240" w:lineRule="auto"/>
        <w:jc w:val="both"/>
        <w:rPr>
          <w:rFonts w:eastAsia="Times New Roman" w:cs="Calibri"/>
        </w:rPr>
      </w:pPr>
      <w:r w:rsidRPr="00137674">
        <w:rPr>
          <w:rFonts w:eastAsia="Times New Roman" w:cs="Calibri"/>
        </w:rPr>
        <w:t xml:space="preserve">IAS 1 ‘Presentation of Financial Statements’ is an amendment to clarify certain aspects focused on the areas of clarification of concept of materiality and aggregation of items in the financial statements, the use and presentation of subtotals in the statement of loss and comprehensive loss, and providing of additional flexibility in the structure and disclosures of the financial statements to enhance understandability. The amendment is applicable to annual periods beginning on or after 1 January 2016. </w:t>
      </w:r>
    </w:p>
    <w:p w:rsidR="00722CD8" w:rsidRPr="00137674" w:rsidRDefault="00722CD8" w:rsidP="00722CD8">
      <w:pPr>
        <w:keepNext/>
        <w:spacing w:after="0" w:line="240" w:lineRule="auto"/>
        <w:jc w:val="both"/>
        <w:rPr>
          <w:rFonts w:eastAsia="Times New Roman" w:cs="Calibri"/>
        </w:rPr>
      </w:pPr>
    </w:p>
    <w:p w:rsidR="00722CD8" w:rsidRPr="00137674" w:rsidRDefault="00722CD8" w:rsidP="00722CD8">
      <w:pPr>
        <w:keepNext/>
        <w:spacing w:after="0" w:line="240" w:lineRule="auto"/>
        <w:jc w:val="both"/>
        <w:rPr>
          <w:rFonts w:eastAsia="Times New Roman" w:cs="Calibri"/>
        </w:rPr>
      </w:pPr>
      <w:r w:rsidRPr="00137674">
        <w:rPr>
          <w:rFonts w:eastAsia="Times New Roman" w:cs="Calibri"/>
        </w:rPr>
        <w:t xml:space="preserve">IAS 24 ‘Related Party Disclosures’ is an amendment to clarify that a management entity, or any member of a group of which it is a part, that provides key management services to a reporting entity, or its parent, is a related party of the reporting entity.  The amendments also require an entity to disclose amounts incurred for key management personnel services provided by a separate management entity. This replaces the more detailed disclosure by category required for other key management personnel compensation. The amendment is applicable to annual periods beginning on or after 1 July 2014. </w:t>
      </w:r>
    </w:p>
    <w:p w:rsidR="00722CD8" w:rsidRPr="00137674" w:rsidRDefault="00722CD8" w:rsidP="00722CD8">
      <w:pPr>
        <w:keepNext/>
        <w:spacing w:after="0" w:line="240" w:lineRule="auto"/>
        <w:jc w:val="both"/>
        <w:rPr>
          <w:rFonts w:eastAsia="Times New Roman" w:cs="Calibri"/>
        </w:rPr>
      </w:pPr>
    </w:p>
    <w:p w:rsidR="00722CD8" w:rsidRPr="00137674" w:rsidRDefault="00722CD8" w:rsidP="00722CD8">
      <w:pPr>
        <w:keepNext/>
        <w:spacing w:after="0" w:line="240" w:lineRule="auto"/>
        <w:jc w:val="both"/>
        <w:rPr>
          <w:rFonts w:eastAsia="Times New Roman" w:cs="Calibri"/>
        </w:rPr>
      </w:pPr>
      <w:r w:rsidRPr="00137674">
        <w:rPr>
          <w:rFonts w:eastAsia="Times New Roman" w:cs="Calibri"/>
        </w:rPr>
        <w:t xml:space="preserve">IAS 8 ‘Operating Segments’ is amendment to clarify aggregation criteria, effective for annual periods beginning on or after 1 July 2014. </w:t>
      </w:r>
    </w:p>
    <w:p w:rsidR="00722CD8" w:rsidRPr="00137674" w:rsidRDefault="00722CD8" w:rsidP="00722CD8">
      <w:pPr>
        <w:keepNext/>
        <w:spacing w:after="0" w:line="240" w:lineRule="auto"/>
        <w:jc w:val="both"/>
        <w:rPr>
          <w:rFonts w:eastAsia="Times New Roman" w:cs="Calibri"/>
        </w:rPr>
      </w:pPr>
    </w:p>
    <w:p w:rsidR="00722CD8" w:rsidRPr="00137674" w:rsidRDefault="00722CD8" w:rsidP="00722CD8">
      <w:pPr>
        <w:keepNext/>
        <w:spacing w:after="0" w:line="240" w:lineRule="auto"/>
        <w:jc w:val="both"/>
        <w:rPr>
          <w:rFonts w:eastAsia="Times New Roman" w:cs="Calibri"/>
        </w:rPr>
      </w:pPr>
      <w:r w:rsidRPr="00137674">
        <w:rPr>
          <w:rFonts w:eastAsia="Times New Roman" w:cs="Calibri"/>
        </w:rPr>
        <w:t>IFRS 11 ‘Joint Arrangements’ is an amendment to clarify accounting for acquisition of interest in a joint operation. The amendment is applicable to annual periods beginning on or after 1 January 2016.</w:t>
      </w:r>
    </w:p>
    <w:p w:rsidR="00722CD8" w:rsidRPr="00137674" w:rsidRDefault="00722CD8" w:rsidP="00722CD8">
      <w:pPr>
        <w:keepNext/>
        <w:spacing w:after="0" w:line="240" w:lineRule="auto"/>
        <w:jc w:val="both"/>
        <w:rPr>
          <w:rFonts w:eastAsia="Times New Roman" w:cs="Calibri"/>
        </w:rPr>
      </w:pPr>
    </w:p>
    <w:p w:rsidR="00722CD8" w:rsidRPr="00137674" w:rsidRDefault="00722CD8" w:rsidP="00722CD8">
      <w:pPr>
        <w:keepNext/>
        <w:spacing w:after="0" w:line="240" w:lineRule="auto"/>
        <w:jc w:val="both"/>
        <w:rPr>
          <w:rFonts w:eastAsia="Times New Roman" w:cs="Calibri"/>
        </w:rPr>
      </w:pPr>
      <w:r w:rsidRPr="00137674">
        <w:rPr>
          <w:rFonts w:eastAsia="Times New Roman" w:cs="Calibri"/>
        </w:rPr>
        <w:t>The Company has not early adopted these standards, amendments and interpretations and anticipates that the application of these standards, amendments and interpretations will not have a material impact on the financial position and financial performance of the Company.</w:t>
      </w:r>
    </w:p>
    <w:p w:rsidR="00722CD8" w:rsidRPr="00644A3E" w:rsidRDefault="00722CD8" w:rsidP="003944C3">
      <w:pPr>
        <w:jc w:val="both"/>
      </w:pPr>
    </w:p>
    <w:sectPr w:rsidR="00722CD8" w:rsidRPr="00644A3E" w:rsidSect="00946DC1">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14B" w:rsidRDefault="001B614B" w:rsidP="00946DC1">
      <w:pPr>
        <w:spacing w:after="0" w:line="240" w:lineRule="auto"/>
      </w:pPr>
      <w:r>
        <w:separator/>
      </w:r>
    </w:p>
  </w:endnote>
  <w:endnote w:type="continuationSeparator" w:id="0">
    <w:p w:rsidR="001B614B" w:rsidRDefault="001B614B" w:rsidP="00946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FF" w:rsidRPr="008056E4" w:rsidRDefault="00A43FFF">
    <w:pPr>
      <w:pStyle w:val="Footer"/>
      <w:pBdr>
        <w:top w:val="thinThickSmallGap" w:sz="24" w:space="1" w:color="622423" w:themeColor="accent2" w:themeShade="7F"/>
      </w:pBdr>
      <w:rPr>
        <w:sz w:val="16"/>
        <w:szCs w:val="16"/>
      </w:rPr>
    </w:pPr>
    <w:r w:rsidRPr="008056E4">
      <w:rPr>
        <w:rFonts w:cs="Times New Roman"/>
        <w:sz w:val="16"/>
        <w:szCs w:val="16"/>
      </w:rPr>
      <w:t xml:space="preserve">Rheingold Exploration Corp. MD&amp;A for the </w:t>
    </w:r>
    <w:r w:rsidR="00955D81">
      <w:rPr>
        <w:rFonts w:cs="Times New Roman"/>
        <w:sz w:val="16"/>
        <w:szCs w:val="16"/>
      </w:rPr>
      <w:t>three month period ended April 30, 2015</w:t>
    </w:r>
    <w:r w:rsidRPr="008056E4">
      <w:rPr>
        <w:sz w:val="16"/>
        <w:szCs w:val="16"/>
      </w:rPr>
      <w:ptab w:relativeTo="margin" w:alignment="right" w:leader="none"/>
    </w:r>
    <w:r w:rsidRPr="008056E4">
      <w:rPr>
        <w:sz w:val="16"/>
        <w:szCs w:val="16"/>
      </w:rPr>
      <w:t xml:space="preserve">Page </w:t>
    </w:r>
    <w:r w:rsidRPr="008056E4">
      <w:rPr>
        <w:sz w:val="16"/>
        <w:szCs w:val="16"/>
      </w:rPr>
      <w:fldChar w:fldCharType="begin"/>
    </w:r>
    <w:r w:rsidRPr="008056E4">
      <w:rPr>
        <w:sz w:val="16"/>
        <w:szCs w:val="16"/>
      </w:rPr>
      <w:instrText xml:space="preserve"> PAGE   \* MERGEFORMAT </w:instrText>
    </w:r>
    <w:r w:rsidRPr="008056E4">
      <w:rPr>
        <w:sz w:val="16"/>
        <w:szCs w:val="16"/>
      </w:rPr>
      <w:fldChar w:fldCharType="separate"/>
    </w:r>
    <w:r w:rsidR="00BF3FC7">
      <w:rPr>
        <w:noProof/>
        <w:sz w:val="16"/>
        <w:szCs w:val="16"/>
      </w:rPr>
      <w:t>4</w:t>
    </w:r>
    <w:r w:rsidRPr="008056E4">
      <w:rPr>
        <w:sz w:val="16"/>
        <w:szCs w:val="16"/>
      </w:rPr>
      <w:fldChar w:fldCharType="end"/>
    </w:r>
  </w:p>
  <w:p w:rsidR="00A43FFF" w:rsidRDefault="00A43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14B" w:rsidRDefault="001B614B" w:rsidP="00946DC1">
      <w:pPr>
        <w:spacing w:after="0" w:line="240" w:lineRule="auto"/>
      </w:pPr>
      <w:r>
        <w:separator/>
      </w:r>
    </w:p>
  </w:footnote>
  <w:footnote w:type="continuationSeparator" w:id="0">
    <w:p w:rsidR="001B614B" w:rsidRDefault="001B614B" w:rsidP="00946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073"/>
    <w:multiLevelType w:val="hybridMultilevel"/>
    <w:tmpl w:val="02C20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F74BFA"/>
    <w:multiLevelType w:val="hybridMultilevel"/>
    <w:tmpl w:val="E8769B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E6341D4"/>
    <w:multiLevelType w:val="hybridMultilevel"/>
    <w:tmpl w:val="4EB28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871944"/>
    <w:multiLevelType w:val="hybridMultilevel"/>
    <w:tmpl w:val="3FC6DDB8"/>
    <w:lvl w:ilvl="0" w:tplc="6122DCD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51CFC"/>
    <w:multiLevelType w:val="hybridMultilevel"/>
    <w:tmpl w:val="5A34F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A7016F"/>
    <w:multiLevelType w:val="hybridMultilevel"/>
    <w:tmpl w:val="004CD49A"/>
    <w:lvl w:ilvl="0" w:tplc="B4CCA00C">
      <w:numFmt w:val="bullet"/>
      <w:lvlText w:val="•"/>
      <w:lvlJc w:val="left"/>
      <w:pPr>
        <w:ind w:left="720" w:hanging="360"/>
      </w:pPr>
      <w:rPr>
        <w:rFonts w:ascii="SymbolMT" w:eastAsiaTheme="minorHAnsi"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613145"/>
    <w:multiLevelType w:val="hybridMultilevel"/>
    <w:tmpl w:val="10723B4C"/>
    <w:lvl w:ilvl="0" w:tplc="C40481F4">
      <w:numFmt w:val="bullet"/>
      <w:lvlText w:val="·"/>
      <w:lvlJc w:val="left"/>
      <w:pPr>
        <w:ind w:left="1095" w:hanging="375"/>
      </w:pPr>
      <w:rPr>
        <w:rFonts w:ascii="Calibri" w:eastAsia="Times New Roman" w:hAnsi="Calibri"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52E680A"/>
    <w:multiLevelType w:val="hybridMultilevel"/>
    <w:tmpl w:val="DD14E9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7A8E5FDC"/>
    <w:multiLevelType w:val="hybridMultilevel"/>
    <w:tmpl w:val="943AD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E9868DF"/>
    <w:multiLevelType w:val="hybridMultilevel"/>
    <w:tmpl w:val="14A0B8A4"/>
    <w:lvl w:ilvl="0" w:tplc="10090001">
      <w:start w:val="1"/>
      <w:numFmt w:val="bullet"/>
      <w:lvlText w:val=""/>
      <w:lvlJc w:val="left"/>
      <w:pPr>
        <w:ind w:left="1095" w:hanging="375"/>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7"/>
  </w:num>
  <w:num w:numId="6">
    <w:abstractNumId w:val="1"/>
  </w:num>
  <w:num w:numId="7">
    <w:abstractNumId w:val="6"/>
  </w:num>
  <w:num w:numId="8">
    <w:abstractNumId w:val="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20A10"/>
    <w:rsid w:val="00017119"/>
    <w:rsid w:val="00020A10"/>
    <w:rsid w:val="00023601"/>
    <w:rsid w:val="00027798"/>
    <w:rsid w:val="000277C9"/>
    <w:rsid w:val="00032F62"/>
    <w:rsid w:val="00033C59"/>
    <w:rsid w:val="000420C4"/>
    <w:rsid w:val="00055EB7"/>
    <w:rsid w:val="00056D5E"/>
    <w:rsid w:val="0006035A"/>
    <w:rsid w:val="0006263E"/>
    <w:rsid w:val="000729F9"/>
    <w:rsid w:val="00084382"/>
    <w:rsid w:val="00095C20"/>
    <w:rsid w:val="0009675C"/>
    <w:rsid w:val="00097466"/>
    <w:rsid w:val="000B1B2C"/>
    <w:rsid w:val="000B5BB7"/>
    <w:rsid w:val="000C0CBD"/>
    <w:rsid w:val="000C4A3B"/>
    <w:rsid w:val="000F184D"/>
    <w:rsid w:val="00105E46"/>
    <w:rsid w:val="001061A6"/>
    <w:rsid w:val="0011007F"/>
    <w:rsid w:val="00112F50"/>
    <w:rsid w:val="001134C9"/>
    <w:rsid w:val="00117F47"/>
    <w:rsid w:val="00121EF6"/>
    <w:rsid w:val="00124366"/>
    <w:rsid w:val="00124936"/>
    <w:rsid w:val="00137674"/>
    <w:rsid w:val="001406FD"/>
    <w:rsid w:val="00145C99"/>
    <w:rsid w:val="00152306"/>
    <w:rsid w:val="00184BC4"/>
    <w:rsid w:val="0019093C"/>
    <w:rsid w:val="001A11BA"/>
    <w:rsid w:val="001B5F1F"/>
    <w:rsid w:val="001B614B"/>
    <w:rsid w:val="001C7121"/>
    <w:rsid w:val="001D0F93"/>
    <w:rsid w:val="001D47C4"/>
    <w:rsid w:val="001E2D47"/>
    <w:rsid w:val="001E684E"/>
    <w:rsid w:val="00200386"/>
    <w:rsid w:val="0020251D"/>
    <w:rsid w:val="00205565"/>
    <w:rsid w:val="00213B65"/>
    <w:rsid w:val="00227ECB"/>
    <w:rsid w:val="00230053"/>
    <w:rsid w:val="00231316"/>
    <w:rsid w:val="002452A2"/>
    <w:rsid w:val="0025415B"/>
    <w:rsid w:val="00263CDF"/>
    <w:rsid w:val="00267C13"/>
    <w:rsid w:val="0027200D"/>
    <w:rsid w:val="00297A74"/>
    <w:rsid w:val="002B74F7"/>
    <w:rsid w:val="002C4150"/>
    <w:rsid w:val="002E16EB"/>
    <w:rsid w:val="002E4942"/>
    <w:rsid w:val="002E74C2"/>
    <w:rsid w:val="002F1B3B"/>
    <w:rsid w:val="00300EAD"/>
    <w:rsid w:val="0030759B"/>
    <w:rsid w:val="003213EA"/>
    <w:rsid w:val="00326206"/>
    <w:rsid w:val="00341BDF"/>
    <w:rsid w:val="0034708B"/>
    <w:rsid w:val="00350DE9"/>
    <w:rsid w:val="00353C85"/>
    <w:rsid w:val="00355F70"/>
    <w:rsid w:val="003575A3"/>
    <w:rsid w:val="0036209C"/>
    <w:rsid w:val="003673A8"/>
    <w:rsid w:val="003859AD"/>
    <w:rsid w:val="00387666"/>
    <w:rsid w:val="003944C3"/>
    <w:rsid w:val="003B263E"/>
    <w:rsid w:val="003B5948"/>
    <w:rsid w:val="003C0310"/>
    <w:rsid w:val="003C462F"/>
    <w:rsid w:val="003C624F"/>
    <w:rsid w:val="003D4E03"/>
    <w:rsid w:val="003D7162"/>
    <w:rsid w:val="003F6B38"/>
    <w:rsid w:val="00400A08"/>
    <w:rsid w:val="004052AC"/>
    <w:rsid w:val="00413E52"/>
    <w:rsid w:val="00415C2B"/>
    <w:rsid w:val="00416546"/>
    <w:rsid w:val="00422428"/>
    <w:rsid w:val="00432ED0"/>
    <w:rsid w:val="0043687A"/>
    <w:rsid w:val="00437C94"/>
    <w:rsid w:val="00454971"/>
    <w:rsid w:val="00455922"/>
    <w:rsid w:val="00461C33"/>
    <w:rsid w:val="004730B7"/>
    <w:rsid w:val="00473F7F"/>
    <w:rsid w:val="00480B5B"/>
    <w:rsid w:val="004846D3"/>
    <w:rsid w:val="00485C47"/>
    <w:rsid w:val="00492BB6"/>
    <w:rsid w:val="004B049B"/>
    <w:rsid w:val="004B48B3"/>
    <w:rsid w:val="004B64E4"/>
    <w:rsid w:val="004C4446"/>
    <w:rsid w:val="00512002"/>
    <w:rsid w:val="00516FC4"/>
    <w:rsid w:val="0052616D"/>
    <w:rsid w:val="005339CF"/>
    <w:rsid w:val="00544D42"/>
    <w:rsid w:val="00545B0F"/>
    <w:rsid w:val="00551716"/>
    <w:rsid w:val="00552DB8"/>
    <w:rsid w:val="00553162"/>
    <w:rsid w:val="00571E19"/>
    <w:rsid w:val="00597C2B"/>
    <w:rsid w:val="005A724D"/>
    <w:rsid w:val="005B6D73"/>
    <w:rsid w:val="005C61FF"/>
    <w:rsid w:val="005E0EC7"/>
    <w:rsid w:val="005E3B66"/>
    <w:rsid w:val="005E48AB"/>
    <w:rsid w:val="005E5C73"/>
    <w:rsid w:val="005E706A"/>
    <w:rsid w:val="005F35AC"/>
    <w:rsid w:val="006056A5"/>
    <w:rsid w:val="0061350C"/>
    <w:rsid w:val="00633179"/>
    <w:rsid w:val="00636E62"/>
    <w:rsid w:val="00644A3E"/>
    <w:rsid w:val="00645B07"/>
    <w:rsid w:val="00646416"/>
    <w:rsid w:val="00653E8E"/>
    <w:rsid w:val="006540A4"/>
    <w:rsid w:val="006551B4"/>
    <w:rsid w:val="00657E07"/>
    <w:rsid w:val="00671E8A"/>
    <w:rsid w:val="00676C51"/>
    <w:rsid w:val="0068598E"/>
    <w:rsid w:val="0069587A"/>
    <w:rsid w:val="00697A4B"/>
    <w:rsid w:val="006A7B37"/>
    <w:rsid w:val="006B68F5"/>
    <w:rsid w:val="006D0BA4"/>
    <w:rsid w:val="006D65F5"/>
    <w:rsid w:val="006E2EF8"/>
    <w:rsid w:val="007102FD"/>
    <w:rsid w:val="00710706"/>
    <w:rsid w:val="007143D8"/>
    <w:rsid w:val="00722CD8"/>
    <w:rsid w:val="007267B0"/>
    <w:rsid w:val="007316C5"/>
    <w:rsid w:val="0074062B"/>
    <w:rsid w:val="00753BB8"/>
    <w:rsid w:val="00757A3E"/>
    <w:rsid w:val="00757FAF"/>
    <w:rsid w:val="00771B87"/>
    <w:rsid w:val="007810D1"/>
    <w:rsid w:val="007844FD"/>
    <w:rsid w:val="00792F6E"/>
    <w:rsid w:val="007A0F17"/>
    <w:rsid w:val="007A3F84"/>
    <w:rsid w:val="007A5589"/>
    <w:rsid w:val="007C4C8D"/>
    <w:rsid w:val="007C6104"/>
    <w:rsid w:val="007D3B2D"/>
    <w:rsid w:val="007D3F4E"/>
    <w:rsid w:val="007E21EE"/>
    <w:rsid w:val="007F5987"/>
    <w:rsid w:val="007F5A52"/>
    <w:rsid w:val="007F68DB"/>
    <w:rsid w:val="008019D6"/>
    <w:rsid w:val="00801F2F"/>
    <w:rsid w:val="00804008"/>
    <w:rsid w:val="008056E4"/>
    <w:rsid w:val="00813630"/>
    <w:rsid w:val="008142DD"/>
    <w:rsid w:val="0083067D"/>
    <w:rsid w:val="0083453F"/>
    <w:rsid w:val="00834DEC"/>
    <w:rsid w:val="00836331"/>
    <w:rsid w:val="00837D25"/>
    <w:rsid w:val="0087393E"/>
    <w:rsid w:val="008741E6"/>
    <w:rsid w:val="00876543"/>
    <w:rsid w:val="00884DF2"/>
    <w:rsid w:val="00893BCD"/>
    <w:rsid w:val="008945B9"/>
    <w:rsid w:val="008A18A3"/>
    <w:rsid w:val="008B0A46"/>
    <w:rsid w:val="008C2AA5"/>
    <w:rsid w:val="008D2EF6"/>
    <w:rsid w:val="008D6333"/>
    <w:rsid w:val="008E33FC"/>
    <w:rsid w:val="008E4A61"/>
    <w:rsid w:val="008E73B5"/>
    <w:rsid w:val="008F02AB"/>
    <w:rsid w:val="008F6374"/>
    <w:rsid w:val="009034CC"/>
    <w:rsid w:val="00903F3A"/>
    <w:rsid w:val="0090720B"/>
    <w:rsid w:val="00907C6B"/>
    <w:rsid w:val="00913A28"/>
    <w:rsid w:val="00920B41"/>
    <w:rsid w:val="00926A62"/>
    <w:rsid w:val="0093095E"/>
    <w:rsid w:val="00943528"/>
    <w:rsid w:val="00946DC1"/>
    <w:rsid w:val="00955D81"/>
    <w:rsid w:val="00956740"/>
    <w:rsid w:val="00956B3B"/>
    <w:rsid w:val="00975B6A"/>
    <w:rsid w:val="009804E1"/>
    <w:rsid w:val="009820D5"/>
    <w:rsid w:val="00986992"/>
    <w:rsid w:val="009879D1"/>
    <w:rsid w:val="00987E8D"/>
    <w:rsid w:val="00996D55"/>
    <w:rsid w:val="009A0602"/>
    <w:rsid w:val="009B2F7B"/>
    <w:rsid w:val="009B4B34"/>
    <w:rsid w:val="009C3EAA"/>
    <w:rsid w:val="009C73FA"/>
    <w:rsid w:val="009E37F9"/>
    <w:rsid w:val="009F1F10"/>
    <w:rsid w:val="009F24B5"/>
    <w:rsid w:val="009F3CDB"/>
    <w:rsid w:val="00A031DA"/>
    <w:rsid w:val="00A27C46"/>
    <w:rsid w:val="00A3513A"/>
    <w:rsid w:val="00A370DC"/>
    <w:rsid w:val="00A407E5"/>
    <w:rsid w:val="00A43FFF"/>
    <w:rsid w:val="00A44686"/>
    <w:rsid w:val="00A51330"/>
    <w:rsid w:val="00A7179D"/>
    <w:rsid w:val="00A87ECC"/>
    <w:rsid w:val="00A94887"/>
    <w:rsid w:val="00AA0EC4"/>
    <w:rsid w:val="00AB3E9D"/>
    <w:rsid w:val="00AB63EB"/>
    <w:rsid w:val="00AC2930"/>
    <w:rsid w:val="00AD2372"/>
    <w:rsid w:val="00AD3EE1"/>
    <w:rsid w:val="00AE3A7A"/>
    <w:rsid w:val="00AE4789"/>
    <w:rsid w:val="00AE7017"/>
    <w:rsid w:val="00AE7F19"/>
    <w:rsid w:val="00AF3EEB"/>
    <w:rsid w:val="00B010F3"/>
    <w:rsid w:val="00B119A9"/>
    <w:rsid w:val="00B1205D"/>
    <w:rsid w:val="00B152A4"/>
    <w:rsid w:val="00B1597F"/>
    <w:rsid w:val="00B171D0"/>
    <w:rsid w:val="00B2044C"/>
    <w:rsid w:val="00B4631D"/>
    <w:rsid w:val="00B559D2"/>
    <w:rsid w:val="00B60063"/>
    <w:rsid w:val="00B60F37"/>
    <w:rsid w:val="00B710AC"/>
    <w:rsid w:val="00B74558"/>
    <w:rsid w:val="00B76D92"/>
    <w:rsid w:val="00B77E3F"/>
    <w:rsid w:val="00B860FE"/>
    <w:rsid w:val="00B92D26"/>
    <w:rsid w:val="00BA129A"/>
    <w:rsid w:val="00BA281E"/>
    <w:rsid w:val="00BA679E"/>
    <w:rsid w:val="00BB2450"/>
    <w:rsid w:val="00BB6307"/>
    <w:rsid w:val="00BD5D2A"/>
    <w:rsid w:val="00BD6A4E"/>
    <w:rsid w:val="00BE17E8"/>
    <w:rsid w:val="00BE1C05"/>
    <w:rsid w:val="00BE3823"/>
    <w:rsid w:val="00BE4150"/>
    <w:rsid w:val="00BE4D88"/>
    <w:rsid w:val="00BF0F86"/>
    <w:rsid w:val="00BF3FC7"/>
    <w:rsid w:val="00BF5BBC"/>
    <w:rsid w:val="00C03E02"/>
    <w:rsid w:val="00C143A0"/>
    <w:rsid w:val="00C208D6"/>
    <w:rsid w:val="00C24E4D"/>
    <w:rsid w:val="00C35E33"/>
    <w:rsid w:val="00C418F9"/>
    <w:rsid w:val="00C42461"/>
    <w:rsid w:val="00C50F46"/>
    <w:rsid w:val="00C5200C"/>
    <w:rsid w:val="00C5509E"/>
    <w:rsid w:val="00C67D72"/>
    <w:rsid w:val="00C70FEB"/>
    <w:rsid w:val="00C7131E"/>
    <w:rsid w:val="00C83867"/>
    <w:rsid w:val="00CE3918"/>
    <w:rsid w:val="00CE7277"/>
    <w:rsid w:val="00CF063B"/>
    <w:rsid w:val="00CF1203"/>
    <w:rsid w:val="00D10750"/>
    <w:rsid w:val="00D120E6"/>
    <w:rsid w:val="00D1462E"/>
    <w:rsid w:val="00D17CAF"/>
    <w:rsid w:val="00D27055"/>
    <w:rsid w:val="00D3134F"/>
    <w:rsid w:val="00D37C9A"/>
    <w:rsid w:val="00D53CC0"/>
    <w:rsid w:val="00D5607C"/>
    <w:rsid w:val="00D64CBA"/>
    <w:rsid w:val="00D74C9A"/>
    <w:rsid w:val="00D823E3"/>
    <w:rsid w:val="00D84977"/>
    <w:rsid w:val="00D90BC4"/>
    <w:rsid w:val="00D94D82"/>
    <w:rsid w:val="00DA5215"/>
    <w:rsid w:val="00DB13D2"/>
    <w:rsid w:val="00DB517D"/>
    <w:rsid w:val="00DC1A8B"/>
    <w:rsid w:val="00DC756E"/>
    <w:rsid w:val="00DD2071"/>
    <w:rsid w:val="00DD27D3"/>
    <w:rsid w:val="00E0421A"/>
    <w:rsid w:val="00E1408E"/>
    <w:rsid w:val="00E14CCF"/>
    <w:rsid w:val="00E20D55"/>
    <w:rsid w:val="00E236DE"/>
    <w:rsid w:val="00E2793F"/>
    <w:rsid w:val="00E34960"/>
    <w:rsid w:val="00E607A6"/>
    <w:rsid w:val="00E65654"/>
    <w:rsid w:val="00E70ED9"/>
    <w:rsid w:val="00E73E21"/>
    <w:rsid w:val="00E7523B"/>
    <w:rsid w:val="00E76715"/>
    <w:rsid w:val="00E8276F"/>
    <w:rsid w:val="00E82CA9"/>
    <w:rsid w:val="00E83CC4"/>
    <w:rsid w:val="00E864B3"/>
    <w:rsid w:val="00E95CDB"/>
    <w:rsid w:val="00E97595"/>
    <w:rsid w:val="00EA2B9B"/>
    <w:rsid w:val="00EA438F"/>
    <w:rsid w:val="00EB5399"/>
    <w:rsid w:val="00EC4CA6"/>
    <w:rsid w:val="00EC6088"/>
    <w:rsid w:val="00ED4BF6"/>
    <w:rsid w:val="00ED7E72"/>
    <w:rsid w:val="00EE2E72"/>
    <w:rsid w:val="00EE54C4"/>
    <w:rsid w:val="00F01A50"/>
    <w:rsid w:val="00F02F6A"/>
    <w:rsid w:val="00F15C7B"/>
    <w:rsid w:val="00F20ABE"/>
    <w:rsid w:val="00F218D2"/>
    <w:rsid w:val="00F41760"/>
    <w:rsid w:val="00F514B7"/>
    <w:rsid w:val="00F578D4"/>
    <w:rsid w:val="00F62964"/>
    <w:rsid w:val="00F76CA8"/>
    <w:rsid w:val="00F8165D"/>
    <w:rsid w:val="00F838A6"/>
    <w:rsid w:val="00F901D4"/>
    <w:rsid w:val="00FA3A6C"/>
    <w:rsid w:val="00FA3D62"/>
    <w:rsid w:val="00FC3E01"/>
    <w:rsid w:val="00FC3EE5"/>
    <w:rsid w:val="00FD6120"/>
    <w:rsid w:val="00FD740C"/>
    <w:rsid w:val="00FE6E3C"/>
    <w:rsid w:val="00FF39A5"/>
    <w:rsid w:val="00FF452E"/>
    <w:rsid w:val="00FF5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A10"/>
    <w:pPr>
      <w:ind w:left="720"/>
      <w:contextualSpacing/>
    </w:pPr>
  </w:style>
  <w:style w:type="table" w:styleId="TableGrid">
    <w:name w:val="Table Grid"/>
    <w:basedOn w:val="TableNormal"/>
    <w:uiPriority w:val="59"/>
    <w:rsid w:val="008E7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46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DC1"/>
    <w:rPr>
      <w:sz w:val="20"/>
      <w:szCs w:val="20"/>
    </w:rPr>
  </w:style>
  <w:style w:type="character" w:styleId="FootnoteReference">
    <w:name w:val="footnote reference"/>
    <w:basedOn w:val="DefaultParagraphFont"/>
    <w:uiPriority w:val="99"/>
    <w:semiHidden/>
    <w:unhideWhenUsed/>
    <w:rsid w:val="00946DC1"/>
    <w:rPr>
      <w:vertAlign w:val="superscript"/>
    </w:rPr>
  </w:style>
  <w:style w:type="paragraph" w:styleId="Header">
    <w:name w:val="header"/>
    <w:basedOn w:val="Normal"/>
    <w:link w:val="HeaderChar"/>
    <w:uiPriority w:val="99"/>
    <w:semiHidden/>
    <w:unhideWhenUsed/>
    <w:rsid w:val="00946D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DC1"/>
  </w:style>
  <w:style w:type="paragraph" w:styleId="Footer">
    <w:name w:val="footer"/>
    <w:basedOn w:val="Normal"/>
    <w:link w:val="FooterChar"/>
    <w:uiPriority w:val="99"/>
    <w:unhideWhenUsed/>
    <w:rsid w:val="0094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DC1"/>
  </w:style>
  <w:style w:type="paragraph" w:styleId="BalloonText">
    <w:name w:val="Balloon Text"/>
    <w:basedOn w:val="Normal"/>
    <w:link w:val="BalloonTextChar"/>
    <w:uiPriority w:val="99"/>
    <w:semiHidden/>
    <w:unhideWhenUsed/>
    <w:rsid w:val="00946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C1"/>
    <w:rPr>
      <w:rFonts w:ascii="Tahoma" w:hAnsi="Tahoma" w:cs="Tahoma"/>
      <w:sz w:val="16"/>
      <w:szCs w:val="16"/>
    </w:rPr>
  </w:style>
  <w:style w:type="character" w:styleId="CommentReference">
    <w:name w:val="annotation reference"/>
    <w:basedOn w:val="DefaultParagraphFont"/>
    <w:uiPriority w:val="99"/>
    <w:semiHidden/>
    <w:unhideWhenUsed/>
    <w:rsid w:val="00387666"/>
    <w:rPr>
      <w:sz w:val="16"/>
      <w:szCs w:val="16"/>
    </w:rPr>
  </w:style>
  <w:style w:type="paragraph" w:styleId="CommentText">
    <w:name w:val="annotation text"/>
    <w:basedOn w:val="Normal"/>
    <w:link w:val="CommentTextChar"/>
    <w:uiPriority w:val="99"/>
    <w:semiHidden/>
    <w:unhideWhenUsed/>
    <w:rsid w:val="00387666"/>
    <w:pPr>
      <w:spacing w:line="240" w:lineRule="auto"/>
    </w:pPr>
    <w:rPr>
      <w:sz w:val="20"/>
      <w:szCs w:val="20"/>
    </w:rPr>
  </w:style>
  <w:style w:type="character" w:customStyle="1" w:styleId="CommentTextChar">
    <w:name w:val="Comment Text Char"/>
    <w:basedOn w:val="DefaultParagraphFont"/>
    <w:link w:val="CommentText"/>
    <w:uiPriority w:val="99"/>
    <w:semiHidden/>
    <w:rsid w:val="00387666"/>
    <w:rPr>
      <w:sz w:val="20"/>
      <w:szCs w:val="20"/>
    </w:rPr>
  </w:style>
  <w:style w:type="paragraph" w:styleId="CommentSubject">
    <w:name w:val="annotation subject"/>
    <w:basedOn w:val="CommentText"/>
    <w:next w:val="CommentText"/>
    <w:link w:val="CommentSubjectChar"/>
    <w:uiPriority w:val="99"/>
    <w:semiHidden/>
    <w:unhideWhenUsed/>
    <w:rsid w:val="00387666"/>
    <w:rPr>
      <w:b/>
      <w:bCs/>
    </w:rPr>
  </w:style>
  <w:style w:type="character" w:customStyle="1" w:styleId="CommentSubjectChar">
    <w:name w:val="Comment Subject Char"/>
    <w:basedOn w:val="CommentTextChar"/>
    <w:link w:val="CommentSubject"/>
    <w:uiPriority w:val="99"/>
    <w:semiHidden/>
    <w:rsid w:val="00387666"/>
    <w:rPr>
      <w:b/>
      <w:bCs/>
      <w:sz w:val="20"/>
      <w:szCs w:val="20"/>
    </w:rPr>
  </w:style>
  <w:style w:type="paragraph" w:styleId="NormalWeb">
    <w:name w:val="Normal (Web)"/>
    <w:basedOn w:val="Normal"/>
    <w:uiPriority w:val="99"/>
    <w:unhideWhenUsed/>
    <w:rsid w:val="00EE2E7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722CD8"/>
    <w:pPr>
      <w:widowControl w:val="0"/>
      <w:spacing w:after="0" w:line="240" w:lineRule="auto"/>
      <w:ind w:left="720"/>
    </w:pPr>
    <w:rPr>
      <w:rFonts w:ascii="Times New Roman" w:eastAsia="Malgun Gothic" w:hAnsi="Times New Roman" w:cs="Times New Roman"/>
      <w:snapToGrid w:val="0"/>
      <w:szCs w:val="20"/>
      <w:lang w:val="en-GB" w:eastAsia="en-US"/>
    </w:rPr>
  </w:style>
  <w:style w:type="character" w:customStyle="1" w:styleId="BodyTextIndentChar">
    <w:name w:val="Body Text Indent Char"/>
    <w:basedOn w:val="DefaultParagraphFont"/>
    <w:link w:val="BodyTextIndent"/>
    <w:rsid w:val="00722CD8"/>
    <w:rPr>
      <w:rFonts w:ascii="Times New Roman" w:eastAsia="Malgun Gothic" w:hAnsi="Times New Roman" w:cs="Times New Roman"/>
      <w:snapToGrid w:val="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A10"/>
    <w:pPr>
      <w:ind w:left="720"/>
      <w:contextualSpacing/>
    </w:pPr>
  </w:style>
  <w:style w:type="table" w:styleId="TableGrid">
    <w:name w:val="Table Grid"/>
    <w:basedOn w:val="TableNormal"/>
    <w:uiPriority w:val="59"/>
    <w:rsid w:val="008E7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6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DC1"/>
    <w:rPr>
      <w:sz w:val="20"/>
      <w:szCs w:val="20"/>
    </w:rPr>
  </w:style>
  <w:style w:type="character" w:styleId="FootnoteReference">
    <w:name w:val="footnote reference"/>
    <w:basedOn w:val="DefaultParagraphFont"/>
    <w:uiPriority w:val="99"/>
    <w:semiHidden/>
    <w:unhideWhenUsed/>
    <w:rsid w:val="00946DC1"/>
    <w:rPr>
      <w:vertAlign w:val="superscript"/>
    </w:rPr>
  </w:style>
  <w:style w:type="paragraph" w:styleId="Header">
    <w:name w:val="header"/>
    <w:basedOn w:val="Normal"/>
    <w:link w:val="HeaderChar"/>
    <w:uiPriority w:val="99"/>
    <w:semiHidden/>
    <w:unhideWhenUsed/>
    <w:rsid w:val="00946D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DC1"/>
  </w:style>
  <w:style w:type="paragraph" w:styleId="Footer">
    <w:name w:val="footer"/>
    <w:basedOn w:val="Normal"/>
    <w:link w:val="FooterChar"/>
    <w:uiPriority w:val="99"/>
    <w:unhideWhenUsed/>
    <w:rsid w:val="0094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DC1"/>
  </w:style>
  <w:style w:type="paragraph" w:styleId="BalloonText">
    <w:name w:val="Balloon Text"/>
    <w:basedOn w:val="Normal"/>
    <w:link w:val="BalloonTextChar"/>
    <w:uiPriority w:val="99"/>
    <w:semiHidden/>
    <w:unhideWhenUsed/>
    <w:rsid w:val="00946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C1"/>
    <w:rPr>
      <w:rFonts w:ascii="Tahoma" w:hAnsi="Tahoma" w:cs="Tahoma"/>
      <w:sz w:val="16"/>
      <w:szCs w:val="16"/>
    </w:rPr>
  </w:style>
  <w:style w:type="character" w:styleId="CommentReference">
    <w:name w:val="annotation reference"/>
    <w:basedOn w:val="DefaultParagraphFont"/>
    <w:uiPriority w:val="99"/>
    <w:semiHidden/>
    <w:unhideWhenUsed/>
    <w:rsid w:val="00387666"/>
    <w:rPr>
      <w:sz w:val="16"/>
      <w:szCs w:val="16"/>
    </w:rPr>
  </w:style>
  <w:style w:type="paragraph" w:styleId="CommentText">
    <w:name w:val="annotation text"/>
    <w:basedOn w:val="Normal"/>
    <w:link w:val="CommentTextChar"/>
    <w:uiPriority w:val="99"/>
    <w:semiHidden/>
    <w:unhideWhenUsed/>
    <w:rsid w:val="00387666"/>
    <w:pPr>
      <w:spacing w:line="240" w:lineRule="auto"/>
    </w:pPr>
    <w:rPr>
      <w:sz w:val="20"/>
      <w:szCs w:val="20"/>
    </w:rPr>
  </w:style>
  <w:style w:type="character" w:customStyle="1" w:styleId="CommentTextChar">
    <w:name w:val="Comment Text Char"/>
    <w:basedOn w:val="DefaultParagraphFont"/>
    <w:link w:val="CommentText"/>
    <w:uiPriority w:val="99"/>
    <w:semiHidden/>
    <w:rsid w:val="00387666"/>
    <w:rPr>
      <w:sz w:val="20"/>
      <w:szCs w:val="20"/>
    </w:rPr>
  </w:style>
  <w:style w:type="paragraph" w:styleId="CommentSubject">
    <w:name w:val="annotation subject"/>
    <w:basedOn w:val="CommentText"/>
    <w:next w:val="CommentText"/>
    <w:link w:val="CommentSubjectChar"/>
    <w:uiPriority w:val="99"/>
    <w:semiHidden/>
    <w:unhideWhenUsed/>
    <w:rsid w:val="00387666"/>
    <w:rPr>
      <w:b/>
      <w:bCs/>
    </w:rPr>
  </w:style>
  <w:style w:type="character" w:customStyle="1" w:styleId="CommentSubjectChar">
    <w:name w:val="Comment Subject Char"/>
    <w:basedOn w:val="CommentTextChar"/>
    <w:link w:val="CommentSubject"/>
    <w:uiPriority w:val="99"/>
    <w:semiHidden/>
    <w:rsid w:val="00387666"/>
    <w:rPr>
      <w:b/>
      <w:bCs/>
      <w:sz w:val="20"/>
      <w:szCs w:val="20"/>
    </w:rPr>
  </w:style>
  <w:style w:type="paragraph" w:styleId="NormalWeb">
    <w:name w:val="Normal (Web)"/>
    <w:basedOn w:val="Normal"/>
    <w:uiPriority w:val="99"/>
    <w:unhideWhenUsed/>
    <w:rsid w:val="00EE2E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563891">
      <w:bodyDiv w:val="1"/>
      <w:marLeft w:val="0"/>
      <w:marRight w:val="0"/>
      <w:marTop w:val="0"/>
      <w:marBottom w:val="0"/>
      <w:divBdr>
        <w:top w:val="none" w:sz="0" w:space="0" w:color="auto"/>
        <w:left w:val="none" w:sz="0" w:space="0" w:color="auto"/>
        <w:bottom w:val="none" w:sz="0" w:space="0" w:color="auto"/>
        <w:right w:val="none" w:sz="0" w:space="0" w:color="auto"/>
      </w:divBdr>
      <w:divsChild>
        <w:div w:id="102042121">
          <w:marLeft w:val="0"/>
          <w:marRight w:val="0"/>
          <w:marTop w:val="0"/>
          <w:marBottom w:val="0"/>
          <w:divBdr>
            <w:top w:val="none" w:sz="0" w:space="0" w:color="auto"/>
            <w:left w:val="none" w:sz="0" w:space="0" w:color="auto"/>
            <w:bottom w:val="none" w:sz="0" w:space="0" w:color="auto"/>
            <w:right w:val="none" w:sz="0" w:space="0" w:color="auto"/>
          </w:divBdr>
          <w:divsChild>
            <w:div w:id="291257238">
              <w:marLeft w:val="0"/>
              <w:marRight w:val="0"/>
              <w:marTop w:val="0"/>
              <w:marBottom w:val="0"/>
              <w:divBdr>
                <w:top w:val="none" w:sz="0" w:space="0" w:color="auto"/>
                <w:left w:val="none" w:sz="0" w:space="0" w:color="auto"/>
                <w:bottom w:val="none" w:sz="0" w:space="0" w:color="auto"/>
                <w:right w:val="none" w:sz="0" w:space="0" w:color="auto"/>
              </w:divBdr>
              <w:divsChild>
                <w:div w:id="1264412926">
                  <w:marLeft w:val="0"/>
                  <w:marRight w:val="0"/>
                  <w:marTop w:val="0"/>
                  <w:marBottom w:val="0"/>
                  <w:divBdr>
                    <w:top w:val="none" w:sz="0" w:space="0" w:color="auto"/>
                    <w:left w:val="none" w:sz="0" w:space="0" w:color="auto"/>
                    <w:bottom w:val="none" w:sz="0" w:space="0" w:color="auto"/>
                    <w:right w:val="none" w:sz="0" w:space="0" w:color="auto"/>
                  </w:divBdr>
                  <w:divsChild>
                    <w:div w:id="1584483972">
                      <w:marLeft w:val="0"/>
                      <w:marRight w:val="0"/>
                      <w:marTop w:val="0"/>
                      <w:marBottom w:val="0"/>
                      <w:divBdr>
                        <w:top w:val="none" w:sz="0" w:space="0" w:color="auto"/>
                        <w:left w:val="none" w:sz="0" w:space="0" w:color="auto"/>
                        <w:bottom w:val="none" w:sz="0" w:space="0" w:color="auto"/>
                        <w:right w:val="none" w:sz="0" w:space="0" w:color="auto"/>
                      </w:divBdr>
                      <w:divsChild>
                        <w:div w:id="1966539695">
                          <w:marLeft w:val="0"/>
                          <w:marRight w:val="0"/>
                          <w:marTop w:val="0"/>
                          <w:marBottom w:val="0"/>
                          <w:divBdr>
                            <w:top w:val="none" w:sz="0" w:space="0" w:color="auto"/>
                            <w:left w:val="none" w:sz="0" w:space="0" w:color="auto"/>
                            <w:bottom w:val="none" w:sz="0" w:space="0" w:color="auto"/>
                            <w:right w:val="none" w:sz="0" w:space="0" w:color="auto"/>
                          </w:divBdr>
                          <w:divsChild>
                            <w:div w:id="1756171575">
                              <w:marLeft w:val="0"/>
                              <w:marRight w:val="0"/>
                              <w:marTop w:val="0"/>
                              <w:marBottom w:val="0"/>
                              <w:divBdr>
                                <w:top w:val="none" w:sz="0" w:space="0" w:color="auto"/>
                                <w:left w:val="none" w:sz="0" w:space="0" w:color="auto"/>
                                <w:bottom w:val="none" w:sz="0" w:space="0" w:color="auto"/>
                                <w:right w:val="none" w:sz="0" w:space="0" w:color="auto"/>
                              </w:divBdr>
                              <w:divsChild>
                                <w:div w:id="1663314236">
                                  <w:marLeft w:val="0"/>
                                  <w:marRight w:val="0"/>
                                  <w:marTop w:val="0"/>
                                  <w:marBottom w:val="0"/>
                                  <w:divBdr>
                                    <w:top w:val="none" w:sz="0" w:space="0" w:color="auto"/>
                                    <w:left w:val="none" w:sz="0" w:space="0" w:color="auto"/>
                                    <w:bottom w:val="none" w:sz="0" w:space="0" w:color="auto"/>
                                    <w:right w:val="none" w:sz="0" w:space="0" w:color="auto"/>
                                  </w:divBdr>
                                  <w:divsChild>
                                    <w:div w:id="174001579">
                                      <w:marLeft w:val="0"/>
                                      <w:marRight w:val="0"/>
                                      <w:marTop w:val="0"/>
                                      <w:marBottom w:val="0"/>
                                      <w:divBdr>
                                        <w:top w:val="none" w:sz="0" w:space="0" w:color="auto"/>
                                        <w:left w:val="none" w:sz="0" w:space="0" w:color="auto"/>
                                        <w:bottom w:val="none" w:sz="0" w:space="0" w:color="auto"/>
                                        <w:right w:val="none" w:sz="0" w:space="0" w:color="auto"/>
                                      </w:divBdr>
                                      <w:divsChild>
                                        <w:div w:id="850414197">
                                          <w:marLeft w:val="0"/>
                                          <w:marRight w:val="0"/>
                                          <w:marTop w:val="0"/>
                                          <w:marBottom w:val="0"/>
                                          <w:divBdr>
                                            <w:top w:val="none" w:sz="0" w:space="0" w:color="auto"/>
                                            <w:left w:val="none" w:sz="0" w:space="0" w:color="auto"/>
                                            <w:bottom w:val="none" w:sz="0" w:space="0" w:color="auto"/>
                                            <w:right w:val="none" w:sz="0" w:space="0" w:color="auto"/>
                                          </w:divBdr>
                                          <w:divsChild>
                                            <w:div w:id="916742352">
                                              <w:marLeft w:val="0"/>
                                              <w:marRight w:val="0"/>
                                              <w:marTop w:val="0"/>
                                              <w:marBottom w:val="0"/>
                                              <w:divBdr>
                                                <w:top w:val="none" w:sz="0" w:space="0" w:color="auto"/>
                                                <w:left w:val="none" w:sz="0" w:space="0" w:color="auto"/>
                                                <w:bottom w:val="none" w:sz="0" w:space="0" w:color="auto"/>
                                                <w:right w:val="none" w:sz="0" w:space="0" w:color="auto"/>
                                              </w:divBdr>
                                              <w:divsChild>
                                                <w:div w:id="1960722728">
                                                  <w:marLeft w:val="0"/>
                                                  <w:marRight w:val="0"/>
                                                  <w:marTop w:val="0"/>
                                                  <w:marBottom w:val="0"/>
                                                  <w:divBdr>
                                                    <w:top w:val="none" w:sz="0" w:space="0" w:color="auto"/>
                                                    <w:left w:val="none" w:sz="0" w:space="0" w:color="auto"/>
                                                    <w:bottom w:val="none" w:sz="0" w:space="0" w:color="auto"/>
                                                    <w:right w:val="none" w:sz="0" w:space="0" w:color="auto"/>
                                                  </w:divBdr>
                                                  <w:divsChild>
                                                    <w:div w:id="282688834">
                                                      <w:marLeft w:val="0"/>
                                                      <w:marRight w:val="0"/>
                                                      <w:marTop w:val="0"/>
                                                      <w:marBottom w:val="0"/>
                                                      <w:divBdr>
                                                        <w:top w:val="none" w:sz="0" w:space="0" w:color="auto"/>
                                                        <w:left w:val="none" w:sz="0" w:space="0" w:color="auto"/>
                                                        <w:bottom w:val="none" w:sz="0" w:space="0" w:color="auto"/>
                                                        <w:right w:val="none" w:sz="0" w:space="0" w:color="auto"/>
                                                      </w:divBdr>
                                                      <w:divsChild>
                                                        <w:div w:id="1979913962">
                                                          <w:marLeft w:val="0"/>
                                                          <w:marRight w:val="0"/>
                                                          <w:marTop w:val="0"/>
                                                          <w:marBottom w:val="0"/>
                                                          <w:divBdr>
                                                            <w:top w:val="none" w:sz="0" w:space="0" w:color="auto"/>
                                                            <w:left w:val="none" w:sz="0" w:space="0" w:color="auto"/>
                                                            <w:bottom w:val="none" w:sz="0" w:space="0" w:color="auto"/>
                                                            <w:right w:val="none" w:sz="0" w:space="0" w:color="auto"/>
                                                          </w:divBdr>
                                                          <w:divsChild>
                                                            <w:div w:id="934171734">
                                                              <w:marLeft w:val="0"/>
                                                              <w:marRight w:val="0"/>
                                                              <w:marTop w:val="0"/>
                                                              <w:marBottom w:val="0"/>
                                                              <w:divBdr>
                                                                <w:top w:val="none" w:sz="0" w:space="0" w:color="auto"/>
                                                                <w:left w:val="none" w:sz="0" w:space="0" w:color="auto"/>
                                                                <w:bottom w:val="none" w:sz="0" w:space="0" w:color="auto"/>
                                                                <w:right w:val="none" w:sz="0" w:space="0" w:color="auto"/>
                                                              </w:divBdr>
                                                              <w:divsChild>
                                                                <w:div w:id="2010477647">
                                                                  <w:marLeft w:val="0"/>
                                                                  <w:marRight w:val="0"/>
                                                                  <w:marTop w:val="0"/>
                                                                  <w:marBottom w:val="0"/>
                                                                  <w:divBdr>
                                                                    <w:top w:val="none" w:sz="0" w:space="0" w:color="auto"/>
                                                                    <w:left w:val="none" w:sz="0" w:space="0" w:color="auto"/>
                                                                    <w:bottom w:val="none" w:sz="0" w:space="0" w:color="auto"/>
                                                                    <w:right w:val="none" w:sz="0" w:space="0" w:color="auto"/>
                                                                  </w:divBdr>
                                                                  <w:divsChild>
                                                                    <w:div w:id="1085149342">
                                                                      <w:marLeft w:val="0"/>
                                                                      <w:marRight w:val="0"/>
                                                                      <w:marTop w:val="0"/>
                                                                      <w:marBottom w:val="0"/>
                                                                      <w:divBdr>
                                                                        <w:top w:val="none" w:sz="0" w:space="0" w:color="auto"/>
                                                                        <w:left w:val="none" w:sz="0" w:space="0" w:color="auto"/>
                                                                        <w:bottom w:val="none" w:sz="0" w:space="0" w:color="auto"/>
                                                                        <w:right w:val="none" w:sz="0" w:space="0" w:color="auto"/>
                                                                      </w:divBdr>
                                                                      <w:divsChild>
                                                                        <w:div w:id="1588079510">
                                                                          <w:marLeft w:val="0"/>
                                                                          <w:marRight w:val="0"/>
                                                                          <w:marTop w:val="0"/>
                                                                          <w:marBottom w:val="0"/>
                                                                          <w:divBdr>
                                                                            <w:top w:val="none" w:sz="0" w:space="0" w:color="auto"/>
                                                                            <w:left w:val="none" w:sz="0" w:space="0" w:color="auto"/>
                                                                            <w:bottom w:val="none" w:sz="0" w:space="0" w:color="auto"/>
                                                                            <w:right w:val="none" w:sz="0" w:space="0" w:color="auto"/>
                                                                          </w:divBdr>
                                                                          <w:divsChild>
                                                                            <w:div w:id="1404641024">
                                                                              <w:marLeft w:val="0"/>
                                                                              <w:marRight w:val="0"/>
                                                                              <w:marTop w:val="0"/>
                                                                              <w:marBottom w:val="0"/>
                                                                              <w:divBdr>
                                                                                <w:top w:val="none" w:sz="0" w:space="0" w:color="auto"/>
                                                                                <w:left w:val="none" w:sz="0" w:space="0" w:color="auto"/>
                                                                                <w:bottom w:val="none" w:sz="0" w:space="0" w:color="auto"/>
                                                                                <w:right w:val="none" w:sz="0" w:space="0" w:color="auto"/>
                                                                              </w:divBdr>
                                                                              <w:divsChild>
                                                                                <w:div w:id="1894466640">
                                                                                  <w:marLeft w:val="0"/>
                                                                                  <w:marRight w:val="0"/>
                                                                                  <w:marTop w:val="0"/>
                                                                                  <w:marBottom w:val="0"/>
                                                                                  <w:divBdr>
                                                                                    <w:top w:val="none" w:sz="0" w:space="0" w:color="auto"/>
                                                                                    <w:left w:val="none" w:sz="0" w:space="0" w:color="auto"/>
                                                                                    <w:bottom w:val="none" w:sz="0" w:space="0" w:color="auto"/>
                                                                                    <w:right w:val="none" w:sz="0" w:space="0" w:color="auto"/>
                                                                                  </w:divBdr>
                                                                                  <w:divsChild>
                                                                                    <w:div w:id="560024297">
                                                                                      <w:marLeft w:val="0"/>
                                                                                      <w:marRight w:val="0"/>
                                                                                      <w:marTop w:val="0"/>
                                                                                      <w:marBottom w:val="0"/>
                                                                                      <w:divBdr>
                                                                                        <w:top w:val="none" w:sz="0" w:space="0" w:color="auto"/>
                                                                                        <w:left w:val="none" w:sz="0" w:space="0" w:color="auto"/>
                                                                                        <w:bottom w:val="none" w:sz="0" w:space="0" w:color="auto"/>
                                                                                        <w:right w:val="none" w:sz="0" w:space="0" w:color="auto"/>
                                                                                      </w:divBdr>
                                                                                      <w:divsChild>
                                                                                        <w:div w:id="730616161">
                                                                                          <w:marLeft w:val="0"/>
                                                                                          <w:marRight w:val="0"/>
                                                                                          <w:marTop w:val="0"/>
                                                                                          <w:marBottom w:val="0"/>
                                                                                          <w:divBdr>
                                                                                            <w:top w:val="none" w:sz="0" w:space="0" w:color="auto"/>
                                                                                            <w:left w:val="none" w:sz="0" w:space="0" w:color="auto"/>
                                                                                            <w:bottom w:val="none" w:sz="0" w:space="0" w:color="auto"/>
                                                                                            <w:right w:val="none" w:sz="0" w:space="0" w:color="auto"/>
                                                                                          </w:divBdr>
                                                                                          <w:divsChild>
                                                                                            <w:div w:id="1720519081">
                                                                                              <w:marLeft w:val="0"/>
                                                                                              <w:marRight w:val="0"/>
                                                                                              <w:marTop w:val="0"/>
                                                                                              <w:marBottom w:val="0"/>
                                                                                              <w:divBdr>
                                                                                                <w:top w:val="none" w:sz="0" w:space="0" w:color="auto"/>
                                                                                                <w:left w:val="none" w:sz="0" w:space="0" w:color="auto"/>
                                                                                                <w:bottom w:val="none" w:sz="0" w:space="0" w:color="auto"/>
                                                                                                <w:right w:val="none" w:sz="0" w:space="0" w:color="auto"/>
                                                                                              </w:divBdr>
                                                                                              <w:divsChild>
                                                                                                <w:div w:id="1622494356">
                                                                                                  <w:marLeft w:val="0"/>
                                                                                                  <w:marRight w:val="0"/>
                                                                                                  <w:marTop w:val="0"/>
                                                                                                  <w:marBottom w:val="0"/>
                                                                                                  <w:divBdr>
                                                                                                    <w:top w:val="none" w:sz="0" w:space="0" w:color="auto"/>
                                                                                                    <w:left w:val="none" w:sz="0" w:space="0" w:color="auto"/>
                                                                                                    <w:bottom w:val="none" w:sz="0" w:space="0" w:color="auto"/>
                                                                                                    <w:right w:val="none" w:sz="0" w:space="0" w:color="auto"/>
                                                                                                  </w:divBdr>
                                                                                                  <w:divsChild>
                                                                                                    <w:div w:id="580287923">
                                                                                                      <w:marLeft w:val="0"/>
                                                                                                      <w:marRight w:val="0"/>
                                                                                                      <w:marTop w:val="0"/>
                                                                                                      <w:marBottom w:val="0"/>
                                                                                                      <w:divBdr>
                                                                                                        <w:top w:val="none" w:sz="0" w:space="0" w:color="auto"/>
                                                                                                        <w:left w:val="none" w:sz="0" w:space="0" w:color="auto"/>
                                                                                                        <w:bottom w:val="none" w:sz="0" w:space="0" w:color="auto"/>
                                                                                                        <w:right w:val="none" w:sz="0" w:space="0" w:color="auto"/>
                                                                                                      </w:divBdr>
                                                                                                      <w:divsChild>
                                                                                                        <w:div w:id="1905682183">
                                                                                                          <w:marLeft w:val="0"/>
                                                                                                          <w:marRight w:val="0"/>
                                                                                                          <w:marTop w:val="0"/>
                                                                                                          <w:marBottom w:val="0"/>
                                                                                                          <w:divBdr>
                                                                                                            <w:top w:val="none" w:sz="0" w:space="0" w:color="auto"/>
                                                                                                            <w:left w:val="none" w:sz="0" w:space="0" w:color="auto"/>
                                                                                                            <w:bottom w:val="none" w:sz="0" w:space="0" w:color="auto"/>
                                                                                                            <w:right w:val="none" w:sz="0" w:space="0" w:color="auto"/>
                                                                                                          </w:divBdr>
                                                                                                          <w:divsChild>
                                                                                                            <w:div w:id="1911500082">
                                                                                                              <w:marLeft w:val="0"/>
                                                                                                              <w:marRight w:val="0"/>
                                                                                                              <w:marTop w:val="0"/>
                                                                                                              <w:marBottom w:val="0"/>
                                                                                                              <w:divBdr>
                                                                                                                <w:top w:val="none" w:sz="0" w:space="0" w:color="auto"/>
                                                                                                                <w:left w:val="none" w:sz="0" w:space="0" w:color="auto"/>
                                                                                                                <w:bottom w:val="none" w:sz="0" w:space="0" w:color="auto"/>
                                                                                                                <w:right w:val="none" w:sz="0" w:space="0" w:color="auto"/>
                                                                                                              </w:divBdr>
                                                                                                              <w:divsChild>
                                                                                                                <w:div w:id="1572227390">
                                                                                                                  <w:marLeft w:val="0"/>
                                                                                                                  <w:marRight w:val="0"/>
                                                                                                                  <w:marTop w:val="0"/>
                                                                                                                  <w:marBottom w:val="0"/>
                                                                                                                  <w:divBdr>
                                                                                                                    <w:top w:val="none" w:sz="0" w:space="0" w:color="auto"/>
                                                                                                                    <w:left w:val="none" w:sz="0" w:space="0" w:color="auto"/>
                                                                                                                    <w:bottom w:val="none" w:sz="0" w:space="0" w:color="auto"/>
                                                                                                                    <w:right w:val="none" w:sz="0" w:space="0" w:color="auto"/>
                                                                                                                  </w:divBdr>
                                                                                                                  <w:divsChild>
                                                                                                                    <w:div w:id="1204749591">
                                                                                                                      <w:marLeft w:val="0"/>
                                                                                                                      <w:marRight w:val="0"/>
                                                                                                                      <w:marTop w:val="0"/>
                                                                                                                      <w:marBottom w:val="0"/>
                                                                                                                      <w:divBdr>
                                                                                                                        <w:top w:val="none" w:sz="0" w:space="0" w:color="auto"/>
                                                                                                                        <w:left w:val="none" w:sz="0" w:space="0" w:color="auto"/>
                                                                                                                        <w:bottom w:val="none" w:sz="0" w:space="0" w:color="auto"/>
                                                                                                                        <w:right w:val="none" w:sz="0" w:space="0" w:color="auto"/>
                                                                                                                      </w:divBdr>
                                                                                                                      <w:divsChild>
                                                                                                                        <w:div w:id="458114752">
                                                                                                                          <w:marLeft w:val="0"/>
                                                                                                                          <w:marRight w:val="0"/>
                                                                                                                          <w:marTop w:val="0"/>
                                                                                                                          <w:marBottom w:val="0"/>
                                                                                                                          <w:divBdr>
                                                                                                                            <w:top w:val="none" w:sz="0" w:space="0" w:color="auto"/>
                                                                                                                            <w:left w:val="none" w:sz="0" w:space="0" w:color="auto"/>
                                                                                                                            <w:bottom w:val="none" w:sz="0" w:space="0" w:color="auto"/>
                                                                                                                            <w:right w:val="none" w:sz="0" w:space="0" w:color="auto"/>
                                                                                                                          </w:divBdr>
                                                                                                                          <w:divsChild>
                                                                                                                            <w:div w:id="2503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4E033-C3A1-4F32-9FBA-1626151D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5487</Words>
  <Characters>31278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16</cp:revision>
  <dcterms:created xsi:type="dcterms:W3CDTF">2015-06-29T23:14:00Z</dcterms:created>
  <dcterms:modified xsi:type="dcterms:W3CDTF">2015-06-30T00:23:00Z</dcterms:modified>
</cp:coreProperties>
</file>