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73" w:rsidRDefault="002E4E73">
      <w:pPr>
        <w:jc w:val="both"/>
        <w:rPr>
          <w:b/>
          <w:sz w:val="32"/>
          <w:lang w:val="en-GB"/>
        </w:rPr>
      </w:pPr>
    </w:p>
    <w:p w:rsidR="002E4E73" w:rsidRDefault="002E4E73">
      <w:pPr>
        <w:jc w:val="both"/>
        <w:rPr>
          <w:b/>
          <w:sz w:val="32"/>
          <w:lang w:val="en-GB"/>
        </w:rPr>
      </w:pPr>
      <w:bookmarkStart w:id="0" w:name="_Ref44394408"/>
      <w:bookmarkEnd w:id="0"/>
    </w:p>
    <w:p w:rsidR="002E4E73" w:rsidRDefault="002E4E73">
      <w:pPr>
        <w:jc w:val="both"/>
        <w:rPr>
          <w:b/>
          <w:sz w:val="32"/>
          <w:lang w:val="en-GB"/>
        </w:rPr>
      </w:pPr>
    </w:p>
    <w:p w:rsidR="002E4E73" w:rsidRDefault="002E4E73">
      <w:pPr>
        <w:jc w:val="both"/>
        <w:rPr>
          <w:b/>
          <w:sz w:val="32"/>
          <w:lang w:val="en-GB"/>
        </w:rPr>
      </w:pPr>
    </w:p>
    <w:p w:rsidR="002E4E73" w:rsidRDefault="002E4E73">
      <w:pPr>
        <w:jc w:val="both"/>
        <w:rPr>
          <w:b/>
          <w:sz w:val="32"/>
          <w:lang w:val="en-GB"/>
        </w:rPr>
      </w:pPr>
    </w:p>
    <w:p w:rsidR="002E4E73" w:rsidRDefault="002E4E73">
      <w:pPr>
        <w:jc w:val="both"/>
        <w:rPr>
          <w:b/>
          <w:sz w:val="32"/>
          <w:lang w:val="en-GB"/>
        </w:rPr>
      </w:pPr>
    </w:p>
    <w:p w:rsidR="002E4E73" w:rsidRDefault="002E4E73">
      <w:pPr>
        <w:jc w:val="both"/>
        <w:rPr>
          <w:b/>
          <w:sz w:val="32"/>
          <w:lang w:val="en-GB"/>
        </w:rPr>
      </w:pPr>
    </w:p>
    <w:p w:rsidR="002E4E73" w:rsidRDefault="002E4E73">
      <w:pPr>
        <w:jc w:val="both"/>
        <w:rPr>
          <w:b/>
          <w:sz w:val="32"/>
          <w:lang w:val="en-GB"/>
        </w:rPr>
      </w:pPr>
    </w:p>
    <w:p w:rsidR="002E4E73" w:rsidRDefault="002E4E73">
      <w:pPr>
        <w:rPr>
          <w:b/>
          <w:sz w:val="32"/>
          <w:lang w:val="en-GB"/>
        </w:rPr>
      </w:pPr>
    </w:p>
    <w:p w:rsidR="00D21CBE" w:rsidRDefault="00D21CBE" w:rsidP="00D21CBE">
      <w:pPr>
        <w:ind w:firstLine="270"/>
        <w:rPr>
          <w:b/>
          <w:sz w:val="40"/>
          <w:lang w:val="en-GB" w:eastAsia="ko-KR"/>
        </w:rPr>
      </w:pPr>
      <w:r>
        <w:rPr>
          <w:b/>
          <w:sz w:val="40"/>
          <w:lang w:val="en-GB"/>
        </w:rPr>
        <w:t>Rheingold Exploration Corp.</w:t>
      </w:r>
    </w:p>
    <w:p w:rsidR="00D21CBE" w:rsidRDefault="00D21CBE" w:rsidP="00D21CBE">
      <w:pPr>
        <w:ind w:firstLine="270"/>
        <w:rPr>
          <w:bCs/>
          <w:sz w:val="28"/>
          <w:lang w:val="en-GB" w:eastAsia="ko-KR"/>
        </w:rPr>
      </w:pPr>
      <w:r>
        <w:rPr>
          <w:rFonts w:hint="eastAsia"/>
          <w:b/>
          <w:sz w:val="40"/>
          <w:lang w:val="en-GB" w:eastAsia="ko-KR"/>
        </w:rPr>
        <w:t>(An Exploration Stage Company)</w:t>
      </w:r>
      <w:r>
        <w:rPr>
          <w:rFonts w:hint="eastAsia"/>
          <w:bCs/>
          <w:sz w:val="28"/>
          <w:lang w:val="en-GB" w:eastAsia="ko-KR"/>
        </w:rPr>
        <w:tab/>
      </w:r>
    </w:p>
    <w:p w:rsidR="00D21CBE" w:rsidRDefault="006468AD" w:rsidP="00D21CBE">
      <w:pPr>
        <w:ind w:firstLine="270"/>
        <w:rPr>
          <w:sz w:val="28"/>
          <w:lang w:val="en-GB"/>
        </w:rPr>
      </w:pPr>
      <w:r>
        <w:rPr>
          <w:sz w:val="28"/>
          <w:lang w:val="en-GB"/>
        </w:rPr>
        <w:t xml:space="preserve">Condensed </w:t>
      </w:r>
      <w:r w:rsidR="00EB3B29">
        <w:rPr>
          <w:sz w:val="28"/>
          <w:lang w:val="en-GB"/>
        </w:rPr>
        <w:t xml:space="preserve">Interim </w:t>
      </w:r>
      <w:r w:rsidR="00D21CBE">
        <w:rPr>
          <w:sz w:val="28"/>
          <w:lang w:val="en-GB"/>
        </w:rPr>
        <w:t>Financial Statements</w:t>
      </w:r>
    </w:p>
    <w:p w:rsidR="00D21CBE" w:rsidRDefault="00D21CBE" w:rsidP="00D21CBE">
      <w:pPr>
        <w:ind w:firstLine="270"/>
        <w:rPr>
          <w:sz w:val="28"/>
          <w:lang w:val="en-GB"/>
        </w:rPr>
      </w:pPr>
      <w:r>
        <w:rPr>
          <w:sz w:val="28"/>
          <w:lang w:val="en-GB"/>
        </w:rPr>
        <w:t>(Expressed in Canadian Dollars)</w:t>
      </w:r>
    </w:p>
    <w:p w:rsidR="003B67A0" w:rsidRDefault="003B67A0" w:rsidP="00D21CBE">
      <w:pPr>
        <w:ind w:firstLine="270"/>
        <w:rPr>
          <w:sz w:val="28"/>
          <w:lang w:val="en-GB"/>
        </w:rPr>
      </w:pPr>
      <w:r>
        <w:rPr>
          <w:sz w:val="28"/>
          <w:lang w:val="en-GB"/>
        </w:rPr>
        <w:t>(Unaudited – Prepared by Management)</w:t>
      </w:r>
    </w:p>
    <w:p w:rsidR="00602732" w:rsidRDefault="00C94778" w:rsidP="00602732">
      <w:pPr>
        <w:ind w:firstLine="270"/>
        <w:rPr>
          <w:b/>
          <w:sz w:val="28"/>
          <w:lang w:val="en-GB"/>
        </w:rPr>
      </w:pPr>
      <w:r>
        <w:rPr>
          <w:b/>
          <w:sz w:val="28"/>
          <w:lang w:val="en-GB"/>
        </w:rPr>
        <w:t>30</w:t>
      </w:r>
      <w:r w:rsidR="00AF6042">
        <w:rPr>
          <w:b/>
          <w:sz w:val="28"/>
          <w:lang w:val="en-GB"/>
        </w:rPr>
        <w:t xml:space="preserve"> </w:t>
      </w:r>
      <w:r>
        <w:rPr>
          <w:b/>
          <w:sz w:val="28"/>
          <w:lang w:val="en-GB"/>
        </w:rPr>
        <w:t>April</w:t>
      </w:r>
      <w:r w:rsidR="008F205D">
        <w:rPr>
          <w:b/>
          <w:sz w:val="28"/>
          <w:lang w:val="en-GB"/>
        </w:rPr>
        <w:t xml:space="preserve"> 2015</w:t>
      </w:r>
    </w:p>
    <w:p w:rsidR="007E2CBE" w:rsidRDefault="00D21CBE" w:rsidP="00602732">
      <w:pPr>
        <w:ind w:firstLine="270"/>
        <w:rPr>
          <w:b/>
          <w:sz w:val="28"/>
          <w:lang w:val="en-GB"/>
        </w:rPr>
        <w:sectPr w:rsidR="007E2CBE">
          <w:headerReference w:type="default" r:id="rId8"/>
          <w:footerReference w:type="even" r:id="rId9"/>
          <w:footerReference w:type="default" r:id="rId10"/>
          <w:headerReference w:type="first" r:id="rId11"/>
          <w:footerReference w:type="first" r:id="rId12"/>
          <w:endnotePr>
            <w:numFmt w:val="decimal"/>
          </w:endnotePr>
          <w:pgSz w:w="12240" w:h="15840"/>
          <w:pgMar w:top="994" w:right="1080" w:bottom="360" w:left="1080" w:header="1080" w:footer="403" w:gutter="0"/>
          <w:pgNumType w:start="1"/>
          <w:cols w:space="720"/>
          <w:noEndnote/>
          <w:titlePg/>
        </w:sectPr>
      </w:pPr>
      <w:r>
        <w:rPr>
          <w:b/>
          <w:sz w:val="28"/>
          <w:lang w:val="en-GB"/>
        </w:rPr>
        <w:t xml:space="preserve"> </w:t>
      </w:r>
    </w:p>
    <w:p w:rsidR="007E2CBE" w:rsidRDefault="007E2CBE" w:rsidP="007E2CBE">
      <w:pPr>
        <w:spacing w:line="214" w:lineRule="auto"/>
        <w:jc w:val="both"/>
        <w:rPr>
          <w:bCs/>
          <w:sz w:val="22"/>
          <w:lang w:val="en-GB"/>
        </w:rPr>
        <w:sectPr w:rsidR="007E2CBE">
          <w:headerReference w:type="even" r:id="rId13"/>
          <w:headerReference w:type="default" r:id="rId14"/>
          <w:footerReference w:type="default" r:id="rId15"/>
          <w:headerReference w:type="first" r:id="rId16"/>
          <w:endnotePr>
            <w:numFmt w:val="decimal"/>
          </w:endnotePr>
          <w:pgSz w:w="12240" w:h="15840"/>
          <w:pgMar w:top="1080" w:right="1080" w:bottom="1080" w:left="1080" w:header="1080" w:footer="465" w:gutter="0"/>
          <w:cols w:space="720"/>
          <w:noEndnote/>
        </w:sectPr>
      </w:pPr>
    </w:p>
    <w:p w:rsidR="007E2CBE" w:rsidRDefault="007E2CBE" w:rsidP="007E2CBE">
      <w:pPr>
        <w:jc w:val="center"/>
        <w:rPr>
          <w:sz w:val="20"/>
          <w:lang w:val="en-GB"/>
        </w:rPr>
      </w:pPr>
      <w:r w:rsidRPr="00431884">
        <w:rPr>
          <w:sz w:val="20"/>
          <w:lang w:val="en-GB"/>
        </w:rPr>
        <w:lastRenderedPageBreak/>
        <w:t xml:space="preserve">NOTICE OF </w:t>
      </w:r>
      <w:r>
        <w:rPr>
          <w:sz w:val="20"/>
          <w:lang w:val="en-GB"/>
        </w:rPr>
        <w:t xml:space="preserve">NO </w:t>
      </w:r>
      <w:r w:rsidRPr="00431884">
        <w:rPr>
          <w:sz w:val="20"/>
          <w:lang w:val="en-GB"/>
        </w:rPr>
        <w:t>AUDITOR REVIE</w:t>
      </w:r>
      <w:r>
        <w:rPr>
          <w:sz w:val="20"/>
          <w:lang w:val="en-GB"/>
        </w:rPr>
        <w:t>W OF CONDENSED INTERIM FINANCIAL STATEMENT</w:t>
      </w:r>
      <w:r w:rsidRPr="00431884">
        <w:rPr>
          <w:sz w:val="20"/>
          <w:lang w:val="en-GB"/>
        </w:rPr>
        <w:t>S</w:t>
      </w:r>
    </w:p>
    <w:p w:rsidR="007E2CBE" w:rsidRDefault="007E2CBE" w:rsidP="007E2CBE">
      <w:pPr>
        <w:rPr>
          <w:sz w:val="20"/>
          <w:lang w:val="en-GB"/>
        </w:rPr>
      </w:pPr>
    </w:p>
    <w:p w:rsidR="007E2CBE" w:rsidRDefault="007E2CBE" w:rsidP="007E2CBE">
      <w:pPr>
        <w:rPr>
          <w:sz w:val="20"/>
          <w:lang w:val="en-GB"/>
        </w:rPr>
      </w:pPr>
      <w:r>
        <w:rPr>
          <w:sz w:val="20"/>
          <w:lang w:val="en-GB"/>
        </w:rPr>
        <w:t xml:space="preserve">Under National Instrument 51-102, Part 4, subsection, 4.3 (3)(a), if an auditor has not performed a review of the condensed interim financial statements, they must be accompanied by a notice indicating that the </w:t>
      </w:r>
      <w:r w:rsidR="00D33002">
        <w:rPr>
          <w:sz w:val="20"/>
          <w:lang w:val="en-GB"/>
        </w:rPr>
        <w:t xml:space="preserve">condensed interim </w:t>
      </w:r>
      <w:r>
        <w:rPr>
          <w:sz w:val="20"/>
          <w:lang w:val="en-GB"/>
        </w:rPr>
        <w:t>financial statements have not been reviewed by an auditor.</w:t>
      </w:r>
    </w:p>
    <w:p w:rsidR="007E2CBE" w:rsidRDefault="007E2CBE" w:rsidP="007E2CBE">
      <w:pPr>
        <w:rPr>
          <w:sz w:val="20"/>
          <w:lang w:val="en-GB"/>
        </w:rPr>
      </w:pPr>
    </w:p>
    <w:p w:rsidR="007E2CBE" w:rsidRDefault="007E2CBE" w:rsidP="007E2CBE">
      <w:pPr>
        <w:rPr>
          <w:sz w:val="20"/>
          <w:lang w:val="en-GB"/>
        </w:rPr>
      </w:pPr>
      <w:r>
        <w:rPr>
          <w:sz w:val="20"/>
          <w:lang w:val="en-GB"/>
        </w:rPr>
        <w:t>The accompanying unaudited condensed interim financial statements o</w:t>
      </w:r>
      <w:r w:rsidR="00DF4C8F">
        <w:rPr>
          <w:sz w:val="20"/>
          <w:lang w:val="en-GB"/>
        </w:rPr>
        <w:t>f Rheingold Exploration Corp. (</w:t>
      </w:r>
      <w:r>
        <w:rPr>
          <w:sz w:val="20"/>
          <w:lang w:val="en-GB"/>
        </w:rPr>
        <w:t xml:space="preserve">the </w:t>
      </w:r>
      <w:r w:rsidR="00DF4C8F">
        <w:rPr>
          <w:sz w:val="20"/>
          <w:lang w:val="en-GB"/>
        </w:rPr>
        <w:t>“</w:t>
      </w:r>
      <w:r>
        <w:rPr>
          <w:sz w:val="20"/>
          <w:lang w:val="en-GB"/>
        </w:rPr>
        <w:t>Company”) have been prepared by and are the responsibility of the Company’s management.  The unaudited condensed interim financial statements are prepared in accordance with International Financial Reporting Standards and reflect management’s best estimate and judgements based on information currently available.</w:t>
      </w:r>
    </w:p>
    <w:p w:rsidR="007E2CBE" w:rsidRDefault="007E2CBE" w:rsidP="007E2CBE">
      <w:pPr>
        <w:rPr>
          <w:sz w:val="20"/>
          <w:lang w:val="en-GB"/>
        </w:rPr>
      </w:pPr>
    </w:p>
    <w:p w:rsidR="007E2CBE" w:rsidRPr="00431884" w:rsidRDefault="007E2CBE" w:rsidP="007E2CBE">
      <w:pPr>
        <w:rPr>
          <w:sz w:val="20"/>
          <w:lang w:val="en-GB"/>
        </w:rPr>
        <w:sectPr w:rsidR="007E2CBE" w:rsidRPr="00431884">
          <w:headerReference w:type="even" r:id="rId17"/>
          <w:headerReference w:type="default" r:id="rId18"/>
          <w:footerReference w:type="default" r:id="rId19"/>
          <w:headerReference w:type="first" r:id="rId20"/>
          <w:endnotePr>
            <w:numFmt w:val="decimal"/>
          </w:endnotePr>
          <w:type w:val="continuous"/>
          <w:pgSz w:w="12240" w:h="15840"/>
          <w:pgMar w:top="990" w:right="1080" w:bottom="360" w:left="1080" w:header="1080" w:footer="400" w:gutter="0"/>
          <w:pgNumType w:start="1"/>
          <w:cols w:space="720"/>
          <w:noEndnote/>
        </w:sectPr>
      </w:pPr>
      <w:r>
        <w:rPr>
          <w:sz w:val="20"/>
          <w:lang w:val="en-GB"/>
        </w:rPr>
        <w:t>The Company’s independent auditor has not performed a review of these condensed interim financial statements in accordance with the standards established by the Canadian Institute of Chartered Accountants for a review on interim financial statements by an entity’s auditor</w:t>
      </w:r>
      <w:r w:rsidR="003B67A0">
        <w:rPr>
          <w:sz w:val="20"/>
          <w:lang w:val="en-GB"/>
        </w:rPr>
        <w:t>.</w:t>
      </w:r>
    </w:p>
    <w:p w:rsidR="002E4E73" w:rsidRDefault="00331948" w:rsidP="00D616A6">
      <w:pPr>
        <w:rPr>
          <w:b/>
          <w:sz w:val="28"/>
          <w:lang w:val="en-GB"/>
        </w:rPr>
      </w:pPr>
      <w:r>
        <w:rPr>
          <w:b/>
          <w:sz w:val="28"/>
          <w:lang w:val="en-GB"/>
        </w:rPr>
        <w:lastRenderedPageBreak/>
        <w:t>Rheingold Exploration Corp.</w:t>
      </w:r>
    </w:p>
    <w:p w:rsidR="002E4E73" w:rsidRDefault="006468AD">
      <w:pPr>
        <w:pBdr>
          <w:bottom w:val="single" w:sz="8" w:space="1" w:color="auto"/>
        </w:pBdr>
        <w:jc w:val="both"/>
        <w:rPr>
          <w:lang w:val="en-GB"/>
        </w:rPr>
      </w:pPr>
      <w:r>
        <w:rPr>
          <w:lang w:val="en-GB"/>
        </w:rPr>
        <w:t xml:space="preserve">Condensed </w:t>
      </w:r>
      <w:r w:rsidR="00EB3B29">
        <w:rPr>
          <w:lang w:val="en-GB"/>
        </w:rPr>
        <w:t xml:space="preserve">Interim </w:t>
      </w:r>
      <w:r w:rsidR="00655A35">
        <w:rPr>
          <w:lang w:val="en-GB"/>
        </w:rPr>
        <w:t>Statements of Financial Position</w:t>
      </w:r>
    </w:p>
    <w:p w:rsidR="00730ABF" w:rsidRDefault="00730ABF">
      <w:pPr>
        <w:pBdr>
          <w:bottom w:val="single" w:sz="8" w:space="1" w:color="auto"/>
        </w:pBdr>
        <w:jc w:val="both"/>
        <w:rPr>
          <w:lang w:val="en-GB"/>
        </w:rPr>
      </w:pPr>
      <w:r>
        <w:rPr>
          <w:lang w:val="en-GB"/>
        </w:rPr>
        <w:t>(Expressed in Canadian Dollars)</w:t>
      </w:r>
    </w:p>
    <w:p w:rsidR="00B37D8D" w:rsidRDefault="00B37D8D">
      <w:pPr>
        <w:pBdr>
          <w:bottom w:val="single" w:sz="8" w:space="1" w:color="auto"/>
        </w:pBdr>
        <w:jc w:val="both"/>
        <w:rPr>
          <w:lang w:val="en-GB"/>
        </w:rPr>
      </w:pPr>
      <w:r>
        <w:rPr>
          <w:lang w:val="en-GB"/>
        </w:rPr>
        <w:t>(Unaudited – Prepared by Management)</w:t>
      </w:r>
    </w:p>
    <w:p w:rsidR="002E4E73" w:rsidRDefault="002E4E73">
      <w:pPr>
        <w:rPr>
          <w:sz w:val="22"/>
        </w:rPr>
      </w:pPr>
    </w:p>
    <w:tbl>
      <w:tblPr>
        <w:tblW w:w="10260" w:type="dxa"/>
        <w:tblInd w:w="108" w:type="dxa"/>
        <w:tblLook w:val="0000"/>
      </w:tblPr>
      <w:tblGrid>
        <w:gridCol w:w="6750"/>
        <w:gridCol w:w="270"/>
        <w:gridCol w:w="1485"/>
        <w:gridCol w:w="236"/>
        <w:gridCol w:w="1519"/>
      </w:tblGrid>
      <w:tr w:rsidR="002E4E73" w:rsidRPr="00CE4CBC">
        <w:tc>
          <w:tcPr>
            <w:tcW w:w="6750" w:type="dxa"/>
          </w:tcPr>
          <w:p w:rsidR="002E4E73" w:rsidRPr="00CE4CBC" w:rsidRDefault="002E4E73">
            <w:pPr>
              <w:rPr>
                <w:sz w:val="22"/>
                <w:szCs w:val="22"/>
              </w:rPr>
            </w:pPr>
          </w:p>
        </w:tc>
        <w:tc>
          <w:tcPr>
            <w:tcW w:w="270" w:type="dxa"/>
            <w:vAlign w:val="bottom"/>
          </w:tcPr>
          <w:p w:rsidR="002E4E73" w:rsidRPr="00CE4CBC" w:rsidRDefault="002E4E73">
            <w:pPr>
              <w:jc w:val="right"/>
              <w:rPr>
                <w:b/>
                <w:bCs/>
                <w:sz w:val="22"/>
                <w:szCs w:val="22"/>
              </w:rPr>
            </w:pPr>
          </w:p>
        </w:tc>
        <w:tc>
          <w:tcPr>
            <w:tcW w:w="1485" w:type="dxa"/>
            <w:vAlign w:val="bottom"/>
          </w:tcPr>
          <w:p w:rsidR="00655A35" w:rsidRPr="00CE4CBC" w:rsidRDefault="00655A35">
            <w:pPr>
              <w:jc w:val="right"/>
              <w:rPr>
                <w:b/>
                <w:bCs/>
                <w:sz w:val="22"/>
                <w:szCs w:val="22"/>
              </w:rPr>
            </w:pPr>
            <w:r w:rsidRPr="00CE4CBC">
              <w:rPr>
                <w:b/>
                <w:bCs/>
                <w:sz w:val="22"/>
                <w:szCs w:val="22"/>
              </w:rPr>
              <w:t>As at</w:t>
            </w:r>
          </w:p>
          <w:p w:rsidR="00B37D8D" w:rsidRDefault="00B37D8D">
            <w:pPr>
              <w:jc w:val="right"/>
              <w:rPr>
                <w:b/>
                <w:bCs/>
                <w:sz w:val="22"/>
                <w:szCs w:val="22"/>
              </w:rPr>
            </w:pPr>
            <w:r>
              <w:rPr>
                <w:b/>
                <w:bCs/>
                <w:sz w:val="22"/>
                <w:szCs w:val="22"/>
              </w:rPr>
              <w:t>3</w:t>
            </w:r>
            <w:r w:rsidR="00C94778">
              <w:rPr>
                <w:b/>
                <w:bCs/>
                <w:sz w:val="22"/>
                <w:szCs w:val="22"/>
              </w:rPr>
              <w:t>0 April</w:t>
            </w:r>
          </w:p>
          <w:p w:rsidR="002E4E73" w:rsidRPr="00CE4CBC" w:rsidRDefault="008F205D">
            <w:pPr>
              <w:jc w:val="right"/>
              <w:rPr>
                <w:b/>
                <w:bCs/>
                <w:sz w:val="22"/>
                <w:szCs w:val="22"/>
              </w:rPr>
            </w:pPr>
            <w:r>
              <w:rPr>
                <w:b/>
                <w:bCs/>
                <w:sz w:val="22"/>
                <w:szCs w:val="22"/>
              </w:rPr>
              <w:t xml:space="preserve"> 2015</w:t>
            </w:r>
            <w:r w:rsidR="00655A35" w:rsidRPr="00CE4CBC">
              <w:rPr>
                <w:b/>
                <w:bCs/>
                <w:sz w:val="22"/>
                <w:szCs w:val="22"/>
              </w:rPr>
              <w:t xml:space="preserve"> </w:t>
            </w:r>
          </w:p>
        </w:tc>
        <w:tc>
          <w:tcPr>
            <w:tcW w:w="236" w:type="dxa"/>
            <w:vAlign w:val="bottom"/>
          </w:tcPr>
          <w:p w:rsidR="002E4E73" w:rsidRPr="00CE4CBC" w:rsidRDefault="002E4E73">
            <w:pPr>
              <w:jc w:val="right"/>
              <w:rPr>
                <w:b/>
                <w:bCs/>
                <w:sz w:val="22"/>
                <w:szCs w:val="22"/>
              </w:rPr>
            </w:pPr>
          </w:p>
        </w:tc>
        <w:tc>
          <w:tcPr>
            <w:tcW w:w="1519" w:type="dxa"/>
            <w:vAlign w:val="bottom"/>
          </w:tcPr>
          <w:p w:rsidR="00806504" w:rsidRDefault="00806504" w:rsidP="00655A35">
            <w:pPr>
              <w:jc w:val="right"/>
              <w:rPr>
                <w:b/>
                <w:bCs/>
                <w:sz w:val="22"/>
                <w:szCs w:val="22"/>
              </w:rPr>
            </w:pPr>
            <w:r>
              <w:rPr>
                <w:b/>
                <w:bCs/>
                <w:sz w:val="22"/>
                <w:szCs w:val="22"/>
              </w:rPr>
              <w:t>As at</w:t>
            </w:r>
          </w:p>
          <w:p w:rsidR="002E4E73" w:rsidRDefault="00E357E8" w:rsidP="00655A35">
            <w:pPr>
              <w:jc w:val="right"/>
              <w:rPr>
                <w:b/>
                <w:bCs/>
                <w:sz w:val="22"/>
                <w:szCs w:val="22"/>
              </w:rPr>
            </w:pPr>
            <w:r w:rsidRPr="00CE4CBC">
              <w:rPr>
                <w:b/>
                <w:bCs/>
                <w:sz w:val="22"/>
                <w:szCs w:val="22"/>
              </w:rPr>
              <w:t>31 January 201</w:t>
            </w:r>
            <w:r w:rsidR="008F205D">
              <w:rPr>
                <w:b/>
                <w:bCs/>
                <w:sz w:val="22"/>
                <w:szCs w:val="22"/>
              </w:rPr>
              <w:t>5</w:t>
            </w:r>
          </w:p>
          <w:p w:rsidR="00B37D8D" w:rsidRPr="00CE4CBC" w:rsidRDefault="00B37D8D" w:rsidP="00655A35">
            <w:pPr>
              <w:jc w:val="right"/>
              <w:rPr>
                <w:b/>
                <w:bCs/>
                <w:sz w:val="22"/>
                <w:szCs w:val="22"/>
              </w:rPr>
            </w:pPr>
            <w:r>
              <w:rPr>
                <w:b/>
                <w:bCs/>
                <w:sz w:val="22"/>
                <w:szCs w:val="22"/>
              </w:rPr>
              <w:t>(Audited)</w:t>
            </w:r>
          </w:p>
        </w:tc>
      </w:tr>
      <w:tr w:rsidR="002E4E73" w:rsidRPr="00CE4CBC">
        <w:tc>
          <w:tcPr>
            <w:tcW w:w="6750" w:type="dxa"/>
          </w:tcPr>
          <w:p w:rsidR="002E4E73" w:rsidRPr="00CE4CBC" w:rsidRDefault="002E4E73">
            <w:pPr>
              <w:rPr>
                <w:b/>
                <w:bCs/>
                <w:sz w:val="22"/>
                <w:szCs w:val="22"/>
              </w:rPr>
            </w:pPr>
          </w:p>
        </w:tc>
        <w:tc>
          <w:tcPr>
            <w:tcW w:w="270" w:type="dxa"/>
            <w:vAlign w:val="bottom"/>
          </w:tcPr>
          <w:p w:rsidR="002E4E73" w:rsidRPr="00CE4CBC" w:rsidRDefault="002E4E73">
            <w:pPr>
              <w:jc w:val="right"/>
              <w:rPr>
                <w:b/>
                <w:bCs/>
                <w:sz w:val="22"/>
                <w:szCs w:val="22"/>
              </w:rPr>
            </w:pPr>
          </w:p>
        </w:tc>
        <w:tc>
          <w:tcPr>
            <w:tcW w:w="1485" w:type="dxa"/>
            <w:vAlign w:val="bottom"/>
          </w:tcPr>
          <w:p w:rsidR="002E4E73" w:rsidRPr="00CE4CBC" w:rsidRDefault="00655A35">
            <w:pPr>
              <w:jc w:val="right"/>
              <w:rPr>
                <w:b/>
                <w:bCs/>
                <w:sz w:val="22"/>
                <w:szCs w:val="22"/>
              </w:rPr>
            </w:pPr>
            <w:r w:rsidRPr="00CE4CBC">
              <w:rPr>
                <w:b/>
                <w:bCs/>
                <w:sz w:val="22"/>
                <w:szCs w:val="22"/>
              </w:rPr>
              <w:t>$</w:t>
            </w:r>
          </w:p>
        </w:tc>
        <w:tc>
          <w:tcPr>
            <w:tcW w:w="236" w:type="dxa"/>
            <w:vAlign w:val="bottom"/>
          </w:tcPr>
          <w:p w:rsidR="002E4E73" w:rsidRPr="00CE4CBC" w:rsidRDefault="002E4E73">
            <w:pPr>
              <w:jc w:val="right"/>
              <w:rPr>
                <w:b/>
                <w:bCs/>
                <w:sz w:val="22"/>
                <w:szCs w:val="22"/>
              </w:rPr>
            </w:pPr>
          </w:p>
        </w:tc>
        <w:tc>
          <w:tcPr>
            <w:tcW w:w="1519" w:type="dxa"/>
            <w:vAlign w:val="bottom"/>
          </w:tcPr>
          <w:p w:rsidR="002E4E73" w:rsidRPr="00CE4CBC" w:rsidRDefault="002E4E73">
            <w:pPr>
              <w:jc w:val="right"/>
              <w:rPr>
                <w:b/>
                <w:bCs/>
                <w:sz w:val="22"/>
                <w:szCs w:val="22"/>
              </w:rPr>
            </w:pPr>
            <w:r w:rsidRPr="00CE4CBC">
              <w:rPr>
                <w:b/>
                <w:bCs/>
                <w:sz w:val="22"/>
                <w:szCs w:val="22"/>
              </w:rPr>
              <w:t>$</w:t>
            </w:r>
          </w:p>
        </w:tc>
      </w:tr>
      <w:tr w:rsidR="002E4E73" w:rsidRPr="00CE4CBC">
        <w:tc>
          <w:tcPr>
            <w:tcW w:w="6750" w:type="dxa"/>
          </w:tcPr>
          <w:p w:rsidR="002E4E73" w:rsidRPr="00CE4CBC" w:rsidRDefault="002E4E73">
            <w:pPr>
              <w:rPr>
                <w:sz w:val="22"/>
                <w:szCs w:val="22"/>
              </w:rPr>
            </w:pPr>
          </w:p>
        </w:tc>
        <w:tc>
          <w:tcPr>
            <w:tcW w:w="270" w:type="dxa"/>
            <w:vAlign w:val="bottom"/>
          </w:tcPr>
          <w:p w:rsidR="002E4E73" w:rsidRPr="00CE4CBC" w:rsidRDefault="002E4E73">
            <w:pPr>
              <w:jc w:val="right"/>
              <w:rPr>
                <w:sz w:val="22"/>
                <w:szCs w:val="22"/>
              </w:rPr>
            </w:pPr>
          </w:p>
        </w:tc>
        <w:tc>
          <w:tcPr>
            <w:tcW w:w="1485" w:type="dxa"/>
            <w:vAlign w:val="bottom"/>
          </w:tcPr>
          <w:p w:rsidR="002E4E73" w:rsidRPr="00CE4CBC" w:rsidRDefault="002E4E73">
            <w:pPr>
              <w:jc w:val="right"/>
              <w:rPr>
                <w:sz w:val="22"/>
                <w:szCs w:val="22"/>
              </w:rPr>
            </w:pPr>
          </w:p>
        </w:tc>
        <w:tc>
          <w:tcPr>
            <w:tcW w:w="236" w:type="dxa"/>
            <w:vAlign w:val="bottom"/>
          </w:tcPr>
          <w:p w:rsidR="002E4E73" w:rsidRPr="00CE4CBC" w:rsidRDefault="002E4E73">
            <w:pPr>
              <w:jc w:val="right"/>
              <w:rPr>
                <w:sz w:val="22"/>
                <w:szCs w:val="22"/>
              </w:rPr>
            </w:pPr>
          </w:p>
        </w:tc>
        <w:tc>
          <w:tcPr>
            <w:tcW w:w="1519" w:type="dxa"/>
            <w:vAlign w:val="bottom"/>
          </w:tcPr>
          <w:p w:rsidR="002E4E73" w:rsidRPr="00CE4CBC" w:rsidRDefault="002E4E73">
            <w:pPr>
              <w:jc w:val="right"/>
              <w:rPr>
                <w:sz w:val="22"/>
                <w:szCs w:val="22"/>
              </w:rPr>
            </w:pPr>
          </w:p>
        </w:tc>
      </w:tr>
      <w:tr w:rsidR="002E4E73" w:rsidRPr="00CE4CBC">
        <w:tc>
          <w:tcPr>
            <w:tcW w:w="6750" w:type="dxa"/>
          </w:tcPr>
          <w:p w:rsidR="002E4E73" w:rsidRPr="00CE4CBC" w:rsidRDefault="002E4E73">
            <w:pPr>
              <w:rPr>
                <w:b/>
                <w:bCs/>
                <w:sz w:val="22"/>
                <w:szCs w:val="22"/>
              </w:rPr>
            </w:pPr>
            <w:r w:rsidRPr="00CE4CBC">
              <w:rPr>
                <w:b/>
                <w:bCs/>
                <w:sz w:val="22"/>
                <w:szCs w:val="22"/>
              </w:rPr>
              <w:t>Assets</w:t>
            </w:r>
          </w:p>
        </w:tc>
        <w:tc>
          <w:tcPr>
            <w:tcW w:w="270" w:type="dxa"/>
            <w:vAlign w:val="bottom"/>
          </w:tcPr>
          <w:p w:rsidR="002E4E73" w:rsidRPr="00CE4CBC" w:rsidRDefault="002E4E73">
            <w:pPr>
              <w:jc w:val="right"/>
              <w:rPr>
                <w:sz w:val="22"/>
                <w:szCs w:val="22"/>
              </w:rPr>
            </w:pPr>
          </w:p>
        </w:tc>
        <w:tc>
          <w:tcPr>
            <w:tcW w:w="1485" w:type="dxa"/>
            <w:vAlign w:val="bottom"/>
          </w:tcPr>
          <w:p w:rsidR="002E4E73" w:rsidRPr="00CE4CBC" w:rsidRDefault="002E4E73">
            <w:pPr>
              <w:jc w:val="right"/>
              <w:rPr>
                <w:sz w:val="22"/>
                <w:szCs w:val="22"/>
              </w:rPr>
            </w:pPr>
          </w:p>
        </w:tc>
        <w:tc>
          <w:tcPr>
            <w:tcW w:w="236" w:type="dxa"/>
            <w:vAlign w:val="bottom"/>
          </w:tcPr>
          <w:p w:rsidR="002E4E73" w:rsidRPr="00CE4CBC" w:rsidRDefault="002E4E73">
            <w:pPr>
              <w:jc w:val="right"/>
              <w:rPr>
                <w:sz w:val="22"/>
                <w:szCs w:val="22"/>
              </w:rPr>
            </w:pPr>
          </w:p>
        </w:tc>
        <w:tc>
          <w:tcPr>
            <w:tcW w:w="1519" w:type="dxa"/>
            <w:vAlign w:val="bottom"/>
          </w:tcPr>
          <w:p w:rsidR="002E4E73" w:rsidRPr="00CE4CBC" w:rsidRDefault="002E4E73">
            <w:pPr>
              <w:jc w:val="right"/>
              <w:rPr>
                <w:sz w:val="22"/>
                <w:szCs w:val="22"/>
              </w:rPr>
            </w:pPr>
          </w:p>
        </w:tc>
      </w:tr>
      <w:tr w:rsidR="002E4E73" w:rsidRPr="00CE4CBC">
        <w:tc>
          <w:tcPr>
            <w:tcW w:w="6750" w:type="dxa"/>
          </w:tcPr>
          <w:p w:rsidR="002E4E73" w:rsidRPr="00CE4CBC" w:rsidRDefault="002E4E73">
            <w:pPr>
              <w:rPr>
                <w:b/>
                <w:bCs/>
                <w:sz w:val="22"/>
                <w:szCs w:val="22"/>
              </w:rPr>
            </w:pPr>
          </w:p>
        </w:tc>
        <w:tc>
          <w:tcPr>
            <w:tcW w:w="270" w:type="dxa"/>
            <w:vAlign w:val="bottom"/>
          </w:tcPr>
          <w:p w:rsidR="002E4E73" w:rsidRPr="00CE4CBC" w:rsidRDefault="002E4E73">
            <w:pPr>
              <w:jc w:val="right"/>
              <w:rPr>
                <w:sz w:val="22"/>
                <w:szCs w:val="22"/>
              </w:rPr>
            </w:pPr>
          </w:p>
        </w:tc>
        <w:tc>
          <w:tcPr>
            <w:tcW w:w="1485" w:type="dxa"/>
            <w:vAlign w:val="bottom"/>
          </w:tcPr>
          <w:p w:rsidR="002E4E73" w:rsidRPr="00CE4CBC" w:rsidRDefault="002E4E73">
            <w:pPr>
              <w:jc w:val="right"/>
              <w:rPr>
                <w:sz w:val="22"/>
                <w:szCs w:val="22"/>
              </w:rPr>
            </w:pPr>
          </w:p>
        </w:tc>
        <w:tc>
          <w:tcPr>
            <w:tcW w:w="236" w:type="dxa"/>
            <w:vAlign w:val="bottom"/>
          </w:tcPr>
          <w:p w:rsidR="002E4E73" w:rsidRPr="00CE4CBC" w:rsidRDefault="002E4E73">
            <w:pPr>
              <w:jc w:val="right"/>
              <w:rPr>
                <w:sz w:val="22"/>
                <w:szCs w:val="22"/>
              </w:rPr>
            </w:pPr>
          </w:p>
        </w:tc>
        <w:tc>
          <w:tcPr>
            <w:tcW w:w="1519" w:type="dxa"/>
            <w:vAlign w:val="bottom"/>
          </w:tcPr>
          <w:p w:rsidR="002E4E73" w:rsidRPr="00CE4CBC" w:rsidRDefault="002E4E73">
            <w:pPr>
              <w:jc w:val="right"/>
              <w:rPr>
                <w:sz w:val="22"/>
                <w:szCs w:val="22"/>
              </w:rPr>
            </w:pPr>
          </w:p>
        </w:tc>
      </w:tr>
      <w:tr w:rsidR="002E4E73" w:rsidRPr="00CE4CBC">
        <w:tc>
          <w:tcPr>
            <w:tcW w:w="6750" w:type="dxa"/>
          </w:tcPr>
          <w:p w:rsidR="002E4E73" w:rsidRPr="00CE4CBC" w:rsidRDefault="002E4E73">
            <w:pPr>
              <w:rPr>
                <w:b/>
                <w:bCs/>
                <w:sz w:val="22"/>
                <w:szCs w:val="22"/>
              </w:rPr>
            </w:pPr>
            <w:r w:rsidRPr="00CE4CBC">
              <w:rPr>
                <w:b/>
                <w:bCs/>
                <w:sz w:val="22"/>
                <w:szCs w:val="22"/>
              </w:rPr>
              <w:t>Current</w:t>
            </w:r>
          </w:p>
        </w:tc>
        <w:tc>
          <w:tcPr>
            <w:tcW w:w="270" w:type="dxa"/>
            <w:vAlign w:val="bottom"/>
          </w:tcPr>
          <w:p w:rsidR="002E4E73" w:rsidRPr="00CE4CBC" w:rsidRDefault="002E4E73">
            <w:pPr>
              <w:jc w:val="right"/>
              <w:rPr>
                <w:sz w:val="22"/>
                <w:szCs w:val="22"/>
              </w:rPr>
            </w:pPr>
          </w:p>
        </w:tc>
        <w:tc>
          <w:tcPr>
            <w:tcW w:w="1485" w:type="dxa"/>
            <w:vAlign w:val="bottom"/>
          </w:tcPr>
          <w:p w:rsidR="002E4E73" w:rsidRPr="00CE4CBC" w:rsidRDefault="002E4E73">
            <w:pPr>
              <w:jc w:val="right"/>
              <w:rPr>
                <w:sz w:val="22"/>
                <w:szCs w:val="22"/>
              </w:rPr>
            </w:pPr>
          </w:p>
        </w:tc>
        <w:tc>
          <w:tcPr>
            <w:tcW w:w="236" w:type="dxa"/>
            <w:vAlign w:val="bottom"/>
          </w:tcPr>
          <w:p w:rsidR="002E4E73" w:rsidRPr="00CE4CBC" w:rsidRDefault="002E4E73">
            <w:pPr>
              <w:jc w:val="right"/>
              <w:rPr>
                <w:sz w:val="22"/>
                <w:szCs w:val="22"/>
              </w:rPr>
            </w:pPr>
          </w:p>
        </w:tc>
        <w:tc>
          <w:tcPr>
            <w:tcW w:w="1519" w:type="dxa"/>
            <w:vAlign w:val="bottom"/>
          </w:tcPr>
          <w:p w:rsidR="002E4E73" w:rsidRPr="00CE4CBC" w:rsidRDefault="002E4E73">
            <w:pPr>
              <w:jc w:val="right"/>
              <w:rPr>
                <w:sz w:val="22"/>
                <w:szCs w:val="22"/>
              </w:rPr>
            </w:pPr>
          </w:p>
        </w:tc>
      </w:tr>
      <w:tr w:rsidR="0065086C" w:rsidRPr="00CE4CBC" w:rsidTr="0065086C">
        <w:tc>
          <w:tcPr>
            <w:tcW w:w="6750" w:type="dxa"/>
          </w:tcPr>
          <w:p w:rsidR="0065086C" w:rsidRPr="00CE4CBC" w:rsidRDefault="0065086C">
            <w:pPr>
              <w:rPr>
                <w:sz w:val="22"/>
                <w:szCs w:val="22"/>
              </w:rPr>
            </w:pPr>
            <w:r w:rsidRPr="00CE4CBC">
              <w:rPr>
                <w:sz w:val="22"/>
                <w:szCs w:val="22"/>
              </w:rPr>
              <w:t>Cash and cash equivalents</w:t>
            </w:r>
          </w:p>
        </w:tc>
        <w:tc>
          <w:tcPr>
            <w:tcW w:w="270" w:type="dxa"/>
            <w:vAlign w:val="bottom"/>
          </w:tcPr>
          <w:p w:rsidR="0065086C" w:rsidRPr="00CE4CBC" w:rsidRDefault="0065086C">
            <w:pPr>
              <w:jc w:val="right"/>
              <w:rPr>
                <w:sz w:val="22"/>
                <w:szCs w:val="22"/>
              </w:rPr>
            </w:pPr>
          </w:p>
        </w:tc>
        <w:tc>
          <w:tcPr>
            <w:tcW w:w="1485" w:type="dxa"/>
            <w:vAlign w:val="bottom"/>
          </w:tcPr>
          <w:p w:rsidR="0065086C" w:rsidRPr="00141F1D" w:rsidRDefault="00806504" w:rsidP="0065086C">
            <w:pPr>
              <w:jc w:val="right"/>
              <w:rPr>
                <w:bCs/>
                <w:sz w:val="22"/>
                <w:lang w:val="en-GB"/>
              </w:rPr>
            </w:pPr>
            <w:r>
              <w:rPr>
                <w:bCs/>
                <w:sz w:val="22"/>
                <w:lang w:val="en-GB"/>
              </w:rPr>
              <w:t>2,553</w:t>
            </w:r>
          </w:p>
        </w:tc>
        <w:tc>
          <w:tcPr>
            <w:tcW w:w="236" w:type="dxa"/>
            <w:vAlign w:val="bottom"/>
          </w:tcPr>
          <w:p w:rsidR="0065086C" w:rsidRPr="00CE4CBC" w:rsidRDefault="0065086C">
            <w:pPr>
              <w:jc w:val="right"/>
              <w:rPr>
                <w:sz w:val="22"/>
                <w:szCs w:val="22"/>
              </w:rPr>
            </w:pPr>
          </w:p>
        </w:tc>
        <w:tc>
          <w:tcPr>
            <w:tcW w:w="1519" w:type="dxa"/>
          </w:tcPr>
          <w:p w:rsidR="0065086C" w:rsidRPr="00CE4CBC" w:rsidRDefault="008F205D" w:rsidP="00D731F6">
            <w:pPr>
              <w:jc w:val="right"/>
              <w:rPr>
                <w:sz w:val="22"/>
                <w:szCs w:val="22"/>
              </w:rPr>
            </w:pPr>
            <w:r>
              <w:rPr>
                <w:sz w:val="22"/>
                <w:szCs w:val="22"/>
              </w:rPr>
              <w:t>31,268</w:t>
            </w:r>
          </w:p>
        </w:tc>
      </w:tr>
      <w:tr w:rsidR="0065086C" w:rsidRPr="00CE4CBC" w:rsidTr="00364D90">
        <w:tc>
          <w:tcPr>
            <w:tcW w:w="6750" w:type="dxa"/>
          </w:tcPr>
          <w:p w:rsidR="0065086C" w:rsidRPr="00CE4CBC" w:rsidRDefault="002B7F7B">
            <w:pPr>
              <w:rPr>
                <w:sz w:val="22"/>
                <w:szCs w:val="22"/>
              </w:rPr>
            </w:pPr>
            <w:r>
              <w:rPr>
                <w:sz w:val="22"/>
                <w:szCs w:val="22"/>
              </w:rPr>
              <w:t>Amounts receivable (Note 3</w:t>
            </w:r>
            <w:r w:rsidR="0065086C" w:rsidRPr="00CE4CBC">
              <w:rPr>
                <w:sz w:val="22"/>
                <w:szCs w:val="22"/>
              </w:rPr>
              <w:t>)</w:t>
            </w:r>
          </w:p>
        </w:tc>
        <w:tc>
          <w:tcPr>
            <w:tcW w:w="270" w:type="dxa"/>
            <w:vAlign w:val="bottom"/>
          </w:tcPr>
          <w:p w:rsidR="0065086C" w:rsidRPr="00CE4CBC" w:rsidRDefault="0065086C">
            <w:pPr>
              <w:jc w:val="right"/>
              <w:rPr>
                <w:sz w:val="22"/>
                <w:szCs w:val="22"/>
              </w:rPr>
            </w:pPr>
          </w:p>
        </w:tc>
        <w:tc>
          <w:tcPr>
            <w:tcW w:w="1485" w:type="dxa"/>
          </w:tcPr>
          <w:p w:rsidR="00806504" w:rsidRPr="00CE4CBC" w:rsidRDefault="00806504" w:rsidP="00806504">
            <w:pPr>
              <w:jc w:val="right"/>
              <w:rPr>
                <w:sz w:val="22"/>
                <w:szCs w:val="22"/>
              </w:rPr>
            </w:pPr>
            <w:r>
              <w:rPr>
                <w:sz w:val="22"/>
                <w:szCs w:val="22"/>
              </w:rPr>
              <w:t>65,424</w:t>
            </w:r>
          </w:p>
        </w:tc>
        <w:tc>
          <w:tcPr>
            <w:tcW w:w="236" w:type="dxa"/>
            <w:vAlign w:val="bottom"/>
          </w:tcPr>
          <w:p w:rsidR="0065086C" w:rsidRPr="00CE4CBC" w:rsidRDefault="0065086C" w:rsidP="00806504">
            <w:pPr>
              <w:rPr>
                <w:sz w:val="22"/>
                <w:szCs w:val="22"/>
              </w:rPr>
            </w:pPr>
          </w:p>
        </w:tc>
        <w:tc>
          <w:tcPr>
            <w:tcW w:w="1519" w:type="dxa"/>
          </w:tcPr>
          <w:p w:rsidR="0065086C" w:rsidRPr="00CE4CBC" w:rsidRDefault="008F205D" w:rsidP="00D731F6">
            <w:pPr>
              <w:jc w:val="right"/>
              <w:rPr>
                <w:sz w:val="22"/>
                <w:szCs w:val="22"/>
              </w:rPr>
            </w:pPr>
            <w:r>
              <w:rPr>
                <w:sz w:val="22"/>
                <w:szCs w:val="22"/>
              </w:rPr>
              <w:t>54,384</w:t>
            </w:r>
          </w:p>
        </w:tc>
      </w:tr>
      <w:tr w:rsidR="0065086C" w:rsidRPr="00CE4CBC" w:rsidTr="00364D90">
        <w:tc>
          <w:tcPr>
            <w:tcW w:w="6750" w:type="dxa"/>
          </w:tcPr>
          <w:p w:rsidR="0065086C" w:rsidRPr="00CE4CBC" w:rsidRDefault="0065086C" w:rsidP="0037482B">
            <w:pPr>
              <w:rPr>
                <w:sz w:val="22"/>
                <w:szCs w:val="22"/>
              </w:rPr>
            </w:pPr>
            <w:r>
              <w:rPr>
                <w:sz w:val="22"/>
                <w:szCs w:val="22"/>
              </w:rPr>
              <w:t xml:space="preserve">Prepaid expenses and advances (Notes </w:t>
            </w:r>
            <w:r w:rsidR="002B7F7B">
              <w:rPr>
                <w:sz w:val="22"/>
                <w:szCs w:val="22"/>
              </w:rPr>
              <w:t>4</w:t>
            </w:r>
            <w:r>
              <w:rPr>
                <w:sz w:val="22"/>
                <w:szCs w:val="22"/>
              </w:rPr>
              <w:t xml:space="preserve"> and </w:t>
            </w:r>
            <w:r w:rsidR="002D21F2">
              <w:rPr>
                <w:sz w:val="22"/>
                <w:szCs w:val="22"/>
              </w:rPr>
              <w:t>9</w:t>
            </w:r>
            <w:r>
              <w:rPr>
                <w:sz w:val="22"/>
                <w:szCs w:val="22"/>
              </w:rPr>
              <w:t>)</w:t>
            </w:r>
          </w:p>
        </w:tc>
        <w:tc>
          <w:tcPr>
            <w:tcW w:w="270" w:type="dxa"/>
            <w:vAlign w:val="bottom"/>
          </w:tcPr>
          <w:p w:rsidR="0065086C" w:rsidRPr="00CE4CBC" w:rsidRDefault="0065086C">
            <w:pPr>
              <w:jc w:val="right"/>
              <w:rPr>
                <w:sz w:val="22"/>
                <w:szCs w:val="22"/>
              </w:rPr>
            </w:pPr>
          </w:p>
        </w:tc>
        <w:tc>
          <w:tcPr>
            <w:tcW w:w="1485" w:type="dxa"/>
          </w:tcPr>
          <w:p w:rsidR="0065086C" w:rsidRDefault="00806504" w:rsidP="00FB46C4">
            <w:pPr>
              <w:jc w:val="right"/>
              <w:rPr>
                <w:sz w:val="22"/>
                <w:szCs w:val="22"/>
              </w:rPr>
            </w:pPr>
            <w:r>
              <w:rPr>
                <w:sz w:val="22"/>
                <w:szCs w:val="22"/>
              </w:rPr>
              <w:t>5,386</w:t>
            </w:r>
          </w:p>
        </w:tc>
        <w:tc>
          <w:tcPr>
            <w:tcW w:w="236" w:type="dxa"/>
            <w:vAlign w:val="bottom"/>
          </w:tcPr>
          <w:p w:rsidR="0065086C" w:rsidRPr="00CE4CBC" w:rsidRDefault="0065086C">
            <w:pPr>
              <w:jc w:val="right"/>
              <w:rPr>
                <w:sz w:val="22"/>
                <w:szCs w:val="22"/>
              </w:rPr>
            </w:pPr>
          </w:p>
        </w:tc>
        <w:tc>
          <w:tcPr>
            <w:tcW w:w="1519" w:type="dxa"/>
          </w:tcPr>
          <w:p w:rsidR="0065086C" w:rsidRDefault="008F205D" w:rsidP="00D731F6">
            <w:pPr>
              <w:jc w:val="right"/>
              <w:rPr>
                <w:sz w:val="22"/>
                <w:szCs w:val="22"/>
              </w:rPr>
            </w:pPr>
            <w:r>
              <w:rPr>
                <w:sz w:val="22"/>
                <w:szCs w:val="22"/>
              </w:rPr>
              <w:t>2,604</w:t>
            </w:r>
          </w:p>
        </w:tc>
      </w:tr>
      <w:tr w:rsidR="0065086C" w:rsidRPr="00CE4CBC" w:rsidTr="00655A35">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tcBorders>
              <w:top w:val="single" w:sz="4" w:space="0" w:color="auto"/>
            </w:tcBorders>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tcBorders>
              <w:top w:val="single" w:sz="4" w:space="0" w:color="auto"/>
            </w:tcBorders>
            <w:vAlign w:val="bottom"/>
          </w:tcPr>
          <w:p w:rsidR="0065086C" w:rsidRPr="00CE4CBC" w:rsidRDefault="0065086C" w:rsidP="00B37D8D">
            <w:pPr>
              <w:jc w:val="right"/>
              <w:rPr>
                <w:sz w:val="22"/>
                <w:szCs w:val="22"/>
              </w:rPr>
            </w:pPr>
          </w:p>
        </w:tc>
      </w:tr>
      <w:tr w:rsidR="0065086C" w:rsidRPr="00CE4CBC">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806504" w:rsidP="00943E12">
            <w:pPr>
              <w:jc w:val="right"/>
              <w:rPr>
                <w:sz w:val="22"/>
                <w:szCs w:val="22"/>
              </w:rPr>
            </w:pPr>
            <w:r>
              <w:rPr>
                <w:sz w:val="22"/>
                <w:szCs w:val="22"/>
              </w:rPr>
              <w:t>73,363</w:t>
            </w:r>
          </w:p>
        </w:tc>
        <w:tc>
          <w:tcPr>
            <w:tcW w:w="236" w:type="dxa"/>
            <w:vAlign w:val="bottom"/>
          </w:tcPr>
          <w:p w:rsidR="0065086C" w:rsidRPr="00CE4CBC" w:rsidRDefault="0065086C">
            <w:pPr>
              <w:jc w:val="right"/>
              <w:rPr>
                <w:sz w:val="22"/>
                <w:szCs w:val="22"/>
              </w:rPr>
            </w:pPr>
          </w:p>
        </w:tc>
        <w:tc>
          <w:tcPr>
            <w:tcW w:w="1519" w:type="dxa"/>
            <w:vAlign w:val="bottom"/>
          </w:tcPr>
          <w:p w:rsidR="0065086C" w:rsidRPr="00CE4CBC" w:rsidRDefault="008F205D" w:rsidP="00D731F6">
            <w:pPr>
              <w:jc w:val="right"/>
              <w:rPr>
                <w:sz w:val="22"/>
                <w:szCs w:val="22"/>
              </w:rPr>
            </w:pPr>
            <w:r>
              <w:rPr>
                <w:sz w:val="22"/>
                <w:szCs w:val="22"/>
              </w:rPr>
              <w:t>88</w:t>
            </w:r>
            <w:r w:rsidR="00806504">
              <w:rPr>
                <w:sz w:val="22"/>
                <w:szCs w:val="22"/>
              </w:rPr>
              <w:t>,</w:t>
            </w:r>
            <w:r>
              <w:rPr>
                <w:sz w:val="22"/>
                <w:szCs w:val="22"/>
              </w:rPr>
              <w:t>256</w:t>
            </w:r>
          </w:p>
        </w:tc>
      </w:tr>
      <w:tr w:rsidR="0065086C" w:rsidRPr="00CE4CBC" w:rsidTr="00655A35">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65086C" w:rsidP="00655A35">
            <w:pPr>
              <w:jc w:val="right"/>
              <w:rPr>
                <w:sz w:val="22"/>
                <w:szCs w:val="22"/>
                <w:highlight w:val="yellow"/>
              </w:rPr>
            </w:pPr>
          </w:p>
        </w:tc>
        <w:tc>
          <w:tcPr>
            <w:tcW w:w="236" w:type="dxa"/>
            <w:vAlign w:val="bottom"/>
          </w:tcPr>
          <w:p w:rsidR="0065086C" w:rsidRPr="00CE4CBC" w:rsidRDefault="0065086C">
            <w:pPr>
              <w:jc w:val="right"/>
              <w:rPr>
                <w:sz w:val="22"/>
                <w:szCs w:val="22"/>
              </w:rPr>
            </w:pPr>
          </w:p>
        </w:tc>
        <w:tc>
          <w:tcPr>
            <w:tcW w:w="1519" w:type="dxa"/>
            <w:vAlign w:val="bottom"/>
          </w:tcPr>
          <w:p w:rsidR="0065086C" w:rsidRPr="00CE4CBC" w:rsidRDefault="0065086C" w:rsidP="00D731F6">
            <w:pPr>
              <w:jc w:val="right"/>
              <w:rPr>
                <w:sz w:val="22"/>
                <w:szCs w:val="22"/>
                <w:highlight w:val="yellow"/>
              </w:rPr>
            </w:pPr>
          </w:p>
        </w:tc>
      </w:tr>
      <w:tr w:rsidR="0065086C" w:rsidRPr="00CE4CBC" w:rsidTr="00655A35">
        <w:tc>
          <w:tcPr>
            <w:tcW w:w="6750" w:type="dxa"/>
          </w:tcPr>
          <w:p w:rsidR="0065086C" w:rsidRDefault="0065086C" w:rsidP="00D731F6">
            <w:pPr>
              <w:rPr>
                <w:sz w:val="22"/>
                <w:szCs w:val="22"/>
              </w:rPr>
            </w:pPr>
            <w:r w:rsidRPr="00CE4CBC">
              <w:rPr>
                <w:b/>
                <w:sz w:val="22"/>
                <w:szCs w:val="22"/>
              </w:rPr>
              <w:t>Exploration and evaluation properties</w:t>
            </w:r>
            <w:r w:rsidRPr="00CE4CBC">
              <w:rPr>
                <w:sz w:val="22"/>
                <w:szCs w:val="22"/>
              </w:rPr>
              <w:t xml:space="preserve"> (Note </w:t>
            </w:r>
            <w:r w:rsidR="002B7F7B">
              <w:rPr>
                <w:sz w:val="22"/>
                <w:szCs w:val="22"/>
              </w:rPr>
              <w:t>5</w:t>
            </w:r>
            <w:r w:rsidRPr="00CE4CBC">
              <w:rPr>
                <w:sz w:val="22"/>
                <w:szCs w:val="22"/>
              </w:rPr>
              <w:t>)</w:t>
            </w:r>
          </w:p>
          <w:p w:rsidR="00457829" w:rsidRPr="00CE4CBC" w:rsidRDefault="009A2FFB" w:rsidP="00D731F6">
            <w:pPr>
              <w:rPr>
                <w:sz w:val="22"/>
                <w:szCs w:val="22"/>
              </w:rPr>
            </w:pPr>
            <w:r>
              <w:rPr>
                <w:sz w:val="22"/>
                <w:szCs w:val="22"/>
              </w:rPr>
              <w:t>Property, plant and equipment</w:t>
            </w:r>
          </w:p>
        </w:tc>
        <w:tc>
          <w:tcPr>
            <w:tcW w:w="270" w:type="dxa"/>
            <w:vAlign w:val="bottom"/>
          </w:tcPr>
          <w:p w:rsidR="0065086C" w:rsidRPr="00CE4CBC" w:rsidRDefault="0065086C">
            <w:pPr>
              <w:jc w:val="right"/>
              <w:rPr>
                <w:sz w:val="22"/>
                <w:szCs w:val="22"/>
              </w:rPr>
            </w:pPr>
          </w:p>
        </w:tc>
        <w:tc>
          <w:tcPr>
            <w:tcW w:w="1485" w:type="dxa"/>
            <w:vAlign w:val="bottom"/>
          </w:tcPr>
          <w:p w:rsidR="00806504" w:rsidRDefault="00806504" w:rsidP="00655A35">
            <w:pPr>
              <w:jc w:val="right"/>
              <w:rPr>
                <w:sz w:val="22"/>
                <w:szCs w:val="22"/>
              </w:rPr>
            </w:pPr>
            <w:r>
              <w:rPr>
                <w:sz w:val="22"/>
                <w:szCs w:val="22"/>
              </w:rPr>
              <w:t>-</w:t>
            </w:r>
          </w:p>
          <w:p w:rsidR="0065086C" w:rsidRPr="00CE4CBC" w:rsidRDefault="00806504" w:rsidP="00655A35">
            <w:pPr>
              <w:jc w:val="right"/>
              <w:rPr>
                <w:sz w:val="22"/>
                <w:szCs w:val="22"/>
              </w:rPr>
            </w:pPr>
            <w:r>
              <w:rPr>
                <w:sz w:val="22"/>
                <w:szCs w:val="22"/>
              </w:rPr>
              <w:t>1,081</w:t>
            </w:r>
          </w:p>
        </w:tc>
        <w:tc>
          <w:tcPr>
            <w:tcW w:w="236" w:type="dxa"/>
            <w:vAlign w:val="bottom"/>
          </w:tcPr>
          <w:p w:rsidR="0065086C" w:rsidRPr="00CE4CBC" w:rsidRDefault="0065086C">
            <w:pPr>
              <w:jc w:val="right"/>
              <w:rPr>
                <w:sz w:val="22"/>
                <w:szCs w:val="22"/>
              </w:rPr>
            </w:pPr>
          </w:p>
        </w:tc>
        <w:tc>
          <w:tcPr>
            <w:tcW w:w="1519" w:type="dxa"/>
            <w:vAlign w:val="bottom"/>
          </w:tcPr>
          <w:p w:rsidR="0065086C" w:rsidRDefault="00457829" w:rsidP="00D731F6">
            <w:pPr>
              <w:jc w:val="right"/>
              <w:rPr>
                <w:sz w:val="22"/>
                <w:szCs w:val="22"/>
              </w:rPr>
            </w:pPr>
            <w:r>
              <w:rPr>
                <w:sz w:val="22"/>
                <w:szCs w:val="22"/>
              </w:rPr>
              <w:t>-</w:t>
            </w:r>
          </w:p>
          <w:p w:rsidR="00457829" w:rsidRPr="00CE4CBC" w:rsidRDefault="00457829" w:rsidP="00D731F6">
            <w:pPr>
              <w:jc w:val="right"/>
              <w:rPr>
                <w:sz w:val="22"/>
                <w:szCs w:val="22"/>
              </w:rPr>
            </w:pPr>
            <w:r>
              <w:rPr>
                <w:sz w:val="22"/>
                <w:szCs w:val="22"/>
              </w:rPr>
              <w:t>1,081</w:t>
            </w:r>
          </w:p>
        </w:tc>
      </w:tr>
      <w:tr w:rsidR="0065086C" w:rsidRPr="00CE4CBC" w:rsidTr="00655A35">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tcBorders>
              <w:top w:val="single" w:sz="4" w:space="0" w:color="auto"/>
            </w:tcBorders>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tcBorders>
              <w:top w:val="single" w:sz="4" w:space="0" w:color="auto"/>
            </w:tcBorders>
            <w:vAlign w:val="bottom"/>
          </w:tcPr>
          <w:p w:rsidR="0065086C" w:rsidRPr="00CE4CBC" w:rsidRDefault="0065086C" w:rsidP="00D731F6">
            <w:pPr>
              <w:jc w:val="right"/>
              <w:rPr>
                <w:sz w:val="22"/>
                <w:szCs w:val="22"/>
              </w:rPr>
            </w:pPr>
          </w:p>
        </w:tc>
      </w:tr>
      <w:tr w:rsidR="0065086C" w:rsidRPr="00CE4CBC" w:rsidTr="00655A35">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tcBorders>
              <w:bottom w:val="single" w:sz="12" w:space="0" w:color="auto"/>
            </w:tcBorders>
            <w:vAlign w:val="bottom"/>
          </w:tcPr>
          <w:p w:rsidR="0065086C" w:rsidRPr="00CE4CBC" w:rsidRDefault="00806504" w:rsidP="00943E12">
            <w:pPr>
              <w:jc w:val="right"/>
              <w:rPr>
                <w:sz w:val="22"/>
                <w:szCs w:val="22"/>
              </w:rPr>
            </w:pPr>
            <w:r>
              <w:rPr>
                <w:sz w:val="22"/>
                <w:szCs w:val="22"/>
              </w:rPr>
              <w:t>74</w:t>
            </w:r>
            <w:r w:rsidR="00C94778">
              <w:rPr>
                <w:sz w:val="22"/>
                <w:szCs w:val="22"/>
              </w:rPr>
              <w:t>,</w:t>
            </w:r>
            <w:r>
              <w:rPr>
                <w:sz w:val="22"/>
                <w:szCs w:val="22"/>
              </w:rPr>
              <w:t>444</w:t>
            </w:r>
          </w:p>
        </w:tc>
        <w:tc>
          <w:tcPr>
            <w:tcW w:w="236" w:type="dxa"/>
            <w:vAlign w:val="bottom"/>
          </w:tcPr>
          <w:p w:rsidR="0065086C" w:rsidRPr="00CE4CBC" w:rsidRDefault="0065086C">
            <w:pPr>
              <w:jc w:val="right"/>
              <w:rPr>
                <w:sz w:val="22"/>
                <w:szCs w:val="22"/>
              </w:rPr>
            </w:pPr>
          </w:p>
        </w:tc>
        <w:tc>
          <w:tcPr>
            <w:tcW w:w="1519" w:type="dxa"/>
            <w:tcBorders>
              <w:bottom w:val="single" w:sz="12" w:space="0" w:color="auto"/>
            </w:tcBorders>
            <w:vAlign w:val="bottom"/>
          </w:tcPr>
          <w:p w:rsidR="0065086C" w:rsidRPr="00CE4CBC" w:rsidRDefault="00457829" w:rsidP="00D731F6">
            <w:pPr>
              <w:jc w:val="right"/>
              <w:rPr>
                <w:sz w:val="22"/>
                <w:szCs w:val="22"/>
              </w:rPr>
            </w:pPr>
            <w:r>
              <w:rPr>
                <w:sz w:val="22"/>
                <w:szCs w:val="22"/>
              </w:rPr>
              <w:t>89,337</w:t>
            </w:r>
          </w:p>
        </w:tc>
      </w:tr>
      <w:tr w:rsidR="0065086C" w:rsidRPr="00CE4CBC" w:rsidTr="00655A35">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tcBorders>
              <w:top w:val="single" w:sz="12" w:space="0" w:color="auto"/>
            </w:tcBorders>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tcBorders>
              <w:top w:val="single" w:sz="12" w:space="0" w:color="auto"/>
            </w:tcBorders>
            <w:vAlign w:val="bottom"/>
          </w:tcPr>
          <w:p w:rsidR="0065086C" w:rsidRPr="00CE4CBC" w:rsidRDefault="0065086C" w:rsidP="00B37D8D">
            <w:pPr>
              <w:jc w:val="right"/>
              <w:rPr>
                <w:sz w:val="22"/>
                <w:szCs w:val="22"/>
              </w:rPr>
            </w:pPr>
          </w:p>
        </w:tc>
      </w:tr>
      <w:tr w:rsidR="0065086C" w:rsidRPr="00CE4CBC">
        <w:tc>
          <w:tcPr>
            <w:tcW w:w="6750" w:type="dxa"/>
          </w:tcPr>
          <w:p w:rsidR="0065086C" w:rsidRPr="00CE4CBC" w:rsidRDefault="0065086C">
            <w:pPr>
              <w:rPr>
                <w:b/>
                <w:bCs/>
                <w:sz w:val="22"/>
                <w:szCs w:val="22"/>
              </w:rPr>
            </w:pPr>
            <w:r w:rsidRPr="00CE4CBC">
              <w:rPr>
                <w:b/>
                <w:bCs/>
                <w:sz w:val="22"/>
                <w:szCs w:val="22"/>
              </w:rPr>
              <w:t>Liabilities</w:t>
            </w: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vAlign w:val="bottom"/>
          </w:tcPr>
          <w:p w:rsidR="0065086C" w:rsidRPr="00CE4CBC" w:rsidRDefault="0065086C" w:rsidP="00B37D8D">
            <w:pPr>
              <w:jc w:val="right"/>
              <w:rPr>
                <w:sz w:val="22"/>
                <w:szCs w:val="22"/>
              </w:rPr>
            </w:pPr>
          </w:p>
        </w:tc>
      </w:tr>
      <w:tr w:rsidR="0065086C" w:rsidRPr="00CE4CBC">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vAlign w:val="bottom"/>
          </w:tcPr>
          <w:p w:rsidR="0065086C" w:rsidRPr="00CE4CBC" w:rsidRDefault="0065086C" w:rsidP="00B37D8D">
            <w:pPr>
              <w:jc w:val="right"/>
              <w:rPr>
                <w:sz w:val="22"/>
                <w:szCs w:val="22"/>
              </w:rPr>
            </w:pPr>
          </w:p>
        </w:tc>
      </w:tr>
      <w:tr w:rsidR="0065086C" w:rsidRPr="00CE4CBC">
        <w:tc>
          <w:tcPr>
            <w:tcW w:w="6750" w:type="dxa"/>
          </w:tcPr>
          <w:p w:rsidR="0065086C" w:rsidRPr="00CE4CBC" w:rsidRDefault="0065086C">
            <w:pPr>
              <w:rPr>
                <w:b/>
                <w:bCs/>
                <w:sz w:val="22"/>
                <w:szCs w:val="22"/>
              </w:rPr>
            </w:pPr>
            <w:r w:rsidRPr="00CE4CBC">
              <w:rPr>
                <w:b/>
                <w:bCs/>
                <w:sz w:val="22"/>
                <w:szCs w:val="22"/>
              </w:rPr>
              <w:t>Current</w:t>
            </w: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65086C" w:rsidP="00A31B4E">
            <w:pPr>
              <w:jc w:val="center"/>
              <w:rPr>
                <w:sz w:val="22"/>
                <w:szCs w:val="22"/>
              </w:rPr>
            </w:pPr>
          </w:p>
        </w:tc>
        <w:tc>
          <w:tcPr>
            <w:tcW w:w="236" w:type="dxa"/>
            <w:vAlign w:val="bottom"/>
          </w:tcPr>
          <w:p w:rsidR="0065086C" w:rsidRPr="00CE4CBC" w:rsidRDefault="0065086C">
            <w:pPr>
              <w:jc w:val="right"/>
              <w:rPr>
                <w:sz w:val="22"/>
                <w:szCs w:val="22"/>
              </w:rPr>
            </w:pPr>
          </w:p>
        </w:tc>
        <w:tc>
          <w:tcPr>
            <w:tcW w:w="1519" w:type="dxa"/>
            <w:vAlign w:val="bottom"/>
          </w:tcPr>
          <w:p w:rsidR="0065086C" w:rsidRPr="00CE4CBC" w:rsidRDefault="0065086C" w:rsidP="00B37D8D">
            <w:pPr>
              <w:jc w:val="right"/>
              <w:rPr>
                <w:sz w:val="22"/>
                <w:szCs w:val="22"/>
              </w:rPr>
            </w:pPr>
          </w:p>
        </w:tc>
      </w:tr>
      <w:tr w:rsidR="0065086C" w:rsidRPr="00CE4CBC">
        <w:tc>
          <w:tcPr>
            <w:tcW w:w="6750" w:type="dxa"/>
          </w:tcPr>
          <w:p w:rsidR="0065086C" w:rsidRPr="00CE4CBC" w:rsidRDefault="0065086C" w:rsidP="00D731F6">
            <w:pPr>
              <w:rPr>
                <w:sz w:val="22"/>
                <w:szCs w:val="22"/>
              </w:rPr>
            </w:pPr>
            <w:r w:rsidRPr="00CE4CBC">
              <w:rPr>
                <w:sz w:val="22"/>
                <w:szCs w:val="22"/>
              </w:rPr>
              <w:t>Trade payables and accrued liabilities (Note</w:t>
            </w:r>
            <w:r w:rsidR="002B7F7B">
              <w:rPr>
                <w:sz w:val="22"/>
                <w:szCs w:val="22"/>
              </w:rPr>
              <w:t xml:space="preserve"> 8</w:t>
            </w:r>
            <w:r w:rsidRPr="00CE4CBC">
              <w:rPr>
                <w:sz w:val="22"/>
                <w:szCs w:val="22"/>
              </w:rPr>
              <w:t>)</w:t>
            </w:r>
          </w:p>
        </w:tc>
        <w:tc>
          <w:tcPr>
            <w:tcW w:w="270" w:type="dxa"/>
            <w:vAlign w:val="bottom"/>
          </w:tcPr>
          <w:p w:rsidR="0065086C" w:rsidRPr="00CE4CBC" w:rsidRDefault="0065086C">
            <w:pPr>
              <w:jc w:val="right"/>
              <w:rPr>
                <w:sz w:val="22"/>
                <w:szCs w:val="22"/>
              </w:rPr>
            </w:pPr>
          </w:p>
        </w:tc>
        <w:tc>
          <w:tcPr>
            <w:tcW w:w="1485" w:type="dxa"/>
            <w:vAlign w:val="bottom"/>
          </w:tcPr>
          <w:p w:rsidR="00806504" w:rsidRPr="00CE4CBC" w:rsidRDefault="001B7D97" w:rsidP="00AE4A18">
            <w:pPr>
              <w:jc w:val="right"/>
              <w:rPr>
                <w:sz w:val="22"/>
                <w:szCs w:val="22"/>
              </w:rPr>
            </w:pPr>
            <w:r>
              <w:rPr>
                <w:sz w:val="22"/>
                <w:szCs w:val="22"/>
              </w:rPr>
              <w:t>99,261</w:t>
            </w:r>
          </w:p>
        </w:tc>
        <w:tc>
          <w:tcPr>
            <w:tcW w:w="236" w:type="dxa"/>
            <w:vAlign w:val="bottom"/>
          </w:tcPr>
          <w:p w:rsidR="0065086C" w:rsidRPr="00CE4CBC" w:rsidRDefault="0065086C">
            <w:pPr>
              <w:jc w:val="right"/>
              <w:rPr>
                <w:sz w:val="22"/>
                <w:szCs w:val="22"/>
              </w:rPr>
            </w:pPr>
          </w:p>
        </w:tc>
        <w:tc>
          <w:tcPr>
            <w:tcW w:w="1519" w:type="dxa"/>
            <w:vAlign w:val="bottom"/>
          </w:tcPr>
          <w:p w:rsidR="0065086C" w:rsidRPr="00CE4CBC" w:rsidRDefault="009A2FFB" w:rsidP="00D731F6">
            <w:pPr>
              <w:jc w:val="right"/>
              <w:rPr>
                <w:sz w:val="22"/>
                <w:szCs w:val="22"/>
              </w:rPr>
            </w:pPr>
            <w:r>
              <w:rPr>
                <w:sz w:val="22"/>
                <w:szCs w:val="22"/>
              </w:rPr>
              <w:t>67,705</w:t>
            </w:r>
          </w:p>
        </w:tc>
      </w:tr>
      <w:tr w:rsidR="0065086C" w:rsidRPr="00CE4CBC" w:rsidTr="00655A35">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tcBorders>
              <w:top w:val="single" w:sz="4" w:space="0" w:color="auto"/>
            </w:tcBorders>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tcBorders>
              <w:top w:val="single" w:sz="4" w:space="0" w:color="auto"/>
            </w:tcBorders>
            <w:vAlign w:val="bottom"/>
          </w:tcPr>
          <w:p w:rsidR="0065086C" w:rsidRPr="00CE4CBC" w:rsidRDefault="0065086C" w:rsidP="00B37D8D">
            <w:pPr>
              <w:jc w:val="right"/>
              <w:rPr>
                <w:sz w:val="22"/>
                <w:szCs w:val="22"/>
              </w:rPr>
            </w:pPr>
          </w:p>
        </w:tc>
      </w:tr>
      <w:tr w:rsidR="0065086C" w:rsidRPr="00CE4CBC">
        <w:tc>
          <w:tcPr>
            <w:tcW w:w="6750" w:type="dxa"/>
          </w:tcPr>
          <w:p w:rsidR="0065086C" w:rsidRPr="00CE4CBC" w:rsidRDefault="0065086C" w:rsidP="00655A35">
            <w:pPr>
              <w:rPr>
                <w:b/>
                <w:bCs/>
                <w:sz w:val="22"/>
                <w:szCs w:val="22"/>
              </w:rPr>
            </w:pPr>
            <w:r w:rsidRPr="00CE4CBC">
              <w:rPr>
                <w:b/>
                <w:bCs/>
                <w:sz w:val="22"/>
                <w:szCs w:val="22"/>
              </w:rPr>
              <w:t>Equity</w:t>
            </w: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vAlign w:val="bottom"/>
          </w:tcPr>
          <w:p w:rsidR="0065086C" w:rsidRPr="00CE4CBC" w:rsidRDefault="0065086C" w:rsidP="00B37D8D">
            <w:pPr>
              <w:jc w:val="right"/>
              <w:rPr>
                <w:sz w:val="22"/>
                <w:szCs w:val="22"/>
              </w:rPr>
            </w:pPr>
          </w:p>
        </w:tc>
      </w:tr>
      <w:tr w:rsidR="0065086C" w:rsidRPr="00CE4CBC">
        <w:tc>
          <w:tcPr>
            <w:tcW w:w="6750" w:type="dxa"/>
          </w:tcPr>
          <w:p w:rsidR="0065086C" w:rsidRPr="00CE4CBC" w:rsidRDefault="0065086C" w:rsidP="00655A35">
            <w:pPr>
              <w:rPr>
                <w:b/>
                <w:bCs/>
                <w:sz w:val="22"/>
                <w:szCs w:val="22"/>
              </w:rPr>
            </w:pP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vAlign w:val="bottom"/>
          </w:tcPr>
          <w:p w:rsidR="0065086C" w:rsidRPr="00CE4CBC" w:rsidRDefault="0065086C" w:rsidP="00B37D8D">
            <w:pPr>
              <w:jc w:val="right"/>
              <w:rPr>
                <w:sz w:val="22"/>
                <w:szCs w:val="22"/>
              </w:rPr>
            </w:pPr>
          </w:p>
        </w:tc>
      </w:tr>
      <w:tr w:rsidR="0065086C" w:rsidRPr="00CE4CBC">
        <w:tc>
          <w:tcPr>
            <w:tcW w:w="6750" w:type="dxa"/>
          </w:tcPr>
          <w:p w:rsidR="0065086C" w:rsidRPr="00CE4CBC" w:rsidRDefault="0065086C" w:rsidP="00D731F6">
            <w:pPr>
              <w:rPr>
                <w:sz w:val="22"/>
                <w:szCs w:val="22"/>
              </w:rPr>
            </w:pPr>
            <w:r w:rsidRPr="00CE4CBC">
              <w:rPr>
                <w:b/>
                <w:bCs/>
                <w:sz w:val="22"/>
                <w:szCs w:val="22"/>
              </w:rPr>
              <w:t xml:space="preserve">Share capital </w:t>
            </w:r>
            <w:r w:rsidRPr="00CE4CBC">
              <w:rPr>
                <w:sz w:val="22"/>
                <w:szCs w:val="22"/>
              </w:rPr>
              <w:t xml:space="preserve">(Note </w:t>
            </w:r>
            <w:r w:rsidR="002B7F7B">
              <w:rPr>
                <w:sz w:val="22"/>
                <w:szCs w:val="22"/>
              </w:rPr>
              <w:t>9</w:t>
            </w:r>
            <w:r w:rsidRPr="00CE4CBC">
              <w:rPr>
                <w:sz w:val="22"/>
                <w:szCs w:val="22"/>
              </w:rPr>
              <w:t>)</w:t>
            </w: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893E76" w:rsidP="00655A35">
            <w:pPr>
              <w:jc w:val="right"/>
              <w:rPr>
                <w:sz w:val="22"/>
                <w:szCs w:val="22"/>
              </w:rPr>
            </w:pPr>
            <w:r>
              <w:rPr>
                <w:sz w:val="22"/>
                <w:szCs w:val="22"/>
              </w:rPr>
              <w:t>772,103</w:t>
            </w:r>
          </w:p>
        </w:tc>
        <w:tc>
          <w:tcPr>
            <w:tcW w:w="236" w:type="dxa"/>
            <w:vAlign w:val="bottom"/>
          </w:tcPr>
          <w:p w:rsidR="0065086C" w:rsidRPr="00CE4CBC" w:rsidRDefault="0065086C">
            <w:pPr>
              <w:jc w:val="right"/>
              <w:rPr>
                <w:sz w:val="22"/>
                <w:szCs w:val="22"/>
              </w:rPr>
            </w:pPr>
          </w:p>
        </w:tc>
        <w:tc>
          <w:tcPr>
            <w:tcW w:w="1519" w:type="dxa"/>
            <w:vAlign w:val="bottom"/>
          </w:tcPr>
          <w:p w:rsidR="0065086C" w:rsidRPr="00CE4CBC" w:rsidRDefault="00C94778" w:rsidP="00D731F6">
            <w:pPr>
              <w:jc w:val="right"/>
              <w:rPr>
                <w:sz w:val="22"/>
                <w:szCs w:val="22"/>
              </w:rPr>
            </w:pPr>
            <w:r>
              <w:rPr>
                <w:sz w:val="22"/>
                <w:szCs w:val="22"/>
              </w:rPr>
              <w:t>772,103</w:t>
            </w:r>
          </w:p>
        </w:tc>
      </w:tr>
      <w:tr w:rsidR="0065086C" w:rsidRPr="00CE4CBC">
        <w:tc>
          <w:tcPr>
            <w:tcW w:w="6750" w:type="dxa"/>
          </w:tcPr>
          <w:p w:rsidR="0065086C" w:rsidRPr="00CE4CBC" w:rsidRDefault="0065086C" w:rsidP="00D731F6">
            <w:pPr>
              <w:rPr>
                <w:b/>
                <w:bCs/>
                <w:sz w:val="22"/>
                <w:szCs w:val="22"/>
              </w:rPr>
            </w:pPr>
            <w:r>
              <w:rPr>
                <w:b/>
                <w:bCs/>
                <w:sz w:val="22"/>
                <w:szCs w:val="22"/>
              </w:rPr>
              <w:t xml:space="preserve">Reserves </w:t>
            </w:r>
            <w:r w:rsidR="002B7F7B">
              <w:rPr>
                <w:bCs/>
                <w:sz w:val="22"/>
                <w:szCs w:val="22"/>
              </w:rPr>
              <w:t>(Note 9</w:t>
            </w:r>
            <w:r w:rsidRPr="00307402">
              <w:rPr>
                <w:bCs/>
                <w:sz w:val="22"/>
                <w:szCs w:val="22"/>
              </w:rPr>
              <w:t>)</w:t>
            </w: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AE4A18" w:rsidP="00655A35">
            <w:pPr>
              <w:jc w:val="right"/>
              <w:rPr>
                <w:sz w:val="22"/>
                <w:szCs w:val="22"/>
              </w:rPr>
            </w:pPr>
            <w:r>
              <w:rPr>
                <w:sz w:val="22"/>
                <w:szCs w:val="22"/>
              </w:rPr>
              <w:t>106,171</w:t>
            </w:r>
          </w:p>
        </w:tc>
        <w:tc>
          <w:tcPr>
            <w:tcW w:w="236" w:type="dxa"/>
            <w:vAlign w:val="bottom"/>
          </w:tcPr>
          <w:p w:rsidR="0065086C" w:rsidRPr="00CE4CBC" w:rsidRDefault="0065086C">
            <w:pPr>
              <w:jc w:val="right"/>
              <w:rPr>
                <w:sz w:val="22"/>
                <w:szCs w:val="22"/>
              </w:rPr>
            </w:pPr>
          </w:p>
        </w:tc>
        <w:tc>
          <w:tcPr>
            <w:tcW w:w="1519" w:type="dxa"/>
            <w:vAlign w:val="bottom"/>
          </w:tcPr>
          <w:p w:rsidR="0065086C" w:rsidRDefault="009A2FFB" w:rsidP="00D731F6">
            <w:pPr>
              <w:jc w:val="right"/>
              <w:rPr>
                <w:sz w:val="22"/>
                <w:szCs w:val="22"/>
              </w:rPr>
            </w:pPr>
            <w:r>
              <w:rPr>
                <w:sz w:val="22"/>
                <w:szCs w:val="22"/>
              </w:rPr>
              <w:t>106,171</w:t>
            </w:r>
          </w:p>
        </w:tc>
      </w:tr>
      <w:tr w:rsidR="0065086C" w:rsidRPr="00CE4CBC">
        <w:tc>
          <w:tcPr>
            <w:tcW w:w="6750" w:type="dxa"/>
          </w:tcPr>
          <w:p w:rsidR="0065086C" w:rsidRPr="00CE4CBC" w:rsidRDefault="0065086C" w:rsidP="00D731F6">
            <w:pPr>
              <w:rPr>
                <w:b/>
                <w:bCs/>
                <w:sz w:val="22"/>
                <w:szCs w:val="22"/>
              </w:rPr>
            </w:pPr>
            <w:r>
              <w:rPr>
                <w:b/>
                <w:bCs/>
                <w:sz w:val="22"/>
                <w:szCs w:val="22"/>
              </w:rPr>
              <w:t xml:space="preserve">Contributed surplus </w:t>
            </w:r>
            <w:r w:rsidRPr="00CE4CBC">
              <w:rPr>
                <w:sz w:val="22"/>
                <w:szCs w:val="22"/>
              </w:rPr>
              <w:t xml:space="preserve">(Note </w:t>
            </w:r>
            <w:r w:rsidR="002B7F7B">
              <w:rPr>
                <w:sz w:val="22"/>
                <w:szCs w:val="22"/>
              </w:rPr>
              <w:t>9</w:t>
            </w:r>
            <w:r w:rsidRPr="00CE4CBC">
              <w:rPr>
                <w:sz w:val="22"/>
                <w:szCs w:val="22"/>
              </w:rPr>
              <w:t>)</w:t>
            </w:r>
          </w:p>
        </w:tc>
        <w:tc>
          <w:tcPr>
            <w:tcW w:w="270" w:type="dxa"/>
            <w:vAlign w:val="bottom"/>
          </w:tcPr>
          <w:p w:rsidR="0065086C" w:rsidRPr="00CE4CBC" w:rsidRDefault="0065086C">
            <w:pPr>
              <w:jc w:val="right"/>
              <w:rPr>
                <w:sz w:val="22"/>
                <w:szCs w:val="22"/>
              </w:rPr>
            </w:pPr>
          </w:p>
        </w:tc>
        <w:tc>
          <w:tcPr>
            <w:tcW w:w="1485" w:type="dxa"/>
            <w:vAlign w:val="bottom"/>
          </w:tcPr>
          <w:p w:rsidR="0065086C" w:rsidRPr="00CE4CBC" w:rsidRDefault="00A46A95" w:rsidP="00655A35">
            <w:pPr>
              <w:jc w:val="right"/>
              <w:rPr>
                <w:sz w:val="22"/>
                <w:szCs w:val="22"/>
              </w:rPr>
            </w:pPr>
            <w:r>
              <w:rPr>
                <w:sz w:val="22"/>
                <w:szCs w:val="22"/>
              </w:rPr>
              <w:t>3,160</w:t>
            </w:r>
          </w:p>
        </w:tc>
        <w:tc>
          <w:tcPr>
            <w:tcW w:w="236" w:type="dxa"/>
            <w:vAlign w:val="bottom"/>
          </w:tcPr>
          <w:p w:rsidR="0065086C" w:rsidRPr="00CE4CBC" w:rsidRDefault="0065086C">
            <w:pPr>
              <w:jc w:val="right"/>
              <w:rPr>
                <w:sz w:val="22"/>
                <w:szCs w:val="22"/>
              </w:rPr>
            </w:pPr>
          </w:p>
        </w:tc>
        <w:tc>
          <w:tcPr>
            <w:tcW w:w="1519" w:type="dxa"/>
            <w:vAlign w:val="bottom"/>
          </w:tcPr>
          <w:p w:rsidR="0065086C" w:rsidRDefault="0065086C" w:rsidP="00D731F6">
            <w:pPr>
              <w:jc w:val="right"/>
              <w:rPr>
                <w:sz w:val="22"/>
                <w:szCs w:val="22"/>
              </w:rPr>
            </w:pPr>
            <w:r>
              <w:rPr>
                <w:sz w:val="22"/>
                <w:szCs w:val="22"/>
              </w:rPr>
              <w:t>3,160</w:t>
            </w:r>
          </w:p>
        </w:tc>
      </w:tr>
      <w:tr w:rsidR="0065086C" w:rsidRPr="00CE4CBC" w:rsidTr="00655A35">
        <w:tc>
          <w:tcPr>
            <w:tcW w:w="6750" w:type="dxa"/>
          </w:tcPr>
          <w:p w:rsidR="0065086C" w:rsidRPr="00CE4CBC" w:rsidRDefault="0065086C">
            <w:pPr>
              <w:rPr>
                <w:b/>
                <w:bCs/>
                <w:sz w:val="22"/>
                <w:szCs w:val="22"/>
              </w:rPr>
            </w:pPr>
            <w:r w:rsidRPr="00CE4CBC">
              <w:rPr>
                <w:b/>
                <w:bCs/>
                <w:sz w:val="22"/>
                <w:szCs w:val="22"/>
              </w:rPr>
              <w:t>Deficit</w:t>
            </w:r>
          </w:p>
        </w:tc>
        <w:tc>
          <w:tcPr>
            <w:tcW w:w="270" w:type="dxa"/>
            <w:vAlign w:val="bottom"/>
          </w:tcPr>
          <w:p w:rsidR="0065086C" w:rsidRPr="00CE4CBC" w:rsidRDefault="0065086C">
            <w:pPr>
              <w:jc w:val="right"/>
              <w:rPr>
                <w:sz w:val="22"/>
                <w:szCs w:val="22"/>
              </w:rPr>
            </w:pPr>
          </w:p>
        </w:tc>
        <w:tc>
          <w:tcPr>
            <w:tcW w:w="1485" w:type="dxa"/>
            <w:tcBorders>
              <w:bottom w:val="single" w:sz="4" w:space="0" w:color="auto"/>
            </w:tcBorders>
            <w:vAlign w:val="bottom"/>
          </w:tcPr>
          <w:p w:rsidR="0065086C" w:rsidRPr="00CE4CBC" w:rsidRDefault="00075BF9" w:rsidP="001C6D4F">
            <w:pPr>
              <w:jc w:val="right"/>
              <w:rPr>
                <w:sz w:val="22"/>
                <w:szCs w:val="22"/>
              </w:rPr>
            </w:pPr>
            <w:r>
              <w:rPr>
                <w:sz w:val="22"/>
                <w:szCs w:val="22"/>
              </w:rPr>
              <w:t>(</w:t>
            </w:r>
            <w:r w:rsidR="001B7D97">
              <w:rPr>
                <w:sz w:val="22"/>
                <w:szCs w:val="22"/>
              </w:rPr>
              <w:t>906,25</w:t>
            </w:r>
            <w:r w:rsidR="00AE4A18">
              <w:rPr>
                <w:sz w:val="22"/>
                <w:szCs w:val="22"/>
              </w:rPr>
              <w:t>1</w:t>
            </w:r>
            <w:r>
              <w:rPr>
                <w:sz w:val="22"/>
                <w:szCs w:val="22"/>
              </w:rPr>
              <w:t>)</w:t>
            </w:r>
          </w:p>
        </w:tc>
        <w:tc>
          <w:tcPr>
            <w:tcW w:w="236" w:type="dxa"/>
            <w:vAlign w:val="bottom"/>
          </w:tcPr>
          <w:p w:rsidR="0065086C" w:rsidRPr="00CE4CBC" w:rsidRDefault="0065086C">
            <w:pPr>
              <w:jc w:val="right"/>
              <w:rPr>
                <w:sz w:val="22"/>
                <w:szCs w:val="22"/>
              </w:rPr>
            </w:pPr>
          </w:p>
        </w:tc>
        <w:tc>
          <w:tcPr>
            <w:tcW w:w="1519" w:type="dxa"/>
            <w:tcBorders>
              <w:bottom w:val="single" w:sz="4" w:space="0" w:color="auto"/>
            </w:tcBorders>
            <w:vAlign w:val="bottom"/>
          </w:tcPr>
          <w:p w:rsidR="0065086C" w:rsidRPr="00CE4CBC" w:rsidRDefault="0065086C" w:rsidP="009A2FFB">
            <w:pPr>
              <w:jc w:val="right"/>
              <w:rPr>
                <w:sz w:val="22"/>
                <w:szCs w:val="22"/>
              </w:rPr>
            </w:pPr>
            <w:r>
              <w:rPr>
                <w:sz w:val="22"/>
                <w:szCs w:val="22"/>
              </w:rPr>
              <w:t>(</w:t>
            </w:r>
            <w:r w:rsidR="009A2FFB">
              <w:rPr>
                <w:sz w:val="22"/>
                <w:szCs w:val="22"/>
              </w:rPr>
              <w:t>859,802)</w:t>
            </w:r>
          </w:p>
        </w:tc>
      </w:tr>
      <w:tr w:rsidR="0065086C" w:rsidRPr="00CE4CBC" w:rsidTr="00655A35">
        <w:tc>
          <w:tcPr>
            <w:tcW w:w="6750" w:type="dxa"/>
          </w:tcPr>
          <w:p w:rsidR="0065086C" w:rsidRPr="00CE4CBC" w:rsidRDefault="0065086C">
            <w:pPr>
              <w:rPr>
                <w:sz w:val="22"/>
                <w:szCs w:val="22"/>
              </w:rPr>
            </w:pPr>
            <w:r w:rsidRPr="00CE4CBC">
              <w:rPr>
                <w:sz w:val="22"/>
                <w:szCs w:val="22"/>
              </w:rPr>
              <w:tab/>
            </w:r>
          </w:p>
        </w:tc>
        <w:tc>
          <w:tcPr>
            <w:tcW w:w="270" w:type="dxa"/>
            <w:vAlign w:val="bottom"/>
          </w:tcPr>
          <w:p w:rsidR="0065086C" w:rsidRPr="00CE4CBC" w:rsidRDefault="0065086C">
            <w:pPr>
              <w:jc w:val="right"/>
              <w:rPr>
                <w:sz w:val="22"/>
                <w:szCs w:val="22"/>
              </w:rPr>
            </w:pPr>
          </w:p>
        </w:tc>
        <w:tc>
          <w:tcPr>
            <w:tcW w:w="1485" w:type="dxa"/>
            <w:tcBorders>
              <w:top w:val="single" w:sz="4" w:space="0" w:color="auto"/>
            </w:tcBorders>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tcBorders>
              <w:top w:val="single" w:sz="4" w:space="0" w:color="auto"/>
            </w:tcBorders>
            <w:vAlign w:val="bottom"/>
          </w:tcPr>
          <w:p w:rsidR="0065086C" w:rsidRPr="00CE4CBC" w:rsidRDefault="0065086C" w:rsidP="00D731F6">
            <w:pPr>
              <w:jc w:val="right"/>
              <w:rPr>
                <w:sz w:val="22"/>
                <w:szCs w:val="22"/>
              </w:rPr>
            </w:pPr>
          </w:p>
        </w:tc>
      </w:tr>
      <w:tr w:rsidR="0065086C" w:rsidRPr="00CE4CBC" w:rsidTr="00655A35">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tcBorders>
              <w:bottom w:val="single" w:sz="4" w:space="0" w:color="auto"/>
            </w:tcBorders>
            <w:vAlign w:val="bottom"/>
          </w:tcPr>
          <w:p w:rsidR="0065086C" w:rsidRPr="00CE4CBC" w:rsidRDefault="001B7D97">
            <w:pPr>
              <w:jc w:val="right"/>
              <w:rPr>
                <w:sz w:val="22"/>
                <w:szCs w:val="22"/>
              </w:rPr>
            </w:pPr>
            <w:r>
              <w:rPr>
                <w:sz w:val="22"/>
                <w:szCs w:val="22"/>
              </w:rPr>
              <w:t>(24,817</w:t>
            </w:r>
            <w:r w:rsidR="00AE4A18">
              <w:rPr>
                <w:sz w:val="22"/>
                <w:szCs w:val="22"/>
              </w:rPr>
              <w:t>)</w:t>
            </w:r>
          </w:p>
        </w:tc>
        <w:tc>
          <w:tcPr>
            <w:tcW w:w="236" w:type="dxa"/>
            <w:vAlign w:val="bottom"/>
          </w:tcPr>
          <w:p w:rsidR="0065086C" w:rsidRPr="00CE4CBC" w:rsidRDefault="0065086C">
            <w:pPr>
              <w:jc w:val="right"/>
              <w:rPr>
                <w:sz w:val="22"/>
                <w:szCs w:val="22"/>
              </w:rPr>
            </w:pPr>
          </w:p>
        </w:tc>
        <w:tc>
          <w:tcPr>
            <w:tcW w:w="1519" w:type="dxa"/>
            <w:tcBorders>
              <w:bottom w:val="single" w:sz="4" w:space="0" w:color="auto"/>
            </w:tcBorders>
            <w:vAlign w:val="bottom"/>
          </w:tcPr>
          <w:p w:rsidR="0065086C" w:rsidRPr="00CE4CBC" w:rsidRDefault="009A2FFB" w:rsidP="00D731F6">
            <w:pPr>
              <w:jc w:val="right"/>
              <w:rPr>
                <w:sz w:val="22"/>
                <w:szCs w:val="22"/>
              </w:rPr>
            </w:pPr>
            <w:r>
              <w:rPr>
                <w:sz w:val="22"/>
                <w:szCs w:val="22"/>
              </w:rPr>
              <w:t>21,632</w:t>
            </w:r>
          </w:p>
        </w:tc>
      </w:tr>
      <w:tr w:rsidR="0065086C" w:rsidRPr="00CE4CBC" w:rsidTr="00655A35">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tcBorders>
              <w:top w:val="single" w:sz="4" w:space="0" w:color="auto"/>
            </w:tcBorders>
            <w:vAlign w:val="bottom"/>
          </w:tcPr>
          <w:p w:rsidR="0065086C" w:rsidRPr="00CE4CBC" w:rsidRDefault="0065086C" w:rsidP="00655A35">
            <w:pPr>
              <w:jc w:val="right"/>
              <w:rPr>
                <w:sz w:val="22"/>
                <w:szCs w:val="22"/>
              </w:rPr>
            </w:pPr>
          </w:p>
        </w:tc>
        <w:tc>
          <w:tcPr>
            <w:tcW w:w="236" w:type="dxa"/>
            <w:vAlign w:val="bottom"/>
          </w:tcPr>
          <w:p w:rsidR="0065086C" w:rsidRPr="00CE4CBC" w:rsidRDefault="0065086C">
            <w:pPr>
              <w:jc w:val="right"/>
              <w:rPr>
                <w:sz w:val="22"/>
                <w:szCs w:val="22"/>
              </w:rPr>
            </w:pPr>
          </w:p>
        </w:tc>
        <w:tc>
          <w:tcPr>
            <w:tcW w:w="1519" w:type="dxa"/>
            <w:tcBorders>
              <w:top w:val="single" w:sz="4" w:space="0" w:color="auto"/>
            </w:tcBorders>
            <w:vAlign w:val="bottom"/>
          </w:tcPr>
          <w:p w:rsidR="0065086C" w:rsidRPr="00CE4CBC" w:rsidRDefault="0065086C" w:rsidP="00D731F6">
            <w:pPr>
              <w:jc w:val="right"/>
              <w:rPr>
                <w:sz w:val="22"/>
                <w:szCs w:val="22"/>
              </w:rPr>
            </w:pPr>
          </w:p>
        </w:tc>
      </w:tr>
      <w:tr w:rsidR="0065086C" w:rsidRPr="00CE4CBC" w:rsidTr="00655A35">
        <w:tc>
          <w:tcPr>
            <w:tcW w:w="6750" w:type="dxa"/>
          </w:tcPr>
          <w:p w:rsidR="0065086C" w:rsidRPr="00CE4CBC" w:rsidRDefault="0065086C">
            <w:pPr>
              <w:rPr>
                <w:sz w:val="22"/>
                <w:szCs w:val="22"/>
              </w:rPr>
            </w:pPr>
          </w:p>
        </w:tc>
        <w:tc>
          <w:tcPr>
            <w:tcW w:w="270" w:type="dxa"/>
            <w:vAlign w:val="bottom"/>
          </w:tcPr>
          <w:p w:rsidR="0065086C" w:rsidRPr="00CE4CBC" w:rsidRDefault="0065086C">
            <w:pPr>
              <w:jc w:val="right"/>
              <w:rPr>
                <w:sz w:val="22"/>
                <w:szCs w:val="22"/>
              </w:rPr>
            </w:pPr>
          </w:p>
        </w:tc>
        <w:tc>
          <w:tcPr>
            <w:tcW w:w="1485" w:type="dxa"/>
            <w:tcBorders>
              <w:bottom w:val="single" w:sz="12" w:space="0" w:color="auto"/>
            </w:tcBorders>
            <w:vAlign w:val="bottom"/>
          </w:tcPr>
          <w:p w:rsidR="0065086C" w:rsidRPr="00CE4CBC" w:rsidRDefault="009C5917" w:rsidP="00655A35">
            <w:pPr>
              <w:jc w:val="right"/>
              <w:rPr>
                <w:sz w:val="22"/>
                <w:szCs w:val="22"/>
              </w:rPr>
            </w:pPr>
            <w:r>
              <w:rPr>
                <w:sz w:val="22"/>
                <w:szCs w:val="22"/>
              </w:rPr>
              <w:t>74,444</w:t>
            </w:r>
          </w:p>
        </w:tc>
        <w:tc>
          <w:tcPr>
            <w:tcW w:w="236" w:type="dxa"/>
            <w:vAlign w:val="bottom"/>
          </w:tcPr>
          <w:p w:rsidR="0065086C" w:rsidRPr="00CE4CBC" w:rsidRDefault="0065086C">
            <w:pPr>
              <w:jc w:val="right"/>
              <w:rPr>
                <w:sz w:val="22"/>
                <w:szCs w:val="22"/>
              </w:rPr>
            </w:pPr>
          </w:p>
        </w:tc>
        <w:tc>
          <w:tcPr>
            <w:tcW w:w="1519" w:type="dxa"/>
            <w:tcBorders>
              <w:bottom w:val="single" w:sz="12" w:space="0" w:color="auto"/>
            </w:tcBorders>
            <w:vAlign w:val="bottom"/>
          </w:tcPr>
          <w:p w:rsidR="0065086C" w:rsidRPr="00CE4CBC" w:rsidRDefault="009A2FFB" w:rsidP="00D731F6">
            <w:pPr>
              <w:jc w:val="right"/>
              <w:rPr>
                <w:sz w:val="22"/>
                <w:szCs w:val="22"/>
              </w:rPr>
            </w:pPr>
            <w:r>
              <w:rPr>
                <w:sz w:val="22"/>
                <w:szCs w:val="22"/>
              </w:rPr>
              <w:t>89,337</w:t>
            </w:r>
          </w:p>
        </w:tc>
      </w:tr>
    </w:tbl>
    <w:p w:rsidR="002E4E73" w:rsidRDefault="002E4E73">
      <w:pPr>
        <w:rPr>
          <w:b/>
          <w:sz w:val="22"/>
        </w:rPr>
      </w:pPr>
    </w:p>
    <w:p w:rsidR="00D731F6" w:rsidRDefault="00D731F6" w:rsidP="00D731F6">
      <w:pPr>
        <w:rPr>
          <w:sz w:val="22"/>
        </w:rPr>
      </w:pPr>
      <w:r w:rsidRPr="00715056">
        <w:rPr>
          <w:b/>
          <w:sz w:val="22"/>
        </w:rPr>
        <w:t>Nature and Continuance of Operations</w:t>
      </w:r>
      <w:r w:rsidRPr="00715056">
        <w:rPr>
          <w:sz w:val="22"/>
        </w:rPr>
        <w:t xml:space="preserve"> (Note 1</w:t>
      </w:r>
      <w:r>
        <w:rPr>
          <w:sz w:val="22"/>
        </w:rPr>
        <w:t xml:space="preserve">), </w:t>
      </w:r>
      <w:r w:rsidRPr="0077650E">
        <w:rPr>
          <w:b/>
          <w:sz w:val="22"/>
        </w:rPr>
        <w:t>Commitment</w:t>
      </w:r>
      <w:r w:rsidR="002D21F2">
        <w:rPr>
          <w:sz w:val="22"/>
        </w:rPr>
        <w:t xml:space="preserve"> </w:t>
      </w:r>
      <w:r w:rsidR="003B67A0">
        <w:rPr>
          <w:sz w:val="22"/>
        </w:rPr>
        <w:t>and</w:t>
      </w:r>
      <w:r>
        <w:rPr>
          <w:sz w:val="22"/>
        </w:rPr>
        <w:t xml:space="preserve"> </w:t>
      </w:r>
      <w:r w:rsidRPr="00523610">
        <w:rPr>
          <w:b/>
          <w:sz w:val="22"/>
        </w:rPr>
        <w:t>Contingency</w:t>
      </w:r>
      <w:r w:rsidR="0037482B">
        <w:rPr>
          <w:sz w:val="22"/>
        </w:rPr>
        <w:t xml:space="preserve"> (Note 1</w:t>
      </w:r>
      <w:r w:rsidR="002B7F7B">
        <w:rPr>
          <w:sz w:val="22"/>
        </w:rPr>
        <w:t>0</w:t>
      </w:r>
      <w:r>
        <w:rPr>
          <w:sz w:val="22"/>
        </w:rPr>
        <w:t xml:space="preserve">) </w:t>
      </w:r>
      <w:r w:rsidRPr="00715056">
        <w:rPr>
          <w:sz w:val="22"/>
        </w:rPr>
        <w:t xml:space="preserve">and </w:t>
      </w:r>
      <w:r>
        <w:rPr>
          <w:b/>
          <w:sz w:val="22"/>
        </w:rPr>
        <w:t xml:space="preserve">Subsequent Events </w:t>
      </w:r>
      <w:r w:rsidRPr="00715056">
        <w:rPr>
          <w:sz w:val="22"/>
        </w:rPr>
        <w:t xml:space="preserve">(Note </w:t>
      </w:r>
      <w:fldSimple w:instr=" REF _Ref120415394 \r \h  \* MERGEFORMAT ">
        <w:r w:rsidR="004979FE">
          <w:t>0</w:t>
        </w:r>
      </w:fldSimple>
      <w:r w:rsidR="002B7F7B">
        <w:rPr>
          <w:sz w:val="22"/>
        </w:rPr>
        <w:t>1</w:t>
      </w:r>
      <w:r w:rsidRPr="00715056">
        <w:rPr>
          <w:sz w:val="22"/>
        </w:rPr>
        <w:t>)</w:t>
      </w:r>
    </w:p>
    <w:p w:rsidR="002E4E73" w:rsidRDefault="002E4E73">
      <w:pPr>
        <w:rPr>
          <w:b/>
          <w:sz w:val="22"/>
          <w:lang w:eastAsia="ko-KR"/>
        </w:rPr>
      </w:pPr>
    </w:p>
    <w:p w:rsidR="00FB2823" w:rsidRDefault="00FB2823">
      <w:pPr>
        <w:rPr>
          <w:b/>
          <w:sz w:val="22"/>
          <w:lang w:eastAsia="ko-KR"/>
        </w:rPr>
      </w:pPr>
    </w:p>
    <w:p w:rsidR="002E4E73" w:rsidRDefault="00B62D00">
      <w:pPr>
        <w:rPr>
          <w:sz w:val="22"/>
          <w:u w:val="single"/>
          <w:lang w:val="en-GB"/>
        </w:rPr>
      </w:pPr>
      <w:r w:rsidRPr="00DA0879">
        <w:rPr>
          <w:b/>
          <w:sz w:val="22"/>
          <w:lang w:val="en-GB"/>
        </w:rPr>
        <w:t xml:space="preserve">Approved and Authorized by the Board on </w:t>
      </w:r>
      <w:r w:rsidR="00100B98" w:rsidRPr="00120C0F">
        <w:rPr>
          <w:b/>
          <w:sz w:val="22"/>
          <w:lang w:val="en-GB"/>
        </w:rPr>
        <w:t>30</w:t>
      </w:r>
      <w:r w:rsidR="009C5917">
        <w:rPr>
          <w:b/>
          <w:sz w:val="22"/>
          <w:lang w:val="en-GB"/>
        </w:rPr>
        <w:t xml:space="preserve"> June 2015</w:t>
      </w:r>
      <w:r w:rsidR="002E4E73" w:rsidRPr="00DA0879">
        <w:rPr>
          <w:b/>
          <w:sz w:val="22"/>
          <w:lang w:val="en-GB"/>
        </w:rPr>
        <w:t>:</w:t>
      </w:r>
    </w:p>
    <w:p w:rsidR="002E4E73" w:rsidRDefault="002E4E73">
      <w:pPr>
        <w:rPr>
          <w:sz w:val="22"/>
          <w:u w:val="single"/>
          <w:lang w:val="en-GB"/>
        </w:rPr>
      </w:pPr>
    </w:p>
    <w:p w:rsidR="00891ABD" w:rsidRDefault="00891ABD">
      <w:pPr>
        <w:rPr>
          <w:sz w:val="22"/>
          <w:u w:val="single"/>
          <w:lang w:val="en-GB"/>
        </w:rPr>
      </w:pPr>
    </w:p>
    <w:p w:rsidR="002E4E73" w:rsidRDefault="0056769B">
      <w:pPr>
        <w:tabs>
          <w:tab w:val="left" w:pos="2880"/>
          <w:tab w:val="left" w:pos="3240"/>
          <w:tab w:val="left" w:pos="5040"/>
          <w:tab w:val="left" w:pos="7920"/>
          <w:tab w:val="left" w:pos="8280"/>
        </w:tabs>
        <w:rPr>
          <w:sz w:val="20"/>
          <w:lang w:val="en-GB"/>
        </w:rPr>
      </w:pPr>
      <w:r>
        <w:rPr>
          <w:i/>
          <w:sz w:val="22"/>
          <w:u w:val="single"/>
          <w:lang w:val="en-GB"/>
        </w:rPr>
        <w:t>“Paul Pedersen”</w:t>
      </w:r>
      <w:r w:rsidR="002E4E73">
        <w:rPr>
          <w:sz w:val="22"/>
          <w:u w:val="single"/>
          <w:lang w:val="en-GB"/>
        </w:rPr>
        <w:tab/>
      </w:r>
      <w:r w:rsidR="002E4E73">
        <w:rPr>
          <w:sz w:val="22"/>
          <w:lang w:val="en-GB"/>
        </w:rPr>
        <w:tab/>
        <w:t>Director</w:t>
      </w:r>
      <w:r w:rsidR="002E4E73">
        <w:rPr>
          <w:sz w:val="22"/>
          <w:lang w:val="en-GB"/>
        </w:rPr>
        <w:tab/>
      </w:r>
      <w:r>
        <w:rPr>
          <w:i/>
          <w:sz w:val="22"/>
          <w:u w:val="single"/>
          <w:lang w:val="en-GB"/>
        </w:rPr>
        <w:t>“Richard Robin</w:t>
      </w:r>
      <w:r w:rsidR="00064EAD">
        <w:rPr>
          <w:i/>
          <w:sz w:val="22"/>
          <w:u w:val="single"/>
          <w:lang w:val="en-GB"/>
        </w:rPr>
        <w:t>s</w:t>
      </w:r>
      <w:r>
        <w:rPr>
          <w:i/>
          <w:sz w:val="22"/>
          <w:u w:val="single"/>
          <w:lang w:val="en-GB"/>
        </w:rPr>
        <w:t>”</w:t>
      </w:r>
      <w:r>
        <w:rPr>
          <w:sz w:val="22"/>
          <w:u w:val="single"/>
          <w:lang w:val="en-GB"/>
        </w:rPr>
        <w:tab/>
      </w:r>
      <w:r>
        <w:rPr>
          <w:sz w:val="22"/>
          <w:lang w:val="en-GB"/>
        </w:rPr>
        <w:tab/>
        <w:t>Director</w:t>
      </w:r>
      <w:r w:rsidR="002E4E73">
        <w:rPr>
          <w:sz w:val="22"/>
          <w:lang w:val="en-GB"/>
        </w:rPr>
        <w:tab/>
      </w:r>
    </w:p>
    <w:p w:rsidR="00794128" w:rsidRDefault="00794128">
      <w:pPr>
        <w:jc w:val="both"/>
        <w:rPr>
          <w:sz w:val="20"/>
          <w:lang w:val="en-GB"/>
        </w:rPr>
      </w:pPr>
    </w:p>
    <w:p w:rsidR="00794128" w:rsidRDefault="00794128" w:rsidP="008E1D55">
      <w:pPr>
        <w:tabs>
          <w:tab w:val="left" w:pos="4220"/>
        </w:tabs>
        <w:rPr>
          <w:sz w:val="20"/>
          <w:lang w:val="en-GB"/>
        </w:rPr>
      </w:pPr>
    </w:p>
    <w:p w:rsidR="00CB3829" w:rsidRDefault="00CB3829" w:rsidP="008E1D55">
      <w:pPr>
        <w:rPr>
          <w:sz w:val="20"/>
          <w:lang w:val="en-GB"/>
        </w:rPr>
        <w:sectPr w:rsidR="00CB3829" w:rsidSect="009B100B">
          <w:footerReference w:type="first" r:id="rId21"/>
          <w:endnotePr>
            <w:numFmt w:val="decimal"/>
          </w:endnotePr>
          <w:pgSz w:w="12240" w:h="15840"/>
          <w:pgMar w:top="994" w:right="1080" w:bottom="360" w:left="1080" w:header="1080" w:footer="403" w:gutter="0"/>
          <w:pgNumType w:start="1"/>
          <w:cols w:space="720"/>
          <w:noEndnote/>
          <w:titlePg/>
        </w:sectPr>
      </w:pPr>
    </w:p>
    <w:p w:rsidR="002E4E73" w:rsidRDefault="00F12FCE">
      <w:pPr>
        <w:jc w:val="both"/>
        <w:rPr>
          <w:b/>
          <w:sz w:val="28"/>
          <w:lang w:val="en-GB"/>
        </w:rPr>
      </w:pPr>
      <w:r w:rsidRPr="00D27D49">
        <w:rPr>
          <w:b/>
          <w:sz w:val="28"/>
          <w:lang w:val="en-GB"/>
        </w:rPr>
        <w:lastRenderedPageBreak/>
        <w:t>Rheingold Exploration Corp.</w:t>
      </w:r>
    </w:p>
    <w:p w:rsidR="002E4E73" w:rsidRDefault="006468AD">
      <w:pPr>
        <w:pBdr>
          <w:bottom w:val="single" w:sz="8" w:space="1" w:color="auto"/>
        </w:pBdr>
        <w:jc w:val="both"/>
        <w:rPr>
          <w:lang w:val="en-GB"/>
        </w:rPr>
      </w:pPr>
      <w:r>
        <w:rPr>
          <w:lang w:val="en-GB"/>
        </w:rPr>
        <w:t xml:space="preserve">Condensed </w:t>
      </w:r>
      <w:r w:rsidR="00EB3B29">
        <w:rPr>
          <w:lang w:val="en-GB"/>
        </w:rPr>
        <w:t xml:space="preserve">Interim </w:t>
      </w:r>
      <w:r w:rsidR="002E4E73">
        <w:rPr>
          <w:lang w:val="en-GB"/>
        </w:rPr>
        <w:t>Statement</w:t>
      </w:r>
      <w:r w:rsidR="00D516DB">
        <w:rPr>
          <w:lang w:val="en-GB"/>
        </w:rPr>
        <w:t>s of Loss and Comprehensive Loss</w:t>
      </w:r>
    </w:p>
    <w:p w:rsidR="00F12FCE" w:rsidRDefault="00F12FCE">
      <w:pPr>
        <w:pBdr>
          <w:bottom w:val="single" w:sz="8" w:space="1" w:color="auto"/>
        </w:pBdr>
        <w:jc w:val="both"/>
        <w:rPr>
          <w:lang w:val="en-GB"/>
        </w:rPr>
      </w:pPr>
      <w:r>
        <w:rPr>
          <w:lang w:val="en-GB"/>
        </w:rPr>
        <w:t>(Expressed in Canadian Dollars)</w:t>
      </w:r>
    </w:p>
    <w:p w:rsidR="00B6502A" w:rsidRDefault="00B6502A" w:rsidP="00B6502A">
      <w:pPr>
        <w:pBdr>
          <w:bottom w:val="single" w:sz="8" w:space="1" w:color="auto"/>
        </w:pBdr>
        <w:jc w:val="both"/>
        <w:rPr>
          <w:lang w:val="en-GB"/>
        </w:rPr>
      </w:pPr>
      <w:r>
        <w:rPr>
          <w:lang w:val="en-GB"/>
        </w:rPr>
        <w:t>(Unaudited – Prepared by Management)</w:t>
      </w:r>
    </w:p>
    <w:p w:rsidR="002E4E73" w:rsidRDefault="002E4E73">
      <w:pPr>
        <w:jc w:val="both"/>
        <w:rPr>
          <w:b/>
          <w:sz w:val="22"/>
          <w:lang w:val="en-GB"/>
        </w:rPr>
      </w:pPr>
    </w:p>
    <w:p w:rsidR="002E4E73" w:rsidRDefault="002E4E73">
      <w:pPr>
        <w:jc w:val="both"/>
        <w:rPr>
          <w:sz w:val="22"/>
          <w:lang w:val="en-GB"/>
        </w:rPr>
      </w:pPr>
    </w:p>
    <w:tbl>
      <w:tblPr>
        <w:tblW w:w="10206" w:type="dxa"/>
        <w:tblInd w:w="108" w:type="dxa"/>
        <w:tblLayout w:type="fixed"/>
        <w:tblLook w:val="04A0"/>
      </w:tblPr>
      <w:tblGrid>
        <w:gridCol w:w="6750"/>
        <w:gridCol w:w="270"/>
        <w:gridCol w:w="1485"/>
        <w:gridCol w:w="236"/>
        <w:gridCol w:w="1465"/>
      </w:tblGrid>
      <w:tr w:rsidR="000C0651" w:rsidTr="00D27D49">
        <w:tc>
          <w:tcPr>
            <w:tcW w:w="6750" w:type="dxa"/>
          </w:tcPr>
          <w:p w:rsidR="000C0651" w:rsidRDefault="000C0651">
            <w:pPr>
              <w:snapToGrid w:val="0"/>
              <w:rPr>
                <w:sz w:val="22"/>
                <w:szCs w:val="22"/>
              </w:rPr>
            </w:pPr>
          </w:p>
        </w:tc>
        <w:tc>
          <w:tcPr>
            <w:tcW w:w="270" w:type="dxa"/>
            <w:vAlign w:val="bottom"/>
          </w:tcPr>
          <w:p w:rsidR="000C0651" w:rsidRDefault="000C0651">
            <w:pPr>
              <w:snapToGrid w:val="0"/>
              <w:jc w:val="right"/>
              <w:rPr>
                <w:b/>
                <w:bCs/>
                <w:sz w:val="22"/>
                <w:szCs w:val="22"/>
              </w:rPr>
            </w:pPr>
          </w:p>
        </w:tc>
        <w:tc>
          <w:tcPr>
            <w:tcW w:w="1485" w:type="dxa"/>
            <w:vAlign w:val="bottom"/>
            <w:hideMark/>
          </w:tcPr>
          <w:p w:rsidR="000C0651" w:rsidRDefault="000C0651">
            <w:pPr>
              <w:snapToGrid w:val="0"/>
              <w:jc w:val="right"/>
              <w:rPr>
                <w:b/>
                <w:bCs/>
                <w:sz w:val="22"/>
                <w:szCs w:val="22"/>
              </w:rPr>
            </w:pPr>
            <w:r>
              <w:rPr>
                <w:b/>
                <w:bCs/>
                <w:sz w:val="22"/>
                <w:szCs w:val="22"/>
              </w:rPr>
              <w:t xml:space="preserve">For the </w:t>
            </w:r>
            <w:r w:rsidR="00D27D49">
              <w:rPr>
                <w:b/>
                <w:bCs/>
                <w:sz w:val="22"/>
                <w:szCs w:val="22"/>
              </w:rPr>
              <w:t xml:space="preserve"> </w:t>
            </w:r>
            <w:r>
              <w:rPr>
                <w:b/>
                <w:bCs/>
                <w:sz w:val="22"/>
                <w:szCs w:val="22"/>
              </w:rPr>
              <w:t>three month period ended 30 April 201</w:t>
            </w:r>
            <w:r w:rsidR="009A2FFB">
              <w:rPr>
                <w:b/>
                <w:bCs/>
                <w:sz w:val="22"/>
                <w:szCs w:val="22"/>
              </w:rPr>
              <w:t>5</w:t>
            </w:r>
          </w:p>
        </w:tc>
        <w:tc>
          <w:tcPr>
            <w:tcW w:w="236" w:type="dxa"/>
            <w:vAlign w:val="bottom"/>
          </w:tcPr>
          <w:p w:rsidR="000C0651" w:rsidRDefault="000C0651">
            <w:pPr>
              <w:snapToGrid w:val="0"/>
              <w:jc w:val="right"/>
              <w:rPr>
                <w:b/>
                <w:sz w:val="22"/>
                <w:szCs w:val="22"/>
                <w:lang w:val="en-GB"/>
              </w:rPr>
            </w:pPr>
          </w:p>
        </w:tc>
        <w:tc>
          <w:tcPr>
            <w:tcW w:w="1465" w:type="dxa"/>
            <w:vAlign w:val="bottom"/>
            <w:hideMark/>
          </w:tcPr>
          <w:p w:rsidR="000C0651" w:rsidRDefault="00D27D49" w:rsidP="00D27D49">
            <w:pPr>
              <w:jc w:val="right"/>
              <w:rPr>
                <w:b/>
                <w:bCs/>
                <w:sz w:val="22"/>
                <w:szCs w:val="22"/>
              </w:rPr>
            </w:pPr>
            <w:r>
              <w:rPr>
                <w:b/>
                <w:bCs/>
                <w:sz w:val="22"/>
                <w:szCs w:val="22"/>
              </w:rPr>
              <w:t xml:space="preserve">For the </w:t>
            </w:r>
            <w:r w:rsidR="002B7F7B">
              <w:rPr>
                <w:b/>
                <w:bCs/>
                <w:sz w:val="22"/>
                <w:szCs w:val="22"/>
              </w:rPr>
              <w:t xml:space="preserve"> </w:t>
            </w:r>
            <w:r>
              <w:rPr>
                <w:b/>
                <w:bCs/>
                <w:sz w:val="22"/>
                <w:szCs w:val="22"/>
              </w:rPr>
              <w:t>three</w:t>
            </w:r>
            <w:r w:rsidR="002B7F7B">
              <w:rPr>
                <w:b/>
                <w:bCs/>
                <w:sz w:val="22"/>
                <w:szCs w:val="22"/>
              </w:rPr>
              <w:t xml:space="preserve"> </w:t>
            </w:r>
            <w:r w:rsidR="000C0651" w:rsidRPr="00D27D49">
              <w:rPr>
                <w:b/>
                <w:bCs/>
                <w:sz w:val="22"/>
                <w:szCs w:val="22"/>
              </w:rPr>
              <w:t>month</w:t>
            </w:r>
            <w:r w:rsidR="000C0651">
              <w:rPr>
                <w:b/>
                <w:bCs/>
                <w:sz w:val="22"/>
                <w:szCs w:val="22"/>
              </w:rPr>
              <w:t xml:space="preserve"> </w:t>
            </w:r>
          </w:p>
          <w:p w:rsidR="000C0651" w:rsidRDefault="00D27D49" w:rsidP="00D27D49">
            <w:pPr>
              <w:snapToGrid w:val="0"/>
              <w:jc w:val="right"/>
              <w:rPr>
                <w:b/>
                <w:bCs/>
                <w:sz w:val="22"/>
                <w:szCs w:val="22"/>
                <w:lang w:val="en-GB"/>
              </w:rPr>
            </w:pPr>
            <w:r>
              <w:rPr>
                <w:b/>
                <w:bCs/>
                <w:sz w:val="22"/>
                <w:szCs w:val="22"/>
              </w:rPr>
              <w:t xml:space="preserve">Period </w:t>
            </w:r>
            <w:r w:rsidR="000C0651">
              <w:rPr>
                <w:b/>
                <w:bCs/>
                <w:sz w:val="22"/>
                <w:szCs w:val="22"/>
              </w:rPr>
              <w:t>ended 30 April 201</w:t>
            </w:r>
            <w:r w:rsidR="009A2FFB">
              <w:rPr>
                <w:b/>
                <w:bCs/>
                <w:sz w:val="22"/>
                <w:szCs w:val="22"/>
              </w:rPr>
              <w:t>4</w:t>
            </w:r>
          </w:p>
        </w:tc>
      </w:tr>
      <w:tr w:rsidR="000C0651" w:rsidTr="00D27D49">
        <w:tc>
          <w:tcPr>
            <w:tcW w:w="6750" w:type="dxa"/>
          </w:tcPr>
          <w:p w:rsidR="000C0651" w:rsidRDefault="000C0651">
            <w:pPr>
              <w:snapToGrid w:val="0"/>
              <w:rPr>
                <w:sz w:val="22"/>
                <w:szCs w:val="22"/>
              </w:rPr>
            </w:pPr>
          </w:p>
        </w:tc>
        <w:tc>
          <w:tcPr>
            <w:tcW w:w="270" w:type="dxa"/>
            <w:vAlign w:val="bottom"/>
          </w:tcPr>
          <w:p w:rsidR="000C0651" w:rsidRDefault="000C0651">
            <w:pPr>
              <w:snapToGrid w:val="0"/>
              <w:jc w:val="right"/>
              <w:rPr>
                <w:b/>
                <w:bCs/>
                <w:sz w:val="22"/>
                <w:szCs w:val="22"/>
              </w:rPr>
            </w:pPr>
          </w:p>
        </w:tc>
        <w:tc>
          <w:tcPr>
            <w:tcW w:w="1485" w:type="dxa"/>
            <w:vAlign w:val="bottom"/>
            <w:hideMark/>
          </w:tcPr>
          <w:p w:rsidR="000C0651" w:rsidRDefault="000C0651">
            <w:pPr>
              <w:snapToGrid w:val="0"/>
              <w:jc w:val="right"/>
              <w:rPr>
                <w:b/>
                <w:bCs/>
                <w:sz w:val="22"/>
                <w:szCs w:val="22"/>
              </w:rPr>
            </w:pPr>
            <w:r>
              <w:rPr>
                <w:b/>
                <w:bCs/>
                <w:sz w:val="22"/>
                <w:szCs w:val="22"/>
              </w:rPr>
              <w:t>$</w:t>
            </w:r>
          </w:p>
        </w:tc>
        <w:tc>
          <w:tcPr>
            <w:tcW w:w="236" w:type="dxa"/>
            <w:vAlign w:val="bottom"/>
          </w:tcPr>
          <w:p w:rsidR="000C0651" w:rsidRDefault="000C0651">
            <w:pPr>
              <w:snapToGrid w:val="0"/>
              <w:jc w:val="right"/>
              <w:rPr>
                <w:b/>
                <w:sz w:val="22"/>
                <w:szCs w:val="22"/>
                <w:lang w:val="en-GB"/>
              </w:rPr>
            </w:pPr>
          </w:p>
        </w:tc>
        <w:tc>
          <w:tcPr>
            <w:tcW w:w="1465" w:type="dxa"/>
            <w:vAlign w:val="bottom"/>
            <w:hideMark/>
          </w:tcPr>
          <w:p w:rsidR="000C0651" w:rsidRDefault="000C0651">
            <w:pPr>
              <w:snapToGrid w:val="0"/>
              <w:jc w:val="right"/>
              <w:rPr>
                <w:b/>
                <w:sz w:val="22"/>
                <w:szCs w:val="22"/>
                <w:lang w:val="en-GB"/>
              </w:rPr>
            </w:pPr>
            <w:r>
              <w:rPr>
                <w:b/>
                <w:sz w:val="22"/>
                <w:szCs w:val="22"/>
                <w:lang w:val="en-GB"/>
              </w:rPr>
              <w:t>$</w:t>
            </w:r>
          </w:p>
        </w:tc>
      </w:tr>
      <w:tr w:rsidR="000C0651" w:rsidTr="00D27D49">
        <w:tc>
          <w:tcPr>
            <w:tcW w:w="6750" w:type="dxa"/>
          </w:tcPr>
          <w:p w:rsidR="000C0651" w:rsidRDefault="000C0651">
            <w:pPr>
              <w:snapToGrid w:val="0"/>
              <w:rPr>
                <w:sz w:val="22"/>
                <w:szCs w:val="22"/>
              </w:rPr>
            </w:pPr>
          </w:p>
        </w:tc>
        <w:tc>
          <w:tcPr>
            <w:tcW w:w="270" w:type="dxa"/>
            <w:vAlign w:val="bottom"/>
          </w:tcPr>
          <w:p w:rsidR="000C0651" w:rsidRDefault="000C0651">
            <w:pPr>
              <w:snapToGrid w:val="0"/>
              <w:jc w:val="right"/>
              <w:rPr>
                <w:b/>
                <w:bCs/>
                <w:sz w:val="22"/>
                <w:szCs w:val="22"/>
              </w:rPr>
            </w:pPr>
          </w:p>
        </w:tc>
        <w:tc>
          <w:tcPr>
            <w:tcW w:w="1485" w:type="dxa"/>
            <w:vAlign w:val="bottom"/>
          </w:tcPr>
          <w:p w:rsidR="000C0651" w:rsidRDefault="000C0651">
            <w:pPr>
              <w:snapToGrid w:val="0"/>
              <w:jc w:val="right"/>
              <w:rPr>
                <w:b/>
                <w:bCs/>
                <w:sz w:val="22"/>
                <w:szCs w:val="22"/>
              </w:rPr>
            </w:pPr>
          </w:p>
        </w:tc>
        <w:tc>
          <w:tcPr>
            <w:tcW w:w="236" w:type="dxa"/>
            <w:vAlign w:val="bottom"/>
          </w:tcPr>
          <w:p w:rsidR="000C0651" w:rsidRDefault="000C0651">
            <w:pPr>
              <w:snapToGrid w:val="0"/>
              <w:jc w:val="right"/>
              <w:rPr>
                <w:b/>
                <w:sz w:val="22"/>
                <w:szCs w:val="22"/>
                <w:lang w:val="en-GB"/>
              </w:rPr>
            </w:pPr>
          </w:p>
        </w:tc>
        <w:tc>
          <w:tcPr>
            <w:tcW w:w="1465" w:type="dxa"/>
            <w:vAlign w:val="bottom"/>
          </w:tcPr>
          <w:p w:rsidR="000C0651" w:rsidRDefault="000C0651">
            <w:pPr>
              <w:snapToGrid w:val="0"/>
              <w:jc w:val="right"/>
              <w:rPr>
                <w:b/>
                <w:sz w:val="22"/>
                <w:szCs w:val="22"/>
                <w:lang w:val="en-GB"/>
              </w:rPr>
            </w:pPr>
          </w:p>
        </w:tc>
      </w:tr>
      <w:tr w:rsidR="000C0651" w:rsidTr="00D27D49">
        <w:tc>
          <w:tcPr>
            <w:tcW w:w="6750" w:type="dxa"/>
            <w:hideMark/>
          </w:tcPr>
          <w:p w:rsidR="000C0651" w:rsidRDefault="000C0651">
            <w:pPr>
              <w:snapToGrid w:val="0"/>
              <w:rPr>
                <w:b/>
                <w:bCs/>
                <w:sz w:val="22"/>
                <w:szCs w:val="22"/>
              </w:rPr>
            </w:pPr>
            <w:r>
              <w:rPr>
                <w:b/>
                <w:bCs/>
                <w:sz w:val="22"/>
                <w:szCs w:val="22"/>
              </w:rPr>
              <w:t>Expenses</w:t>
            </w:r>
          </w:p>
        </w:tc>
        <w:tc>
          <w:tcPr>
            <w:tcW w:w="270" w:type="dxa"/>
            <w:vAlign w:val="bottom"/>
          </w:tcPr>
          <w:p w:rsidR="000C0651" w:rsidRDefault="000C0651">
            <w:pPr>
              <w:snapToGrid w:val="0"/>
              <w:jc w:val="right"/>
              <w:rPr>
                <w:sz w:val="22"/>
                <w:szCs w:val="22"/>
                <w:lang w:val="en-GB"/>
              </w:rPr>
            </w:pPr>
          </w:p>
        </w:tc>
        <w:tc>
          <w:tcPr>
            <w:tcW w:w="1485" w:type="dxa"/>
            <w:vAlign w:val="bottom"/>
          </w:tcPr>
          <w:p w:rsidR="000C0651" w:rsidRDefault="000C0651">
            <w:pPr>
              <w:snapToGrid w:val="0"/>
              <w:jc w:val="right"/>
              <w:rPr>
                <w:sz w:val="22"/>
                <w:szCs w:val="22"/>
                <w:lang w:val="en-GB"/>
              </w:rPr>
            </w:pPr>
          </w:p>
        </w:tc>
        <w:tc>
          <w:tcPr>
            <w:tcW w:w="236" w:type="dxa"/>
            <w:vAlign w:val="bottom"/>
          </w:tcPr>
          <w:p w:rsidR="000C0651" w:rsidRDefault="000C0651">
            <w:pPr>
              <w:snapToGrid w:val="0"/>
              <w:jc w:val="right"/>
              <w:rPr>
                <w:sz w:val="22"/>
                <w:szCs w:val="22"/>
                <w:lang w:val="en-GB"/>
              </w:rPr>
            </w:pPr>
          </w:p>
        </w:tc>
        <w:tc>
          <w:tcPr>
            <w:tcW w:w="1465" w:type="dxa"/>
            <w:vAlign w:val="bottom"/>
          </w:tcPr>
          <w:p w:rsidR="000C0651" w:rsidRDefault="000C0651">
            <w:pPr>
              <w:snapToGrid w:val="0"/>
              <w:jc w:val="right"/>
              <w:rPr>
                <w:sz w:val="22"/>
                <w:szCs w:val="22"/>
                <w:lang w:val="en-GB"/>
              </w:rPr>
            </w:pPr>
          </w:p>
        </w:tc>
      </w:tr>
      <w:tr w:rsidR="000C0651" w:rsidTr="00D27D49">
        <w:tc>
          <w:tcPr>
            <w:tcW w:w="6750" w:type="dxa"/>
            <w:hideMark/>
          </w:tcPr>
          <w:p w:rsidR="000C0651" w:rsidRDefault="000C0651">
            <w:pPr>
              <w:snapToGrid w:val="0"/>
              <w:rPr>
                <w:sz w:val="22"/>
                <w:szCs w:val="22"/>
                <w:lang w:val="en-GB"/>
              </w:rPr>
            </w:pPr>
            <w:r>
              <w:rPr>
                <w:sz w:val="22"/>
                <w:szCs w:val="22"/>
                <w:lang w:val="en-GB"/>
              </w:rPr>
              <w:t>Bank charges and interest</w:t>
            </w:r>
          </w:p>
        </w:tc>
        <w:tc>
          <w:tcPr>
            <w:tcW w:w="270" w:type="dxa"/>
            <w:vAlign w:val="bottom"/>
          </w:tcPr>
          <w:p w:rsidR="000C0651" w:rsidRDefault="000C0651">
            <w:pPr>
              <w:snapToGrid w:val="0"/>
              <w:jc w:val="right"/>
              <w:rPr>
                <w:sz w:val="22"/>
                <w:szCs w:val="22"/>
                <w:lang w:val="en-GB"/>
              </w:rPr>
            </w:pPr>
          </w:p>
        </w:tc>
        <w:tc>
          <w:tcPr>
            <w:tcW w:w="1485" w:type="dxa"/>
            <w:hideMark/>
          </w:tcPr>
          <w:p w:rsidR="000C0651" w:rsidRDefault="001B7D97">
            <w:pPr>
              <w:snapToGrid w:val="0"/>
              <w:jc w:val="right"/>
              <w:rPr>
                <w:sz w:val="22"/>
                <w:szCs w:val="22"/>
              </w:rPr>
            </w:pPr>
            <w:r>
              <w:rPr>
                <w:sz w:val="22"/>
                <w:szCs w:val="22"/>
              </w:rPr>
              <w:t>102</w:t>
            </w:r>
          </w:p>
        </w:tc>
        <w:tc>
          <w:tcPr>
            <w:tcW w:w="236" w:type="dxa"/>
            <w:vAlign w:val="bottom"/>
          </w:tcPr>
          <w:p w:rsidR="000C0651" w:rsidRDefault="000C0651">
            <w:pPr>
              <w:snapToGrid w:val="0"/>
              <w:jc w:val="right"/>
              <w:rPr>
                <w:sz w:val="22"/>
                <w:szCs w:val="22"/>
                <w:highlight w:val="yellow"/>
                <w:lang w:val="en-GB"/>
              </w:rPr>
            </w:pPr>
          </w:p>
        </w:tc>
        <w:tc>
          <w:tcPr>
            <w:tcW w:w="1465" w:type="dxa"/>
            <w:hideMark/>
          </w:tcPr>
          <w:p w:rsidR="000C0651" w:rsidRDefault="009A2FFB">
            <w:pPr>
              <w:snapToGrid w:val="0"/>
              <w:jc w:val="right"/>
              <w:rPr>
                <w:sz w:val="22"/>
                <w:szCs w:val="22"/>
              </w:rPr>
            </w:pPr>
            <w:r>
              <w:rPr>
                <w:sz w:val="22"/>
                <w:szCs w:val="22"/>
              </w:rPr>
              <w:t>18</w:t>
            </w:r>
          </w:p>
        </w:tc>
      </w:tr>
      <w:tr w:rsidR="000C0651" w:rsidTr="00D27D49">
        <w:tc>
          <w:tcPr>
            <w:tcW w:w="6750" w:type="dxa"/>
            <w:hideMark/>
          </w:tcPr>
          <w:p w:rsidR="000C0651" w:rsidRDefault="000C0651">
            <w:pPr>
              <w:snapToGrid w:val="0"/>
              <w:rPr>
                <w:sz w:val="22"/>
                <w:szCs w:val="22"/>
                <w:lang w:val="en-GB"/>
              </w:rPr>
            </w:pPr>
            <w:r>
              <w:rPr>
                <w:sz w:val="22"/>
                <w:szCs w:val="22"/>
                <w:lang w:val="en-GB"/>
              </w:rPr>
              <w:t>Filing fees</w:t>
            </w:r>
          </w:p>
        </w:tc>
        <w:tc>
          <w:tcPr>
            <w:tcW w:w="270" w:type="dxa"/>
            <w:vAlign w:val="bottom"/>
          </w:tcPr>
          <w:p w:rsidR="000C0651" w:rsidRDefault="000C0651">
            <w:pPr>
              <w:snapToGrid w:val="0"/>
              <w:jc w:val="right"/>
              <w:rPr>
                <w:sz w:val="22"/>
                <w:szCs w:val="22"/>
                <w:lang w:val="en-GB"/>
              </w:rPr>
            </w:pPr>
          </w:p>
        </w:tc>
        <w:tc>
          <w:tcPr>
            <w:tcW w:w="1485" w:type="dxa"/>
            <w:hideMark/>
          </w:tcPr>
          <w:p w:rsidR="000C0651" w:rsidRDefault="001B7D97">
            <w:pPr>
              <w:snapToGrid w:val="0"/>
              <w:jc w:val="right"/>
              <w:rPr>
                <w:sz w:val="22"/>
                <w:szCs w:val="22"/>
              </w:rPr>
            </w:pPr>
            <w:r>
              <w:rPr>
                <w:sz w:val="22"/>
                <w:szCs w:val="22"/>
              </w:rPr>
              <w:t>11,505</w:t>
            </w:r>
          </w:p>
        </w:tc>
        <w:tc>
          <w:tcPr>
            <w:tcW w:w="236" w:type="dxa"/>
            <w:vAlign w:val="bottom"/>
          </w:tcPr>
          <w:p w:rsidR="000C0651" w:rsidRDefault="000C0651">
            <w:pPr>
              <w:snapToGrid w:val="0"/>
              <w:jc w:val="right"/>
              <w:rPr>
                <w:sz w:val="22"/>
                <w:szCs w:val="22"/>
                <w:highlight w:val="yellow"/>
                <w:lang w:val="en-GB"/>
              </w:rPr>
            </w:pPr>
          </w:p>
        </w:tc>
        <w:tc>
          <w:tcPr>
            <w:tcW w:w="1465" w:type="dxa"/>
            <w:hideMark/>
          </w:tcPr>
          <w:p w:rsidR="000C0651" w:rsidRDefault="009A2FFB">
            <w:pPr>
              <w:snapToGrid w:val="0"/>
              <w:jc w:val="right"/>
              <w:rPr>
                <w:sz w:val="22"/>
                <w:szCs w:val="22"/>
              </w:rPr>
            </w:pPr>
            <w:r>
              <w:rPr>
                <w:sz w:val="22"/>
                <w:szCs w:val="22"/>
              </w:rPr>
              <w:t>5,571</w:t>
            </w:r>
          </w:p>
        </w:tc>
      </w:tr>
      <w:tr w:rsidR="000C0651" w:rsidTr="00D27D49">
        <w:tc>
          <w:tcPr>
            <w:tcW w:w="6750" w:type="dxa"/>
            <w:hideMark/>
          </w:tcPr>
          <w:p w:rsidR="000C0651" w:rsidRDefault="000C0651">
            <w:pPr>
              <w:snapToGrid w:val="0"/>
              <w:rPr>
                <w:sz w:val="22"/>
                <w:szCs w:val="22"/>
                <w:lang w:val="en-GB"/>
              </w:rPr>
            </w:pPr>
            <w:r>
              <w:rPr>
                <w:sz w:val="22"/>
                <w:szCs w:val="22"/>
                <w:lang w:val="en-GB"/>
              </w:rPr>
              <w:t>Investor relations</w:t>
            </w:r>
          </w:p>
        </w:tc>
        <w:tc>
          <w:tcPr>
            <w:tcW w:w="270" w:type="dxa"/>
            <w:vAlign w:val="bottom"/>
          </w:tcPr>
          <w:p w:rsidR="000C0651" w:rsidRDefault="000C0651">
            <w:pPr>
              <w:snapToGrid w:val="0"/>
              <w:jc w:val="right"/>
              <w:rPr>
                <w:sz w:val="22"/>
                <w:szCs w:val="22"/>
                <w:lang w:val="en-GB"/>
              </w:rPr>
            </w:pPr>
          </w:p>
        </w:tc>
        <w:tc>
          <w:tcPr>
            <w:tcW w:w="1485" w:type="dxa"/>
            <w:hideMark/>
          </w:tcPr>
          <w:p w:rsidR="000C0651" w:rsidRDefault="001B7D97">
            <w:pPr>
              <w:snapToGrid w:val="0"/>
              <w:jc w:val="right"/>
              <w:rPr>
                <w:sz w:val="22"/>
                <w:szCs w:val="22"/>
              </w:rPr>
            </w:pPr>
            <w:r>
              <w:rPr>
                <w:sz w:val="22"/>
                <w:szCs w:val="22"/>
              </w:rPr>
              <w:t>-</w:t>
            </w:r>
          </w:p>
        </w:tc>
        <w:tc>
          <w:tcPr>
            <w:tcW w:w="236" w:type="dxa"/>
            <w:vAlign w:val="bottom"/>
          </w:tcPr>
          <w:p w:rsidR="000C0651" w:rsidRDefault="000C0651">
            <w:pPr>
              <w:snapToGrid w:val="0"/>
              <w:jc w:val="right"/>
              <w:rPr>
                <w:sz w:val="22"/>
                <w:szCs w:val="22"/>
                <w:highlight w:val="yellow"/>
                <w:lang w:val="en-GB"/>
              </w:rPr>
            </w:pPr>
          </w:p>
        </w:tc>
        <w:tc>
          <w:tcPr>
            <w:tcW w:w="1465" w:type="dxa"/>
            <w:hideMark/>
          </w:tcPr>
          <w:p w:rsidR="000C0651" w:rsidRDefault="009A2FFB">
            <w:pPr>
              <w:snapToGrid w:val="0"/>
              <w:jc w:val="right"/>
              <w:rPr>
                <w:sz w:val="22"/>
                <w:szCs w:val="22"/>
              </w:rPr>
            </w:pPr>
            <w:r>
              <w:rPr>
                <w:sz w:val="22"/>
                <w:szCs w:val="22"/>
              </w:rPr>
              <w:t>-</w:t>
            </w:r>
          </w:p>
        </w:tc>
      </w:tr>
      <w:tr w:rsidR="000C0651" w:rsidTr="00D27D49">
        <w:tc>
          <w:tcPr>
            <w:tcW w:w="6750" w:type="dxa"/>
            <w:hideMark/>
          </w:tcPr>
          <w:p w:rsidR="000C0651" w:rsidRDefault="000C0651">
            <w:pPr>
              <w:snapToGrid w:val="0"/>
              <w:rPr>
                <w:sz w:val="22"/>
                <w:szCs w:val="22"/>
                <w:lang w:val="en-GB"/>
              </w:rPr>
            </w:pPr>
            <w:r>
              <w:rPr>
                <w:sz w:val="22"/>
                <w:szCs w:val="22"/>
                <w:lang w:val="en-GB"/>
              </w:rPr>
              <w:t>Management</w:t>
            </w:r>
            <w:r w:rsidR="002B7F7B">
              <w:rPr>
                <w:sz w:val="22"/>
                <w:szCs w:val="22"/>
                <w:lang w:val="en-GB"/>
              </w:rPr>
              <w:t xml:space="preserve"> fees (Note 8</w:t>
            </w:r>
            <w:r>
              <w:rPr>
                <w:sz w:val="22"/>
                <w:szCs w:val="22"/>
                <w:lang w:val="en-GB"/>
              </w:rPr>
              <w:t>)</w:t>
            </w:r>
          </w:p>
        </w:tc>
        <w:tc>
          <w:tcPr>
            <w:tcW w:w="270" w:type="dxa"/>
            <w:vAlign w:val="bottom"/>
          </w:tcPr>
          <w:p w:rsidR="000C0651" w:rsidRDefault="000C0651">
            <w:pPr>
              <w:snapToGrid w:val="0"/>
              <w:jc w:val="right"/>
              <w:rPr>
                <w:sz w:val="22"/>
                <w:szCs w:val="22"/>
                <w:lang w:val="en-GB"/>
              </w:rPr>
            </w:pPr>
          </w:p>
        </w:tc>
        <w:tc>
          <w:tcPr>
            <w:tcW w:w="1485" w:type="dxa"/>
            <w:hideMark/>
          </w:tcPr>
          <w:p w:rsidR="000C0651" w:rsidRDefault="000C0651">
            <w:pPr>
              <w:snapToGrid w:val="0"/>
              <w:jc w:val="right"/>
              <w:rPr>
                <w:sz w:val="22"/>
                <w:szCs w:val="22"/>
              </w:rPr>
            </w:pPr>
            <w:r>
              <w:rPr>
                <w:sz w:val="22"/>
                <w:szCs w:val="22"/>
              </w:rPr>
              <w:t>15,000</w:t>
            </w:r>
          </w:p>
        </w:tc>
        <w:tc>
          <w:tcPr>
            <w:tcW w:w="236" w:type="dxa"/>
            <w:vAlign w:val="bottom"/>
          </w:tcPr>
          <w:p w:rsidR="000C0651" w:rsidRDefault="000C0651">
            <w:pPr>
              <w:snapToGrid w:val="0"/>
              <w:jc w:val="right"/>
              <w:rPr>
                <w:sz w:val="22"/>
                <w:szCs w:val="22"/>
                <w:highlight w:val="yellow"/>
                <w:lang w:val="en-GB"/>
              </w:rPr>
            </w:pPr>
          </w:p>
        </w:tc>
        <w:tc>
          <w:tcPr>
            <w:tcW w:w="1465" w:type="dxa"/>
            <w:hideMark/>
          </w:tcPr>
          <w:p w:rsidR="000C0651" w:rsidRDefault="000C0651">
            <w:pPr>
              <w:snapToGrid w:val="0"/>
              <w:jc w:val="right"/>
              <w:rPr>
                <w:sz w:val="22"/>
                <w:szCs w:val="22"/>
              </w:rPr>
            </w:pPr>
            <w:r>
              <w:rPr>
                <w:sz w:val="22"/>
                <w:szCs w:val="22"/>
              </w:rPr>
              <w:t>15,000</w:t>
            </w:r>
          </w:p>
        </w:tc>
      </w:tr>
      <w:tr w:rsidR="000C0651" w:rsidTr="00D27D49">
        <w:tc>
          <w:tcPr>
            <w:tcW w:w="6750" w:type="dxa"/>
            <w:hideMark/>
          </w:tcPr>
          <w:p w:rsidR="000C0651" w:rsidRDefault="000C0651">
            <w:pPr>
              <w:snapToGrid w:val="0"/>
              <w:rPr>
                <w:sz w:val="22"/>
                <w:szCs w:val="22"/>
                <w:lang w:val="en-GB"/>
              </w:rPr>
            </w:pPr>
            <w:r>
              <w:rPr>
                <w:sz w:val="22"/>
                <w:szCs w:val="22"/>
                <w:lang w:val="en-GB"/>
              </w:rPr>
              <w:t xml:space="preserve">Office and miscellaneous </w:t>
            </w:r>
          </w:p>
        </w:tc>
        <w:tc>
          <w:tcPr>
            <w:tcW w:w="270" w:type="dxa"/>
            <w:vAlign w:val="bottom"/>
          </w:tcPr>
          <w:p w:rsidR="000C0651" w:rsidRDefault="000C0651">
            <w:pPr>
              <w:snapToGrid w:val="0"/>
              <w:jc w:val="right"/>
              <w:rPr>
                <w:sz w:val="22"/>
                <w:szCs w:val="22"/>
                <w:lang w:val="en-GB"/>
              </w:rPr>
            </w:pPr>
          </w:p>
        </w:tc>
        <w:tc>
          <w:tcPr>
            <w:tcW w:w="1485" w:type="dxa"/>
            <w:hideMark/>
          </w:tcPr>
          <w:p w:rsidR="000C0651" w:rsidRDefault="001B7D97">
            <w:pPr>
              <w:snapToGrid w:val="0"/>
              <w:jc w:val="right"/>
              <w:rPr>
                <w:sz w:val="22"/>
                <w:szCs w:val="22"/>
              </w:rPr>
            </w:pPr>
            <w:r>
              <w:rPr>
                <w:sz w:val="22"/>
                <w:szCs w:val="22"/>
              </w:rPr>
              <w:t>93</w:t>
            </w:r>
          </w:p>
        </w:tc>
        <w:tc>
          <w:tcPr>
            <w:tcW w:w="236" w:type="dxa"/>
            <w:vAlign w:val="bottom"/>
          </w:tcPr>
          <w:p w:rsidR="000C0651" w:rsidRDefault="000C0651">
            <w:pPr>
              <w:snapToGrid w:val="0"/>
              <w:jc w:val="right"/>
              <w:rPr>
                <w:sz w:val="22"/>
                <w:szCs w:val="22"/>
                <w:highlight w:val="yellow"/>
                <w:lang w:val="en-GB"/>
              </w:rPr>
            </w:pPr>
          </w:p>
        </w:tc>
        <w:tc>
          <w:tcPr>
            <w:tcW w:w="1465" w:type="dxa"/>
            <w:hideMark/>
          </w:tcPr>
          <w:p w:rsidR="000C0651" w:rsidRDefault="009A2FFB">
            <w:pPr>
              <w:snapToGrid w:val="0"/>
              <w:jc w:val="right"/>
              <w:rPr>
                <w:sz w:val="22"/>
                <w:szCs w:val="22"/>
              </w:rPr>
            </w:pPr>
            <w:r>
              <w:rPr>
                <w:sz w:val="22"/>
                <w:szCs w:val="22"/>
              </w:rPr>
              <w:t>2,629</w:t>
            </w:r>
          </w:p>
        </w:tc>
      </w:tr>
      <w:tr w:rsidR="00D27D49" w:rsidTr="00D27D49">
        <w:tc>
          <w:tcPr>
            <w:tcW w:w="6750" w:type="dxa"/>
            <w:hideMark/>
          </w:tcPr>
          <w:p w:rsidR="00D27D49" w:rsidRDefault="00D27D49">
            <w:pPr>
              <w:snapToGrid w:val="0"/>
              <w:rPr>
                <w:sz w:val="22"/>
                <w:szCs w:val="22"/>
                <w:lang w:val="en-GB"/>
              </w:rPr>
            </w:pPr>
            <w:r>
              <w:rPr>
                <w:sz w:val="22"/>
                <w:szCs w:val="22"/>
                <w:lang w:val="en-GB"/>
              </w:rPr>
              <w:t>Professional fees</w:t>
            </w:r>
          </w:p>
        </w:tc>
        <w:tc>
          <w:tcPr>
            <w:tcW w:w="270" w:type="dxa"/>
            <w:vAlign w:val="bottom"/>
          </w:tcPr>
          <w:p w:rsidR="00D27D49" w:rsidRDefault="00D27D49">
            <w:pPr>
              <w:snapToGrid w:val="0"/>
              <w:jc w:val="right"/>
              <w:rPr>
                <w:sz w:val="22"/>
                <w:szCs w:val="22"/>
                <w:lang w:val="en-GB"/>
              </w:rPr>
            </w:pPr>
          </w:p>
        </w:tc>
        <w:tc>
          <w:tcPr>
            <w:tcW w:w="1485" w:type="dxa"/>
            <w:hideMark/>
          </w:tcPr>
          <w:p w:rsidR="00D27D49" w:rsidRDefault="001B7D97">
            <w:pPr>
              <w:snapToGrid w:val="0"/>
              <w:jc w:val="right"/>
              <w:rPr>
                <w:sz w:val="22"/>
                <w:szCs w:val="22"/>
              </w:rPr>
            </w:pPr>
            <w:r>
              <w:rPr>
                <w:sz w:val="22"/>
                <w:szCs w:val="22"/>
              </w:rPr>
              <w:t>17,499</w:t>
            </w:r>
          </w:p>
        </w:tc>
        <w:tc>
          <w:tcPr>
            <w:tcW w:w="236" w:type="dxa"/>
            <w:vAlign w:val="bottom"/>
          </w:tcPr>
          <w:p w:rsidR="00D27D49" w:rsidRDefault="00D27D49">
            <w:pPr>
              <w:snapToGrid w:val="0"/>
              <w:jc w:val="right"/>
              <w:rPr>
                <w:sz w:val="22"/>
                <w:szCs w:val="22"/>
                <w:highlight w:val="yellow"/>
                <w:lang w:val="en-GB"/>
              </w:rPr>
            </w:pPr>
          </w:p>
        </w:tc>
        <w:tc>
          <w:tcPr>
            <w:tcW w:w="1465" w:type="dxa"/>
            <w:hideMark/>
          </w:tcPr>
          <w:p w:rsidR="00D27D49" w:rsidRDefault="009A2FFB">
            <w:pPr>
              <w:snapToGrid w:val="0"/>
              <w:jc w:val="right"/>
              <w:rPr>
                <w:sz w:val="22"/>
                <w:szCs w:val="22"/>
              </w:rPr>
            </w:pPr>
            <w:r>
              <w:rPr>
                <w:sz w:val="22"/>
                <w:szCs w:val="22"/>
              </w:rPr>
              <w:t>8,633</w:t>
            </w:r>
          </w:p>
        </w:tc>
      </w:tr>
      <w:tr w:rsidR="00D27D49" w:rsidTr="00D27D49">
        <w:tc>
          <w:tcPr>
            <w:tcW w:w="6750" w:type="dxa"/>
            <w:hideMark/>
          </w:tcPr>
          <w:p w:rsidR="00D27D49" w:rsidRDefault="001B7D97">
            <w:pPr>
              <w:snapToGrid w:val="0"/>
              <w:rPr>
                <w:sz w:val="22"/>
                <w:szCs w:val="22"/>
                <w:lang w:val="en-GB"/>
              </w:rPr>
            </w:pPr>
            <w:r>
              <w:rPr>
                <w:sz w:val="22"/>
                <w:szCs w:val="22"/>
                <w:lang w:val="en-GB"/>
              </w:rPr>
              <w:t>Rent</w:t>
            </w:r>
            <w:r w:rsidR="00D27D49">
              <w:rPr>
                <w:sz w:val="22"/>
                <w:szCs w:val="22"/>
                <w:lang w:val="en-GB"/>
              </w:rPr>
              <w:t xml:space="preserve"> </w:t>
            </w:r>
          </w:p>
        </w:tc>
        <w:tc>
          <w:tcPr>
            <w:tcW w:w="270" w:type="dxa"/>
            <w:vAlign w:val="bottom"/>
          </w:tcPr>
          <w:p w:rsidR="00D27D49" w:rsidRDefault="00D27D49">
            <w:pPr>
              <w:snapToGrid w:val="0"/>
              <w:jc w:val="right"/>
              <w:rPr>
                <w:sz w:val="22"/>
                <w:szCs w:val="22"/>
                <w:lang w:val="en-GB"/>
              </w:rPr>
            </w:pPr>
          </w:p>
        </w:tc>
        <w:tc>
          <w:tcPr>
            <w:tcW w:w="1485" w:type="dxa"/>
            <w:hideMark/>
          </w:tcPr>
          <w:p w:rsidR="00D27D49" w:rsidRDefault="001B7D97">
            <w:pPr>
              <w:snapToGrid w:val="0"/>
              <w:jc w:val="right"/>
              <w:rPr>
                <w:sz w:val="22"/>
                <w:szCs w:val="22"/>
              </w:rPr>
            </w:pPr>
            <w:r>
              <w:t>2,250</w:t>
            </w:r>
          </w:p>
        </w:tc>
        <w:tc>
          <w:tcPr>
            <w:tcW w:w="236" w:type="dxa"/>
            <w:vAlign w:val="bottom"/>
          </w:tcPr>
          <w:p w:rsidR="00D27D49" w:rsidRDefault="00D27D49">
            <w:pPr>
              <w:snapToGrid w:val="0"/>
              <w:jc w:val="right"/>
              <w:rPr>
                <w:sz w:val="22"/>
                <w:szCs w:val="22"/>
                <w:highlight w:val="yellow"/>
                <w:lang w:val="en-GB"/>
              </w:rPr>
            </w:pPr>
          </w:p>
        </w:tc>
        <w:tc>
          <w:tcPr>
            <w:tcW w:w="1465" w:type="dxa"/>
            <w:hideMark/>
          </w:tcPr>
          <w:p w:rsidR="00D27D49" w:rsidRDefault="009A2FFB">
            <w:pPr>
              <w:snapToGrid w:val="0"/>
              <w:jc w:val="right"/>
              <w:rPr>
                <w:sz w:val="22"/>
                <w:szCs w:val="22"/>
              </w:rPr>
            </w:pPr>
            <w:r>
              <w:t>-</w:t>
            </w:r>
          </w:p>
        </w:tc>
      </w:tr>
      <w:tr w:rsidR="00D27D49" w:rsidTr="00D27D49">
        <w:tc>
          <w:tcPr>
            <w:tcW w:w="6750" w:type="dxa"/>
            <w:hideMark/>
          </w:tcPr>
          <w:p w:rsidR="00D27D49" w:rsidRDefault="00D27D49">
            <w:pPr>
              <w:snapToGrid w:val="0"/>
              <w:rPr>
                <w:sz w:val="22"/>
                <w:szCs w:val="22"/>
                <w:lang w:val="en-GB"/>
              </w:rPr>
            </w:pPr>
          </w:p>
        </w:tc>
        <w:tc>
          <w:tcPr>
            <w:tcW w:w="270" w:type="dxa"/>
            <w:vAlign w:val="bottom"/>
          </w:tcPr>
          <w:p w:rsidR="00D27D49" w:rsidRDefault="00D27D49">
            <w:pPr>
              <w:snapToGrid w:val="0"/>
              <w:jc w:val="right"/>
              <w:rPr>
                <w:sz w:val="22"/>
                <w:szCs w:val="22"/>
                <w:lang w:val="en-GB"/>
              </w:rPr>
            </w:pPr>
          </w:p>
        </w:tc>
        <w:tc>
          <w:tcPr>
            <w:tcW w:w="1485" w:type="dxa"/>
            <w:tcBorders>
              <w:top w:val="single" w:sz="4" w:space="0" w:color="auto"/>
              <w:left w:val="nil"/>
              <w:bottom w:val="nil"/>
              <w:right w:val="nil"/>
            </w:tcBorders>
            <w:vAlign w:val="bottom"/>
            <w:hideMark/>
          </w:tcPr>
          <w:p w:rsidR="00D27D49" w:rsidRDefault="00D27D49">
            <w:pPr>
              <w:snapToGrid w:val="0"/>
              <w:jc w:val="right"/>
              <w:rPr>
                <w:sz w:val="22"/>
                <w:szCs w:val="22"/>
              </w:rPr>
            </w:pPr>
          </w:p>
        </w:tc>
        <w:tc>
          <w:tcPr>
            <w:tcW w:w="236" w:type="dxa"/>
            <w:vAlign w:val="bottom"/>
          </w:tcPr>
          <w:p w:rsidR="00D27D49" w:rsidRDefault="00D27D49">
            <w:pPr>
              <w:snapToGrid w:val="0"/>
              <w:jc w:val="right"/>
              <w:rPr>
                <w:sz w:val="22"/>
                <w:szCs w:val="22"/>
                <w:highlight w:val="yellow"/>
                <w:lang w:val="en-GB"/>
              </w:rPr>
            </w:pPr>
          </w:p>
        </w:tc>
        <w:tc>
          <w:tcPr>
            <w:tcW w:w="1465" w:type="dxa"/>
            <w:tcBorders>
              <w:top w:val="single" w:sz="4" w:space="0" w:color="auto"/>
              <w:left w:val="nil"/>
              <w:bottom w:val="nil"/>
              <w:right w:val="nil"/>
            </w:tcBorders>
            <w:vAlign w:val="bottom"/>
            <w:hideMark/>
          </w:tcPr>
          <w:p w:rsidR="00D27D49" w:rsidRDefault="00D27D49">
            <w:pPr>
              <w:snapToGrid w:val="0"/>
              <w:jc w:val="right"/>
              <w:rPr>
                <w:sz w:val="22"/>
                <w:szCs w:val="22"/>
              </w:rPr>
            </w:pPr>
          </w:p>
        </w:tc>
      </w:tr>
      <w:tr w:rsidR="00D27D49" w:rsidTr="00D27D49">
        <w:tc>
          <w:tcPr>
            <w:tcW w:w="6750" w:type="dxa"/>
            <w:hideMark/>
          </w:tcPr>
          <w:p w:rsidR="00D27D49" w:rsidRDefault="00D27D49">
            <w:pPr>
              <w:snapToGrid w:val="0"/>
              <w:rPr>
                <w:sz w:val="22"/>
                <w:szCs w:val="22"/>
                <w:lang w:val="en-GB"/>
              </w:rPr>
            </w:pPr>
            <w:r>
              <w:rPr>
                <w:b/>
                <w:sz w:val="22"/>
                <w:szCs w:val="22"/>
                <w:lang w:val="en-GB"/>
              </w:rPr>
              <w:t>Net loss before other item</w:t>
            </w:r>
          </w:p>
        </w:tc>
        <w:tc>
          <w:tcPr>
            <w:tcW w:w="270" w:type="dxa"/>
            <w:vAlign w:val="bottom"/>
          </w:tcPr>
          <w:p w:rsidR="00D27D49" w:rsidRDefault="00D27D49">
            <w:pPr>
              <w:snapToGrid w:val="0"/>
              <w:jc w:val="right"/>
              <w:rPr>
                <w:sz w:val="22"/>
                <w:szCs w:val="22"/>
                <w:lang w:val="en-GB"/>
              </w:rPr>
            </w:pPr>
          </w:p>
        </w:tc>
        <w:tc>
          <w:tcPr>
            <w:tcW w:w="1485" w:type="dxa"/>
            <w:vAlign w:val="bottom"/>
            <w:hideMark/>
          </w:tcPr>
          <w:p w:rsidR="00D27D49" w:rsidRDefault="001B7D97">
            <w:pPr>
              <w:snapToGrid w:val="0"/>
              <w:jc w:val="right"/>
            </w:pPr>
            <w:r>
              <w:rPr>
                <w:sz w:val="22"/>
                <w:szCs w:val="22"/>
                <w:lang w:val="en-GB"/>
              </w:rPr>
              <w:t>(46,449</w:t>
            </w:r>
            <w:r w:rsidR="00D27D49">
              <w:rPr>
                <w:sz w:val="22"/>
                <w:szCs w:val="22"/>
                <w:lang w:val="en-GB"/>
              </w:rPr>
              <w:t>)</w:t>
            </w:r>
          </w:p>
        </w:tc>
        <w:tc>
          <w:tcPr>
            <w:tcW w:w="236" w:type="dxa"/>
            <w:vAlign w:val="bottom"/>
          </w:tcPr>
          <w:p w:rsidR="00D27D49" w:rsidRDefault="00D27D49">
            <w:pPr>
              <w:snapToGrid w:val="0"/>
              <w:jc w:val="right"/>
              <w:rPr>
                <w:sz w:val="22"/>
                <w:szCs w:val="22"/>
                <w:highlight w:val="yellow"/>
                <w:lang w:val="en-GB"/>
              </w:rPr>
            </w:pPr>
          </w:p>
        </w:tc>
        <w:tc>
          <w:tcPr>
            <w:tcW w:w="1465" w:type="dxa"/>
            <w:vAlign w:val="bottom"/>
            <w:hideMark/>
          </w:tcPr>
          <w:p w:rsidR="00D27D49" w:rsidRDefault="009A2FFB">
            <w:pPr>
              <w:snapToGrid w:val="0"/>
              <w:jc w:val="right"/>
            </w:pPr>
            <w:r>
              <w:rPr>
                <w:sz w:val="22"/>
                <w:szCs w:val="22"/>
                <w:lang w:val="en-GB"/>
              </w:rPr>
              <w:t>(31,851)</w:t>
            </w:r>
          </w:p>
        </w:tc>
      </w:tr>
      <w:tr w:rsidR="00D27D49" w:rsidTr="00D27D49">
        <w:tc>
          <w:tcPr>
            <w:tcW w:w="6750" w:type="dxa"/>
          </w:tcPr>
          <w:p w:rsidR="00D27D49" w:rsidRDefault="00D27D49">
            <w:pPr>
              <w:snapToGrid w:val="0"/>
              <w:rPr>
                <w:sz w:val="22"/>
                <w:szCs w:val="22"/>
                <w:lang w:val="en-GB"/>
              </w:rPr>
            </w:pPr>
          </w:p>
        </w:tc>
        <w:tc>
          <w:tcPr>
            <w:tcW w:w="270" w:type="dxa"/>
            <w:vAlign w:val="bottom"/>
          </w:tcPr>
          <w:p w:rsidR="00D27D49" w:rsidRDefault="00D27D49">
            <w:pPr>
              <w:snapToGrid w:val="0"/>
              <w:jc w:val="right"/>
              <w:rPr>
                <w:b/>
                <w:sz w:val="22"/>
                <w:szCs w:val="22"/>
                <w:lang w:val="en-GB"/>
              </w:rPr>
            </w:pPr>
          </w:p>
        </w:tc>
        <w:tc>
          <w:tcPr>
            <w:tcW w:w="1485" w:type="dxa"/>
            <w:vAlign w:val="bottom"/>
          </w:tcPr>
          <w:p w:rsidR="00D27D49" w:rsidRDefault="00D27D49">
            <w:pPr>
              <w:snapToGrid w:val="0"/>
              <w:jc w:val="right"/>
              <w:rPr>
                <w:b/>
                <w:sz w:val="22"/>
                <w:szCs w:val="22"/>
                <w:lang w:val="en-GB"/>
              </w:rPr>
            </w:pPr>
          </w:p>
        </w:tc>
        <w:tc>
          <w:tcPr>
            <w:tcW w:w="236" w:type="dxa"/>
            <w:vAlign w:val="bottom"/>
          </w:tcPr>
          <w:p w:rsidR="00D27D49" w:rsidRDefault="00D27D49">
            <w:pPr>
              <w:snapToGrid w:val="0"/>
              <w:jc w:val="right"/>
              <w:rPr>
                <w:b/>
                <w:sz w:val="22"/>
                <w:szCs w:val="22"/>
                <w:highlight w:val="yellow"/>
                <w:lang w:val="en-GB"/>
              </w:rPr>
            </w:pPr>
          </w:p>
        </w:tc>
        <w:tc>
          <w:tcPr>
            <w:tcW w:w="1465" w:type="dxa"/>
            <w:vAlign w:val="bottom"/>
          </w:tcPr>
          <w:p w:rsidR="00D27D49" w:rsidRDefault="00D27D49">
            <w:pPr>
              <w:snapToGrid w:val="0"/>
              <w:jc w:val="right"/>
              <w:rPr>
                <w:b/>
                <w:sz w:val="22"/>
                <w:szCs w:val="22"/>
                <w:lang w:val="en-GB"/>
              </w:rPr>
            </w:pPr>
          </w:p>
        </w:tc>
      </w:tr>
      <w:tr w:rsidR="00D27D49" w:rsidTr="00D27D49">
        <w:tc>
          <w:tcPr>
            <w:tcW w:w="6750" w:type="dxa"/>
            <w:hideMark/>
          </w:tcPr>
          <w:p w:rsidR="00D27D49" w:rsidRDefault="00D27D49">
            <w:pPr>
              <w:snapToGrid w:val="0"/>
              <w:rPr>
                <w:b/>
                <w:sz w:val="22"/>
                <w:szCs w:val="22"/>
                <w:lang w:val="en-GB"/>
              </w:rPr>
            </w:pPr>
          </w:p>
        </w:tc>
        <w:tc>
          <w:tcPr>
            <w:tcW w:w="270" w:type="dxa"/>
            <w:vAlign w:val="bottom"/>
          </w:tcPr>
          <w:p w:rsidR="00D27D49" w:rsidRDefault="00D27D49">
            <w:pPr>
              <w:snapToGrid w:val="0"/>
              <w:jc w:val="right"/>
              <w:rPr>
                <w:b/>
                <w:sz w:val="22"/>
                <w:szCs w:val="22"/>
                <w:lang w:val="en-GB"/>
              </w:rPr>
            </w:pPr>
          </w:p>
        </w:tc>
        <w:tc>
          <w:tcPr>
            <w:tcW w:w="1485" w:type="dxa"/>
            <w:tcBorders>
              <w:top w:val="single" w:sz="2" w:space="0" w:color="auto"/>
              <w:left w:val="nil"/>
              <w:bottom w:val="nil"/>
              <w:right w:val="nil"/>
            </w:tcBorders>
            <w:vAlign w:val="bottom"/>
            <w:hideMark/>
          </w:tcPr>
          <w:p w:rsidR="00D27D49" w:rsidRDefault="00D27D49">
            <w:pPr>
              <w:snapToGrid w:val="0"/>
              <w:jc w:val="right"/>
              <w:rPr>
                <w:sz w:val="22"/>
                <w:szCs w:val="22"/>
                <w:lang w:val="en-GB"/>
              </w:rPr>
            </w:pPr>
          </w:p>
        </w:tc>
        <w:tc>
          <w:tcPr>
            <w:tcW w:w="236" w:type="dxa"/>
            <w:vAlign w:val="bottom"/>
          </w:tcPr>
          <w:p w:rsidR="00D27D49" w:rsidRDefault="00D27D49">
            <w:pPr>
              <w:snapToGrid w:val="0"/>
              <w:jc w:val="right"/>
              <w:rPr>
                <w:b/>
                <w:sz w:val="22"/>
                <w:szCs w:val="22"/>
                <w:highlight w:val="yellow"/>
                <w:lang w:val="en-GB"/>
              </w:rPr>
            </w:pPr>
          </w:p>
        </w:tc>
        <w:tc>
          <w:tcPr>
            <w:tcW w:w="1465" w:type="dxa"/>
            <w:tcBorders>
              <w:top w:val="single" w:sz="2" w:space="0" w:color="auto"/>
              <w:left w:val="nil"/>
              <w:bottom w:val="nil"/>
              <w:right w:val="nil"/>
            </w:tcBorders>
            <w:vAlign w:val="bottom"/>
            <w:hideMark/>
          </w:tcPr>
          <w:p w:rsidR="00D27D49" w:rsidRDefault="00D27D49">
            <w:pPr>
              <w:snapToGrid w:val="0"/>
              <w:jc w:val="right"/>
              <w:rPr>
                <w:sz w:val="22"/>
                <w:szCs w:val="22"/>
                <w:lang w:val="en-GB"/>
              </w:rPr>
            </w:pPr>
          </w:p>
        </w:tc>
      </w:tr>
      <w:tr w:rsidR="00D27D49" w:rsidTr="00D27D49">
        <w:tc>
          <w:tcPr>
            <w:tcW w:w="6750" w:type="dxa"/>
          </w:tcPr>
          <w:p w:rsidR="00D27D49" w:rsidRDefault="00D27D49">
            <w:pPr>
              <w:snapToGrid w:val="0"/>
              <w:rPr>
                <w:b/>
                <w:sz w:val="22"/>
                <w:szCs w:val="22"/>
                <w:lang w:val="en-GB"/>
              </w:rPr>
            </w:pPr>
            <w:r>
              <w:rPr>
                <w:b/>
                <w:sz w:val="22"/>
                <w:szCs w:val="22"/>
                <w:lang w:val="en-GB"/>
              </w:rPr>
              <w:t>Net loss and comprehensive loss for the period</w:t>
            </w:r>
          </w:p>
        </w:tc>
        <w:tc>
          <w:tcPr>
            <w:tcW w:w="270" w:type="dxa"/>
            <w:vAlign w:val="bottom"/>
          </w:tcPr>
          <w:p w:rsidR="00D27D49" w:rsidRDefault="00D27D49">
            <w:pPr>
              <w:snapToGrid w:val="0"/>
              <w:jc w:val="right"/>
              <w:rPr>
                <w:b/>
                <w:sz w:val="22"/>
                <w:szCs w:val="22"/>
                <w:lang w:val="en-GB"/>
              </w:rPr>
            </w:pPr>
          </w:p>
        </w:tc>
        <w:tc>
          <w:tcPr>
            <w:tcW w:w="1485" w:type="dxa"/>
            <w:tcBorders>
              <w:top w:val="nil"/>
              <w:left w:val="nil"/>
              <w:bottom w:val="single" w:sz="12" w:space="0" w:color="auto"/>
              <w:right w:val="nil"/>
            </w:tcBorders>
            <w:vAlign w:val="bottom"/>
          </w:tcPr>
          <w:p w:rsidR="00D27D49" w:rsidRDefault="001B7D97">
            <w:pPr>
              <w:snapToGrid w:val="0"/>
              <w:jc w:val="right"/>
              <w:rPr>
                <w:b/>
                <w:sz w:val="22"/>
                <w:szCs w:val="22"/>
                <w:lang w:val="en-GB"/>
              </w:rPr>
            </w:pPr>
            <w:r>
              <w:rPr>
                <w:bCs/>
                <w:sz w:val="22"/>
                <w:szCs w:val="22"/>
                <w:lang w:val="en-GB"/>
              </w:rPr>
              <w:t>(46,449</w:t>
            </w:r>
            <w:r w:rsidR="00D27D49">
              <w:rPr>
                <w:bCs/>
                <w:sz w:val="22"/>
                <w:szCs w:val="22"/>
                <w:lang w:val="en-GB"/>
              </w:rPr>
              <w:t>)</w:t>
            </w:r>
          </w:p>
        </w:tc>
        <w:tc>
          <w:tcPr>
            <w:tcW w:w="236" w:type="dxa"/>
            <w:vAlign w:val="bottom"/>
          </w:tcPr>
          <w:p w:rsidR="00D27D49" w:rsidRDefault="00D27D49">
            <w:pPr>
              <w:snapToGrid w:val="0"/>
              <w:jc w:val="right"/>
              <w:rPr>
                <w:b/>
                <w:sz w:val="22"/>
                <w:szCs w:val="22"/>
                <w:highlight w:val="yellow"/>
                <w:lang w:val="en-GB"/>
              </w:rPr>
            </w:pPr>
          </w:p>
        </w:tc>
        <w:tc>
          <w:tcPr>
            <w:tcW w:w="1465" w:type="dxa"/>
            <w:tcBorders>
              <w:top w:val="nil"/>
              <w:left w:val="nil"/>
              <w:bottom w:val="single" w:sz="12" w:space="0" w:color="auto"/>
              <w:right w:val="nil"/>
            </w:tcBorders>
            <w:vAlign w:val="bottom"/>
          </w:tcPr>
          <w:p w:rsidR="00D27D49" w:rsidRDefault="009A2FFB">
            <w:pPr>
              <w:snapToGrid w:val="0"/>
              <w:jc w:val="right"/>
              <w:rPr>
                <w:b/>
                <w:sz w:val="22"/>
                <w:szCs w:val="22"/>
                <w:lang w:val="en-GB"/>
              </w:rPr>
            </w:pPr>
            <w:r>
              <w:rPr>
                <w:bCs/>
                <w:sz w:val="22"/>
                <w:szCs w:val="22"/>
                <w:lang w:val="en-GB"/>
              </w:rPr>
              <w:t>(31,851)</w:t>
            </w:r>
          </w:p>
        </w:tc>
      </w:tr>
      <w:tr w:rsidR="00D27D49" w:rsidTr="00D27D49">
        <w:tc>
          <w:tcPr>
            <w:tcW w:w="6750" w:type="dxa"/>
            <w:hideMark/>
          </w:tcPr>
          <w:p w:rsidR="00D27D49" w:rsidRDefault="00D27D49">
            <w:pPr>
              <w:snapToGrid w:val="0"/>
              <w:rPr>
                <w:b/>
                <w:sz w:val="22"/>
                <w:szCs w:val="22"/>
                <w:lang w:val="en-GB"/>
              </w:rPr>
            </w:pPr>
          </w:p>
        </w:tc>
        <w:tc>
          <w:tcPr>
            <w:tcW w:w="270" w:type="dxa"/>
            <w:vAlign w:val="bottom"/>
          </w:tcPr>
          <w:p w:rsidR="00D27D49" w:rsidRDefault="00D27D49">
            <w:pPr>
              <w:snapToGrid w:val="0"/>
              <w:jc w:val="right"/>
              <w:rPr>
                <w:b/>
                <w:sz w:val="22"/>
                <w:szCs w:val="22"/>
                <w:lang w:val="en-GB"/>
              </w:rPr>
            </w:pPr>
          </w:p>
        </w:tc>
        <w:tc>
          <w:tcPr>
            <w:tcW w:w="1485" w:type="dxa"/>
            <w:tcBorders>
              <w:top w:val="single" w:sz="12" w:space="0" w:color="auto"/>
              <w:left w:val="nil"/>
              <w:bottom w:val="nil"/>
              <w:right w:val="nil"/>
            </w:tcBorders>
            <w:vAlign w:val="bottom"/>
          </w:tcPr>
          <w:p w:rsidR="00D27D49" w:rsidRDefault="00D27D49">
            <w:pPr>
              <w:snapToGrid w:val="0"/>
              <w:jc w:val="right"/>
              <w:rPr>
                <w:b/>
                <w:sz w:val="22"/>
                <w:szCs w:val="22"/>
                <w:lang w:val="en-GB"/>
              </w:rPr>
            </w:pPr>
          </w:p>
        </w:tc>
        <w:tc>
          <w:tcPr>
            <w:tcW w:w="236" w:type="dxa"/>
            <w:vAlign w:val="bottom"/>
          </w:tcPr>
          <w:p w:rsidR="00D27D49" w:rsidRDefault="00D27D49">
            <w:pPr>
              <w:snapToGrid w:val="0"/>
              <w:jc w:val="right"/>
              <w:rPr>
                <w:b/>
                <w:sz w:val="22"/>
                <w:szCs w:val="22"/>
                <w:highlight w:val="yellow"/>
                <w:lang w:val="en-GB"/>
              </w:rPr>
            </w:pPr>
          </w:p>
        </w:tc>
        <w:tc>
          <w:tcPr>
            <w:tcW w:w="1465" w:type="dxa"/>
            <w:tcBorders>
              <w:top w:val="single" w:sz="12" w:space="0" w:color="auto"/>
              <w:left w:val="nil"/>
              <w:bottom w:val="nil"/>
              <w:right w:val="nil"/>
            </w:tcBorders>
            <w:vAlign w:val="bottom"/>
          </w:tcPr>
          <w:p w:rsidR="00D27D49" w:rsidRDefault="00D27D49">
            <w:pPr>
              <w:snapToGrid w:val="0"/>
              <w:jc w:val="right"/>
              <w:rPr>
                <w:b/>
                <w:sz w:val="22"/>
                <w:szCs w:val="22"/>
                <w:lang w:val="en-GB"/>
              </w:rPr>
            </w:pPr>
          </w:p>
        </w:tc>
      </w:tr>
      <w:tr w:rsidR="00D27D49" w:rsidTr="00D27D49">
        <w:tc>
          <w:tcPr>
            <w:tcW w:w="6750" w:type="dxa"/>
            <w:hideMark/>
          </w:tcPr>
          <w:p w:rsidR="00D27D49" w:rsidRDefault="00D27D49">
            <w:pPr>
              <w:snapToGrid w:val="0"/>
              <w:rPr>
                <w:sz w:val="22"/>
                <w:szCs w:val="22"/>
                <w:lang w:val="en-GB"/>
              </w:rPr>
            </w:pPr>
            <w:r>
              <w:rPr>
                <w:b/>
                <w:sz w:val="22"/>
                <w:szCs w:val="22"/>
                <w:lang w:val="en-GB"/>
              </w:rPr>
              <w:t>Loss and comprehensive loss per share, basic and diluted</w:t>
            </w:r>
          </w:p>
        </w:tc>
        <w:tc>
          <w:tcPr>
            <w:tcW w:w="270" w:type="dxa"/>
            <w:vAlign w:val="bottom"/>
          </w:tcPr>
          <w:p w:rsidR="00D27D49" w:rsidRDefault="00D27D49">
            <w:pPr>
              <w:snapToGrid w:val="0"/>
              <w:jc w:val="right"/>
              <w:rPr>
                <w:b/>
                <w:sz w:val="22"/>
                <w:szCs w:val="22"/>
                <w:lang w:val="en-GB"/>
              </w:rPr>
            </w:pPr>
          </w:p>
        </w:tc>
        <w:tc>
          <w:tcPr>
            <w:tcW w:w="1485" w:type="dxa"/>
            <w:tcBorders>
              <w:top w:val="nil"/>
              <w:left w:val="nil"/>
              <w:bottom w:val="single" w:sz="12" w:space="0" w:color="auto"/>
              <w:right w:val="nil"/>
            </w:tcBorders>
            <w:vAlign w:val="bottom"/>
            <w:hideMark/>
          </w:tcPr>
          <w:p w:rsidR="00D27D49" w:rsidRDefault="009463BA">
            <w:pPr>
              <w:snapToGrid w:val="0"/>
              <w:jc w:val="right"/>
              <w:rPr>
                <w:sz w:val="22"/>
                <w:szCs w:val="22"/>
                <w:lang w:val="en-GB"/>
              </w:rPr>
            </w:pPr>
            <w:r>
              <w:rPr>
                <w:bCs/>
                <w:sz w:val="22"/>
                <w:szCs w:val="22"/>
                <w:lang w:val="en-GB"/>
              </w:rPr>
              <w:t>(0.004</w:t>
            </w:r>
            <w:r w:rsidR="00D27D49">
              <w:rPr>
                <w:bCs/>
                <w:sz w:val="22"/>
                <w:szCs w:val="22"/>
                <w:lang w:val="en-GB"/>
              </w:rPr>
              <w:t>)</w:t>
            </w:r>
          </w:p>
        </w:tc>
        <w:tc>
          <w:tcPr>
            <w:tcW w:w="236" w:type="dxa"/>
            <w:vAlign w:val="bottom"/>
          </w:tcPr>
          <w:p w:rsidR="00D27D49" w:rsidRDefault="00D27D49">
            <w:pPr>
              <w:snapToGrid w:val="0"/>
              <w:jc w:val="right"/>
              <w:rPr>
                <w:b/>
                <w:sz w:val="22"/>
                <w:szCs w:val="22"/>
                <w:highlight w:val="yellow"/>
                <w:lang w:val="en-GB"/>
              </w:rPr>
            </w:pPr>
          </w:p>
        </w:tc>
        <w:tc>
          <w:tcPr>
            <w:tcW w:w="1465" w:type="dxa"/>
            <w:tcBorders>
              <w:top w:val="nil"/>
              <w:left w:val="nil"/>
              <w:bottom w:val="single" w:sz="12" w:space="0" w:color="auto"/>
              <w:right w:val="nil"/>
            </w:tcBorders>
            <w:vAlign w:val="bottom"/>
            <w:hideMark/>
          </w:tcPr>
          <w:p w:rsidR="00D27D49" w:rsidRDefault="00D27D49">
            <w:pPr>
              <w:snapToGrid w:val="0"/>
              <w:jc w:val="right"/>
              <w:rPr>
                <w:sz w:val="22"/>
                <w:szCs w:val="22"/>
                <w:lang w:val="en-GB"/>
              </w:rPr>
            </w:pPr>
            <w:r>
              <w:rPr>
                <w:bCs/>
                <w:sz w:val="22"/>
                <w:szCs w:val="22"/>
                <w:lang w:val="en-GB"/>
              </w:rPr>
              <w:t>(0.003)</w:t>
            </w:r>
          </w:p>
        </w:tc>
      </w:tr>
      <w:tr w:rsidR="00D27D49" w:rsidTr="00D27D49">
        <w:tc>
          <w:tcPr>
            <w:tcW w:w="6750" w:type="dxa"/>
          </w:tcPr>
          <w:p w:rsidR="00D27D49" w:rsidRDefault="00D27D49">
            <w:pPr>
              <w:snapToGrid w:val="0"/>
              <w:rPr>
                <w:b/>
                <w:sz w:val="22"/>
                <w:szCs w:val="22"/>
                <w:lang w:val="en-GB"/>
              </w:rPr>
            </w:pPr>
          </w:p>
        </w:tc>
        <w:tc>
          <w:tcPr>
            <w:tcW w:w="270" w:type="dxa"/>
            <w:vAlign w:val="bottom"/>
          </w:tcPr>
          <w:p w:rsidR="00D27D49" w:rsidRDefault="00D27D49">
            <w:pPr>
              <w:snapToGrid w:val="0"/>
              <w:jc w:val="right"/>
              <w:rPr>
                <w:b/>
                <w:sz w:val="22"/>
                <w:szCs w:val="22"/>
                <w:lang w:val="en-GB"/>
              </w:rPr>
            </w:pPr>
          </w:p>
        </w:tc>
        <w:tc>
          <w:tcPr>
            <w:tcW w:w="1485" w:type="dxa"/>
            <w:tcBorders>
              <w:top w:val="single" w:sz="12" w:space="0" w:color="auto"/>
              <w:left w:val="nil"/>
              <w:bottom w:val="nil"/>
              <w:right w:val="nil"/>
            </w:tcBorders>
            <w:vAlign w:val="bottom"/>
          </w:tcPr>
          <w:p w:rsidR="00D27D49" w:rsidRDefault="00D27D49">
            <w:pPr>
              <w:snapToGrid w:val="0"/>
              <w:jc w:val="right"/>
              <w:rPr>
                <w:b/>
                <w:sz w:val="22"/>
                <w:szCs w:val="22"/>
                <w:lang w:val="en-GB"/>
              </w:rPr>
            </w:pPr>
          </w:p>
        </w:tc>
        <w:tc>
          <w:tcPr>
            <w:tcW w:w="236" w:type="dxa"/>
            <w:vAlign w:val="bottom"/>
          </w:tcPr>
          <w:p w:rsidR="00D27D49" w:rsidRDefault="00D27D49">
            <w:pPr>
              <w:snapToGrid w:val="0"/>
              <w:jc w:val="right"/>
              <w:rPr>
                <w:b/>
                <w:sz w:val="22"/>
                <w:szCs w:val="22"/>
                <w:highlight w:val="yellow"/>
                <w:lang w:val="en-GB"/>
              </w:rPr>
            </w:pPr>
          </w:p>
        </w:tc>
        <w:tc>
          <w:tcPr>
            <w:tcW w:w="1465" w:type="dxa"/>
            <w:tcBorders>
              <w:top w:val="single" w:sz="12" w:space="0" w:color="auto"/>
              <w:left w:val="nil"/>
              <w:bottom w:val="nil"/>
              <w:right w:val="nil"/>
            </w:tcBorders>
            <w:vAlign w:val="bottom"/>
          </w:tcPr>
          <w:p w:rsidR="00D27D49" w:rsidRDefault="00D27D49">
            <w:pPr>
              <w:snapToGrid w:val="0"/>
              <w:jc w:val="right"/>
              <w:rPr>
                <w:b/>
                <w:sz w:val="22"/>
                <w:szCs w:val="22"/>
                <w:lang w:val="en-GB"/>
              </w:rPr>
            </w:pPr>
          </w:p>
        </w:tc>
      </w:tr>
      <w:tr w:rsidR="00D27D49" w:rsidTr="00D27D49">
        <w:tc>
          <w:tcPr>
            <w:tcW w:w="6750" w:type="dxa"/>
            <w:hideMark/>
          </w:tcPr>
          <w:p w:rsidR="00D27D49" w:rsidRDefault="00D27D49">
            <w:pPr>
              <w:snapToGrid w:val="0"/>
              <w:rPr>
                <w:b/>
                <w:sz w:val="22"/>
                <w:szCs w:val="22"/>
                <w:lang w:val="en-GB"/>
              </w:rPr>
            </w:pPr>
            <w:r>
              <w:rPr>
                <w:b/>
                <w:sz w:val="22"/>
                <w:szCs w:val="22"/>
                <w:lang w:val="en-GB"/>
              </w:rPr>
              <w:t>Weighted average number of common shares outstanding</w:t>
            </w:r>
          </w:p>
        </w:tc>
        <w:tc>
          <w:tcPr>
            <w:tcW w:w="270" w:type="dxa"/>
            <w:vAlign w:val="bottom"/>
          </w:tcPr>
          <w:p w:rsidR="00D27D49" w:rsidRDefault="00D27D49">
            <w:pPr>
              <w:snapToGrid w:val="0"/>
              <w:jc w:val="right"/>
              <w:rPr>
                <w:bCs/>
                <w:sz w:val="22"/>
                <w:szCs w:val="22"/>
                <w:lang w:val="en-GB"/>
              </w:rPr>
            </w:pPr>
          </w:p>
        </w:tc>
        <w:tc>
          <w:tcPr>
            <w:tcW w:w="1485" w:type="dxa"/>
            <w:tcBorders>
              <w:top w:val="nil"/>
              <w:left w:val="nil"/>
              <w:bottom w:val="single" w:sz="12" w:space="0" w:color="auto"/>
              <w:right w:val="nil"/>
            </w:tcBorders>
            <w:vAlign w:val="bottom"/>
            <w:hideMark/>
          </w:tcPr>
          <w:p w:rsidR="00D27D49" w:rsidRDefault="009463BA">
            <w:pPr>
              <w:snapToGrid w:val="0"/>
              <w:jc w:val="right"/>
              <w:rPr>
                <w:bCs/>
                <w:sz w:val="22"/>
                <w:szCs w:val="22"/>
                <w:lang w:val="en-GB"/>
              </w:rPr>
            </w:pPr>
            <w:r>
              <w:rPr>
                <w:bCs/>
                <w:sz w:val="22"/>
                <w:szCs w:val="22"/>
                <w:lang w:val="en-GB"/>
              </w:rPr>
              <w:t>11,296</w:t>
            </w:r>
            <w:r w:rsidR="00D27D49">
              <w:rPr>
                <w:bCs/>
                <w:sz w:val="22"/>
                <w:szCs w:val="22"/>
                <w:lang w:val="en-GB"/>
              </w:rPr>
              <w:t>,</w:t>
            </w:r>
            <w:r>
              <w:rPr>
                <w:bCs/>
                <w:sz w:val="22"/>
                <w:szCs w:val="22"/>
                <w:lang w:val="en-GB"/>
              </w:rPr>
              <w:t>260</w:t>
            </w:r>
          </w:p>
        </w:tc>
        <w:tc>
          <w:tcPr>
            <w:tcW w:w="236" w:type="dxa"/>
            <w:vAlign w:val="bottom"/>
          </w:tcPr>
          <w:p w:rsidR="00D27D49" w:rsidRDefault="00D27D49">
            <w:pPr>
              <w:snapToGrid w:val="0"/>
              <w:jc w:val="right"/>
              <w:rPr>
                <w:bCs/>
                <w:sz w:val="22"/>
                <w:szCs w:val="22"/>
                <w:highlight w:val="yellow"/>
                <w:lang w:val="en-GB"/>
              </w:rPr>
            </w:pPr>
          </w:p>
        </w:tc>
        <w:tc>
          <w:tcPr>
            <w:tcW w:w="1465" w:type="dxa"/>
            <w:tcBorders>
              <w:top w:val="nil"/>
              <w:left w:val="nil"/>
              <w:bottom w:val="single" w:sz="12" w:space="0" w:color="auto"/>
              <w:right w:val="nil"/>
            </w:tcBorders>
            <w:vAlign w:val="bottom"/>
            <w:hideMark/>
          </w:tcPr>
          <w:p w:rsidR="00D27D49" w:rsidRDefault="009A2FFB">
            <w:pPr>
              <w:snapToGrid w:val="0"/>
              <w:jc w:val="right"/>
              <w:rPr>
                <w:bCs/>
                <w:sz w:val="22"/>
                <w:szCs w:val="22"/>
                <w:lang w:val="en-GB"/>
              </w:rPr>
            </w:pPr>
            <w:r>
              <w:rPr>
                <w:bCs/>
                <w:sz w:val="22"/>
                <w:szCs w:val="22"/>
                <w:lang w:val="en-GB"/>
              </w:rPr>
              <w:t>11,274,205</w:t>
            </w:r>
          </w:p>
        </w:tc>
      </w:tr>
      <w:tr w:rsidR="00D27D49" w:rsidTr="00D27D49">
        <w:tc>
          <w:tcPr>
            <w:tcW w:w="6750" w:type="dxa"/>
          </w:tcPr>
          <w:p w:rsidR="00D27D49" w:rsidRDefault="00D27D49">
            <w:pPr>
              <w:snapToGrid w:val="0"/>
              <w:rPr>
                <w:b/>
                <w:sz w:val="22"/>
                <w:szCs w:val="22"/>
                <w:lang w:val="en-GB"/>
              </w:rPr>
            </w:pPr>
          </w:p>
        </w:tc>
        <w:tc>
          <w:tcPr>
            <w:tcW w:w="270" w:type="dxa"/>
            <w:vAlign w:val="bottom"/>
          </w:tcPr>
          <w:p w:rsidR="00D27D49" w:rsidRDefault="00D27D49">
            <w:pPr>
              <w:snapToGrid w:val="0"/>
              <w:jc w:val="right"/>
              <w:rPr>
                <w:bCs/>
                <w:sz w:val="22"/>
                <w:szCs w:val="22"/>
                <w:lang w:val="en-GB"/>
              </w:rPr>
            </w:pPr>
          </w:p>
        </w:tc>
        <w:tc>
          <w:tcPr>
            <w:tcW w:w="1485" w:type="dxa"/>
            <w:tcBorders>
              <w:top w:val="nil"/>
              <w:left w:val="nil"/>
              <w:right w:val="nil"/>
            </w:tcBorders>
            <w:vAlign w:val="bottom"/>
          </w:tcPr>
          <w:p w:rsidR="00D27D49" w:rsidRDefault="00D27D49">
            <w:pPr>
              <w:snapToGrid w:val="0"/>
              <w:jc w:val="right"/>
              <w:rPr>
                <w:bCs/>
                <w:sz w:val="22"/>
                <w:szCs w:val="22"/>
                <w:highlight w:val="yellow"/>
                <w:u w:val="single"/>
                <w:lang w:val="en-GB"/>
              </w:rPr>
            </w:pPr>
          </w:p>
        </w:tc>
        <w:tc>
          <w:tcPr>
            <w:tcW w:w="236" w:type="dxa"/>
            <w:vAlign w:val="bottom"/>
          </w:tcPr>
          <w:p w:rsidR="00D27D49" w:rsidRDefault="00D27D49">
            <w:pPr>
              <w:snapToGrid w:val="0"/>
              <w:jc w:val="right"/>
              <w:rPr>
                <w:bCs/>
                <w:sz w:val="22"/>
                <w:szCs w:val="22"/>
                <w:highlight w:val="yellow"/>
                <w:lang w:val="en-GB"/>
              </w:rPr>
            </w:pPr>
          </w:p>
        </w:tc>
        <w:tc>
          <w:tcPr>
            <w:tcW w:w="1465" w:type="dxa"/>
            <w:tcBorders>
              <w:top w:val="nil"/>
              <w:left w:val="nil"/>
              <w:right w:val="nil"/>
            </w:tcBorders>
            <w:vAlign w:val="bottom"/>
          </w:tcPr>
          <w:p w:rsidR="00D27D49" w:rsidRDefault="00D27D49">
            <w:pPr>
              <w:snapToGrid w:val="0"/>
              <w:jc w:val="right"/>
              <w:rPr>
                <w:bCs/>
                <w:sz w:val="22"/>
                <w:szCs w:val="22"/>
                <w:highlight w:val="yellow"/>
                <w:u w:val="single"/>
                <w:lang w:val="en-GB"/>
              </w:rPr>
            </w:pPr>
          </w:p>
        </w:tc>
      </w:tr>
      <w:tr w:rsidR="00D27D49" w:rsidTr="00D27D49">
        <w:tc>
          <w:tcPr>
            <w:tcW w:w="6750" w:type="dxa"/>
            <w:hideMark/>
          </w:tcPr>
          <w:p w:rsidR="00D27D49" w:rsidRDefault="00D27D49">
            <w:pPr>
              <w:snapToGrid w:val="0"/>
              <w:rPr>
                <w:sz w:val="22"/>
                <w:szCs w:val="22"/>
                <w:lang w:val="en-GB"/>
              </w:rPr>
            </w:pPr>
          </w:p>
        </w:tc>
        <w:tc>
          <w:tcPr>
            <w:tcW w:w="270" w:type="dxa"/>
            <w:vAlign w:val="bottom"/>
          </w:tcPr>
          <w:p w:rsidR="00D27D49" w:rsidRDefault="00D27D49">
            <w:pPr>
              <w:snapToGrid w:val="0"/>
              <w:jc w:val="right"/>
              <w:rPr>
                <w:bCs/>
                <w:sz w:val="22"/>
                <w:szCs w:val="22"/>
                <w:lang w:val="en-GB"/>
              </w:rPr>
            </w:pPr>
          </w:p>
        </w:tc>
        <w:tc>
          <w:tcPr>
            <w:tcW w:w="1485" w:type="dxa"/>
            <w:tcBorders>
              <w:top w:val="nil"/>
              <w:left w:val="nil"/>
              <w:right w:val="nil"/>
            </w:tcBorders>
            <w:vAlign w:val="bottom"/>
            <w:hideMark/>
          </w:tcPr>
          <w:p w:rsidR="00D27D49" w:rsidRDefault="00D27D49">
            <w:pPr>
              <w:snapToGrid w:val="0"/>
              <w:jc w:val="right"/>
              <w:rPr>
                <w:bCs/>
                <w:sz w:val="22"/>
                <w:szCs w:val="22"/>
                <w:lang w:val="en-GB"/>
              </w:rPr>
            </w:pPr>
          </w:p>
        </w:tc>
        <w:tc>
          <w:tcPr>
            <w:tcW w:w="236" w:type="dxa"/>
            <w:vAlign w:val="bottom"/>
          </w:tcPr>
          <w:p w:rsidR="00D27D49" w:rsidRDefault="00D27D49">
            <w:pPr>
              <w:snapToGrid w:val="0"/>
              <w:jc w:val="right"/>
              <w:rPr>
                <w:bCs/>
                <w:sz w:val="22"/>
                <w:szCs w:val="22"/>
                <w:highlight w:val="yellow"/>
                <w:lang w:val="en-GB"/>
              </w:rPr>
            </w:pPr>
          </w:p>
        </w:tc>
        <w:tc>
          <w:tcPr>
            <w:tcW w:w="1465" w:type="dxa"/>
            <w:tcBorders>
              <w:top w:val="nil"/>
              <w:left w:val="nil"/>
              <w:right w:val="nil"/>
            </w:tcBorders>
            <w:vAlign w:val="bottom"/>
            <w:hideMark/>
          </w:tcPr>
          <w:p w:rsidR="00D27D49" w:rsidRDefault="00D27D49">
            <w:pPr>
              <w:snapToGrid w:val="0"/>
              <w:jc w:val="right"/>
              <w:rPr>
                <w:bCs/>
                <w:sz w:val="22"/>
                <w:szCs w:val="22"/>
                <w:lang w:val="en-GB"/>
              </w:rPr>
            </w:pPr>
          </w:p>
        </w:tc>
      </w:tr>
      <w:tr w:rsidR="00D27D49" w:rsidTr="00D27D49">
        <w:tc>
          <w:tcPr>
            <w:tcW w:w="6750" w:type="dxa"/>
          </w:tcPr>
          <w:p w:rsidR="00D27D49" w:rsidRDefault="00D27D49">
            <w:pPr>
              <w:snapToGrid w:val="0"/>
              <w:rPr>
                <w:b/>
                <w:sz w:val="22"/>
                <w:szCs w:val="22"/>
                <w:lang w:val="en-GB"/>
              </w:rPr>
            </w:pPr>
          </w:p>
        </w:tc>
        <w:tc>
          <w:tcPr>
            <w:tcW w:w="270" w:type="dxa"/>
            <w:vAlign w:val="bottom"/>
          </w:tcPr>
          <w:p w:rsidR="00D27D49" w:rsidRDefault="00D27D49">
            <w:pPr>
              <w:snapToGrid w:val="0"/>
              <w:jc w:val="right"/>
              <w:rPr>
                <w:bCs/>
                <w:sz w:val="22"/>
                <w:szCs w:val="22"/>
                <w:lang w:val="en-GB"/>
              </w:rPr>
            </w:pPr>
          </w:p>
        </w:tc>
        <w:tc>
          <w:tcPr>
            <w:tcW w:w="1485" w:type="dxa"/>
            <w:tcBorders>
              <w:top w:val="nil"/>
              <w:left w:val="nil"/>
              <w:right w:val="nil"/>
            </w:tcBorders>
            <w:vAlign w:val="bottom"/>
          </w:tcPr>
          <w:p w:rsidR="00D27D49" w:rsidRPr="00D27D49" w:rsidRDefault="00D27D49">
            <w:pPr>
              <w:snapToGrid w:val="0"/>
              <w:jc w:val="right"/>
              <w:rPr>
                <w:bCs/>
                <w:sz w:val="22"/>
                <w:szCs w:val="22"/>
                <w:highlight w:val="yellow"/>
                <w:lang w:val="en-GB"/>
              </w:rPr>
            </w:pPr>
          </w:p>
        </w:tc>
        <w:tc>
          <w:tcPr>
            <w:tcW w:w="236" w:type="dxa"/>
            <w:vAlign w:val="bottom"/>
          </w:tcPr>
          <w:p w:rsidR="00D27D49" w:rsidRPr="00D27D49" w:rsidRDefault="00D27D49">
            <w:pPr>
              <w:snapToGrid w:val="0"/>
              <w:jc w:val="right"/>
              <w:rPr>
                <w:bCs/>
                <w:sz w:val="22"/>
                <w:szCs w:val="22"/>
                <w:highlight w:val="yellow"/>
                <w:lang w:val="en-GB"/>
              </w:rPr>
            </w:pPr>
          </w:p>
        </w:tc>
        <w:tc>
          <w:tcPr>
            <w:tcW w:w="1465" w:type="dxa"/>
            <w:tcBorders>
              <w:top w:val="nil"/>
              <w:left w:val="nil"/>
              <w:right w:val="nil"/>
            </w:tcBorders>
            <w:vAlign w:val="bottom"/>
          </w:tcPr>
          <w:p w:rsidR="00D27D49" w:rsidRPr="00D27D49" w:rsidRDefault="00D27D49">
            <w:pPr>
              <w:snapToGrid w:val="0"/>
              <w:jc w:val="right"/>
              <w:rPr>
                <w:bCs/>
                <w:sz w:val="22"/>
                <w:szCs w:val="22"/>
                <w:highlight w:val="yellow"/>
                <w:lang w:val="en-GB"/>
              </w:rPr>
            </w:pPr>
          </w:p>
        </w:tc>
      </w:tr>
      <w:tr w:rsidR="00D27D49" w:rsidTr="00D27D49">
        <w:tc>
          <w:tcPr>
            <w:tcW w:w="6750" w:type="dxa"/>
          </w:tcPr>
          <w:p w:rsidR="00D27D49" w:rsidRDefault="00D27D49">
            <w:pPr>
              <w:snapToGrid w:val="0"/>
              <w:rPr>
                <w:b/>
                <w:sz w:val="22"/>
                <w:szCs w:val="22"/>
                <w:lang w:val="en-GB"/>
              </w:rPr>
            </w:pPr>
          </w:p>
        </w:tc>
        <w:tc>
          <w:tcPr>
            <w:tcW w:w="270" w:type="dxa"/>
            <w:vAlign w:val="bottom"/>
          </w:tcPr>
          <w:p w:rsidR="00D27D49" w:rsidRDefault="00D27D49">
            <w:pPr>
              <w:snapToGrid w:val="0"/>
              <w:jc w:val="right"/>
              <w:rPr>
                <w:bCs/>
                <w:sz w:val="22"/>
                <w:szCs w:val="22"/>
                <w:lang w:val="en-GB"/>
              </w:rPr>
            </w:pPr>
          </w:p>
        </w:tc>
        <w:tc>
          <w:tcPr>
            <w:tcW w:w="1485" w:type="dxa"/>
            <w:tcBorders>
              <w:top w:val="nil"/>
              <w:left w:val="nil"/>
              <w:right w:val="nil"/>
            </w:tcBorders>
            <w:vAlign w:val="bottom"/>
          </w:tcPr>
          <w:p w:rsidR="00D27D49" w:rsidRPr="00D27D49" w:rsidRDefault="00D27D49">
            <w:pPr>
              <w:snapToGrid w:val="0"/>
              <w:jc w:val="right"/>
              <w:rPr>
                <w:bCs/>
                <w:sz w:val="22"/>
                <w:szCs w:val="22"/>
                <w:lang w:val="en-GB"/>
              </w:rPr>
            </w:pPr>
          </w:p>
        </w:tc>
        <w:tc>
          <w:tcPr>
            <w:tcW w:w="236" w:type="dxa"/>
            <w:vAlign w:val="bottom"/>
          </w:tcPr>
          <w:p w:rsidR="00D27D49" w:rsidRPr="00D27D49" w:rsidRDefault="00D27D49">
            <w:pPr>
              <w:snapToGrid w:val="0"/>
              <w:jc w:val="right"/>
              <w:rPr>
                <w:bCs/>
                <w:sz w:val="22"/>
                <w:szCs w:val="22"/>
                <w:highlight w:val="yellow"/>
                <w:lang w:val="en-GB"/>
              </w:rPr>
            </w:pPr>
          </w:p>
        </w:tc>
        <w:tc>
          <w:tcPr>
            <w:tcW w:w="1465" w:type="dxa"/>
            <w:tcBorders>
              <w:top w:val="nil"/>
              <w:left w:val="nil"/>
              <w:right w:val="nil"/>
            </w:tcBorders>
            <w:vAlign w:val="bottom"/>
          </w:tcPr>
          <w:p w:rsidR="00D27D49" w:rsidRPr="00D27D49" w:rsidRDefault="00D27D49">
            <w:pPr>
              <w:snapToGrid w:val="0"/>
              <w:jc w:val="right"/>
              <w:rPr>
                <w:bCs/>
                <w:sz w:val="22"/>
                <w:szCs w:val="22"/>
                <w:lang w:val="en-GB"/>
              </w:rPr>
            </w:pPr>
          </w:p>
        </w:tc>
      </w:tr>
    </w:tbl>
    <w:p w:rsidR="002E4E73" w:rsidRDefault="002E4E73">
      <w:pPr>
        <w:jc w:val="both"/>
        <w:rPr>
          <w:b/>
          <w:sz w:val="28"/>
          <w:lang w:val="en-GB"/>
        </w:rPr>
      </w:pPr>
      <w:r>
        <w:rPr>
          <w:sz w:val="20"/>
          <w:lang w:val="en-GB"/>
        </w:rPr>
        <w:br w:type="page"/>
      </w:r>
      <w:r w:rsidR="0069465E" w:rsidRPr="004B1065">
        <w:rPr>
          <w:b/>
          <w:sz w:val="28"/>
          <w:lang w:val="en-GB"/>
        </w:rPr>
        <w:lastRenderedPageBreak/>
        <w:t>Rheingold Exploration Corp.</w:t>
      </w:r>
    </w:p>
    <w:p w:rsidR="002E4E73" w:rsidRDefault="006468AD">
      <w:pPr>
        <w:jc w:val="both"/>
        <w:rPr>
          <w:lang w:val="en-GB"/>
        </w:rPr>
      </w:pPr>
      <w:r>
        <w:rPr>
          <w:lang w:val="en-GB"/>
        </w:rPr>
        <w:t xml:space="preserve">Condensed </w:t>
      </w:r>
      <w:r w:rsidR="00EB3B29">
        <w:rPr>
          <w:lang w:val="en-GB"/>
        </w:rPr>
        <w:t xml:space="preserve">Interim </w:t>
      </w:r>
      <w:r w:rsidR="0040596A">
        <w:rPr>
          <w:lang w:val="en-GB"/>
        </w:rPr>
        <w:t>Statement</w:t>
      </w:r>
      <w:r w:rsidR="008D072E">
        <w:rPr>
          <w:lang w:val="en-GB"/>
        </w:rPr>
        <w:t>s</w:t>
      </w:r>
      <w:r w:rsidR="002E4E73">
        <w:rPr>
          <w:lang w:val="en-GB"/>
        </w:rPr>
        <w:t xml:space="preserve"> of Cash Flows </w:t>
      </w:r>
    </w:p>
    <w:p w:rsidR="002E4E73" w:rsidRDefault="0069465E">
      <w:pPr>
        <w:pBdr>
          <w:bottom w:val="single" w:sz="8" w:space="1" w:color="auto"/>
        </w:pBdr>
        <w:jc w:val="both"/>
        <w:rPr>
          <w:bCs/>
          <w:lang w:val="en-GB"/>
        </w:rPr>
      </w:pPr>
      <w:r w:rsidRPr="0069465E">
        <w:rPr>
          <w:bCs/>
          <w:lang w:val="en-GB"/>
        </w:rPr>
        <w:t>(Ex</w:t>
      </w:r>
      <w:r>
        <w:rPr>
          <w:bCs/>
          <w:lang w:val="en-GB"/>
        </w:rPr>
        <w:t>pressed in Canadian Dollars)</w:t>
      </w:r>
    </w:p>
    <w:p w:rsidR="00B6502A" w:rsidRDefault="00B6502A" w:rsidP="00B6502A">
      <w:pPr>
        <w:pBdr>
          <w:bottom w:val="single" w:sz="8" w:space="1" w:color="auto"/>
        </w:pBdr>
        <w:jc w:val="both"/>
        <w:rPr>
          <w:lang w:val="en-GB"/>
        </w:rPr>
      </w:pPr>
      <w:r>
        <w:rPr>
          <w:lang w:val="en-GB"/>
        </w:rPr>
        <w:t>(Unaudited – Prepared by Management)</w:t>
      </w:r>
    </w:p>
    <w:p w:rsidR="002E4E73" w:rsidRDefault="002E4E73">
      <w:pPr>
        <w:rPr>
          <w:sz w:val="22"/>
        </w:rPr>
      </w:pPr>
    </w:p>
    <w:tbl>
      <w:tblPr>
        <w:tblW w:w="10260" w:type="dxa"/>
        <w:tblInd w:w="108" w:type="dxa"/>
        <w:tblLook w:val="04A0"/>
      </w:tblPr>
      <w:tblGrid>
        <w:gridCol w:w="6750"/>
        <w:gridCol w:w="270"/>
        <w:gridCol w:w="1485"/>
        <w:gridCol w:w="236"/>
        <w:gridCol w:w="1519"/>
      </w:tblGrid>
      <w:tr w:rsidR="004B1065" w:rsidTr="004B1065">
        <w:trPr>
          <w:trHeight w:val="783"/>
        </w:trPr>
        <w:tc>
          <w:tcPr>
            <w:tcW w:w="6750" w:type="dxa"/>
          </w:tcPr>
          <w:p w:rsidR="004B1065" w:rsidRDefault="004B1065">
            <w:pPr>
              <w:snapToGrid w:val="0"/>
              <w:rPr>
                <w:sz w:val="22"/>
                <w:lang w:val="en-GB"/>
              </w:rPr>
            </w:pPr>
          </w:p>
        </w:tc>
        <w:tc>
          <w:tcPr>
            <w:tcW w:w="270" w:type="dxa"/>
            <w:vAlign w:val="bottom"/>
          </w:tcPr>
          <w:p w:rsidR="004B1065" w:rsidRDefault="004B1065">
            <w:pPr>
              <w:snapToGrid w:val="0"/>
              <w:jc w:val="right"/>
              <w:rPr>
                <w:b/>
                <w:sz w:val="22"/>
              </w:rPr>
            </w:pPr>
          </w:p>
        </w:tc>
        <w:tc>
          <w:tcPr>
            <w:tcW w:w="1485" w:type="dxa"/>
            <w:vAlign w:val="bottom"/>
            <w:hideMark/>
          </w:tcPr>
          <w:p w:rsidR="004B1065" w:rsidRDefault="004B1065">
            <w:pPr>
              <w:snapToGrid w:val="0"/>
              <w:jc w:val="right"/>
              <w:rPr>
                <w:b/>
                <w:bCs/>
                <w:sz w:val="22"/>
                <w:szCs w:val="22"/>
              </w:rPr>
            </w:pPr>
            <w:r>
              <w:rPr>
                <w:b/>
                <w:bCs/>
                <w:sz w:val="22"/>
                <w:szCs w:val="22"/>
              </w:rPr>
              <w:t>For the three month period ended 30 April 201</w:t>
            </w:r>
            <w:r w:rsidR="009A2FFB">
              <w:rPr>
                <w:b/>
                <w:bCs/>
                <w:sz w:val="22"/>
                <w:szCs w:val="22"/>
              </w:rPr>
              <w:t>5</w:t>
            </w:r>
          </w:p>
        </w:tc>
        <w:tc>
          <w:tcPr>
            <w:tcW w:w="236" w:type="dxa"/>
            <w:vAlign w:val="bottom"/>
          </w:tcPr>
          <w:p w:rsidR="004B1065" w:rsidRDefault="004B1065">
            <w:pPr>
              <w:snapToGrid w:val="0"/>
              <w:jc w:val="right"/>
              <w:rPr>
                <w:b/>
                <w:sz w:val="22"/>
                <w:szCs w:val="22"/>
                <w:lang w:val="en-GB"/>
              </w:rPr>
            </w:pPr>
          </w:p>
        </w:tc>
        <w:tc>
          <w:tcPr>
            <w:tcW w:w="1519" w:type="dxa"/>
            <w:vAlign w:val="bottom"/>
            <w:hideMark/>
          </w:tcPr>
          <w:p w:rsidR="004B1065" w:rsidRDefault="004B1065">
            <w:pPr>
              <w:jc w:val="right"/>
              <w:rPr>
                <w:b/>
                <w:bCs/>
                <w:sz w:val="22"/>
                <w:szCs w:val="22"/>
              </w:rPr>
            </w:pPr>
            <w:r>
              <w:rPr>
                <w:b/>
                <w:bCs/>
                <w:sz w:val="22"/>
                <w:szCs w:val="22"/>
              </w:rPr>
              <w:t xml:space="preserve">For the three month </w:t>
            </w:r>
          </w:p>
          <w:p w:rsidR="004B1065" w:rsidRDefault="004B1065">
            <w:pPr>
              <w:snapToGrid w:val="0"/>
              <w:jc w:val="right"/>
              <w:rPr>
                <w:b/>
                <w:bCs/>
                <w:sz w:val="22"/>
                <w:szCs w:val="22"/>
                <w:lang w:val="en-GB"/>
              </w:rPr>
            </w:pPr>
            <w:r>
              <w:rPr>
                <w:b/>
                <w:bCs/>
                <w:sz w:val="22"/>
                <w:szCs w:val="22"/>
              </w:rPr>
              <w:t>period ended 30 April  201</w:t>
            </w:r>
            <w:r w:rsidR="009A2FFB">
              <w:rPr>
                <w:b/>
                <w:bCs/>
                <w:sz w:val="22"/>
                <w:szCs w:val="22"/>
              </w:rPr>
              <w:t>4</w:t>
            </w:r>
          </w:p>
        </w:tc>
      </w:tr>
      <w:tr w:rsidR="004B1065" w:rsidTr="004B1065">
        <w:tc>
          <w:tcPr>
            <w:tcW w:w="6750" w:type="dxa"/>
          </w:tcPr>
          <w:p w:rsidR="004B1065" w:rsidRDefault="004B1065">
            <w:pPr>
              <w:snapToGrid w:val="0"/>
              <w:rPr>
                <w:sz w:val="22"/>
                <w:lang w:val="en-GB"/>
              </w:rPr>
            </w:pPr>
          </w:p>
        </w:tc>
        <w:tc>
          <w:tcPr>
            <w:tcW w:w="270" w:type="dxa"/>
            <w:vAlign w:val="bottom"/>
          </w:tcPr>
          <w:p w:rsidR="004B1065" w:rsidRDefault="004B1065">
            <w:pPr>
              <w:snapToGrid w:val="0"/>
              <w:jc w:val="right"/>
              <w:rPr>
                <w:b/>
                <w:sz w:val="22"/>
                <w:lang w:val="en-GB"/>
              </w:rPr>
            </w:pPr>
          </w:p>
        </w:tc>
        <w:tc>
          <w:tcPr>
            <w:tcW w:w="1485" w:type="dxa"/>
            <w:vAlign w:val="bottom"/>
            <w:hideMark/>
          </w:tcPr>
          <w:p w:rsidR="004B1065" w:rsidRDefault="004B1065">
            <w:pPr>
              <w:snapToGrid w:val="0"/>
              <w:jc w:val="right"/>
              <w:rPr>
                <w:b/>
                <w:sz w:val="22"/>
                <w:lang w:val="en-GB"/>
              </w:rPr>
            </w:pPr>
            <w:r>
              <w:rPr>
                <w:b/>
                <w:sz w:val="22"/>
                <w:lang w:val="en-GB"/>
              </w:rPr>
              <w:t>$</w:t>
            </w:r>
          </w:p>
        </w:tc>
        <w:tc>
          <w:tcPr>
            <w:tcW w:w="236" w:type="dxa"/>
            <w:vAlign w:val="bottom"/>
          </w:tcPr>
          <w:p w:rsidR="004B1065" w:rsidRDefault="004B1065">
            <w:pPr>
              <w:snapToGrid w:val="0"/>
              <w:jc w:val="right"/>
              <w:rPr>
                <w:b/>
                <w:sz w:val="22"/>
                <w:lang w:val="en-GB"/>
              </w:rPr>
            </w:pPr>
          </w:p>
        </w:tc>
        <w:tc>
          <w:tcPr>
            <w:tcW w:w="1519" w:type="dxa"/>
            <w:vAlign w:val="bottom"/>
            <w:hideMark/>
          </w:tcPr>
          <w:p w:rsidR="004B1065" w:rsidRDefault="004B1065">
            <w:pPr>
              <w:snapToGrid w:val="0"/>
              <w:jc w:val="right"/>
              <w:rPr>
                <w:b/>
                <w:sz w:val="22"/>
                <w:lang w:val="en-GB"/>
              </w:rPr>
            </w:pPr>
            <w:r>
              <w:rPr>
                <w:b/>
                <w:sz w:val="22"/>
                <w:lang w:val="en-GB"/>
              </w:rPr>
              <w:t>$</w:t>
            </w:r>
          </w:p>
        </w:tc>
      </w:tr>
      <w:tr w:rsidR="004B1065" w:rsidTr="004B1065">
        <w:tc>
          <w:tcPr>
            <w:tcW w:w="6750" w:type="dxa"/>
          </w:tcPr>
          <w:p w:rsidR="004B1065" w:rsidRDefault="004B1065">
            <w:pPr>
              <w:snapToGrid w:val="0"/>
              <w:rPr>
                <w:bCs/>
                <w:sz w:val="22"/>
              </w:rPr>
            </w:pPr>
          </w:p>
        </w:tc>
        <w:tc>
          <w:tcPr>
            <w:tcW w:w="270" w:type="dxa"/>
            <w:vAlign w:val="bottom"/>
          </w:tcPr>
          <w:p w:rsidR="004B1065" w:rsidRDefault="004B1065">
            <w:pPr>
              <w:snapToGrid w:val="0"/>
              <w:jc w:val="right"/>
              <w:rPr>
                <w:bCs/>
                <w:sz w:val="22"/>
                <w:lang w:val="en-GB"/>
              </w:rPr>
            </w:pPr>
          </w:p>
        </w:tc>
        <w:tc>
          <w:tcPr>
            <w:tcW w:w="1485" w:type="dxa"/>
            <w:vAlign w:val="bottom"/>
          </w:tcPr>
          <w:p w:rsidR="004B1065" w:rsidRDefault="004B1065">
            <w:pPr>
              <w:snapToGrid w:val="0"/>
              <w:jc w:val="right"/>
              <w:rPr>
                <w:bCs/>
                <w:sz w:val="22"/>
                <w:highlight w:val="yellow"/>
                <w:lang w:val="en-GB"/>
              </w:rPr>
            </w:pPr>
          </w:p>
        </w:tc>
        <w:tc>
          <w:tcPr>
            <w:tcW w:w="236" w:type="dxa"/>
            <w:vAlign w:val="bottom"/>
          </w:tcPr>
          <w:p w:rsidR="004B1065" w:rsidRDefault="004B1065">
            <w:pPr>
              <w:snapToGrid w:val="0"/>
              <w:jc w:val="right"/>
              <w:rPr>
                <w:sz w:val="22"/>
                <w:highlight w:val="yellow"/>
                <w:lang w:val="en-GB"/>
              </w:rPr>
            </w:pPr>
          </w:p>
        </w:tc>
        <w:tc>
          <w:tcPr>
            <w:tcW w:w="1519" w:type="dxa"/>
            <w:vAlign w:val="bottom"/>
          </w:tcPr>
          <w:p w:rsidR="004B1065" w:rsidRDefault="004B1065">
            <w:pPr>
              <w:snapToGrid w:val="0"/>
              <w:jc w:val="right"/>
              <w:rPr>
                <w:bCs/>
                <w:sz w:val="22"/>
                <w:highlight w:val="yellow"/>
                <w:lang w:val="en-GB"/>
              </w:rPr>
            </w:pPr>
          </w:p>
        </w:tc>
      </w:tr>
      <w:tr w:rsidR="004B1065" w:rsidTr="004B1065">
        <w:tc>
          <w:tcPr>
            <w:tcW w:w="6750" w:type="dxa"/>
            <w:hideMark/>
          </w:tcPr>
          <w:p w:rsidR="004B1065" w:rsidRDefault="004B1065">
            <w:pPr>
              <w:snapToGrid w:val="0"/>
              <w:rPr>
                <w:b/>
                <w:sz w:val="22"/>
                <w:lang w:val="en-GB"/>
              </w:rPr>
            </w:pPr>
            <w:r>
              <w:rPr>
                <w:b/>
                <w:sz w:val="22"/>
              </w:rPr>
              <w:t>Cash flows used in operating activities</w:t>
            </w:r>
          </w:p>
        </w:tc>
        <w:tc>
          <w:tcPr>
            <w:tcW w:w="270" w:type="dxa"/>
            <w:vAlign w:val="bottom"/>
          </w:tcPr>
          <w:p w:rsidR="004B1065" w:rsidRDefault="004B1065">
            <w:pPr>
              <w:snapToGrid w:val="0"/>
              <w:jc w:val="right"/>
              <w:rPr>
                <w:bCs/>
                <w:sz w:val="22"/>
                <w:lang w:val="en-GB"/>
              </w:rPr>
            </w:pPr>
          </w:p>
        </w:tc>
        <w:tc>
          <w:tcPr>
            <w:tcW w:w="1485" w:type="dxa"/>
            <w:vAlign w:val="bottom"/>
          </w:tcPr>
          <w:p w:rsidR="004B1065" w:rsidRDefault="004B1065">
            <w:pPr>
              <w:snapToGrid w:val="0"/>
              <w:jc w:val="right"/>
              <w:rPr>
                <w:bCs/>
                <w:sz w:val="22"/>
                <w:highlight w:val="yellow"/>
                <w:lang w:val="en-GB"/>
              </w:rPr>
            </w:pPr>
          </w:p>
        </w:tc>
        <w:tc>
          <w:tcPr>
            <w:tcW w:w="236" w:type="dxa"/>
            <w:vAlign w:val="bottom"/>
          </w:tcPr>
          <w:p w:rsidR="004B1065" w:rsidRDefault="004B1065">
            <w:pPr>
              <w:snapToGrid w:val="0"/>
              <w:jc w:val="right"/>
              <w:rPr>
                <w:sz w:val="22"/>
                <w:highlight w:val="yellow"/>
                <w:lang w:val="en-GB"/>
              </w:rPr>
            </w:pPr>
          </w:p>
        </w:tc>
        <w:tc>
          <w:tcPr>
            <w:tcW w:w="1519" w:type="dxa"/>
            <w:vAlign w:val="bottom"/>
          </w:tcPr>
          <w:p w:rsidR="004B1065" w:rsidRDefault="004B1065">
            <w:pPr>
              <w:snapToGrid w:val="0"/>
              <w:jc w:val="right"/>
              <w:rPr>
                <w:bCs/>
                <w:sz w:val="22"/>
                <w:highlight w:val="yellow"/>
                <w:lang w:val="en-GB"/>
              </w:rPr>
            </w:pPr>
          </w:p>
        </w:tc>
      </w:tr>
      <w:tr w:rsidR="004B1065" w:rsidTr="004B1065">
        <w:tc>
          <w:tcPr>
            <w:tcW w:w="6750" w:type="dxa"/>
            <w:hideMark/>
          </w:tcPr>
          <w:p w:rsidR="004B1065" w:rsidRDefault="004B1065">
            <w:pPr>
              <w:snapToGrid w:val="0"/>
              <w:rPr>
                <w:sz w:val="22"/>
                <w:lang w:val="en-GB"/>
              </w:rPr>
            </w:pPr>
            <w:r>
              <w:rPr>
                <w:sz w:val="22"/>
                <w:lang w:val="en-GB"/>
              </w:rPr>
              <w:t>Net loss for the period</w:t>
            </w:r>
          </w:p>
        </w:tc>
        <w:tc>
          <w:tcPr>
            <w:tcW w:w="270" w:type="dxa"/>
            <w:vAlign w:val="bottom"/>
          </w:tcPr>
          <w:p w:rsidR="004B1065" w:rsidRDefault="004B1065">
            <w:pPr>
              <w:snapToGrid w:val="0"/>
              <w:jc w:val="right"/>
              <w:rPr>
                <w:bCs/>
                <w:sz w:val="22"/>
                <w:lang w:val="en-GB"/>
              </w:rPr>
            </w:pPr>
          </w:p>
        </w:tc>
        <w:tc>
          <w:tcPr>
            <w:tcW w:w="1485" w:type="dxa"/>
            <w:vAlign w:val="bottom"/>
            <w:hideMark/>
          </w:tcPr>
          <w:p w:rsidR="004B1065" w:rsidRDefault="009463BA">
            <w:pPr>
              <w:snapToGrid w:val="0"/>
              <w:jc w:val="right"/>
              <w:rPr>
                <w:bCs/>
                <w:sz w:val="22"/>
                <w:lang w:val="en-GB"/>
              </w:rPr>
            </w:pPr>
            <w:r>
              <w:rPr>
                <w:bCs/>
                <w:sz w:val="22"/>
                <w:szCs w:val="22"/>
                <w:lang w:val="en-GB"/>
              </w:rPr>
              <w:t>(46,449</w:t>
            </w:r>
            <w:r w:rsidR="004B1065">
              <w:rPr>
                <w:bCs/>
                <w:sz w:val="22"/>
                <w:szCs w:val="22"/>
                <w:lang w:val="en-GB"/>
              </w:rPr>
              <w:t>)</w:t>
            </w:r>
          </w:p>
        </w:tc>
        <w:tc>
          <w:tcPr>
            <w:tcW w:w="236" w:type="dxa"/>
            <w:vAlign w:val="bottom"/>
          </w:tcPr>
          <w:p w:rsidR="004B1065" w:rsidRDefault="004B1065">
            <w:pPr>
              <w:snapToGrid w:val="0"/>
              <w:jc w:val="right"/>
              <w:rPr>
                <w:sz w:val="22"/>
                <w:highlight w:val="yellow"/>
                <w:lang w:val="en-GB"/>
              </w:rPr>
            </w:pPr>
          </w:p>
        </w:tc>
        <w:tc>
          <w:tcPr>
            <w:tcW w:w="1519" w:type="dxa"/>
            <w:vAlign w:val="bottom"/>
            <w:hideMark/>
          </w:tcPr>
          <w:p w:rsidR="004B1065" w:rsidRDefault="009A2FFB">
            <w:pPr>
              <w:snapToGrid w:val="0"/>
              <w:jc w:val="right"/>
              <w:rPr>
                <w:bCs/>
                <w:sz w:val="22"/>
                <w:lang w:val="en-GB"/>
              </w:rPr>
            </w:pPr>
            <w:r>
              <w:rPr>
                <w:bCs/>
                <w:sz w:val="22"/>
                <w:lang w:val="en-GB"/>
              </w:rPr>
              <w:t>(31,851</w:t>
            </w:r>
            <w:r w:rsidR="004B1065">
              <w:rPr>
                <w:bCs/>
                <w:sz w:val="22"/>
                <w:lang w:val="en-GB"/>
              </w:rPr>
              <w:t>)</w:t>
            </w:r>
          </w:p>
        </w:tc>
      </w:tr>
      <w:tr w:rsidR="00D27D49" w:rsidTr="004B1065">
        <w:tc>
          <w:tcPr>
            <w:tcW w:w="6750" w:type="dxa"/>
            <w:hideMark/>
          </w:tcPr>
          <w:p w:rsidR="00D27D49" w:rsidRDefault="00D27D49">
            <w:pPr>
              <w:snapToGrid w:val="0"/>
              <w:rPr>
                <w:sz w:val="22"/>
                <w:lang w:val="en-GB"/>
              </w:rPr>
            </w:pPr>
            <w:r>
              <w:rPr>
                <w:sz w:val="22"/>
                <w:lang w:val="en-GB"/>
              </w:rPr>
              <w:t>Changes in operating assets and liabilities</w:t>
            </w:r>
          </w:p>
        </w:tc>
        <w:tc>
          <w:tcPr>
            <w:tcW w:w="270" w:type="dxa"/>
            <w:vAlign w:val="bottom"/>
          </w:tcPr>
          <w:p w:rsidR="00D27D49" w:rsidRDefault="00D27D49">
            <w:pPr>
              <w:snapToGrid w:val="0"/>
              <w:jc w:val="right"/>
              <w:rPr>
                <w:bCs/>
                <w:sz w:val="22"/>
                <w:lang w:val="en-GB"/>
              </w:rPr>
            </w:pPr>
          </w:p>
        </w:tc>
        <w:tc>
          <w:tcPr>
            <w:tcW w:w="1485" w:type="dxa"/>
            <w:vAlign w:val="bottom"/>
            <w:hideMark/>
          </w:tcPr>
          <w:p w:rsidR="00D27D49" w:rsidRDefault="00D27D49">
            <w:pPr>
              <w:snapToGrid w:val="0"/>
              <w:jc w:val="right"/>
              <w:rPr>
                <w:sz w:val="22"/>
                <w:szCs w:val="22"/>
              </w:rPr>
            </w:pPr>
          </w:p>
        </w:tc>
        <w:tc>
          <w:tcPr>
            <w:tcW w:w="236" w:type="dxa"/>
            <w:vAlign w:val="bottom"/>
          </w:tcPr>
          <w:p w:rsidR="00D27D49" w:rsidRDefault="00D27D49">
            <w:pPr>
              <w:snapToGrid w:val="0"/>
              <w:jc w:val="right"/>
              <w:rPr>
                <w:sz w:val="22"/>
                <w:highlight w:val="yellow"/>
                <w:lang w:val="en-GB"/>
              </w:rPr>
            </w:pPr>
          </w:p>
        </w:tc>
        <w:tc>
          <w:tcPr>
            <w:tcW w:w="1519" w:type="dxa"/>
            <w:vAlign w:val="bottom"/>
            <w:hideMark/>
          </w:tcPr>
          <w:p w:rsidR="00D27D49" w:rsidRDefault="00D27D49">
            <w:pPr>
              <w:snapToGrid w:val="0"/>
              <w:jc w:val="right"/>
              <w:rPr>
                <w:sz w:val="22"/>
                <w:szCs w:val="22"/>
              </w:rPr>
            </w:pPr>
          </w:p>
        </w:tc>
      </w:tr>
      <w:tr w:rsidR="00D27D49" w:rsidTr="00903E5E">
        <w:tc>
          <w:tcPr>
            <w:tcW w:w="6750" w:type="dxa"/>
            <w:hideMark/>
          </w:tcPr>
          <w:p w:rsidR="00D27D49" w:rsidRDefault="00D27D49">
            <w:pPr>
              <w:tabs>
                <w:tab w:val="left" w:pos="162"/>
              </w:tabs>
              <w:snapToGrid w:val="0"/>
              <w:rPr>
                <w:sz w:val="22"/>
                <w:lang w:val="en-GB"/>
              </w:rPr>
            </w:pPr>
            <w:r>
              <w:rPr>
                <w:sz w:val="22"/>
                <w:lang w:val="en-GB"/>
              </w:rPr>
              <w:t>Increase in amounts receivable</w:t>
            </w:r>
          </w:p>
        </w:tc>
        <w:tc>
          <w:tcPr>
            <w:tcW w:w="270" w:type="dxa"/>
            <w:vAlign w:val="bottom"/>
          </w:tcPr>
          <w:p w:rsidR="00D27D49" w:rsidRDefault="00D27D49">
            <w:pPr>
              <w:snapToGrid w:val="0"/>
              <w:jc w:val="right"/>
              <w:rPr>
                <w:bCs/>
                <w:sz w:val="22"/>
                <w:lang w:val="en-GB"/>
              </w:rPr>
            </w:pPr>
          </w:p>
        </w:tc>
        <w:tc>
          <w:tcPr>
            <w:tcW w:w="1485" w:type="dxa"/>
            <w:hideMark/>
          </w:tcPr>
          <w:p w:rsidR="00D27D49" w:rsidRDefault="009463BA">
            <w:pPr>
              <w:snapToGrid w:val="0"/>
              <w:jc w:val="right"/>
              <w:rPr>
                <w:sz w:val="22"/>
                <w:szCs w:val="22"/>
              </w:rPr>
            </w:pPr>
            <w:r>
              <w:t>(11,040</w:t>
            </w:r>
            <w:r w:rsidR="00D27D49">
              <w:t>)</w:t>
            </w:r>
          </w:p>
        </w:tc>
        <w:tc>
          <w:tcPr>
            <w:tcW w:w="236" w:type="dxa"/>
            <w:vAlign w:val="bottom"/>
          </w:tcPr>
          <w:p w:rsidR="00D27D49" w:rsidRDefault="00D27D49">
            <w:pPr>
              <w:snapToGrid w:val="0"/>
              <w:jc w:val="right"/>
              <w:rPr>
                <w:sz w:val="22"/>
                <w:highlight w:val="yellow"/>
                <w:lang w:val="en-GB"/>
              </w:rPr>
            </w:pPr>
          </w:p>
        </w:tc>
        <w:tc>
          <w:tcPr>
            <w:tcW w:w="1519" w:type="dxa"/>
            <w:hideMark/>
          </w:tcPr>
          <w:p w:rsidR="00D27D49" w:rsidRDefault="009A2FFB">
            <w:pPr>
              <w:snapToGrid w:val="0"/>
              <w:jc w:val="right"/>
              <w:rPr>
                <w:sz w:val="22"/>
                <w:szCs w:val="22"/>
              </w:rPr>
            </w:pPr>
            <w:r>
              <w:t>(912</w:t>
            </w:r>
            <w:r w:rsidR="00D27D49">
              <w:t>)</w:t>
            </w:r>
          </w:p>
        </w:tc>
      </w:tr>
      <w:tr w:rsidR="00D27D49" w:rsidTr="00903E5E">
        <w:tc>
          <w:tcPr>
            <w:tcW w:w="6750" w:type="dxa"/>
            <w:hideMark/>
          </w:tcPr>
          <w:p w:rsidR="00D27D49" w:rsidRDefault="00D27D49">
            <w:pPr>
              <w:snapToGrid w:val="0"/>
              <w:rPr>
                <w:sz w:val="22"/>
                <w:lang w:val="en-GB"/>
              </w:rPr>
            </w:pPr>
            <w:r>
              <w:rPr>
                <w:sz w:val="22"/>
                <w:lang w:val="en-GB"/>
              </w:rPr>
              <w:t>Decrease (increase) in prepaid expenses</w:t>
            </w:r>
          </w:p>
        </w:tc>
        <w:tc>
          <w:tcPr>
            <w:tcW w:w="270" w:type="dxa"/>
            <w:vAlign w:val="bottom"/>
          </w:tcPr>
          <w:p w:rsidR="00D27D49" w:rsidRDefault="00D27D49">
            <w:pPr>
              <w:snapToGrid w:val="0"/>
              <w:jc w:val="right"/>
              <w:rPr>
                <w:sz w:val="22"/>
                <w:lang w:val="en-GB"/>
              </w:rPr>
            </w:pPr>
          </w:p>
        </w:tc>
        <w:tc>
          <w:tcPr>
            <w:tcW w:w="1485" w:type="dxa"/>
          </w:tcPr>
          <w:p w:rsidR="00D27D49" w:rsidRDefault="009463BA">
            <w:pPr>
              <w:snapToGrid w:val="0"/>
              <w:jc w:val="right"/>
              <w:rPr>
                <w:bCs/>
                <w:sz w:val="22"/>
                <w:lang w:val="en-GB"/>
              </w:rPr>
            </w:pPr>
            <w:r>
              <w:rPr>
                <w:sz w:val="22"/>
                <w:szCs w:val="22"/>
              </w:rPr>
              <w:t>(2,782)</w:t>
            </w:r>
          </w:p>
        </w:tc>
        <w:tc>
          <w:tcPr>
            <w:tcW w:w="236" w:type="dxa"/>
            <w:vAlign w:val="bottom"/>
          </w:tcPr>
          <w:p w:rsidR="00D27D49" w:rsidRDefault="00D27D49">
            <w:pPr>
              <w:snapToGrid w:val="0"/>
              <w:jc w:val="right"/>
              <w:rPr>
                <w:sz w:val="22"/>
                <w:highlight w:val="yellow"/>
                <w:lang w:val="en-GB"/>
              </w:rPr>
            </w:pPr>
          </w:p>
        </w:tc>
        <w:tc>
          <w:tcPr>
            <w:tcW w:w="1519" w:type="dxa"/>
          </w:tcPr>
          <w:p w:rsidR="00D27D49" w:rsidRDefault="009A2FFB">
            <w:pPr>
              <w:snapToGrid w:val="0"/>
              <w:jc w:val="right"/>
              <w:rPr>
                <w:bCs/>
                <w:sz w:val="22"/>
                <w:lang w:val="en-GB"/>
              </w:rPr>
            </w:pPr>
            <w:r>
              <w:rPr>
                <w:sz w:val="22"/>
                <w:szCs w:val="22"/>
              </w:rPr>
              <w:t>113</w:t>
            </w:r>
          </w:p>
        </w:tc>
      </w:tr>
      <w:tr w:rsidR="00D27D49" w:rsidTr="004B1065">
        <w:tc>
          <w:tcPr>
            <w:tcW w:w="6750" w:type="dxa"/>
            <w:hideMark/>
          </w:tcPr>
          <w:p w:rsidR="00D27D49" w:rsidRDefault="00D27D49">
            <w:pPr>
              <w:tabs>
                <w:tab w:val="left" w:pos="162"/>
              </w:tabs>
              <w:snapToGrid w:val="0"/>
              <w:ind w:left="162"/>
              <w:rPr>
                <w:sz w:val="22"/>
                <w:lang w:val="en-GB"/>
              </w:rPr>
            </w:pPr>
            <w:r>
              <w:rPr>
                <w:sz w:val="22"/>
                <w:lang w:val="en-GB"/>
              </w:rPr>
              <w:t>Increase (decrease) in trade payables and accrued liabilities</w:t>
            </w:r>
          </w:p>
        </w:tc>
        <w:tc>
          <w:tcPr>
            <w:tcW w:w="270" w:type="dxa"/>
            <w:vAlign w:val="bottom"/>
          </w:tcPr>
          <w:p w:rsidR="00D27D49" w:rsidRDefault="00D27D49">
            <w:pPr>
              <w:snapToGrid w:val="0"/>
              <w:jc w:val="right"/>
              <w:rPr>
                <w:sz w:val="22"/>
                <w:lang w:val="en-GB"/>
              </w:rPr>
            </w:pPr>
          </w:p>
        </w:tc>
        <w:tc>
          <w:tcPr>
            <w:tcW w:w="1485" w:type="dxa"/>
            <w:hideMark/>
          </w:tcPr>
          <w:p w:rsidR="00D27D49" w:rsidRDefault="009463BA">
            <w:pPr>
              <w:snapToGrid w:val="0"/>
              <w:jc w:val="right"/>
            </w:pPr>
            <w:r>
              <w:t>31</w:t>
            </w:r>
            <w:r w:rsidR="00D27D49">
              <w:t>,</w:t>
            </w:r>
            <w:r>
              <w:t>556</w:t>
            </w:r>
          </w:p>
        </w:tc>
        <w:tc>
          <w:tcPr>
            <w:tcW w:w="236" w:type="dxa"/>
            <w:vAlign w:val="bottom"/>
          </w:tcPr>
          <w:p w:rsidR="00D27D49" w:rsidRDefault="00D27D49">
            <w:pPr>
              <w:snapToGrid w:val="0"/>
              <w:jc w:val="right"/>
              <w:rPr>
                <w:sz w:val="22"/>
                <w:highlight w:val="yellow"/>
                <w:lang w:val="en-GB"/>
              </w:rPr>
            </w:pPr>
          </w:p>
        </w:tc>
        <w:tc>
          <w:tcPr>
            <w:tcW w:w="1519" w:type="dxa"/>
            <w:hideMark/>
          </w:tcPr>
          <w:p w:rsidR="00D27D49" w:rsidRDefault="009A2FFB">
            <w:pPr>
              <w:snapToGrid w:val="0"/>
              <w:jc w:val="right"/>
            </w:pPr>
            <w:r>
              <w:t>12,370</w:t>
            </w:r>
          </w:p>
        </w:tc>
      </w:tr>
      <w:tr w:rsidR="00D27D49" w:rsidTr="00903E5E">
        <w:tc>
          <w:tcPr>
            <w:tcW w:w="6750" w:type="dxa"/>
            <w:hideMark/>
          </w:tcPr>
          <w:p w:rsidR="00D27D49" w:rsidRDefault="00D27D49">
            <w:pPr>
              <w:tabs>
                <w:tab w:val="left" w:pos="162"/>
              </w:tabs>
              <w:snapToGrid w:val="0"/>
              <w:ind w:left="162"/>
              <w:rPr>
                <w:sz w:val="22"/>
                <w:lang w:val="en-GB"/>
              </w:rPr>
            </w:pPr>
          </w:p>
        </w:tc>
        <w:tc>
          <w:tcPr>
            <w:tcW w:w="270" w:type="dxa"/>
            <w:vAlign w:val="bottom"/>
          </w:tcPr>
          <w:p w:rsidR="00D27D49" w:rsidRDefault="00D27D49">
            <w:pPr>
              <w:snapToGrid w:val="0"/>
              <w:jc w:val="right"/>
              <w:rPr>
                <w:sz w:val="22"/>
                <w:lang w:val="en-GB"/>
              </w:rPr>
            </w:pPr>
          </w:p>
        </w:tc>
        <w:tc>
          <w:tcPr>
            <w:tcW w:w="1485" w:type="dxa"/>
            <w:tcBorders>
              <w:top w:val="single" w:sz="4" w:space="0" w:color="auto"/>
              <w:left w:val="nil"/>
              <w:bottom w:val="nil"/>
              <w:right w:val="nil"/>
            </w:tcBorders>
            <w:vAlign w:val="bottom"/>
            <w:hideMark/>
          </w:tcPr>
          <w:p w:rsidR="00D27D49" w:rsidRDefault="00D27D49">
            <w:pPr>
              <w:snapToGrid w:val="0"/>
              <w:jc w:val="right"/>
              <w:rPr>
                <w:sz w:val="22"/>
                <w:szCs w:val="22"/>
              </w:rPr>
            </w:pPr>
          </w:p>
        </w:tc>
        <w:tc>
          <w:tcPr>
            <w:tcW w:w="236" w:type="dxa"/>
            <w:vAlign w:val="bottom"/>
          </w:tcPr>
          <w:p w:rsidR="00D27D49" w:rsidRDefault="00D27D49">
            <w:pPr>
              <w:snapToGrid w:val="0"/>
              <w:jc w:val="right"/>
              <w:rPr>
                <w:sz w:val="22"/>
                <w:highlight w:val="yellow"/>
                <w:lang w:val="en-GB"/>
              </w:rPr>
            </w:pPr>
          </w:p>
        </w:tc>
        <w:tc>
          <w:tcPr>
            <w:tcW w:w="1519" w:type="dxa"/>
            <w:tcBorders>
              <w:top w:val="single" w:sz="4" w:space="0" w:color="auto"/>
              <w:left w:val="nil"/>
              <w:bottom w:val="nil"/>
              <w:right w:val="nil"/>
            </w:tcBorders>
            <w:vAlign w:val="bottom"/>
            <w:hideMark/>
          </w:tcPr>
          <w:p w:rsidR="00D27D49" w:rsidRDefault="00D27D49">
            <w:pPr>
              <w:snapToGrid w:val="0"/>
              <w:jc w:val="right"/>
              <w:rPr>
                <w:sz w:val="22"/>
                <w:szCs w:val="22"/>
              </w:rPr>
            </w:pPr>
          </w:p>
        </w:tc>
      </w:tr>
      <w:tr w:rsidR="00D27D49" w:rsidTr="00903E5E">
        <w:tc>
          <w:tcPr>
            <w:tcW w:w="6750" w:type="dxa"/>
            <w:hideMark/>
          </w:tcPr>
          <w:p w:rsidR="00D27D49" w:rsidRDefault="00D27D49">
            <w:pPr>
              <w:tabs>
                <w:tab w:val="left" w:pos="162"/>
              </w:tabs>
              <w:snapToGrid w:val="0"/>
              <w:ind w:left="162"/>
              <w:rPr>
                <w:sz w:val="22"/>
                <w:lang w:val="en-GB"/>
              </w:rPr>
            </w:pPr>
          </w:p>
        </w:tc>
        <w:tc>
          <w:tcPr>
            <w:tcW w:w="270" w:type="dxa"/>
            <w:vAlign w:val="bottom"/>
          </w:tcPr>
          <w:p w:rsidR="00D27D49" w:rsidRDefault="00D27D49">
            <w:pPr>
              <w:snapToGrid w:val="0"/>
              <w:jc w:val="right"/>
              <w:rPr>
                <w:sz w:val="22"/>
                <w:lang w:val="en-GB"/>
              </w:rPr>
            </w:pPr>
          </w:p>
        </w:tc>
        <w:tc>
          <w:tcPr>
            <w:tcW w:w="1485" w:type="dxa"/>
            <w:tcBorders>
              <w:top w:val="nil"/>
              <w:left w:val="nil"/>
              <w:bottom w:val="single" w:sz="4" w:space="0" w:color="auto"/>
              <w:right w:val="nil"/>
            </w:tcBorders>
            <w:vAlign w:val="bottom"/>
            <w:hideMark/>
          </w:tcPr>
          <w:p w:rsidR="00D27D49" w:rsidRDefault="00BE0221" w:rsidP="00BE0221">
            <w:pPr>
              <w:snapToGrid w:val="0"/>
              <w:jc w:val="right"/>
            </w:pPr>
            <w:r>
              <w:rPr>
                <w:bCs/>
                <w:sz w:val="22"/>
                <w:lang w:val="en-GB"/>
              </w:rPr>
              <w:t>(28,715)</w:t>
            </w:r>
          </w:p>
        </w:tc>
        <w:tc>
          <w:tcPr>
            <w:tcW w:w="236" w:type="dxa"/>
            <w:vAlign w:val="bottom"/>
          </w:tcPr>
          <w:p w:rsidR="00D27D49" w:rsidRDefault="00D27D49">
            <w:pPr>
              <w:snapToGrid w:val="0"/>
              <w:jc w:val="right"/>
              <w:rPr>
                <w:sz w:val="22"/>
                <w:highlight w:val="yellow"/>
                <w:lang w:val="en-GB"/>
              </w:rPr>
            </w:pPr>
          </w:p>
        </w:tc>
        <w:tc>
          <w:tcPr>
            <w:tcW w:w="1519" w:type="dxa"/>
            <w:tcBorders>
              <w:top w:val="nil"/>
              <w:left w:val="nil"/>
              <w:bottom w:val="single" w:sz="4" w:space="0" w:color="auto"/>
              <w:right w:val="nil"/>
            </w:tcBorders>
            <w:vAlign w:val="bottom"/>
            <w:hideMark/>
          </w:tcPr>
          <w:p w:rsidR="00D27D49" w:rsidRDefault="009A2FFB">
            <w:pPr>
              <w:snapToGrid w:val="0"/>
              <w:jc w:val="right"/>
            </w:pPr>
            <w:r>
              <w:rPr>
                <w:bCs/>
                <w:sz w:val="22"/>
                <w:lang w:val="en-GB"/>
              </w:rPr>
              <w:t>(20,280)</w:t>
            </w:r>
          </w:p>
        </w:tc>
      </w:tr>
      <w:tr w:rsidR="00D27D49" w:rsidTr="004B1065">
        <w:tc>
          <w:tcPr>
            <w:tcW w:w="6750" w:type="dxa"/>
          </w:tcPr>
          <w:p w:rsidR="00D27D49" w:rsidRDefault="00D27D49">
            <w:pPr>
              <w:snapToGrid w:val="0"/>
              <w:rPr>
                <w:sz w:val="22"/>
                <w:lang w:val="en-GB"/>
              </w:rPr>
            </w:pPr>
          </w:p>
        </w:tc>
        <w:tc>
          <w:tcPr>
            <w:tcW w:w="270" w:type="dxa"/>
            <w:vAlign w:val="bottom"/>
          </w:tcPr>
          <w:p w:rsidR="00D27D49" w:rsidRDefault="00D27D49">
            <w:pPr>
              <w:snapToGrid w:val="0"/>
              <w:jc w:val="right"/>
              <w:rPr>
                <w:sz w:val="22"/>
                <w:lang w:val="en-GB"/>
              </w:rPr>
            </w:pPr>
          </w:p>
        </w:tc>
        <w:tc>
          <w:tcPr>
            <w:tcW w:w="1485" w:type="dxa"/>
            <w:tcBorders>
              <w:top w:val="single" w:sz="4" w:space="0" w:color="auto"/>
              <w:left w:val="nil"/>
              <w:bottom w:val="nil"/>
              <w:right w:val="nil"/>
            </w:tcBorders>
            <w:vAlign w:val="bottom"/>
          </w:tcPr>
          <w:p w:rsidR="00D27D49" w:rsidRDefault="00D27D49">
            <w:pPr>
              <w:snapToGrid w:val="0"/>
              <w:jc w:val="right"/>
              <w:rPr>
                <w:bCs/>
                <w:sz w:val="22"/>
                <w:lang w:val="en-GB"/>
              </w:rPr>
            </w:pPr>
          </w:p>
        </w:tc>
        <w:tc>
          <w:tcPr>
            <w:tcW w:w="236" w:type="dxa"/>
            <w:vAlign w:val="bottom"/>
          </w:tcPr>
          <w:p w:rsidR="00D27D49" w:rsidRDefault="00D27D49">
            <w:pPr>
              <w:snapToGrid w:val="0"/>
              <w:jc w:val="right"/>
              <w:rPr>
                <w:sz w:val="22"/>
                <w:highlight w:val="yellow"/>
                <w:lang w:val="en-GB"/>
              </w:rPr>
            </w:pPr>
          </w:p>
        </w:tc>
        <w:tc>
          <w:tcPr>
            <w:tcW w:w="1519" w:type="dxa"/>
            <w:tcBorders>
              <w:top w:val="single" w:sz="4" w:space="0" w:color="auto"/>
              <w:left w:val="nil"/>
              <w:bottom w:val="nil"/>
              <w:right w:val="nil"/>
            </w:tcBorders>
            <w:vAlign w:val="bottom"/>
          </w:tcPr>
          <w:p w:rsidR="00D27D49" w:rsidRDefault="00D27D49">
            <w:pPr>
              <w:snapToGrid w:val="0"/>
              <w:jc w:val="right"/>
              <w:rPr>
                <w:bCs/>
                <w:sz w:val="22"/>
                <w:lang w:val="en-GB"/>
              </w:rPr>
            </w:pPr>
          </w:p>
        </w:tc>
      </w:tr>
      <w:tr w:rsidR="00D27D49" w:rsidTr="00903E5E">
        <w:tc>
          <w:tcPr>
            <w:tcW w:w="6750" w:type="dxa"/>
          </w:tcPr>
          <w:p w:rsidR="00D27D49" w:rsidRDefault="00D27D49">
            <w:pPr>
              <w:snapToGrid w:val="0"/>
              <w:rPr>
                <w:sz w:val="22"/>
                <w:lang w:val="en-GB"/>
              </w:rPr>
            </w:pPr>
            <w:r>
              <w:rPr>
                <w:b/>
                <w:sz w:val="22"/>
              </w:rPr>
              <w:t>Cash flows used in investing activities</w:t>
            </w:r>
          </w:p>
        </w:tc>
        <w:tc>
          <w:tcPr>
            <w:tcW w:w="270" w:type="dxa"/>
            <w:vAlign w:val="bottom"/>
          </w:tcPr>
          <w:p w:rsidR="00D27D49" w:rsidRDefault="00D27D49">
            <w:pPr>
              <w:snapToGrid w:val="0"/>
              <w:jc w:val="right"/>
              <w:rPr>
                <w:sz w:val="22"/>
                <w:lang w:val="en-GB"/>
              </w:rPr>
            </w:pPr>
          </w:p>
        </w:tc>
        <w:tc>
          <w:tcPr>
            <w:tcW w:w="1485" w:type="dxa"/>
            <w:vAlign w:val="bottom"/>
            <w:hideMark/>
          </w:tcPr>
          <w:p w:rsidR="00D27D49" w:rsidRDefault="00D27D49">
            <w:pPr>
              <w:snapToGrid w:val="0"/>
              <w:jc w:val="right"/>
              <w:rPr>
                <w:bCs/>
                <w:sz w:val="22"/>
                <w:lang w:val="en-GB"/>
              </w:rPr>
            </w:pPr>
          </w:p>
        </w:tc>
        <w:tc>
          <w:tcPr>
            <w:tcW w:w="236" w:type="dxa"/>
            <w:vAlign w:val="bottom"/>
          </w:tcPr>
          <w:p w:rsidR="00D27D49" w:rsidRDefault="00D27D49">
            <w:pPr>
              <w:snapToGrid w:val="0"/>
              <w:jc w:val="right"/>
              <w:rPr>
                <w:sz w:val="22"/>
                <w:highlight w:val="yellow"/>
                <w:lang w:val="en-GB"/>
              </w:rPr>
            </w:pPr>
          </w:p>
        </w:tc>
        <w:tc>
          <w:tcPr>
            <w:tcW w:w="1519" w:type="dxa"/>
            <w:vAlign w:val="bottom"/>
            <w:hideMark/>
          </w:tcPr>
          <w:p w:rsidR="00D27D49" w:rsidRDefault="00D27D49">
            <w:pPr>
              <w:snapToGrid w:val="0"/>
              <w:jc w:val="right"/>
              <w:rPr>
                <w:bCs/>
                <w:sz w:val="22"/>
                <w:lang w:val="en-GB"/>
              </w:rPr>
            </w:pPr>
          </w:p>
        </w:tc>
      </w:tr>
      <w:tr w:rsidR="00D27D49" w:rsidTr="00903E5E">
        <w:tc>
          <w:tcPr>
            <w:tcW w:w="6750" w:type="dxa"/>
          </w:tcPr>
          <w:p w:rsidR="00D27D49" w:rsidRDefault="00D27D49">
            <w:pPr>
              <w:snapToGrid w:val="0"/>
              <w:rPr>
                <w:sz w:val="22"/>
                <w:lang w:val="en-GB"/>
              </w:rPr>
            </w:pPr>
            <w:r>
              <w:rPr>
                <w:sz w:val="22"/>
                <w:lang w:val="en-GB"/>
              </w:rPr>
              <w:t>Exploration and evaluation properties</w:t>
            </w:r>
          </w:p>
        </w:tc>
        <w:tc>
          <w:tcPr>
            <w:tcW w:w="270" w:type="dxa"/>
            <w:vAlign w:val="bottom"/>
          </w:tcPr>
          <w:p w:rsidR="00D27D49" w:rsidRDefault="00D27D49">
            <w:pPr>
              <w:snapToGrid w:val="0"/>
              <w:jc w:val="right"/>
              <w:rPr>
                <w:sz w:val="22"/>
                <w:lang w:val="en-GB"/>
              </w:rPr>
            </w:pPr>
          </w:p>
        </w:tc>
        <w:tc>
          <w:tcPr>
            <w:tcW w:w="1485" w:type="dxa"/>
          </w:tcPr>
          <w:p w:rsidR="00D27D49" w:rsidRDefault="00D27D49">
            <w:pPr>
              <w:snapToGrid w:val="0"/>
              <w:jc w:val="right"/>
              <w:rPr>
                <w:bCs/>
                <w:sz w:val="22"/>
                <w:lang w:val="en-GB"/>
              </w:rPr>
            </w:pPr>
            <w:r>
              <w:t>-</w:t>
            </w:r>
          </w:p>
        </w:tc>
        <w:tc>
          <w:tcPr>
            <w:tcW w:w="236" w:type="dxa"/>
            <w:vAlign w:val="bottom"/>
          </w:tcPr>
          <w:p w:rsidR="00D27D49" w:rsidRDefault="00D27D49">
            <w:pPr>
              <w:snapToGrid w:val="0"/>
              <w:jc w:val="right"/>
              <w:rPr>
                <w:sz w:val="22"/>
                <w:highlight w:val="yellow"/>
                <w:lang w:val="en-GB"/>
              </w:rPr>
            </w:pPr>
          </w:p>
        </w:tc>
        <w:tc>
          <w:tcPr>
            <w:tcW w:w="1519" w:type="dxa"/>
          </w:tcPr>
          <w:p w:rsidR="00D27D49" w:rsidRDefault="00D27D49">
            <w:pPr>
              <w:snapToGrid w:val="0"/>
              <w:jc w:val="right"/>
              <w:rPr>
                <w:bCs/>
                <w:sz w:val="22"/>
                <w:lang w:val="en-GB"/>
              </w:rPr>
            </w:pPr>
            <w:r>
              <w:t>-</w:t>
            </w:r>
          </w:p>
        </w:tc>
      </w:tr>
      <w:tr w:rsidR="00D27D49" w:rsidTr="00903E5E">
        <w:tc>
          <w:tcPr>
            <w:tcW w:w="6750" w:type="dxa"/>
            <w:hideMark/>
          </w:tcPr>
          <w:p w:rsidR="00D27D49" w:rsidRDefault="00D27D49">
            <w:pPr>
              <w:snapToGrid w:val="0"/>
              <w:rPr>
                <w:b/>
                <w:sz w:val="22"/>
                <w:lang w:val="en-GB"/>
              </w:rPr>
            </w:pPr>
          </w:p>
        </w:tc>
        <w:tc>
          <w:tcPr>
            <w:tcW w:w="270" w:type="dxa"/>
            <w:vAlign w:val="bottom"/>
          </w:tcPr>
          <w:p w:rsidR="00D27D49" w:rsidRDefault="00D27D49">
            <w:pPr>
              <w:snapToGrid w:val="0"/>
              <w:jc w:val="right"/>
              <w:rPr>
                <w:sz w:val="22"/>
                <w:lang w:val="en-GB"/>
              </w:rPr>
            </w:pPr>
          </w:p>
        </w:tc>
        <w:tc>
          <w:tcPr>
            <w:tcW w:w="1485" w:type="dxa"/>
            <w:tcBorders>
              <w:top w:val="single" w:sz="4" w:space="0" w:color="auto"/>
              <w:left w:val="nil"/>
              <w:bottom w:val="nil"/>
              <w:right w:val="nil"/>
            </w:tcBorders>
            <w:vAlign w:val="bottom"/>
          </w:tcPr>
          <w:p w:rsidR="00D27D49" w:rsidRDefault="00D27D49">
            <w:pPr>
              <w:snapToGrid w:val="0"/>
              <w:jc w:val="right"/>
              <w:rPr>
                <w:bCs/>
                <w:sz w:val="22"/>
                <w:lang w:val="en-GB"/>
              </w:rPr>
            </w:pPr>
          </w:p>
        </w:tc>
        <w:tc>
          <w:tcPr>
            <w:tcW w:w="236" w:type="dxa"/>
            <w:vAlign w:val="bottom"/>
          </w:tcPr>
          <w:p w:rsidR="00D27D49" w:rsidRDefault="00D27D49">
            <w:pPr>
              <w:snapToGrid w:val="0"/>
              <w:jc w:val="right"/>
              <w:rPr>
                <w:sz w:val="22"/>
                <w:highlight w:val="yellow"/>
                <w:lang w:val="en-GB"/>
              </w:rPr>
            </w:pPr>
          </w:p>
        </w:tc>
        <w:tc>
          <w:tcPr>
            <w:tcW w:w="1519" w:type="dxa"/>
            <w:tcBorders>
              <w:top w:val="single" w:sz="4" w:space="0" w:color="auto"/>
              <w:left w:val="nil"/>
              <w:bottom w:val="nil"/>
              <w:right w:val="nil"/>
            </w:tcBorders>
            <w:vAlign w:val="bottom"/>
          </w:tcPr>
          <w:p w:rsidR="00D27D49" w:rsidRDefault="00D27D49">
            <w:pPr>
              <w:snapToGrid w:val="0"/>
              <w:jc w:val="right"/>
              <w:rPr>
                <w:bCs/>
                <w:sz w:val="22"/>
                <w:lang w:val="en-GB"/>
              </w:rPr>
            </w:pPr>
          </w:p>
        </w:tc>
      </w:tr>
      <w:tr w:rsidR="00D27D49" w:rsidTr="00903E5E">
        <w:tc>
          <w:tcPr>
            <w:tcW w:w="6750" w:type="dxa"/>
            <w:hideMark/>
          </w:tcPr>
          <w:p w:rsidR="00D27D49" w:rsidRDefault="00D27D49">
            <w:pPr>
              <w:snapToGrid w:val="0"/>
              <w:rPr>
                <w:sz w:val="22"/>
                <w:lang w:val="en-GB"/>
              </w:rPr>
            </w:pPr>
            <w:r>
              <w:rPr>
                <w:b/>
                <w:sz w:val="22"/>
              </w:rPr>
              <w:t>Cash flows from financing activities</w:t>
            </w:r>
          </w:p>
        </w:tc>
        <w:tc>
          <w:tcPr>
            <w:tcW w:w="270" w:type="dxa"/>
            <w:vAlign w:val="bottom"/>
          </w:tcPr>
          <w:p w:rsidR="00D27D49" w:rsidRDefault="00D27D49">
            <w:pPr>
              <w:snapToGrid w:val="0"/>
              <w:jc w:val="right"/>
              <w:rPr>
                <w:sz w:val="22"/>
                <w:lang w:val="en-GB"/>
              </w:rPr>
            </w:pPr>
          </w:p>
        </w:tc>
        <w:tc>
          <w:tcPr>
            <w:tcW w:w="1485" w:type="dxa"/>
            <w:vAlign w:val="bottom"/>
            <w:hideMark/>
          </w:tcPr>
          <w:p w:rsidR="00D27D49" w:rsidRDefault="00D27D49">
            <w:pPr>
              <w:snapToGrid w:val="0"/>
              <w:jc w:val="right"/>
            </w:pPr>
            <w:r>
              <w:rPr>
                <w:bCs/>
                <w:sz w:val="22"/>
                <w:lang w:val="en-GB"/>
              </w:rPr>
              <w:t>-</w:t>
            </w:r>
          </w:p>
        </w:tc>
        <w:tc>
          <w:tcPr>
            <w:tcW w:w="236" w:type="dxa"/>
            <w:vAlign w:val="bottom"/>
          </w:tcPr>
          <w:p w:rsidR="00D27D49" w:rsidRDefault="00D27D49">
            <w:pPr>
              <w:snapToGrid w:val="0"/>
              <w:jc w:val="right"/>
              <w:rPr>
                <w:sz w:val="22"/>
                <w:highlight w:val="yellow"/>
                <w:lang w:val="en-GB"/>
              </w:rPr>
            </w:pPr>
          </w:p>
        </w:tc>
        <w:tc>
          <w:tcPr>
            <w:tcW w:w="1519" w:type="dxa"/>
            <w:vAlign w:val="bottom"/>
            <w:hideMark/>
          </w:tcPr>
          <w:p w:rsidR="00D27D49" w:rsidRDefault="00D27D49">
            <w:pPr>
              <w:snapToGrid w:val="0"/>
              <w:jc w:val="right"/>
            </w:pPr>
            <w:r>
              <w:rPr>
                <w:bCs/>
                <w:sz w:val="22"/>
                <w:lang w:val="en-GB"/>
              </w:rPr>
              <w:t>-</w:t>
            </w:r>
          </w:p>
        </w:tc>
      </w:tr>
      <w:tr w:rsidR="00D27D49" w:rsidTr="004B1065">
        <w:tc>
          <w:tcPr>
            <w:tcW w:w="6750" w:type="dxa"/>
          </w:tcPr>
          <w:p w:rsidR="00D27D49" w:rsidRDefault="00D27D49">
            <w:pPr>
              <w:snapToGrid w:val="0"/>
              <w:rPr>
                <w:sz w:val="22"/>
                <w:lang w:val="en-GB"/>
              </w:rPr>
            </w:pPr>
          </w:p>
        </w:tc>
        <w:tc>
          <w:tcPr>
            <w:tcW w:w="270" w:type="dxa"/>
            <w:vAlign w:val="bottom"/>
          </w:tcPr>
          <w:p w:rsidR="00D27D49" w:rsidRDefault="00D27D49">
            <w:pPr>
              <w:snapToGrid w:val="0"/>
              <w:jc w:val="right"/>
              <w:rPr>
                <w:sz w:val="22"/>
                <w:lang w:val="en-GB"/>
              </w:rPr>
            </w:pPr>
          </w:p>
        </w:tc>
        <w:tc>
          <w:tcPr>
            <w:tcW w:w="1485" w:type="dxa"/>
            <w:tcBorders>
              <w:top w:val="single" w:sz="4" w:space="0" w:color="auto"/>
              <w:left w:val="nil"/>
              <w:bottom w:val="nil"/>
              <w:right w:val="nil"/>
            </w:tcBorders>
            <w:vAlign w:val="bottom"/>
          </w:tcPr>
          <w:p w:rsidR="00D27D49" w:rsidRDefault="00D27D49">
            <w:pPr>
              <w:snapToGrid w:val="0"/>
              <w:jc w:val="right"/>
              <w:rPr>
                <w:bCs/>
                <w:sz w:val="22"/>
                <w:lang w:val="en-GB"/>
              </w:rPr>
            </w:pPr>
          </w:p>
        </w:tc>
        <w:tc>
          <w:tcPr>
            <w:tcW w:w="236" w:type="dxa"/>
            <w:vAlign w:val="bottom"/>
          </w:tcPr>
          <w:p w:rsidR="00D27D49" w:rsidRDefault="00D27D49">
            <w:pPr>
              <w:snapToGrid w:val="0"/>
              <w:jc w:val="right"/>
              <w:rPr>
                <w:sz w:val="22"/>
                <w:highlight w:val="yellow"/>
                <w:lang w:val="en-GB"/>
              </w:rPr>
            </w:pPr>
          </w:p>
        </w:tc>
        <w:tc>
          <w:tcPr>
            <w:tcW w:w="1519" w:type="dxa"/>
            <w:tcBorders>
              <w:top w:val="single" w:sz="4" w:space="0" w:color="auto"/>
              <w:left w:val="nil"/>
              <w:bottom w:val="nil"/>
              <w:right w:val="nil"/>
            </w:tcBorders>
            <w:vAlign w:val="bottom"/>
          </w:tcPr>
          <w:p w:rsidR="00D27D49" w:rsidRDefault="00D27D49">
            <w:pPr>
              <w:snapToGrid w:val="0"/>
              <w:jc w:val="right"/>
              <w:rPr>
                <w:bCs/>
                <w:sz w:val="22"/>
                <w:lang w:val="en-GB"/>
              </w:rPr>
            </w:pPr>
          </w:p>
        </w:tc>
      </w:tr>
      <w:tr w:rsidR="00D27D49" w:rsidTr="004B1065">
        <w:tc>
          <w:tcPr>
            <w:tcW w:w="6750" w:type="dxa"/>
            <w:hideMark/>
          </w:tcPr>
          <w:p w:rsidR="00D27D49" w:rsidRDefault="00D27D49">
            <w:pPr>
              <w:snapToGrid w:val="0"/>
              <w:rPr>
                <w:b/>
                <w:sz w:val="22"/>
                <w:lang w:val="en-GB"/>
              </w:rPr>
            </w:pPr>
            <w:r>
              <w:rPr>
                <w:b/>
                <w:sz w:val="22"/>
              </w:rPr>
              <w:t>Increase (decrease) in cash and cash equivalents</w:t>
            </w:r>
          </w:p>
        </w:tc>
        <w:tc>
          <w:tcPr>
            <w:tcW w:w="270" w:type="dxa"/>
            <w:vAlign w:val="bottom"/>
          </w:tcPr>
          <w:p w:rsidR="00D27D49" w:rsidRDefault="00D27D49">
            <w:pPr>
              <w:snapToGrid w:val="0"/>
              <w:jc w:val="right"/>
              <w:rPr>
                <w:sz w:val="22"/>
                <w:lang w:val="en-GB"/>
              </w:rPr>
            </w:pPr>
          </w:p>
        </w:tc>
        <w:tc>
          <w:tcPr>
            <w:tcW w:w="1485" w:type="dxa"/>
            <w:vAlign w:val="bottom"/>
            <w:hideMark/>
          </w:tcPr>
          <w:p w:rsidR="00D27D49" w:rsidRDefault="00BE0221">
            <w:pPr>
              <w:snapToGrid w:val="0"/>
              <w:jc w:val="right"/>
              <w:rPr>
                <w:bCs/>
                <w:sz w:val="22"/>
                <w:lang w:val="en-GB"/>
              </w:rPr>
            </w:pPr>
            <w:r>
              <w:rPr>
                <w:bCs/>
                <w:sz w:val="22"/>
                <w:lang w:val="en-GB"/>
              </w:rPr>
              <w:t>(28,715</w:t>
            </w:r>
            <w:r w:rsidR="00D27D49">
              <w:rPr>
                <w:bCs/>
                <w:sz w:val="22"/>
                <w:lang w:val="en-GB"/>
              </w:rPr>
              <w:t>)</w:t>
            </w:r>
          </w:p>
        </w:tc>
        <w:tc>
          <w:tcPr>
            <w:tcW w:w="236" w:type="dxa"/>
            <w:vAlign w:val="bottom"/>
          </w:tcPr>
          <w:p w:rsidR="00D27D49" w:rsidRDefault="00D27D49">
            <w:pPr>
              <w:snapToGrid w:val="0"/>
              <w:jc w:val="right"/>
              <w:rPr>
                <w:sz w:val="22"/>
                <w:highlight w:val="yellow"/>
                <w:lang w:val="en-GB"/>
              </w:rPr>
            </w:pPr>
          </w:p>
        </w:tc>
        <w:tc>
          <w:tcPr>
            <w:tcW w:w="1519" w:type="dxa"/>
            <w:vAlign w:val="bottom"/>
            <w:hideMark/>
          </w:tcPr>
          <w:p w:rsidR="00D27D49" w:rsidRDefault="009A2FFB">
            <w:pPr>
              <w:snapToGrid w:val="0"/>
              <w:jc w:val="right"/>
              <w:rPr>
                <w:bCs/>
                <w:sz w:val="22"/>
                <w:lang w:val="en-GB"/>
              </w:rPr>
            </w:pPr>
            <w:r>
              <w:rPr>
                <w:bCs/>
                <w:sz w:val="22"/>
                <w:lang w:val="en-GB"/>
              </w:rPr>
              <w:t>(20,280</w:t>
            </w:r>
            <w:r w:rsidR="00D27D49">
              <w:rPr>
                <w:bCs/>
                <w:sz w:val="22"/>
                <w:lang w:val="en-GB"/>
              </w:rPr>
              <w:t>)</w:t>
            </w:r>
          </w:p>
        </w:tc>
      </w:tr>
      <w:tr w:rsidR="00D27D49" w:rsidTr="00903E5E">
        <w:tc>
          <w:tcPr>
            <w:tcW w:w="6750" w:type="dxa"/>
          </w:tcPr>
          <w:p w:rsidR="00D27D49" w:rsidRDefault="00D27D49">
            <w:pPr>
              <w:snapToGrid w:val="0"/>
              <w:rPr>
                <w:sz w:val="22"/>
                <w:lang w:val="en-GB"/>
              </w:rPr>
            </w:pPr>
          </w:p>
        </w:tc>
        <w:tc>
          <w:tcPr>
            <w:tcW w:w="270" w:type="dxa"/>
            <w:vAlign w:val="bottom"/>
          </w:tcPr>
          <w:p w:rsidR="00D27D49" w:rsidRDefault="00D27D49">
            <w:pPr>
              <w:snapToGrid w:val="0"/>
              <w:jc w:val="right"/>
              <w:rPr>
                <w:sz w:val="22"/>
                <w:lang w:val="en-GB"/>
              </w:rPr>
            </w:pPr>
          </w:p>
        </w:tc>
        <w:tc>
          <w:tcPr>
            <w:tcW w:w="1485" w:type="dxa"/>
            <w:vAlign w:val="bottom"/>
          </w:tcPr>
          <w:p w:rsidR="00D27D49" w:rsidRDefault="00D27D49">
            <w:pPr>
              <w:snapToGrid w:val="0"/>
              <w:jc w:val="right"/>
              <w:rPr>
                <w:bCs/>
                <w:sz w:val="22"/>
                <w:lang w:val="en-GB"/>
              </w:rPr>
            </w:pPr>
          </w:p>
        </w:tc>
        <w:tc>
          <w:tcPr>
            <w:tcW w:w="236" w:type="dxa"/>
            <w:vAlign w:val="bottom"/>
          </w:tcPr>
          <w:p w:rsidR="00D27D49" w:rsidRDefault="00D27D49">
            <w:pPr>
              <w:snapToGrid w:val="0"/>
              <w:jc w:val="right"/>
              <w:rPr>
                <w:sz w:val="22"/>
                <w:highlight w:val="yellow"/>
                <w:lang w:val="en-GB"/>
              </w:rPr>
            </w:pPr>
          </w:p>
        </w:tc>
        <w:tc>
          <w:tcPr>
            <w:tcW w:w="1519" w:type="dxa"/>
            <w:vAlign w:val="bottom"/>
          </w:tcPr>
          <w:p w:rsidR="00D27D49" w:rsidRDefault="00D27D49">
            <w:pPr>
              <w:snapToGrid w:val="0"/>
              <w:jc w:val="right"/>
              <w:rPr>
                <w:bCs/>
                <w:sz w:val="22"/>
                <w:lang w:val="en-GB"/>
              </w:rPr>
            </w:pPr>
          </w:p>
        </w:tc>
      </w:tr>
      <w:tr w:rsidR="00D27D49" w:rsidTr="00903E5E">
        <w:tc>
          <w:tcPr>
            <w:tcW w:w="6750" w:type="dxa"/>
            <w:hideMark/>
          </w:tcPr>
          <w:p w:rsidR="00D27D49" w:rsidRDefault="00D27D49">
            <w:pPr>
              <w:snapToGrid w:val="0"/>
              <w:rPr>
                <w:b/>
                <w:sz w:val="22"/>
                <w:lang w:val="en-GB"/>
              </w:rPr>
            </w:pPr>
            <w:r>
              <w:rPr>
                <w:b/>
                <w:sz w:val="22"/>
              </w:rPr>
              <w:t>Cash and cash equivalents, beginning of period</w:t>
            </w:r>
          </w:p>
        </w:tc>
        <w:tc>
          <w:tcPr>
            <w:tcW w:w="270" w:type="dxa"/>
            <w:vAlign w:val="bottom"/>
          </w:tcPr>
          <w:p w:rsidR="00D27D49" w:rsidRDefault="00D27D49">
            <w:pPr>
              <w:snapToGrid w:val="0"/>
              <w:jc w:val="right"/>
              <w:rPr>
                <w:sz w:val="22"/>
                <w:lang w:val="en-GB"/>
              </w:rPr>
            </w:pPr>
          </w:p>
        </w:tc>
        <w:tc>
          <w:tcPr>
            <w:tcW w:w="1485" w:type="dxa"/>
            <w:tcBorders>
              <w:top w:val="nil"/>
              <w:left w:val="nil"/>
              <w:bottom w:val="single" w:sz="4" w:space="0" w:color="auto"/>
              <w:right w:val="nil"/>
            </w:tcBorders>
            <w:vAlign w:val="bottom"/>
            <w:hideMark/>
          </w:tcPr>
          <w:p w:rsidR="00D27D49" w:rsidRDefault="00BE0221">
            <w:pPr>
              <w:snapToGrid w:val="0"/>
              <w:jc w:val="right"/>
              <w:rPr>
                <w:bCs/>
                <w:sz w:val="22"/>
                <w:lang w:val="en-GB"/>
              </w:rPr>
            </w:pPr>
            <w:r>
              <w:rPr>
                <w:bCs/>
                <w:sz w:val="22"/>
                <w:lang w:val="en-GB"/>
              </w:rPr>
              <w:t>31,268</w:t>
            </w:r>
          </w:p>
        </w:tc>
        <w:tc>
          <w:tcPr>
            <w:tcW w:w="236" w:type="dxa"/>
            <w:vAlign w:val="bottom"/>
          </w:tcPr>
          <w:p w:rsidR="00D27D49" w:rsidRDefault="00D27D49">
            <w:pPr>
              <w:snapToGrid w:val="0"/>
              <w:jc w:val="right"/>
              <w:rPr>
                <w:sz w:val="22"/>
                <w:highlight w:val="yellow"/>
                <w:lang w:val="en-GB"/>
              </w:rPr>
            </w:pPr>
          </w:p>
        </w:tc>
        <w:tc>
          <w:tcPr>
            <w:tcW w:w="1519" w:type="dxa"/>
            <w:tcBorders>
              <w:top w:val="nil"/>
              <w:left w:val="nil"/>
              <w:bottom w:val="single" w:sz="4" w:space="0" w:color="auto"/>
              <w:right w:val="nil"/>
            </w:tcBorders>
            <w:vAlign w:val="bottom"/>
            <w:hideMark/>
          </w:tcPr>
          <w:p w:rsidR="00D27D49" w:rsidRDefault="009A2FFB">
            <w:pPr>
              <w:snapToGrid w:val="0"/>
              <w:jc w:val="right"/>
              <w:rPr>
                <w:bCs/>
                <w:sz w:val="22"/>
                <w:lang w:val="en-GB"/>
              </w:rPr>
            </w:pPr>
            <w:r>
              <w:rPr>
                <w:bCs/>
                <w:sz w:val="22"/>
                <w:lang w:val="en-GB"/>
              </w:rPr>
              <w:t>187,647</w:t>
            </w:r>
          </w:p>
        </w:tc>
      </w:tr>
      <w:tr w:rsidR="00D27D49" w:rsidTr="00903E5E">
        <w:tc>
          <w:tcPr>
            <w:tcW w:w="6750" w:type="dxa"/>
          </w:tcPr>
          <w:p w:rsidR="00D27D49" w:rsidRDefault="00D27D49">
            <w:pPr>
              <w:snapToGrid w:val="0"/>
              <w:rPr>
                <w:sz w:val="22"/>
              </w:rPr>
            </w:pPr>
          </w:p>
        </w:tc>
        <w:tc>
          <w:tcPr>
            <w:tcW w:w="270" w:type="dxa"/>
            <w:vAlign w:val="bottom"/>
          </w:tcPr>
          <w:p w:rsidR="00D27D49" w:rsidRDefault="00D27D49">
            <w:pPr>
              <w:snapToGrid w:val="0"/>
              <w:jc w:val="right"/>
              <w:rPr>
                <w:sz w:val="22"/>
                <w:lang w:val="en-GB"/>
              </w:rPr>
            </w:pPr>
          </w:p>
        </w:tc>
        <w:tc>
          <w:tcPr>
            <w:tcW w:w="1485" w:type="dxa"/>
            <w:tcBorders>
              <w:top w:val="single" w:sz="4" w:space="0" w:color="auto"/>
              <w:left w:val="nil"/>
              <w:bottom w:val="nil"/>
              <w:right w:val="nil"/>
            </w:tcBorders>
            <w:vAlign w:val="bottom"/>
          </w:tcPr>
          <w:p w:rsidR="00D27D49" w:rsidRDefault="00D27D49">
            <w:pPr>
              <w:snapToGrid w:val="0"/>
              <w:jc w:val="right"/>
              <w:rPr>
                <w:bCs/>
                <w:sz w:val="22"/>
                <w:lang w:val="en-GB"/>
              </w:rPr>
            </w:pPr>
          </w:p>
        </w:tc>
        <w:tc>
          <w:tcPr>
            <w:tcW w:w="236" w:type="dxa"/>
            <w:vAlign w:val="bottom"/>
          </w:tcPr>
          <w:p w:rsidR="00D27D49" w:rsidRDefault="00D27D49">
            <w:pPr>
              <w:snapToGrid w:val="0"/>
              <w:jc w:val="right"/>
              <w:rPr>
                <w:sz w:val="22"/>
                <w:highlight w:val="yellow"/>
                <w:lang w:val="en-GB"/>
              </w:rPr>
            </w:pPr>
          </w:p>
        </w:tc>
        <w:tc>
          <w:tcPr>
            <w:tcW w:w="1519" w:type="dxa"/>
            <w:tcBorders>
              <w:top w:val="single" w:sz="4" w:space="0" w:color="auto"/>
              <w:left w:val="nil"/>
              <w:bottom w:val="nil"/>
              <w:right w:val="nil"/>
            </w:tcBorders>
            <w:vAlign w:val="bottom"/>
          </w:tcPr>
          <w:p w:rsidR="00D27D49" w:rsidRDefault="00D27D49">
            <w:pPr>
              <w:snapToGrid w:val="0"/>
              <w:jc w:val="right"/>
              <w:rPr>
                <w:bCs/>
                <w:sz w:val="22"/>
                <w:lang w:val="en-GB"/>
              </w:rPr>
            </w:pPr>
          </w:p>
        </w:tc>
      </w:tr>
      <w:tr w:rsidR="00D27D49" w:rsidTr="00903E5E">
        <w:tc>
          <w:tcPr>
            <w:tcW w:w="6750" w:type="dxa"/>
            <w:hideMark/>
          </w:tcPr>
          <w:p w:rsidR="00D27D49" w:rsidRDefault="00D27D49">
            <w:pPr>
              <w:snapToGrid w:val="0"/>
              <w:rPr>
                <w:b/>
                <w:sz w:val="22"/>
              </w:rPr>
            </w:pPr>
            <w:r>
              <w:rPr>
                <w:b/>
                <w:sz w:val="22"/>
              </w:rPr>
              <w:t>Cash and cash equivalents, end of period</w:t>
            </w:r>
          </w:p>
        </w:tc>
        <w:tc>
          <w:tcPr>
            <w:tcW w:w="270" w:type="dxa"/>
            <w:vAlign w:val="bottom"/>
          </w:tcPr>
          <w:p w:rsidR="00D27D49" w:rsidRDefault="00D27D49">
            <w:pPr>
              <w:snapToGrid w:val="0"/>
              <w:jc w:val="right"/>
              <w:rPr>
                <w:sz w:val="22"/>
                <w:lang w:val="en-GB"/>
              </w:rPr>
            </w:pPr>
          </w:p>
        </w:tc>
        <w:tc>
          <w:tcPr>
            <w:tcW w:w="1485" w:type="dxa"/>
            <w:tcBorders>
              <w:top w:val="nil"/>
              <w:left w:val="nil"/>
              <w:bottom w:val="single" w:sz="12" w:space="0" w:color="auto"/>
              <w:right w:val="nil"/>
            </w:tcBorders>
            <w:vAlign w:val="bottom"/>
            <w:hideMark/>
          </w:tcPr>
          <w:p w:rsidR="00D27D49" w:rsidRDefault="00BE0221">
            <w:pPr>
              <w:snapToGrid w:val="0"/>
              <w:jc w:val="right"/>
              <w:rPr>
                <w:bCs/>
                <w:sz w:val="22"/>
                <w:lang w:val="en-GB"/>
              </w:rPr>
            </w:pPr>
            <w:r>
              <w:rPr>
                <w:bCs/>
                <w:sz w:val="22"/>
                <w:lang w:val="en-GB"/>
              </w:rPr>
              <w:t>2</w:t>
            </w:r>
            <w:r w:rsidR="00D27D49">
              <w:rPr>
                <w:bCs/>
                <w:sz w:val="22"/>
                <w:lang w:val="en-GB"/>
              </w:rPr>
              <w:t>,</w:t>
            </w:r>
            <w:r>
              <w:rPr>
                <w:bCs/>
                <w:sz w:val="22"/>
                <w:lang w:val="en-GB"/>
              </w:rPr>
              <w:t>553</w:t>
            </w:r>
          </w:p>
        </w:tc>
        <w:tc>
          <w:tcPr>
            <w:tcW w:w="236" w:type="dxa"/>
            <w:vAlign w:val="bottom"/>
          </w:tcPr>
          <w:p w:rsidR="00D27D49" w:rsidRDefault="00D27D49">
            <w:pPr>
              <w:snapToGrid w:val="0"/>
              <w:jc w:val="right"/>
              <w:rPr>
                <w:sz w:val="22"/>
                <w:highlight w:val="yellow"/>
                <w:lang w:val="en-GB"/>
              </w:rPr>
            </w:pPr>
          </w:p>
        </w:tc>
        <w:tc>
          <w:tcPr>
            <w:tcW w:w="1519" w:type="dxa"/>
            <w:tcBorders>
              <w:top w:val="nil"/>
              <w:left w:val="nil"/>
              <w:bottom w:val="single" w:sz="12" w:space="0" w:color="auto"/>
              <w:right w:val="nil"/>
            </w:tcBorders>
            <w:vAlign w:val="bottom"/>
            <w:hideMark/>
          </w:tcPr>
          <w:p w:rsidR="00D27D49" w:rsidRDefault="009A2FFB">
            <w:pPr>
              <w:snapToGrid w:val="0"/>
              <w:jc w:val="right"/>
              <w:rPr>
                <w:bCs/>
                <w:sz w:val="22"/>
                <w:lang w:val="en-GB"/>
              </w:rPr>
            </w:pPr>
            <w:r>
              <w:rPr>
                <w:bCs/>
                <w:sz w:val="22"/>
                <w:lang w:val="en-GB"/>
              </w:rPr>
              <w:t>167,367</w:t>
            </w:r>
          </w:p>
        </w:tc>
      </w:tr>
      <w:tr w:rsidR="00D27D49" w:rsidTr="00D27D49">
        <w:tc>
          <w:tcPr>
            <w:tcW w:w="6750" w:type="dxa"/>
          </w:tcPr>
          <w:p w:rsidR="00D27D49" w:rsidRDefault="00D27D49">
            <w:pPr>
              <w:snapToGrid w:val="0"/>
              <w:rPr>
                <w:sz w:val="22"/>
              </w:rPr>
            </w:pPr>
          </w:p>
        </w:tc>
        <w:tc>
          <w:tcPr>
            <w:tcW w:w="270" w:type="dxa"/>
            <w:vAlign w:val="bottom"/>
          </w:tcPr>
          <w:p w:rsidR="00D27D49" w:rsidRDefault="00D27D49">
            <w:pPr>
              <w:snapToGrid w:val="0"/>
              <w:jc w:val="right"/>
              <w:rPr>
                <w:sz w:val="22"/>
                <w:lang w:val="en-GB"/>
              </w:rPr>
            </w:pPr>
          </w:p>
        </w:tc>
        <w:tc>
          <w:tcPr>
            <w:tcW w:w="1485" w:type="dxa"/>
            <w:tcBorders>
              <w:top w:val="single" w:sz="4" w:space="0" w:color="auto"/>
              <w:left w:val="nil"/>
              <w:right w:val="nil"/>
            </w:tcBorders>
            <w:vAlign w:val="bottom"/>
          </w:tcPr>
          <w:p w:rsidR="00D27D49" w:rsidRDefault="00D27D49">
            <w:pPr>
              <w:snapToGrid w:val="0"/>
              <w:jc w:val="right"/>
              <w:rPr>
                <w:bCs/>
                <w:sz w:val="22"/>
                <w:lang w:val="en-GB"/>
              </w:rPr>
            </w:pPr>
          </w:p>
        </w:tc>
        <w:tc>
          <w:tcPr>
            <w:tcW w:w="236" w:type="dxa"/>
            <w:vAlign w:val="bottom"/>
          </w:tcPr>
          <w:p w:rsidR="00D27D49" w:rsidRDefault="00D27D49">
            <w:pPr>
              <w:snapToGrid w:val="0"/>
              <w:jc w:val="right"/>
              <w:rPr>
                <w:sz w:val="22"/>
                <w:highlight w:val="yellow"/>
                <w:lang w:val="en-GB"/>
              </w:rPr>
            </w:pPr>
          </w:p>
        </w:tc>
        <w:tc>
          <w:tcPr>
            <w:tcW w:w="1519" w:type="dxa"/>
            <w:tcBorders>
              <w:top w:val="single" w:sz="4" w:space="0" w:color="auto"/>
              <w:left w:val="nil"/>
              <w:right w:val="nil"/>
            </w:tcBorders>
            <w:vAlign w:val="bottom"/>
          </w:tcPr>
          <w:p w:rsidR="00D27D49" w:rsidRDefault="00D27D49">
            <w:pPr>
              <w:snapToGrid w:val="0"/>
              <w:jc w:val="right"/>
              <w:rPr>
                <w:bCs/>
                <w:sz w:val="22"/>
                <w:lang w:val="en-GB"/>
              </w:rPr>
            </w:pPr>
          </w:p>
        </w:tc>
      </w:tr>
      <w:tr w:rsidR="00D27D49" w:rsidTr="00D27D49">
        <w:tc>
          <w:tcPr>
            <w:tcW w:w="6750" w:type="dxa"/>
          </w:tcPr>
          <w:p w:rsidR="00D27D49" w:rsidRDefault="00D27D49">
            <w:pPr>
              <w:snapToGrid w:val="0"/>
              <w:rPr>
                <w:b/>
                <w:sz w:val="22"/>
              </w:rPr>
            </w:pPr>
          </w:p>
        </w:tc>
        <w:tc>
          <w:tcPr>
            <w:tcW w:w="270" w:type="dxa"/>
            <w:vAlign w:val="bottom"/>
          </w:tcPr>
          <w:p w:rsidR="00D27D49" w:rsidRDefault="00D27D49">
            <w:pPr>
              <w:snapToGrid w:val="0"/>
              <w:jc w:val="right"/>
              <w:rPr>
                <w:sz w:val="22"/>
                <w:lang w:val="en-GB"/>
              </w:rPr>
            </w:pPr>
          </w:p>
        </w:tc>
        <w:tc>
          <w:tcPr>
            <w:tcW w:w="1485" w:type="dxa"/>
            <w:tcBorders>
              <w:top w:val="nil"/>
              <w:left w:val="nil"/>
              <w:right w:val="nil"/>
            </w:tcBorders>
            <w:vAlign w:val="bottom"/>
          </w:tcPr>
          <w:p w:rsidR="00D27D49" w:rsidRDefault="00D27D49">
            <w:pPr>
              <w:snapToGrid w:val="0"/>
              <w:jc w:val="right"/>
              <w:rPr>
                <w:bCs/>
                <w:sz w:val="22"/>
                <w:lang w:val="en-GB"/>
              </w:rPr>
            </w:pPr>
          </w:p>
        </w:tc>
        <w:tc>
          <w:tcPr>
            <w:tcW w:w="236" w:type="dxa"/>
            <w:vAlign w:val="bottom"/>
          </w:tcPr>
          <w:p w:rsidR="00D27D49" w:rsidRDefault="00D27D49">
            <w:pPr>
              <w:snapToGrid w:val="0"/>
              <w:jc w:val="right"/>
              <w:rPr>
                <w:sz w:val="22"/>
                <w:highlight w:val="yellow"/>
                <w:lang w:val="en-GB"/>
              </w:rPr>
            </w:pPr>
          </w:p>
        </w:tc>
        <w:tc>
          <w:tcPr>
            <w:tcW w:w="1519" w:type="dxa"/>
            <w:tcBorders>
              <w:top w:val="nil"/>
              <w:left w:val="nil"/>
              <w:right w:val="nil"/>
            </w:tcBorders>
            <w:vAlign w:val="bottom"/>
          </w:tcPr>
          <w:p w:rsidR="00D27D49" w:rsidRDefault="00D27D49">
            <w:pPr>
              <w:snapToGrid w:val="0"/>
              <w:jc w:val="right"/>
              <w:rPr>
                <w:bCs/>
                <w:sz w:val="22"/>
                <w:lang w:val="en-GB"/>
              </w:rPr>
            </w:pPr>
          </w:p>
        </w:tc>
      </w:tr>
    </w:tbl>
    <w:p w:rsidR="004B1065" w:rsidRDefault="004B1065" w:rsidP="004B1065">
      <w:pPr>
        <w:rPr>
          <w:b/>
          <w:bCs/>
          <w:sz w:val="22"/>
        </w:rPr>
      </w:pPr>
    </w:p>
    <w:p w:rsidR="004B1065" w:rsidRDefault="004B1065" w:rsidP="004B1065">
      <w:pPr>
        <w:rPr>
          <w:sz w:val="20"/>
          <w:lang w:val="en-GB"/>
        </w:rPr>
      </w:pPr>
      <w:r>
        <w:rPr>
          <w:b/>
          <w:bCs/>
          <w:sz w:val="22"/>
        </w:rPr>
        <w:t xml:space="preserve">  Supplemental Disclosures with Respect to Cash Flows </w:t>
      </w:r>
      <w:r w:rsidR="002B7F7B">
        <w:rPr>
          <w:sz w:val="22"/>
        </w:rPr>
        <w:t>(Note 9</w:t>
      </w:r>
      <w:r>
        <w:rPr>
          <w:sz w:val="22"/>
        </w:rPr>
        <w:t>)</w:t>
      </w:r>
    </w:p>
    <w:p w:rsidR="002E4E73" w:rsidRDefault="002E4E73">
      <w:pPr>
        <w:rPr>
          <w:b/>
          <w:bCs/>
          <w:sz w:val="22"/>
        </w:rPr>
      </w:pPr>
    </w:p>
    <w:p w:rsidR="00C70A21" w:rsidRDefault="00C70A21">
      <w:pPr>
        <w:jc w:val="both"/>
        <w:rPr>
          <w:b/>
          <w:sz w:val="28"/>
          <w:lang w:val="en-GB"/>
        </w:rPr>
        <w:sectPr w:rsidR="00C70A21" w:rsidSect="008E1D55">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994" w:right="1080" w:bottom="360" w:left="1080" w:header="1080" w:footer="301" w:gutter="0"/>
          <w:pgNumType w:start="0"/>
          <w:cols w:space="720"/>
          <w:noEndnote/>
          <w:titlePg/>
          <w:docGrid w:linePitch="326"/>
        </w:sectPr>
      </w:pPr>
      <w:r>
        <w:rPr>
          <w:b/>
          <w:sz w:val="28"/>
          <w:lang w:val="en-GB"/>
        </w:rPr>
        <w:br w:type="page"/>
      </w:r>
    </w:p>
    <w:p w:rsidR="002E4E73" w:rsidRDefault="005D05FA">
      <w:pPr>
        <w:jc w:val="both"/>
        <w:rPr>
          <w:b/>
          <w:sz w:val="28"/>
          <w:lang w:val="en-GB"/>
        </w:rPr>
      </w:pPr>
      <w:r w:rsidRPr="00E67F37">
        <w:rPr>
          <w:b/>
          <w:sz w:val="28"/>
          <w:lang w:val="en-GB"/>
        </w:rPr>
        <w:lastRenderedPageBreak/>
        <w:t>Rheingold Exploration Corp.</w:t>
      </w:r>
    </w:p>
    <w:p w:rsidR="002E4E73" w:rsidRDefault="006468AD" w:rsidP="00B6502A">
      <w:pPr>
        <w:jc w:val="both"/>
        <w:rPr>
          <w:bCs/>
          <w:lang w:val="en-GB"/>
        </w:rPr>
      </w:pPr>
      <w:r>
        <w:rPr>
          <w:lang w:val="en-GB"/>
        </w:rPr>
        <w:t xml:space="preserve">Condensed </w:t>
      </w:r>
      <w:r w:rsidR="00EB3B29">
        <w:rPr>
          <w:lang w:val="en-GB"/>
        </w:rPr>
        <w:t xml:space="preserve">Interim </w:t>
      </w:r>
      <w:r w:rsidR="002E4E73">
        <w:rPr>
          <w:bCs/>
          <w:lang w:val="en-GB"/>
        </w:rPr>
        <w:t>Statement</w:t>
      </w:r>
      <w:r w:rsidR="008D072E">
        <w:rPr>
          <w:bCs/>
          <w:lang w:val="en-GB"/>
        </w:rPr>
        <w:t>s</w:t>
      </w:r>
      <w:r w:rsidR="002E4E73">
        <w:rPr>
          <w:bCs/>
          <w:lang w:val="en-GB"/>
        </w:rPr>
        <w:t xml:space="preserve"> of Changes in Equity</w:t>
      </w:r>
    </w:p>
    <w:p w:rsidR="005D05FA" w:rsidRDefault="005D05FA" w:rsidP="00B6502A">
      <w:pPr>
        <w:jc w:val="both"/>
        <w:rPr>
          <w:bCs/>
          <w:lang w:val="en-GB"/>
        </w:rPr>
      </w:pPr>
      <w:r>
        <w:rPr>
          <w:bCs/>
          <w:lang w:val="en-GB"/>
        </w:rPr>
        <w:t>(Expressed in Canadian Dollars)</w:t>
      </w:r>
    </w:p>
    <w:p w:rsidR="00BC7A08" w:rsidRDefault="00B6502A" w:rsidP="00B6502A">
      <w:pPr>
        <w:pBdr>
          <w:bottom w:val="single" w:sz="8" w:space="1" w:color="auto"/>
        </w:pBdr>
        <w:jc w:val="both"/>
        <w:rPr>
          <w:lang w:val="en-GB"/>
        </w:rPr>
      </w:pPr>
      <w:r>
        <w:rPr>
          <w:lang w:val="en-GB"/>
        </w:rPr>
        <w:t>(</w:t>
      </w:r>
      <w:proofErr w:type="spellStart"/>
      <w:r>
        <w:rPr>
          <w:lang w:val="en-GB"/>
        </w:rPr>
        <w:t>Unaudite</w:t>
      </w:r>
      <w:proofErr w:type="spellEnd"/>
      <w:r w:rsidR="00BE0221">
        <w:rPr>
          <w:lang w:val="en-GB"/>
        </w:rPr>
        <w:t>)</w:t>
      </w:r>
    </w:p>
    <w:tbl>
      <w:tblPr>
        <w:tblW w:w="12600" w:type="dxa"/>
        <w:tblInd w:w="18" w:type="dxa"/>
        <w:tblLayout w:type="fixed"/>
        <w:tblLook w:val="0000"/>
      </w:tblPr>
      <w:tblGrid>
        <w:gridCol w:w="2970"/>
        <w:gridCol w:w="236"/>
        <w:gridCol w:w="1204"/>
        <w:gridCol w:w="236"/>
        <w:gridCol w:w="1114"/>
        <w:gridCol w:w="236"/>
        <w:gridCol w:w="1204"/>
        <w:gridCol w:w="270"/>
        <w:gridCol w:w="1260"/>
        <w:gridCol w:w="236"/>
        <w:gridCol w:w="1024"/>
        <w:gridCol w:w="236"/>
        <w:gridCol w:w="1024"/>
        <w:gridCol w:w="236"/>
        <w:gridCol w:w="1114"/>
      </w:tblGrid>
      <w:tr w:rsidR="00BC7A08" w:rsidRPr="003A7914" w:rsidTr="00806504">
        <w:trPr>
          <w:cantSplit/>
        </w:trPr>
        <w:tc>
          <w:tcPr>
            <w:tcW w:w="2970" w:type="dxa"/>
          </w:tcPr>
          <w:p w:rsidR="00BC7A08" w:rsidRPr="003A7914" w:rsidRDefault="00BC7A08" w:rsidP="00806504">
            <w:pPr>
              <w:rPr>
                <w:b/>
                <w:sz w:val="16"/>
                <w:szCs w:val="22"/>
                <w:lang w:val="en-GB"/>
              </w:rPr>
            </w:pPr>
          </w:p>
        </w:tc>
        <w:tc>
          <w:tcPr>
            <w:tcW w:w="1440" w:type="dxa"/>
            <w:gridSpan w:val="2"/>
            <w:vAlign w:val="bottom"/>
          </w:tcPr>
          <w:p w:rsidR="00BC7A08" w:rsidRPr="003A7914" w:rsidRDefault="00BC7A08" w:rsidP="00806504">
            <w:pPr>
              <w:jc w:val="right"/>
              <w:rPr>
                <w:b/>
                <w:bCs/>
                <w:sz w:val="16"/>
                <w:szCs w:val="22"/>
                <w:lang w:val="en-GB"/>
              </w:rPr>
            </w:pPr>
            <w:r w:rsidRPr="003A7914">
              <w:rPr>
                <w:b/>
                <w:bCs/>
                <w:sz w:val="16"/>
                <w:szCs w:val="22"/>
                <w:lang w:val="en-GB"/>
              </w:rPr>
              <w:t>Common Shares</w:t>
            </w:r>
          </w:p>
        </w:tc>
        <w:tc>
          <w:tcPr>
            <w:tcW w:w="1350" w:type="dxa"/>
            <w:gridSpan w:val="2"/>
            <w:vAlign w:val="bottom"/>
          </w:tcPr>
          <w:p w:rsidR="00BC7A08" w:rsidRPr="003A7914" w:rsidRDefault="00BC7A08" w:rsidP="00806504">
            <w:pPr>
              <w:jc w:val="right"/>
              <w:rPr>
                <w:b/>
                <w:bCs/>
                <w:sz w:val="16"/>
                <w:szCs w:val="22"/>
                <w:lang w:val="en-GB"/>
              </w:rPr>
            </w:pPr>
            <w:r w:rsidRPr="003A7914">
              <w:rPr>
                <w:b/>
                <w:bCs/>
                <w:sz w:val="16"/>
                <w:szCs w:val="22"/>
                <w:lang w:val="en-GB"/>
              </w:rPr>
              <w:t>Share Capital</w:t>
            </w:r>
          </w:p>
        </w:tc>
        <w:tc>
          <w:tcPr>
            <w:tcW w:w="1440" w:type="dxa"/>
            <w:gridSpan w:val="2"/>
            <w:vAlign w:val="bottom"/>
          </w:tcPr>
          <w:p w:rsidR="00BC7A08" w:rsidRPr="003A7914" w:rsidRDefault="00BC7A08" w:rsidP="00806504">
            <w:pPr>
              <w:jc w:val="right"/>
              <w:rPr>
                <w:b/>
                <w:bCs/>
                <w:sz w:val="16"/>
                <w:szCs w:val="22"/>
                <w:lang w:val="en-GB"/>
              </w:rPr>
            </w:pPr>
            <w:r w:rsidRPr="003A7914">
              <w:rPr>
                <w:b/>
                <w:bCs/>
                <w:sz w:val="16"/>
                <w:szCs w:val="22"/>
                <w:lang w:val="en-GB"/>
              </w:rPr>
              <w:t xml:space="preserve">Stock </w:t>
            </w:r>
          </w:p>
          <w:p w:rsidR="00BC7A08" w:rsidRPr="003A7914" w:rsidRDefault="00BC7A08" w:rsidP="00806504">
            <w:pPr>
              <w:jc w:val="right"/>
              <w:rPr>
                <w:b/>
                <w:bCs/>
                <w:sz w:val="16"/>
                <w:szCs w:val="22"/>
                <w:lang w:val="en-GB"/>
              </w:rPr>
            </w:pPr>
            <w:r w:rsidRPr="003A7914">
              <w:rPr>
                <w:b/>
                <w:bCs/>
                <w:sz w:val="16"/>
                <w:szCs w:val="22"/>
                <w:lang w:val="en-GB"/>
              </w:rPr>
              <w:t>Option Reserve</w:t>
            </w:r>
          </w:p>
        </w:tc>
        <w:tc>
          <w:tcPr>
            <w:tcW w:w="270" w:type="dxa"/>
          </w:tcPr>
          <w:p w:rsidR="00BC7A08" w:rsidRPr="003A7914" w:rsidRDefault="00BC7A08" w:rsidP="00806504">
            <w:pPr>
              <w:jc w:val="right"/>
              <w:rPr>
                <w:b/>
                <w:bCs/>
                <w:sz w:val="16"/>
                <w:szCs w:val="22"/>
                <w:lang w:val="en-GB"/>
              </w:rPr>
            </w:pPr>
          </w:p>
        </w:tc>
        <w:tc>
          <w:tcPr>
            <w:tcW w:w="1260" w:type="dxa"/>
          </w:tcPr>
          <w:p w:rsidR="00BC7A08" w:rsidRPr="003A7914" w:rsidRDefault="00BC7A08" w:rsidP="00806504">
            <w:pPr>
              <w:jc w:val="right"/>
              <w:rPr>
                <w:b/>
                <w:bCs/>
                <w:sz w:val="16"/>
                <w:szCs w:val="22"/>
                <w:lang w:val="en-GB"/>
              </w:rPr>
            </w:pPr>
            <w:r w:rsidRPr="003A7914">
              <w:rPr>
                <w:b/>
                <w:bCs/>
                <w:sz w:val="16"/>
                <w:szCs w:val="22"/>
                <w:lang w:val="en-GB"/>
              </w:rPr>
              <w:t>Warrant Reserve</w:t>
            </w:r>
          </w:p>
        </w:tc>
        <w:tc>
          <w:tcPr>
            <w:tcW w:w="1260" w:type="dxa"/>
            <w:gridSpan w:val="2"/>
            <w:vAlign w:val="bottom"/>
          </w:tcPr>
          <w:p w:rsidR="00BC7A08" w:rsidRPr="003A7914" w:rsidRDefault="00BC7A08" w:rsidP="00806504">
            <w:pPr>
              <w:jc w:val="right"/>
              <w:rPr>
                <w:b/>
                <w:bCs/>
                <w:sz w:val="16"/>
                <w:szCs w:val="22"/>
                <w:lang w:val="en-GB"/>
              </w:rPr>
            </w:pPr>
            <w:r w:rsidRPr="003A7914">
              <w:rPr>
                <w:b/>
                <w:bCs/>
                <w:sz w:val="16"/>
                <w:szCs w:val="22"/>
                <w:lang w:val="en-GB"/>
              </w:rPr>
              <w:t>Contributed Surplus</w:t>
            </w:r>
          </w:p>
        </w:tc>
        <w:tc>
          <w:tcPr>
            <w:tcW w:w="1260" w:type="dxa"/>
            <w:gridSpan w:val="2"/>
            <w:vAlign w:val="bottom"/>
          </w:tcPr>
          <w:p w:rsidR="00BC7A08" w:rsidRPr="003A7914" w:rsidRDefault="00BC7A08" w:rsidP="00806504">
            <w:pPr>
              <w:jc w:val="right"/>
              <w:rPr>
                <w:b/>
                <w:bCs/>
                <w:sz w:val="16"/>
                <w:szCs w:val="22"/>
                <w:lang w:val="en-GB"/>
              </w:rPr>
            </w:pPr>
            <w:r w:rsidRPr="003A7914">
              <w:rPr>
                <w:b/>
                <w:bCs/>
                <w:sz w:val="16"/>
                <w:szCs w:val="22"/>
                <w:lang w:val="en-GB"/>
              </w:rPr>
              <w:t>Deficit</w:t>
            </w:r>
          </w:p>
        </w:tc>
        <w:tc>
          <w:tcPr>
            <w:tcW w:w="1350" w:type="dxa"/>
            <w:gridSpan w:val="2"/>
            <w:vAlign w:val="bottom"/>
          </w:tcPr>
          <w:p w:rsidR="00BC7A08" w:rsidRPr="003A7914" w:rsidRDefault="00BC7A08" w:rsidP="00806504">
            <w:pPr>
              <w:jc w:val="right"/>
              <w:rPr>
                <w:b/>
                <w:bCs/>
                <w:sz w:val="16"/>
                <w:szCs w:val="22"/>
                <w:lang w:val="en-GB"/>
              </w:rPr>
            </w:pPr>
            <w:r w:rsidRPr="003A7914">
              <w:rPr>
                <w:b/>
                <w:bCs/>
                <w:sz w:val="16"/>
                <w:szCs w:val="22"/>
                <w:lang w:val="en-GB"/>
              </w:rPr>
              <w:t>Total</w:t>
            </w:r>
          </w:p>
          <w:p w:rsidR="00BC7A08" w:rsidRPr="003A7914" w:rsidRDefault="00BC7A08" w:rsidP="00806504">
            <w:pPr>
              <w:jc w:val="right"/>
              <w:rPr>
                <w:b/>
                <w:bCs/>
                <w:sz w:val="16"/>
                <w:szCs w:val="22"/>
                <w:lang w:val="en-GB"/>
              </w:rPr>
            </w:pPr>
            <w:r w:rsidRPr="003A7914">
              <w:rPr>
                <w:b/>
                <w:bCs/>
                <w:sz w:val="16"/>
                <w:szCs w:val="22"/>
                <w:lang w:val="en-GB"/>
              </w:rPr>
              <w:t>Equity</w:t>
            </w:r>
          </w:p>
        </w:tc>
      </w:tr>
      <w:tr w:rsidR="00BC7A08" w:rsidRPr="003A7914" w:rsidTr="00806504">
        <w:tc>
          <w:tcPr>
            <w:tcW w:w="2970" w:type="dxa"/>
          </w:tcPr>
          <w:p w:rsidR="00BC7A08" w:rsidRPr="003A7914" w:rsidRDefault="00BC7A08" w:rsidP="00806504">
            <w:pPr>
              <w:rPr>
                <w:b/>
                <w:bCs/>
                <w:sz w:val="16"/>
                <w:lang w:val="en-GB"/>
              </w:rPr>
            </w:pPr>
          </w:p>
        </w:tc>
        <w:tc>
          <w:tcPr>
            <w:tcW w:w="236" w:type="dxa"/>
            <w:vAlign w:val="bottom"/>
          </w:tcPr>
          <w:p w:rsidR="00BC7A08" w:rsidRPr="003A7914" w:rsidRDefault="00BC7A08" w:rsidP="00806504">
            <w:pPr>
              <w:jc w:val="right"/>
              <w:rPr>
                <w:b/>
                <w:bCs/>
                <w:sz w:val="16"/>
                <w:lang w:val="en-GB"/>
              </w:rPr>
            </w:pPr>
          </w:p>
        </w:tc>
        <w:tc>
          <w:tcPr>
            <w:tcW w:w="1204" w:type="dxa"/>
            <w:vAlign w:val="bottom"/>
          </w:tcPr>
          <w:p w:rsidR="00BC7A08" w:rsidRPr="003A7914" w:rsidRDefault="00BC7A08" w:rsidP="00806504">
            <w:pPr>
              <w:jc w:val="right"/>
              <w:rPr>
                <w:b/>
                <w:bCs/>
                <w:sz w:val="16"/>
                <w:lang w:val="en-GB"/>
              </w:rPr>
            </w:pPr>
          </w:p>
        </w:tc>
        <w:tc>
          <w:tcPr>
            <w:tcW w:w="236" w:type="dxa"/>
          </w:tcPr>
          <w:p w:rsidR="00BC7A08" w:rsidRPr="003A7914" w:rsidRDefault="00BC7A08" w:rsidP="00806504">
            <w:pPr>
              <w:jc w:val="right"/>
              <w:rPr>
                <w:b/>
                <w:bCs/>
                <w:sz w:val="16"/>
                <w:lang w:val="en-GB"/>
              </w:rPr>
            </w:pPr>
          </w:p>
        </w:tc>
        <w:tc>
          <w:tcPr>
            <w:tcW w:w="1114" w:type="dxa"/>
            <w:vAlign w:val="bottom"/>
          </w:tcPr>
          <w:p w:rsidR="00BC7A08" w:rsidRPr="003A7914" w:rsidRDefault="00BC7A08" w:rsidP="00806504">
            <w:pPr>
              <w:jc w:val="right"/>
              <w:rPr>
                <w:b/>
                <w:bCs/>
                <w:sz w:val="16"/>
                <w:lang w:val="en-GB"/>
              </w:rPr>
            </w:pPr>
            <w:r w:rsidRPr="003A7914">
              <w:rPr>
                <w:b/>
                <w:bCs/>
                <w:sz w:val="16"/>
                <w:lang w:val="en-GB"/>
              </w:rPr>
              <w:t>$</w:t>
            </w:r>
          </w:p>
        </w:tc>
        <w:tc>
          <w:tcPr>
            <w:tcW w:w="236" w:type="dxa"/>
            <w:vAlign w:val="bottom"/>
          </w:tcPr>
          <w:p w:rsidR="00BC7A08" w:rsidRPr="003A7914" w:rsidRDefault="00BC7A08" w:rsidP="00806504">
            <w:pPr>
              <w:jc w:val="right"/>
              <w:rPr>
                <w:b/>
                <w:bCs/>
                <w:sz w:val="16"/>
                <w:lang w:val="en-GB"/>
              </w:rPr>
            </w:pPr>
          </w:p>
        </w:tc>
        <w:tc>
          <w:tcPr>
            <w:tcW w:w="1204" w:type="dxa"/>
            <w:vAlign w:val="bottom"/>
          </w:tcPr>
          <w:p w:rsidR="00BC7A08" w:rsidRPr="003A7914" w:rsidRDefault="00BC7A08" w:rsidP="00806504">
            <w:pPr>
              <w:jc w:val="right"/>
              <w:rPr>
                <w:b/>
                <w:bCs/>
                <w:sz w:val="16"/>
                <w:lang w:val="en-GB"/>
              </w:rPr>
            </w:pPr>
            <w:r w:rsidRPr="003A7914">
              <w:rPr>
                <w:b/>
                <w:bCs/>
                <w:sz w:val="16"/>
                <w:lang w:val="en-GB"/>
              </w:rPr>
              <w:t>$</w:t>
            </w:r>
          </w:p>
        </w:tc>
        <w:tc>
          <w:tcPr>
            <w:tcW w:w="270" w:type="dxa"/>
          </w:tcPr>
          <w:p w:rsidR="00BC7A08" w:rsidRPr="003A7914" w:rsidRDefault="00BC7A08" w:rsidP="00806504">
            <w:pPr>
              <w:jc w:val="right"/>
              <w:rPr>
                <w:b/>
                <w:bCs/>
                <w:sz w:val="16"/>
                <w:lang w:val="en-GB"/>
              </w:rPr>
            </w:pPr>
          </w:p>
        </w:tc>
        <w:tc>
          <w:tcPr>
            <w:tcW w:w="1260" w:type="dxa"/>
          </w:tcPr>
          <w:p w:rsidR="00BC7A08" w:rsidRPr="003A7914" w:rsidRDefault="00BC7A08" w:rsidP="00806504">
            <w:pPr>
              <w:jc w:val="right"/>
              <w:rPr>
                <w:b/>
                <w:bCs/>
                <w:sz w:val="16"/>
                <w:lang w:val="en-GB"/>
              </w:rPr>
            </w:pPr>
            <w:r w:rsidRPr="003A7914">
              <w:rPr>
                <w:b/>
                <w:bCs/>
                <w:sz w:val="16"/>
                <w:lang w:val="en-GB"/>
              </w:rPr>
              <w:t>$</w:t>
            </w:r>
          </w:p>
        </w:tc>
        <w:tc>
          <w:tcPr>
            <w:tcW w:w="236" w:type="dxa"/>
          </w:tcPr>
          <w:p w:rsidR="00BC7A08" w:rsidRPr="003A7914" w:rsidRDefault="00BC7A08" w:rsidP="00806504">
            <w:pPr>
              <w:jc w:val="right"/>
              <w:rPr>
                <w:b/>
                <w:bCs/>
                <w:sz w:val="16"/>
                <w:lang w:val="en-GB"/>
              </w:rPr>
            </w:pPr>
          </w:p>
        </w:tc>
        <w:tc>
          <w:tcPr>
            <w:tcW w:w="1024" w:type="dxa"/>
          </w:tcPr>
          <w:p w:rsidR="00BC7A08" w:rsidRPr="003A7914" w:rsidRDefault="00BC7A08" w:rsidP="00806504">
            <w:pPr>
              <w:jc w:val="right"/>
              <w:rPr>
                <w:b/>
                <w:bCs/>
                <w:sz w:val="16"/>
                <w:lang w:val="en-GB"/>
              </w:rPr>
            </w:pPr>
            <w:r w:rsidRPr="003A7914">
              <w:rPr>
                <w:b/>
                <w:bCs/>
                <w:sz w:val="16"/>
                <w:lang w:val="en-GB"/>
              </w:rPr>
              <w:t>$</w:t>
            </w:r>
          </w:p>
        </w:tc>
        <w:tc>
          <w:tcPr>
            <w:tcW w:w="236" w:type="dxa"/>
            <w:vAlign w:val="bottom"/>
          </w:tcPr>
          <w:p w:rsidR="00BC7A08" w:rsidRPr="003A7914" w:rsidRDefault="00BC7A08" w:rsidP="00806504">
            <w:pPr>
              <w:jc w:val="right"/>
              <w:rPr>
                <w:b/>
                <w:bCs/>
                <w:sz w:val="16"/>
                <w:lang w:val="en-GB"/>
              </w:rPr>
            </w:pPr>
          </w:p>
        </w:tc>
        <w:tc>
          <w:tcPr>
            <w:tcW w:w="1024" w:type="dxa"/>
            <w:vAlign w:val="bottom"/>
          </w:tcPr>
          <w:p w:rsidR="00BC7A08" w:rsidRPr="003A7914" w:rsidRDefault="00BC7A08" w:rsidP="00806504">
            <w:pPr>
              <w:jc w:val="right"/>
              <w:rPr>
                <w:b/>
                <w:bCs/>
                <w:sz w:val="16"/>
                <w:lang w:val="en-GB"/>
              </w:rPr>
            </w:pPr>
            <w:r w:rsidRPr="003A7914">
              <w:rPr>
                <w:b/>
                <w:bCs/>
                <w:sz w:val="16"/>
                <w:lang w:val="en-GB"/>
              </w:rPr>
              <w:t>$</w:t>
            </w:r>
          </w:p>
        </w:tc>
        <w:tc>
          <w:tcPr>
            <w:tcW w:w="236" w:type="dxa"/>
            <w:vAlign w:val="bottom"/>
          </w:tcPr>
          <w:p w:rsidR="00BC7A08" w:rsidRPr="003A7914" w:rsidRDefault="00BC7A08" w:rsidP="00806504">
            <w:pPr>
              <w:jc w:val="right"/>
              <w:rPr>
                <w:b/>
                <w:bCs/>
                <w:sz w:val="16"/>
                <w:lang w:val="en-GB"/>
              </w:rPr>
            </w:pPr>
          </w:p>
        </w:tc>
        <w:tc>
          <w:tcPr>
            <w:tcW w:w="1114" w:type="dxa"/>
            <w:vAlign w:val="bottom"/>
          </w:tcPr>
          <w:p w:rsidR="00BC7A08" w:rsidRPr="003A7914" w:rsidRDefault="00BC7A08" w:rsidP="00806504">
            <w:pPr>
              <w:jc w:val="right"/>
              <w:rPr>
                <w:b/>
                <w:bCs/>
                <w:sz w:val="16"/>
                <w:lang w:val="en-GB"/>
              </w:rPr>
            </w:pPr>
            <w:r w:rsidRPr="003A7914">
              <w:rPr>
                <w:b/>
                <w:bCs/>
                <w:sz w:val="16"/>
                <w:lang w:val="en-GB"/>
              </w:rPr>
              <w:t>$</w:t>
            </w:r>
          </w:p>
        </w:tc>
      </w:tr>
      <w:tr w:rsidR="00BC7A08" w:rsidRPr="003A7914" w:rsidTr="00806504">
        <w:tc>
          <w:tcPr>
            <w:tcW w:w="2970" w:type="dxa"/>
          </w:tcPr>
          <w:p w:rsidR="00BC7A08" w:rsidRPr="003A7914" w:rsidRDefault="00BC7A08" w:rsidP="00806504">
            <w:pPr>
              <w:rPr>
                <w:b/>
                <w:bCs/>
                <w:sz w:val="16"/>
                <w:lang w:val="en-GB"/>
              </w:rPr>
            </w:pPr>
          </w:p>
        </w:tc>
        <w:tc>
          <w:tcPr>
            <w:tcW w:w="236" w:type="dxa"/>
            <w:vAlign w:val="bottom"/>
          </w:tcPr>
          <w:p w:rsidR="00BC7A08" w:rsidRPr="003A7914" w:rsidRDefault="00BC7A08" w:rsidP="00806504">
            <w:pPr>
              <w:jc w:val="right"/>
              <w:rPr>
                <w:sz w:val="16"/>
                <w:lang w:val="en-GB"/>
              </w:rPr>
            </w:pPr>
          </w:p>
        </w:tc>
        <w:tc>
          <w:tcPr>
            <w:tcW w:w="1204" w:type="dxa"/>
            <w:vAlign w:val="bottom"/>
          </w:tcPr>
          <w:p w:rsidR="00BC7A08" w:rsidRPr="003A7914" w:rsidRDefault="00BC7A08" w:rsidP="00806504">
            <w:pPr>
              <w:jc w:val="right"/>
              <w:rPr>
                <w:sz w:val="16"/>
                <w:lang w:val="en-GB"/>
              </w:rPr>
            </w:pPr>
          </w:p>
        </w:tc>
        <w:tc>
          <w:tcPr>
            <w:tcW w:w="236" w:type="dxa"/>
          </w:tcPr>
          <w:p w:rsidR="00BC7A08" w:rsidRPr="003A7914" w:rsidRDefault="00BC7A08" w:rsidP="00806504">
            <w:pPr>
              <w:jc w:val="right"/>
              <w:rPr>
                <w:sz w:val="16"/>
                <w:lang w:val="en-GB"/>
              </w:rPr>
            </w:pPr>
          </w:p>
        </w:tc>
        <w:tc>
          <w:tcPr>
            <w:tcW w:w="1114" w:type="dxa"/>
            <w:vAlign w:val="bottom"/>
          </w:tcPr>
          <w:p w:rsidR="00BC7A08" w:rsidRPr="003A7914" w:rsidRDefault="00BC7A08" w:rsidP="00806504">
            <w:pPr>
              <w:jc w:val="right"/>
              <w:rPr>
                <w:sz w:val="16"/>
                <w:lang w:val="en-GB"/>
              </w:rPr>
            </w:pPr>
          </w:p>
        </w:tc>
        <w:tc>
          <w:tcPr>
            <w:tcW w:w="236" w:type="dxa"/>
            <w:vAlign w:val="bottom"/>
          </w:tcPr>
          <w:p w:rsidR="00BC7A08" w:rsidRPr="003A7914" w:rsidRDefault="00BC7A08" w:rsidP="00806504">
            <w:pPr>
              <w:jc w:val="right"/>
              <w:rPr>
                <w:sz w:val="16"/>
                <w:lang w:val="en-GB"/>
              </w:rPr>
            </w:pPr>
          </w:p>
        </w:tc>
        <w:tc>
          <w:tcPr>
            <w:tcW w:w="1204" w:type="dxa"/>
            <w:vAlign w:val="bottom"/>
          </w:tcPr>
          <w:p w:rsidR="00BC7A08" w:rsidRPr="003A7914" w:rsidRDefault="00BC7A08" w:rsidP="00806504">
            <w:pPr>
              <w:jc w:val="right"/>
              <w:rPr>
                <w:sz w:val="16"/>
                <w:lang w:val="en-GB"/>
              </w:rPr>
            </w:pPr>
          </w:p>
        </w:tc>
        <w:tc>
          <w:tcPr>
            <w:tcW w:w="270" w:type="dxa"/>
          </w:tcPr>
          <w:p w:rsidR="00BC7A08" w:rsidRPr="003A7914" w:rsidRDefault="00BC7A08" w:rsidP="00806504">
            <w:pPr>
              <w:jc w:val="right"/>
              <w:rPr>
                <w:sz w:val="16"/>
                <w:lang w:val="en-GB"/>
              </w:rPr>
            </w:pPr>
          </w:p>
        </w:tc>
        <w:tc>
          <w:tcPr>
            <w:tcW w:w="1260" w:type="dxa"/>
          </w:tcPr>
          <w:p w:rsidR="00BC7A08" w:rsidRPr="003A7914" w:rsidRDefault="00BC7A08" w:rsidP="00806504">
            <w:pPr>
              <w:jc w:val="right"/>
              <w:rPr>
                <w:sz w:val="16"/>
                <w:lang w:val="en-GB"/>
              </w:rPr>
            </w:pPr>
          </w:p>
        </w:tc>
        <w:tc>
          <w:tcPr>
            <w:tcW w:w="236" w:type="dxa"/>
            <w:vAlign w:val="bottom"/>
          </w:tcPr>
          <w:p w:rsidR="00BC7A08" w:rsidRPr="003A7914" w:rsidRDefault="00BC7A08" w:rsidP="00806504">
            <w:pPr>
              <w:jc w:val="right"/>
              <w:rPr>
                <w:sz w:val="16"/>
                <w:lang w:val="en-GB"/>
              </w:rPr>
            </w:pPr>
          </w:p>
        </w:tc>
        <w:tc>
          <w:tcPr>
            <w:tcW w:w="1024" w:type="dxa"/>
            <w:vAlign w:val="bottom"/>
          </w:tcPr>
          <w:p w:rsidR="00BC7A08" w:rsidRPr="003A7914" w:rsidRDefault="00BC7A08" w:rsidP="00806504">
            <w:pPr>
              <w:jc w:val="right"/>
              <w:rPr>
                <w:sz w:val="16"/>
                <w:lang w:val="en-GB"/>
              </w:rPr>
            </w:pPr>
          </w:p>
        </w:tc>
        <w:tc>
          <w:tcPr>
            <w:tcW w:w="236" w:type="dxa"/>
            <w:vAlign w:val="bottom"/>
          </w:tcPr>
          <w:p w:rsidR="00BC7A08" w:rsidRPr="003A7914" w:rsidRDefault="00BC7A08" w:rsidP="00806504">
            <w:pPr>
              <w:jc w:val="right"/>
              <w:rPr>
                <w:sz w:val="16"/>
                <w:lang w:val="en-GB"/>
              </w:rPr>
            </w:pPr>
          </w:p>
        </w:tc>
        <w:tc>
          <w:tcPr>
            <w:tcW w:w="1024" w:type="dxa"/>
            <w:vAlign w:val="bottom"/>
          </w:tcPr>
          <w:p w:rsidR="00BC7A08" w:rsidRPr="003A7914" w:rsidRDefault="00BC7A08" w:rsidP="00806504">
            <w:pPr>
              <w:jc w:val="right"/>
              <w:rPr>
                <w:sz w:val="16"/>
                <w:lang w:val="en-GB"/>
              </w:rPr>
            </w:pPr>
          </w:p>
        </w:tc>
        <w:tc>
          <w:tcPr>
            <w:tcW w:w="236" w:type="dxa"/>
            <w:vAlign w:val="bottom"/>
          </w:tcPr>
          <w:p w:rsidR="00BC7A08" w:rsidRPr="003A7914" w:rsidRDefault="00BC7A08" w:rsidP="00806504">
            <w:pPr>
              <w:jc w:val="right"/>
              <w:rPr>
                <w:sz w:val="16"/>
                <w:lang w:val="en-GB"/>
              </w:rPr>
            </w:pPr>
          </w:p>
        </w:tc>
        <w:tc>
          <w:tcPr>
            <w:tcW w:w="1114" w:type="dxa"/>
            <w:vAlign w:val="bottom"/>
          </w:tcPr>
          <w:p w:rsidR="00BC7A08" w:rsidRPr="003A7914" w:rsidRDefault="00BC7A08" w:rsidP="00806504">
            <w:pPr>
              <w:jc w:val="right"/>
              <w:rPr>
                <w:sz w:val="16"/>
                <w:lang w:val="en-GB"/>
              </w:rPr>
            </w:pPr>
          </w:p>
        </w:tc>
      </w:tr>
      <w:tr w:rsidR="00BC7A08" w:rsidRPr="003A7914" w:rsidTr="00806504">
        <w:tc>
          <w:tcPr>
            <w:tcW w:w="2970" w:type="dxa"/>
          </w:tcPr>
          <w:p w:rsidR="00BC7A08" w:rsidRPr="003A7914" w:rsidRDefault="00BC7A08" w:rsidP="00806504">
            <w:pPr>
              <w:rPr>
                <w:b/>
                <w:bCs/>
                <w:sz w:val="16"/>
                <w:lang w:val="en-GB"/>
              </w:rPr>
            </w:pPr>
            <w:r w:rsidRPr="003A7914">
              <w:rPr>
                <w:b/>
                <w:bCs/>
                <w:sz w:val="16"/>
                <w:lang w:val="en-GB"/>
              </w:rPr>
              <w:t xml:space="preserve">Balance at </w:t>
            </w:r>
            <w:r>
              <w:rPr>
                <w:b/>
                <w:bCs/>
                <w:sz w:val="16"/>
                <w:lang w:val="en-GB"/>
              </w:rPr>
              <w:t>31 January 2014</w:t>
            </w:r>
          </w:p>
        </w:tc>
        <w:tc>
          <w:tcPr>
            <w:tcW w:w="236" w:type="dxa"/>
            <w:vAlign w:val="bottom"/>
          </w:tcPr>
          <w:p w:rsidR="00BC7A08" w:rsidRPr="003A7914" w:rsidRDefault="00BC7A08" w:rsidP="00806504">
            <w:pPr>
              <w:jc w:val="right"/>
              <w:rPr>
                <w:sz w:val="16"/>
                <w:lang w:val="en-GB"/>
              </w:rPr>
            </w:pPr>
          </w:p>
        </w:tc>
        <w:tc>
          <w:tcPr>
            <w:tcW w:w="1204" w:type="dxa"/>
            <w:vAlign w:val="bottom"/>
          </w:tcPr>
          <w:p w:rsidR="00BC7A08" w:rsidRPr="003A7914" w:rsidRDefault="00BC7A08" w:rsidP="00806504">
            <w:pPr>
              <w:jc w:val="right"/>
              <w:rPr>
                <w:sz w:val="16"/>
                <w:lang w:val="en-GB"/>
              </w:rPr>
            </w:pPr>
            <w:r>
              <w:rPr>
                <w:sz w:val="16"/>
                <w:lang w:val="en-GB"/>
              </w:rPr>
              <w:t>11,296,260</w:t>
            </w:r>
          </w:p>
        </w:tc>
        <w:tc>
          <w:tcPr>
            <w:tcW w:w="236" w:type="dxa"/>
          </w:tcPr>
          <w:p w:rsidR="00BC7A08" w:rsidRPr="003A7914" w:rsidRDefault="00BC7A08" w:rsidP="00806504">
            <w:pPr>
              <w:jc w:val="right"/>
              <w:rPr>
                <w:sz w:val="16"/>
                <w:lang w:val="en-GB"/>
              </w:rPr>
            </w:pPr>
          </w:p>
        </w:tc>
        <w:tc>
          <w:tcPr>
            <w:tcW w:w="1114" w:type="dxa"/>
            <w:vAlign w:val="bottom"/>
          </w:tcPr>
          <w:p w:rsidR="00BC7A08" w:rsidRPr="003A7914" w:rsidRDefault="00BC7A08" w:rsidP="00806504">
            <w:pPr>
              <w:jc w:val="right"/>
              <w:rPr>
                <w:sz w:val="16"/>
                <w:lang w:val="en-GB"/>
              </w:rPr>
            </w:pPr>
            <w:r>
              <w:rPr>
                <w:sz w:val="16"/>
                <w:lang w:val="en-GB"/>
              </w:rPr>
              <w:t>772,103</w:t>
            </w:r>
          </w:p>
        </w:tc>
        <w:tc>
          <w:tcPr>
            <w:tcW w:w="236" w:type="dxa"/>
            <w:vAlign w:val="bottom"/>
          </w:tcPr>
          <w:p w:rsidR="00BC7A08" w:rsidRPr="003A7914" w:rsidRDefault="00BC7A08" w:rsidP="00806504">
            <w:pPr>
              <w:jc w:val="right"/>
              <w:rPr>
                <w:sz w:val="16"/>
                <w:lang w:val="en-GB"/>
              </w:rPr>
            </w:pPr>
          </w:p>
        </w:tc>
        <w:tc>
          <w:tcPr>
            <w:tcW w:w="1204" w:type="dxa"/>
            <w:vAlign w:val="bottom"/>
          </w:tcPr>
          <w:p w:rsidR="00BC7A08" w:rsidRPr="003A7914" w:rsidRDefault="00BC7A08" w:rsidP="00806504">
            <w:pPr>
              <w:jc w:val="right"/>
              <w:rPr>
                <w:sz w:val="16"/>
                <w:lang w:val="en-GB"/>
              </w:rPr>
            </w:pPr>
            <w:r>
              <w:rPr>
                <w:sz w:val="16"/>
                <w:lang w:val="en-GB"/>
              </w:rPr>
              <w:t>73,524</w:t>
            </w:r>
          </w:p>
        </w:tc>
        <w:tc>
          <w:tcPr>
            <w:tcW w:w="270" w:type="dxa"/>
          </w:tcPr>
          <w:p w:rsidR="00BC7A08" w:rsidRPr="003A7914" w:rsidRDefault="00BC7A08" w:rsidP="00806504">
            <w:pPr>
              <w:jc w:val="right"/>
              <w:rPr>
                <w:sz w:val="16"/>
                <w:lang w:val="en-GB"/>
              </w:rPr>
            </w:pPr>
          </w:p>
        </w:tc>
        <w:tc>
          <w:tcPr>
            <w:tcW w:w="1260" w:type="dxa"/>
            <w:vAlign w:val="bottom"/>
          </w:tcPr>
          <w:p w:rsidR="00BC7A08" w:rsidRPr="003A7914" w:rsidRDefault="00BC7A08" w:rsidP="00806504">
            <w:pPr>
              <w:ind w:left="-108" w:firstLine="108"/>
              <w:jc w:val="right"/>
              <w:rPr>
                <w:sz w:val="16"/>
                <w:lang w:val="en-GB"/>
              </w:rPr>
            </w:pPr>
            <w:r>
              <w:rPr>
                <w:sz w:val="16"/>
                <w:lang w:val="en-GB"/>
              </w:rPr>
              <w:t>16,766</w:t>
            </w:r>
          </w:p>
        </w:tc>
        <w:tc>
          <w:tcPr>
            <w:tcW w:w="236" w:type="dxa"/>
            <w:vAlign w:val="bottom"/>
          </w:tcPr>
          <w:p w:rsidR="00BC7A08" w:rsidRPr="003A7914" w:rsidRDefault="00BC7A08" w:rsidP="00806504">
            <w:pPr>
              <w:jc w:val="right"/>
              <w:rPr>
                <w:sz w:val="16"/>
                <w:lang w:val="en-GB"/>
              </w:rPr>
            </w:pPr>
          </w:p>
        </w:tc>
        <w:tc>
          <w:tcPr>
            <w:tcW w:w="1024" w:type="dxa"/>
            <w:vAlign w:val="bottom"/>
          </w:tcPr>
          <w:p w:rsidR="00BC7A08" w:rsidRPr="003A7914" w:rsidRDefault="00BC7A08" w:rsidP="00806504">
            <w:pPr>
              <w:jc w:val="right"/>
              <w:rPr>
                <w:sz w:val="16"/>
                <w:lang w:val="en-GB"/>
              </w:rPr>
            </w:pPr>
            <w:r>
              <w:rPr>
                <w:sz w:val="16"/>
                <w:lang w:val="en-GB"/>
              </w:rPr>
              <w:t>3,160</w:t>
            </w:r>
          </w:p>
        </w:tc>
        <w:tc>
          <w:tcPr>
            <w:tcW w:w="236" w:type="dxa"/>
            <w:vAlign w:val="bottom"/>
          </w:tcPr>
          <w:p w:rsidR="00BC7A08" w:rsidRPr="003A7914" w:rsidRDefault="00BC7A08" w:rsidP="00806504">
            <w:pPr>
              <w:jc w:val="right"/>
              <w:rPr>
                <w:sz w:val="16"/>
                <w:lang w:val="en-GB"/>
              </w:rPr>
            </w:pPr>
          </w:p>
        </w:tc>
        <w:tc>
          <w:tcPr>
            <w:tcW w:w="1024" w:type="dxa"/>
            <w:vAlign w:val="bottom"/>
          </w:tcPr>
          <w:p w:rsidR="00BC7A08" w:rsidRPr="003A7914" w:rsidRDefault="00BC7A08" w:rsidP="00806504">
            <w:pPr>
              <w:jc w:val="right"/>
              <w:rPr>
                <w:sz w:val="16"/>
                <w:lang w:val="en-GB"/>
              </w:rPr>
            </w:pPr>
            <w:r>
              <w:rPr>
                <w:sz w:val="16"/>
                <w:lang w:val="en-GB"/>
              </w:rPr>
              <w:t>(485,881)</w:t>
            </w:r>
          </w:p>
        </w:tc>
        <w:tc>
          <w:tcPr>
            <w:tcW w:w="236" w:type="dxa"/>
            <w:vAlign w:val="bottom"/>
          </w:tcPr>
          <w:p w:rsidR="00BC7A08" w:rsidRPr="003A7914" w:rsidRDefault="00BC7A08" w:rsidP="00806504">
            <w:pPr>
              <w:jc w:val="right"/>
              <w:rPr>
                <w:sz w:val="16"/>
                <w:lang w:val="en-GB"/>
              </w:rPr>
            </w:pPr>
          </w:p>
        </w:tc>
        <w:tc>
          <w:tcPr>
            <w:tcW w:w="1114" w:type="dxa"/>
            <w:vAlign w:val="bottom"/>
          </w:tcPr>
          <w:p w:rsidR="00BC7A08" w:rsidRPr="003A7914" w:rsidRDefault="00BC7A08" w:rsidP="00806504">
            <w:pPr>
              <w:jc w:val="right"/>
              <w:rPr>
                <w:sz w:val="16"/>
                <w:lang w:val="en-GB"/>
              </w:rPr>
            </w:pPr>
            <w:r>
              <w:rPr>
                <w:sz w:val="16"/>
                <w:lang w:val="en-GB"/>
              </w:rPr>
              <w:t>379,672</w:t>
            </w:r>
          </w:p>
        </w:tc>
      </w:tr>
      <w:tr w:rsidR="00BC7A08" w:rsidRPr="003A7914" w:rsidTr="00806504">
        <w:tc>
          <w:tcPr>
            <w:tcW w:w="2970" w:type="dxa"/>
          </w:tcPr>
          <w:p w:rsidR="00BC7A08" w:rsidRPr="003A7914" w:rsidRDefault="00BC7A08" w:rsidP="00806504">
            <w:pPr>
              <w:ind w:left="162"/>
              <w:rPr>
                <w:sz w:val="16"/>
                <w:lang w:val="en-GB"/>
              </w:rPr>
            </w:pPr>
            <w:r>
              <w:rPr>
                <w:sz w:val="16"/>
                <w:lang w:val="en-GB"/>
              </w:rPr>
              <w:t xml:space="preserve">Share-based payments </w:t>
            </w:r>
            <w:bookmarkStart w:id="1" w:name="_GoBack"/>
            <w:bookmarkEnd w:id="1"/>
          </w:p>
        </w:tc>
        <w:tc>
          <w:tcPr>
            <w:tcW w:w="236" w:type="dxa"/>
            <w:vAlign w:val="bottom"/>
          </w:tcPr>
          <w:p w:rsidR="00BC7A08" w:rsidRPr="003A7914" w:rsidRDefault="00BC7A08" w:rsidP="00806504">
            <w:pPr>
              <w:jc w:val="right"/>
              <w:rPr>
                <w:sz w:val="16"/>
                <w:lang w:val="en-GB"/>
              </w:rPr>
            </w:pPr>
          </w:p>
        </w:tc>
        <w:tc>
          <w:tcPr>
            <w:tcW w:w="1204" w:type="dxa"/>
            <w:vAlign w:val="bottom"/>
          </w:tcPr>
          <w:p w:rsidR="00BC7A08" w:rsidRPr="003A7914" w:rsidRDefault="00BC7A08" w:rsidP="00806504">
            <w:pPr>
              <w:jc w:val="right"/>
              <w:rPr>
                <w:sz w:val="16"/>
                <w:lang w:val="en-GB"/>
              </w:rPr>
            </w:pPr>
            <w:r>
              <w:rPr>
                <w:sz w:val="16"/>
                <w:lang w:val="en-GB"/>
              </w:rPr>
              <w:t>-</w:t>
            </w:r>
          </w:p>
        </w:tc>
        <w:tc>
          <w:tcPr>
            <w:tcW w:w="236" w:type="dxa"/>
          </w:tcPr>
          <w:p w:rsidR="00BC7A08" w:rsidRPr="003A7914" w:rsidRDefault="00BC7A08" w:rsidP="00806504">
            <w:pPr>
              <w:jc w:val="right"/>
              <w:rPr>
                <w:sz w:val="16"/>
                <w:lang w:val="en-GB"/>
              </w:rPr>
            </w:pPr>
          </w:p>
        </w:tc>
        <w:tc>
          <w:tcPr>
            <w:tcW w:w="1114" w:type="dxa"/>
            <w:vAlign w:val="bottom"/>
          </w:tcPr>
          <w:p w:rsidR="00BC7A08" w:rsidRPr="003A7914" w:rsidRDefault="00BC7A08" w:rsidP="00806504">
            <w:pPr>
              <w:jc w:val="right"/>
              <w:rPr>
                <w:sz w:val="16"/>
                <w:lang w:val="en-GB"/>
              </w:rPr>
            </w:pPr>
            <w:r w:rsidRPr="003A7914">
              <w:rPr>
                <w:sz w:val="16"/>
                <w:lang w:val="en-GB"/>
              </w:rPr>
              <w:t>-</w:t>
            </w:r>
          </w:p>
        </w:tc>
        <w:tc>
          <w:tcPr>
            <w:tcW w:w="236" w:type="dxa"/>
            <w:vAlign w:val="bottom"/>
          </w:tcPr>
          <w:p w:rsidR="00BC7A08" w:rsidRPr="003A7914" w:rsidRDefault="00BC7A08" w:rsidP="00806504">
            <w:pPr>
              <w:jc w:val="right"/>
              <w:rPr>
                <w:sz w:val="16"/>
                <w:lang w:val="en-GB"/>
              </w:rPr>
            </w:pPr>
          </w:p>
        </w:tc>
        <w:tc>
          <w:tcPr>
            <w:tcW w:w="1204" w:type="dxa"/>
            <w:vAlign w:val="bottom"/>
          </w:tcPr>
          <w:p w:rsidR="00BC7A08" w:rsidRPr="003A7914" w:rsidRDefault="00BC7A08" w:rsidP="00806504">
            <w:pPr>
              <w:jc w:val="right"/>
              <w:rPr>
                <w:sz w:val="16"/>
                <w:lang w:val="en-GB"/>
              </w:rPr>
            </w:pPr>
            <w:r>
              <w:rPr>
                <w:sz w:val="16"/>
                <w:lang w:val="en-GB"/>
              </w:rPr>
              <w:t>15,881</w:t>
            </w:r>
          </w:p>
        </w:tc>
        <w:tc>
          <w:tcPr>
            <w:tcW w:w="270" w:type="dxa"/>
          </w:tcPr>
          <w:p w:rsidR="00BC7A08" w:rsidRPr="003A7914" w:rsidRDefault="00BC7A08" w:rsidP="00806504">
            <w:pPr>
              <w:jc w:val="right"/>
              <w:rPr>
                <w:sz w:val="16"/>
                <w:lang w:val="en-GB"/>
              </w:rPr>
            </w:pPr>
          </w:p>
        </w:tc>
        <w:tc>
          <w:tcPr>
            <w:tcW w:w="1260" w:type="dxa"/>
            <w:vAlign w:val="bottom"/>
          </w:tcPr>
          <w:p w:rsidR="00BC7A08" w:rsidRPr="003A7914" w:rsidRDefault="00BC7A08" w:rsidP="00806504">
            <w:pPr>
              <w:jc w:val="right"/>
              <w:rPr>
                <w:sz w:val="16"/>
                <w:lang w:val="en-GB"/>
              </w:rPr>
            </w:pPr>
            <w:r w:rsidRPr="003A7914">
              <w:rPr>
                <w:sz w:val="16"/>
                <w:lang w:val="en-GB"/>
              </w:rPr>
              <w:t>-</w:t>
            </w:r>
          </w:p>
        </w:tc>
        <w:tc>
          <w:tcPr>
            <w:tcW w:w="236" w:type="dxa"/>
            <w:vAlign w:val="bottom"/>
          </w:tcPr>
          <w:p w:rsidR="00BC7A08" w:rsidRPr="003A7914" w:rsidRDefault="00BC7A08" w:rsidP="00806504">
            <w:pPr>
              <w:jc w:val="right"/>
              <w:rPr>
                <w:sz w:val="16"/>
                <w:lang w:val="en-GB"/>
              </w:rPr>
            </w:pPr>
          </w:p>
        </w:tc>
        <w:tc>
          <w:tcPr>
            <w:tcW w:w="1024" w:type="dxa"/>
            <w:vAlign w:val="bottom"/>
          </w:tcPr>
          <w:p w:rsidR="00BC7A08" w:rsidRPr="003A7914" w:rsidRDefault="00BC7A08" w:rsidP="00806504">
            <w:pPr>
              <w:jc w:val="right"/>
              <w:rPr>
                <w:sz w:val="16"/>
                <w:lang w:val="en-GB"/>
              </w:rPr>
            </w:pPr>
            <w:r w:rsidRPr="003A7914">
              <w:rPr>
                <w:sz w:val="16"/>
                <w:lang w:val="en-GB"/>
              </w:rPr>
              <w:t>-</w:t>
            </w:r>
          </w:p>
        </w:tc>
        <w:tc>
          <w:tcPr>
            <w:tcW w:w="236" w:type="dxa"/>
            <w:vAlign w:val="bottom"/>
          </w:tcPr>
          <w:p w:rsidR="00BC7A08" w:rsidRPr="003A7914" w:rsidRDefault="00BC7A08" w:rsidP="00806504">
            <w:pPr>
              <w:jc w:val="right"/>
              <w:rPr>
                <w:sz w:val="16"/>
                <w:lang w:val="en-GB"/>
              </w:rPr>
            </w:pPr>
          </w:p>
        </w:tc>
        <w:tc>
          <w:tcPr>
            <w:tcW w:w="1024" w:type="dxa"/>
            <w:vAlign w:val="bottom"/>
          </w:tcPr>
          <w:p w:rsidR="00BC7A08" w:rsidRPr="003A7914" w:rsidRDefault="00BC7A08" w:rsidP="00806504">
            <w:pPr>
              <w:jc w:val="right"/>
              <w:rPr>
                <w:sz w:val="16"/>
                <w:lang w:val="en-GB"/>
              </w:rPr>
            </w:pPr>
            <w:r w:rsidRPr="003A7914">
              <w:rPr>
                <w:sz w:val="16"/>
              </w:rPr>
              <w:t>-</w:t>
            </w:r>
          </w:p>
        </w:tc>
        <w:tc>
          <w:tcPr>
            <w:tcW w:w="236" w:type="dxa"/>
            <w:vAlign w:val="bottom"/>
          </w:tcPr>
          <w:p w:rsidR="00BC7A08" w:rsidRPr="003A7914" w:rsidRDefault="00BC7A08" w:rsidP="00806504">
            <w:pPr>
              <w:jc w:val="right"/>
              <w:rPr>
                <w:sz w:val="16"/>
                <w:lang w:val="en-GB"/>
              </w:rPr>
            </w:pPr>
          </w:p>
        </w:tc>
        <w:tc>
          <w:tcPr>
            <w:tcW w:w="1114" w:type="dxa"/>
            <w:vAlign w:val="bottom"/>
          </w:tcPr>
          <w:p w:rsidR="00BC7A08" w:rsidRPr="003A7914" w:rsidRDefault="00BC7A08" w:rsidP="00806504">
            <w:pPr>
              <w:jc w:val="right"/>
              <w:rPr>
                <w:sz w:val="16"/>
                <w:lang w:val="en-GB"/>
              </w:rPr>
            </w:pPr>
            <w:r>
              <w:rPr>
                <w:sz w:val="16"/>
                <w:lang w:val="en-GB"/>
              </w:rPr>
              <w:t>15,881</w:t>
            </w:r>
          </w:p>
        </w:tc>
      </w:tr>
      <w:tr w:rsidR="00BC7A08" w:rsidRPr="003A7914" w:rsidTr="00806504">
        <w:tc>
          <w:tcPr>
            <w:tcW w:w="2970" w:type="dxa"/>
          </w:tcPr>
          <w:p w:rsidR="00BC7A08" w:rsidRPr="003A7914" w:rsidRDefault="00BC7A08" w:rsidP="00806504">
            <w:pPr>
              <w:ind w:left="162"/>
              <w:rPr>
                <w:sz w:val="16"/>
                <w:lang w:val="en-GB"/>
              </w:rPr>
            </w:pPr>
            <w:r w:rsidRPr="003A7914">
              <w:rPr>
                <w:sz w:val="16"/>
                <w:lang w:val="en-GB"/>
              </w:rPr>
              <w:t xml:space="preserve">Net loss for the </w:t>
            </w:r>
            <w:r>
              <w:rPr>
                <w:sz w:val="16"/>
                <w:lang w:val="en-GB"/>
              </w:rPr>
              <w:t>year</w:t>
            </w:r>
          </w:p>
        </w:tc>
        <w:tc>
          <w:tcPr>
            <w:tcW w:w="236" w:type="dxa"/>
            <w:vAlign w:val="bottom"/>
          </w:tcPr>
          <w:p w:rsidR="00BC7A08" w:rsidRPr="003A7914" w:rsidRDefault="00BC7A08" w:rsidP="00806504">
            <w:pPr>
              <w:jc w:val="right"/>
              <w:rPr>
                <w:sz w:val="16"/>
                <w:lang w:val="en-GB"/>
              </w:rPr>
            </w:pPr>
          </w:p>
        </w:tc>
        <w:tc>
          <w:tcPr>
            <w:tcW w:w="1204" w:type="dxa"/>
            <w:tcBorders>
              <w:bottom w:val="single" w:sz="4" w:space="0" w:color="auto"/>
            </w:tcBorders>
            <w:vAlign w:val="bottom"/>
          </w:tcPr>
          <w:p w:rsidR="00BC7A08" w:rsidRPr="003A7914" w:rsidRDefault="00BC7A08" w:rsidP="00806504">
            <w:pPr>
              <w:jc w:val="right"/>
              <w:rPr>
                <w:sz w:val="16"/>
                <w:lang w:val="en-GB"/>
              </w:rPr>
            </w:pPr>
            <w:r>
              <w:rPr>
                <w:sz w:val="16"/>
                <w:lang w:val="en-GB"/>
              </w:rPr>
              <w:t>-</w:t>
            </w:r>
          </w:p>
        </w:tc>
        <w:tc>
          <w:tcPr>
            <w:tcW w:w="236" w:type="dxa"/>
          </w:tcPr>
          <w:p w:rsidR="00BC7A08" w:rsidRPr="003A7914" w:rsidRDefault="00BC7A08" w:rsidP="00806504">
            <w:pPr>
              <w:jc w:val="right"/>
              <w:rPr>
                <w:sz w:val="16"/>
                <w:lang w:val="en-GB"/>
              </w:rPr>
            </w:pPr>
          </w:p>
        </w:tc>
        <w:tc>
          <w:tcPr>
            <w:tcW w:w="1114" w:type="dxa"/>
            <w:tcBorders>
              <w:bottom w:val="single" w:sz="4" w:space="0" w:color="auto"/>
            </w:tcBorders>
            <w:vAlign w:val="bottom"/>
          </w:tcPr>
          <w:p w:rsidR="00BC7A08" w:rsidRPr="003A7914" w:rsidRDefault="00BC7A08" w:rsidP="00806504">
            <w:pPr>
              <w:jc w:val="right"/>
              <w:rPr>
                <w:sz w:val="16"/>
                <w:lang w:val="en-GB"/>
              </w:rPr>
            </w:pPr>
            <w:r>
              <w:rPr>
                <w:sz w:val="16"/>
                <w:lang w:val="en-GB"/>
              </w:rPr>
              <w:t>-</w:t>
            </w:r>
          </w:p>
        </w:tc>
        <w:tc>
          <w:tcPr>
            <w:tcW w:w="236" w:type="dxa"/>
            <w:vAlign w:val="bottom"/>
          </w:tcPr>
          <w:p w:rsidR="00BC7A08" w:rsidRPr="003A7914" w:rsidRDefault="00BC7A08" w:rsidP="00806504">
            <w:pPr>
              <w:jc w:val="right"/>
              <w:rPr>
                <w:sz w:val="16"/>
                <w:lang w:val="en-GB"/>
              </w:rPr>
            </w:pPr>
          </w:p>
        </w:tc>
        <w:tc>
          <w:tcPr>
            <w:tcW w:w="1204" w:type="dxa"/>
            <w:tcBorders>
              <w:bottom w:val="single" w:sz="4" w:space="0" w:color="auto"/>
            </w:tcBorders>
            <w:vAlign w:val="bottom"/>
          </w:tcPr>
          <w:p w:rsidR="00BC7A08" w:rsidRPr="003A7914" w:rsidRDefault="00BC7A08" w:rsidP="00806504">
            <w:pPr>
              <w:jc w:val="right"/>
              <w:rPr>
                <w:sz w:val="16"/>
                <w:lang w:val="en-GB"/>
              </w:rPr>
            </w:pPr>
            <w:r>
              <w:rPr>
                <w:sz w:val="16"/>
                <w:lang w:val="en-GB"/>
              </w:rPr>
              <w:t>-</w:t>
            </w:r>
          </w:p>
        </w:tc>
        <w:tc>
          <w:tcPr>
            <w:tcW w:w="270" w:type="dxa"/>
          </w:tcPr>
          <w:p w:rsidR="00BC7A08" w:rsidRPr="003A7914" w:rsidRDefault="00BC7A08" w:rsidP="00806504">
            <w:pPr>
              <w:jc w:val="right"/>
              <w:rPr>
                <w:sz w:val="16"/>
                <w:lang w:val="en-GB"/>
              </w:rPr>
            </w:pPr>
          </w:p>
        </w:tc>
        <w:tc>
          <w:tcPr>
            <w:tcW w:w="1260" w:type="dxa"/>
            <w:tcBorders>
              <w:bottom w:val="single" w:sz="4" w:space="0" w:color="auto"/>
            </w:tcBorders>
            <w:vAlign w:val="bottom"/>
          </w:tcPr>
          <w:p w:rsidR="00BC7A08" w:rsidRPr="003A7914" w:rsidRDefault="00BC7A08" w:rsidP="00806504">
            <w:pPr>
              <w:jc w:val="right"/>
              <w:rPr>
                <w:sz w:val="16"/>
                <w:lang w:val="en-GB"/>
              </w:rPr>
            </w:pPr>
            <w:r>
              <w:rPr>
                <w:sz w:val="16"/>
                <w:lang w:val="en-GB"/>
              </w:rPr>
              <w:t>-</w:t>
            </w:r>
          </w:p>
        </w:tc>
        <w:tc>
          <w:tcPr>
            <w:tcW w:w="236" w:type="dxa"/>
            <w:vAlign w:val="bottom"/>
          </w:tcPr>
          <w:p w:rsidR="00BC7A08" w:rsidRPr="003A7914" w:rsidRDefault="00BC7A08" w:rsidP="00806504">
            <w:pPr>
              <w:jc w:val="right"/>
              <w:rPr>
                <w:sz w:val="16"/>
                <w:lang w:val="en-GB"/>
              </w:rPr>
            </w:pPr>
          </w:p>
        </w:tc>
        <w:tc>
          <w:tcPr>
            <w:tcW w:w="1024" w:type="dxa"/>
            <w:tcBorders>
              <w:bottom w:val="single" w:sz="4" w:space="0" w:color="auto"/>
            </w:tcBorders>
            <w:vAlign w:val="bottom"/>
          </w:tcPr>
          <w:p w:rsidR="00BC7A08" w:rsidRPr="003A7914" w:rsidRDefault="00BC7A08" w:rsidP="00806504">
            <w:pPr>
              <w:jc w:val="right"/>
              <w:rPr>
                <w:sz w:val="16"/>
                <w:lang w:val="en-GB"/>
              </w:rPr>
            </w:pPr>
            <w:r>
              <w:rPr>
                <w:sz w:val="16"/>
                <w:lang w:val="en-GB"/>
              </w:rPr>
              <w:t>-</w:t>
            </w:r>
          </w:p>
        </w:tc>
        <w:tc>
          <w:tcPr>
            <w:tcW w:w="236" w:type="dxa"/>
            <w:vAlign w:val="bottom"/>
          </w:tcPr>
          <w:p w:rsidR="00BC7A08" w:rsidRPr="003A7914" w:rsidRDefault="00BC7A08" w:rsidP="00806504">
            <w:pPr>
              <w:jc w:val="right"/>
              <w:rPr>
                <w:sz w:val="16"/>
                <w:lang w:val="en-GB"/>
              </w:rPr>
            </w:pPr>
          </w:p>
        </w:tc>
        <w:tc>
          <w:tcPr>
            <w:tcW w:w="1024" w:type="dxa"/>
            <w:tcBorders>
              <w:bottom w:val="single" w:sz="4" w:space="0" w:color="auto"/>
            </w:tcBorders>
            <w:vAlign w:val="bottom"/>
          </w:tcPr>
          <w:p w:rsidR="00BC7A08" w:rsidRPr="003A7914" w:rsidRDefault="00BC7A08" w:rsidP="00806504">
            <w:pPr>
              <w:jc w:val="right"/>
              <w:rPr>
                <w:sz w:val="16"/>
                <w:lang w:val="en-GB"/>
              </w:rPr>
            </w:pPr>
            <w:r>
              <w:rPr>
                <w:sz w:val="16"/>
                <w:lang w:val="en-GB"/>
              </w:rPr>
              <w:t>(195,994)</w:t>
            </w:r>
          </w:p>
        </w:tc>
        <w:tc>
          <w:tcPr>
            <w:tcW w:w="236" w:type="dxa"/>
            <w:vAlign w:val="bottom"/>
          </w:tcPr>
          <w:p w:rsidR="00BC7A08" w:rsidRPr="003A7914" w:rsidRDefault="00BC7A08" w:rsidP="00806504">
            <w:pPr>
              <w:jc w:val="right"/>
              <w:rPr>
                <w:sz w:val="16"/>
                <w:lang w:val="en-GB"/>
              </w:rPr>
            </w:pPr>
          </w:p>
        </w:tc>
        <w:tc>
          <w:tcPr>
            <w:tcW w:w="1114" w:type="dxa"/>
            <w:tcBorders>
              <w:bottom w:val="single" w:sz="4" w:space="0" w:color="auto"/>
            </w:tcBorders>
            <w:vAlign w:val="bottom"/>
          </w:tcPr>
          <w:p w:rsidR="00BC7A08" w:rsidRPr="003A7914" w:rsidRDefault="00BC7A08" w:rsidP="00806504">
            <w:pPr>
              <w:jc w:val="right"/>
              <w:rPr>
                <w:sz w:val="16"/>
                <w:lang w:val="en-GB"/>
              </w:rPr>
            </w:pPr>
            <w:r>
              <w:rPr>
                <w:sz w:val="16"/>
                <w:lang w:val="en-GB"/>
              </w:rPr>
              <w:t>(195,994)</w:t>
            </w:r>
          </w:p>
        </w:tc>
      </w:tr>
      <w:tr w:rsidR="00BC7A08" w:rsidRPr="003A7914" w:rsidTr="00806504">
        <w:tc>
          <w:tcPr>
            <w:tcW w:w="2970" w:type="dxa"/>
          </w:tcPr>
          <w:p w:rsidR="00BC7A08" w:rsidRPr="003A7914" w:rsidRDefault="00BC7A08" w:rsidP="00806504">
            <w:pPr>
              <w:rPr>
                <w:sz w:val="16"/>
                <w:lang w:val="en-GB"/>
              </w:rPr>
            </w:pPr>
          </w:p>
        </w:tc>
        <w:tc>
          <w:tcPr>
            <w:tcW w:w="236" w:type="dxa"/>
            <w:vAlign w:val="bottom"/>
          </w:tcPr>
          <w:p w:rsidR="00BC7A08" w:rsidRPr="003A7914" w:rsidRDefault="00BC7A08" w:rsidP="00806504">
            <w:pPr>
              <w:jc w:val="right"/>
              <w:rPr>
                <w:sz w:val="16"/>
                <w:lang w:val="en-GB"/>
              </w:rPr>
            </w:pPr>
          </w:p>
        </w:tc>
        <w:tc>
          <w:tcPr>
            <w:tcW w:w="1204" w:type="dxa"/>
            <w:tcBorders>
              <w:top w:val="single" w:sz="4" w:space="0" w:color="auto"/>
            </w:tcBorders>
            <w:vAlign w:val="bottom"/>
          </w:tcPr>
          <w:p w:rsidR="00BC7A08" w:rsidRPr="003A7914" w:rsidRDefault="00BC7A08" w:rsidP="00806504">
            <w:pPr>
              <w:jc w:val="right"/>
              <w:rPr>
                <w:sz w:val="16"/>
                <w:lang w:val="en-GB"/>
              </w:rPr>
            </w:pPr>
          </w:p>
        </w:tc>
        <w:tc>
          <w:tcPr>
            <w:tcW w:w="236" w:type="dxa"/>
          </w:tcPr>
          <w:p w:rsidR="00BC7A08" w:rsidRPr="003A7914" w:rsidRDefault="00BC7A08" w:rsidP="00806504">
            <w:pPr>
              <w:jc w:val="right"/>
              <w:rPr>
                <w:sz w:val="16"/>
                <w:lang w:val="en-GB"/>
              </w:rPr>
            </w:pPr>
          </w:p>
        </w:tc>
        <w:tc>
          <w:tcPr>
            <w:tcW w:w="1114" w:type="dxa"/>
            <w:tcBorders>
              <w:top w:val="single" w:sz="4" w:space="0" w:color="auto"/>
            </w:tcBorders>
            <w:vAlign w:val="bottom"/>
          </w:tcPr>
          <w:p w:rsidR="00BC7A08" w:rsidRPr="003A7914" w:rsidRDefault="00BC7A08" w:rsidP="00806504">
            <w:pPr>
              <w:jc w:val="right"/>
              <w:rPr>
                <w:sz w:val="16"/>
                <w:lang w:val="en-GB"/>
              </w:rPr>
            </w:pPr>
          </w:p>
        </w:tc>
        <w:tc>
          <w:tcPr>
            <w:tcW w:w="236" w:type="dxa"/>
            <w:vAlign w:val="bottom"/>
          </w:tcPr>
          <w:p w:rsidR="00BC7A08" w:rsidRPr="003A7914" w:rsidRDefault="00BC7A08" w:rsidP="00806504">
            <w:pPr>
              <w:jc w:val="right"/>
              <w:rPr>
                <w:sz w:val="16"/>
                <w:lang w:val="en-GB"/>
              </w:rPr>
            </w:pPr>
          </w:p>
        </w:tc>
        <w:tc>
          <w:tcPr>
            <w:tcW w:w="1204" w:type="dxa"/>
            <w:tcBorders>
              <w:top w:val="single" w:sz="4" w:space="0" w:color="auto"/>
            </w:tcBorders>
            <w:vAlign w:val="bottom"/>
          </w:tcPr>
          <w:p w:rsidR="00BC7A08" w:rsidRPr="003A7914" w:rsidRDefault="00BC7A08" w:rsidP="00806504">
            <w:pPr>
              <w:jc w:val="right"/>
              <w:rPr>
                <w:sz w:val="16"/>
                <w:lang w:val="en-GB"/>
              </w:rPr>
            </w:pPr>
          </w:p>
        </w:tc>
        <w:tc>
          <w:tcPr>
            <w:tcW w:w="270" w:type="dxa"/>
          </w:tcPr>
          <w:p w:rsidR="00BC7A08" w:rsidRPr="003A7914" w:rsidRDefault="00BC7A08" w:rsidP="00806504">
            <w:pPr>
              <w:jc w:val="right"/>
              <w:rPr>
                <w:sz w:val="16"/>
                <w:lang w:val="en-GB"/>
              </w:rPr>
            </w:pPr>
          </w:p>
        </w:tc>
        <w:tc>
          <w:tcPr>
            <w:tcW w:w="1260" w:type="dxa"/>
            <w:tcBorders>
              <w:top w:val="single" w:sz="4" w:space="0" w:color="auto"/>
            </w:tcBorders>
            <w:vAlign w:val="bottom"/>
          </w:tcPr>
          <w:p w:rsidR="00BC7A08" w:rsidRPr="003A7914" w:rsidRDefault="00BC7A08" w:rsidP="00806504">
            <w:pPr>
              <w:jc w:val="right"/>
              <w:rPr>
                <w:sz w:val="16"/>
                <w:lang w:val="en-GB"/>
              </w:rPr>
            </w:pPr>
          </w:p>
        </w:tc>
        <w:tc>
          <w:tcPr>
            <w:tcW w:w="236" w:type="dxa"/>
            <w:vAlign w:val="bottom"/>
          </w:tcPr>
          <w:p w:rsidR="00BC7A08" w:rsidRPr="003A7914" w:rsidRDefault="00BC7A08" w:rsidP="00806504">
            <w:pPr>
              <w:jc w:val="right"/>
              <w:rPr>
                <w:sz w:val="16"/>
                <w:lang w:val="en-GB"/>
              </w:rPr>
            </w:pPr>
          </w:p>
        </w:tc>
        <w:tc>
          <w:tcPr>
            <w:tcW w:w="1024" w:type="dxa"/>
            <w:tcBorders>
              <w:top w:val="single" w:sz="4" w:space="0" w:color="auto"/>
            </w:tcBorders>
            <w:vAlign w:val="bottom"/>
          </w:tcPr>
          <w:p w:rsidR="00BC7A08" w:rsidRPr="003A7914" w:rsidRDefault="00BC7A08" w:rsidP="00806504">
            <w:pPr>
              <w:jc w:val="right"/>
              <w:rPr>
                <w:sz w:val="16"/>
                <w:lang w:val="en-GB"/>
              </w:rPr>
            </w:pPr>
          </w:p>
        </w:tc>
        <w:tc>
          <w:tcPr>
            <w:tcW w:w="236" w:type="dxa"/>
            <w:vAlign w:val="bottom"/>
          </w:tcPr>
          <w:p w:rsidR="00BC7A08" w:rsidRPr="003A7914" w:rsidRDefault="00BC7A08" w:rsidP="00806504">
            <w:pPr>
              <w:jc w:val="right"/>
              <w:rPr>
                <w:sz w:val="16"/>
                <w:lang w:val="en-GB"/>
              </w:rPr>
            </w:pPr>
          </w:p>
        </w:tc>
        <w:tc>
          <w:tcPr>
            <w:tcW w:w="1024" w:type="dxa"/>
            <w:tcBorders>
              <w:top w:val="single" w:sz="4" w:space="0" w:color="auto"/>
            </w:tcBorders>
            <w:vAlign w:val="bottom"/>
          </w:tcPr>
          <w:p w:rsidR="00BC7A08" w:rsidRPr="003A7914" w:rsidRDefault="00BC7A08" w:rsidP="00806504">
            <w:pPr>
              <w:jc w:val="right"/>
              <w:rPr>
                <w:sz w:val="16"/>
                <w:lang w:val="en-GB"/>
              </w:rPr>
            </w:pPr>
          </w:p>
        </w:tc>
        <w:tc>
          <w:tcPr>
            <w:tcW w:w="236" w:type="dxa"/>
            <w:vAlign w:val="bottom"/>
          </w:tcPr>
          <w:p w:rsidR="00BC7A08" w:rsidRPr="003A7914" w:rsidRDefault="00BC7A08" w:rsidP="00806504">
            <w:pPr>
              <w:jc w:val="right"/>
              <w:rPr>
                <w:sz w:val="16"/>
                <w:lang w:val="en-GB"/>
              </w:rPr>
            </w:pPr>
          </w:p>
        </w:tc>
        <w:tc>
          <w:tcPr>
            <w:tcW w:w="1114" w:type="dxa"/>
            <w:tcBorders>
              <w:top w:val="single" w:sz="4" w:space="0" w:color="auto"/>
            </w:tcBorders>
            <w:vAlign w:val="bottom"/>
          </w:tcPr>
          <w:p w:rsidR="00BC7A08" w:rsidRPr="003A7914" w:rsidRDefault="00BC7A08" w:rsidP="00806504">
            <w:pPr>
              <w:jc w:val="right"/>
              <w:rPr>
                <w:sz w:val="16"/>
                <w:lang w:val="en-GB"/>
              </w:rPr>
            </w:pPr>
          </w:p>
        </w:tc>
      </w:tr>
      <w:tr w:rsidR="00BC7A08" w:rsidRPr="003A7914" w:rsidTr="002B7F7B">
        <w:trPr>
          <w:trHeight w:val="88"/>
        </w:trPr>
        <w:tc>
          <w:tcPr>
            <w:tcW w:w="2970" w:type="dxa"/>
            <w:shd w:val="clear" w:color="auto" w:fill="auto"/>
          </w:tcPr>
          <w:p w:rsidR="00BC7A08" w:rsidRPr="002B7F7B" w:rsidRDefault="00BC7A08" w:rsidP="00806504">
            <w:pPr>
              <w:rPr>
                <w:b/>
                <w:bCs/>
                <w:sz w:val="16"/>
              </w:rPr>
            </w:pPr>
            <w:r w:rsidRPr="002B7F7B">
              <w:rPr>
                <w:b/>
                <w:bCs/>
                <w:sz w:val="16"/>
              </w:rPr>
              <w:t>Balance at 30 January 2015</w:t>
            </w:r>
          </w:p>
        </w:tc>
        <w:tc>
          <w:tcPr>
            <w:tcW w:w="236" w:type="dxa"/>
            <w:vAlign w:val="bottom"/>
          </w:tcPr>
          <w:p w:rsidR="00BC7A08" w:rsidRPr="003A7914" w:rsidRDefault="00BC7A08" w:rsidP="00806504">
            <w:pPr>
              <w:jc w:val="right"/>
              <w:rPr>
                <w:sz w:val="16"/>
                <w:lang w:val="en-GB"/>
              </w:rPr>
            </w:pPr>
          </w:p>
        </w:tc>
        <w:tc>
          <w:tcPr>
            <w:tcW w:w="1204" w:type="dxa"/>
            <w:vAlign w:val="bottom"/>
          </w:tcPr>
          <w:p w:rsidR="00BC7A08" w:rsidRPr="00BC7A08" w:rsidRDefault="00BC7A08" w:rsidP="00806504">
            <w:pPr>
              <w:jc w:val="right"/>
              <w:rPr>
                <w:sz w:val="16"/>
              </w:rPr>
            </w:pPr>
            <w:r w:rsidRPr="00BC7A08">
              <w:rPr>
                <w:sz w:val="16"/>
              </w:rPr>
              <w:t>11,296,260</w:t>
            </w:r>
          </w:p>
        </w:tc>
        <w:tc>
          <w:tcPr>
            <w:tcW w:w="236" w:type="dxa"/>
            <w:vAlign w:val="bottom"/>
          </w:tcPr>
          <w:p w:rsidR="00BC7A08" w:rsidRPr="00BC7A08" w:rsidRDefault="00BC7A08" w:rsidP="00806504">
            <w:pPr>
              <w:jc w:val="right"/>
              <w:rPr>
                <w:sz w:val="16"/>
              </w:rPr>
            </w:pPr>
          </w:p>
        </w:tc>
        <w:tc>
          <w:tcPr>
            <w:tcW w:w="1114" w:type="dxa"/>
            <w:vAlign w:val="bottom"/>
          </w:tcPr>
          <w:p w:rsidR="00BC7A08" w:rsidRPr="00BC7A08" w:rsidRDefault="00BC7A08" w:rsidP="00806504">
            <w:pPr>
              <w:jc w:val="right"/>
              <w:rPr>
                <w:sz w:val="16"/>
              </w:rPr>
            </w:pPr>
            <w:r w:rsidRPr="00BC7A08">
              <w:rPr>
                <w:sz w:val="16"/>
              </w:rPr>
              <w:t>772,103</w:t>
            </w:r>
          </w:p>
        </w:tc>
        <w:tc>
          <w:tcPr>
            <w:tcW w:w="236" w:type="dxa"/>
            <w:vAlign w:val="bottom"/>
          </w:tcPr>
          <w:p w:rsidR="00BC7A08" w:rsidRPr="00BC7A08" w:rsidRDefault="00BC7A08" w:rsidP="00806504">
            <w:pPr>
              <w:jc w:val="right"/>
              <w:rPr>
                <w:sz w:val="16"/>
              </w:rPr>
            </w:pPr>
          </w:p>
        </w:tc>
        <w:tc>
          <w:tcPr>
            <w:tcW w:w="1204" w:type="dxa"/>
            <w:vAlign w:val="bottom"/>
          </w:tcPr>
          <w:p w:rsidR="00BC7A08" w:rsidRPr="00BC7A08" w:rsidRDefault="00BC7A08" w:rsidP="00806504">
            <w:pPr>
              <w:jc w:val="right"/>
              <w:rPr>
                <w:sz w:val="16"/>
              </w:rPr>
            </w:pPr>
            <w:r w:rsidRPr="00BC7A08">
              <w:rPr>
                <w:sz w:val="16"/>
              </w:rPr>
              <w:t>89,405</w:t>
            </w:r>
          </w:p>
        </w:tc>
        <w:tc>
          <w:tcPr>
            <w:tcW w:w="270" w:type="dxa"/>
          </w:tcPr>
          <w:p w:rsidR="00BC7A08" w:rsidRPr="00BC7A08" w:rsidRDefault="00BC7A08" w:rsidP="00806504">
            <w:pPr>
              <w:jc w:val="right"/>
              <w:rPr>
                <w:sz w:val="16"/>
              </w:rPr>
            </w:pPr>
          </w:p>
        </w:tc>
        <w:tc>
          <w:tcPr>
            <w:tcW w:w="1260" w:type="dxa"/>
            <w:vAlign w:val="bottom"/>
          </w:tcPr>
          <w:p w:rsidR="00BC7A08" w:rsidRPr="00BC7A08" w:rsidRDefault="00BC7A08" w:rsidP="00806504">
            <w:pPr>
              <w:jc w:val="right"/>
              <w:rPr>
                <w:sz w:val="16"/>
              </w:rPr>
            </w:pPr>
            <w:r w:rsidRPr="00BC7A08">
              <w:rPr>
                <w:sz w:val="16"/>
              </w:rPr>
              <w:t>16,766</w:t>
            </w:r>
          </w:p>
        </w:tc>
        <w:tc>
          <w:tcPr>
            <w:tcW w:w="236" w:type="dxa"/>
            <w:vAlign w:val="bottom"/>
          </w:tcPr>
          <w:p w:rsidR="00BC7A08" w:rsidRPr="00BC7A08" w:rsidRDefault="00BC7A08" w:rsidP="00806504">
            <w:pPr>
              <w:jc w:val="right"/>
              <w:rPr>
                <w:sz w:val="16"/>
              </w:rPr>
            </w:pPr>
          </w:p>
        </w:tc>
        <w:tc>
          <w:tcPr>
            <w:tcW w:w="1024" w:type="dxa"/>
            <w:vAlign w:val="bottom"/>
          </w:tcPr>
          <w:p w:rsidR="00BC7A08" w:rsidRPr="00BC7A08" w:rsidRDefault="00BC7A08" w:rsidP="00806504">
            <w:pPr>
              <w:jc w:val="right"/>
              <w:rPr>
                <w:sz w:val="16"/>
              </w:rPr>
            </w:pPr>
            <w:r w:rsidRPr="00BC7A08">
              <w:rPr>
                <w:sz w:val="16"/>
              </w:rPr>
              <w:t>3,160</w:t>
            </w:r>
          </w:p>
        </w:tc>
        <w:tc>
          <w:tcPr>
            <w:tcW w:w="236" w:type="dxa"/>
            <w:vAlign w:val="bottom"/>
          </w:tcPr>
          <w:p w:rsidR="00BC7A08" w:rsidRPr="00BC7A08" w:rsidRDefault="00BC7A08" w:rsidP="00806504">
            <w:pPr>
              <w:jc w:val="right"/>
              <w:rPr>
                <w:sz w:val="16"/>
              </w:rPr>
            </w:pPr>
          </w:p>
        </w:tc>
        <w:tc>
          <w:tcPr>
            <w:tcW w:w="1024" w:type="dxa"/>
            <w:vAlign w:val="bottom"/>
          </w:tcPr>
          <w:p w:rsidR="00BC7A08" w:rsidRPr="00BC7A08" w:rsidRDefault="002B7F7B" w:rsidP="00806504">
            <w:pPr>
              <w:jc w:val="right"/>
              <w:rPr>
                <w:sz w:val="16"/>
              </w:rPr>
            </w:pPr>
            <w:r>
              <w:rPr>
                <w:sz w:val="16"/>
              </w:rPr>
              <w:t>(859,802</w:t>
            </w:r>
            <w:r w:rsidR="00BC7A08" w:rsidRPr="00BC7A08">
              <w:rPr>
                <w:sz w:val="16"/>
              </w:rPr>
              <w:t>)</w:t>
            </w:r>
          </w:p>
        </w:tc>
        <w:tc>
          <w:tcPr>
            <w:tcW w:w="236" w:type="dxa"/>
            <w:vAlign w:val="bottom"/>
          </w:tcPr>
          <w:p w:rsidR="00BC7A08" w:rsidRPr="00BC7A08" w:rsidRDefault="00BC7A08" w:rsidP="00806504">
            <w:pPr>
              <w:jc w:val="right"/>
              <w:rPr>
                <w:sz w:val="16"/>
              </w:rPr>
            </w:pPr>
          </w:p>
        </w:tc>
        <w:tc>
          <w:tcPr>
            <w:tcW w:w="1114" w:type="dxa"/>
            <w:vAlign w:val="bottom"/>
          </w:tcPr>
          <w:p w:rsidR="00BC7A08" w:rsidRPr="00BC7A08" w:rsidRDefault="002B7F7B" w:rsidP="00806504">
            <w:pPr>
              <w:jc w:val="right"/>
              <w:rPr>
                <w:sz w:val="16"/>
              </w:rPr>
            </w:pPr>
            <w:r>
              <w:rPr>
                <w:sz w:val="16"/>
              </w:rPr>
              <w:t>21,632</w:t>
            </w:r>
          </w:p>
        </w:tc>
      </w:tr>
      <w:tr w:rsidR="00BC7A08" w:rsidRPr="003A7914" w:rsidTr="00BE0221">
        <w:trPr>
          <w:trHeight w:val="88"/>
        </w:trPr>
        <w:tc>
          <w:tcPr>
            <w:tcW w:w="2970" w:type="dxa"/>
          </w:tcPr>
          <w:p w:rsidR="00BC7A08" w:rsidRPr="003A7914" w:rsidRDefault="00BC7A08" w:rsidP="00BC7A08">
            <w:pPr>
              <w:ind w:left="162"/>
              <w:rPr>
                <w:sz w:val="16"/>
                <w:lang w:val="en-GB"/>
              </w:rPr>
            </w:pPr>
            <w:r w:rsidRPr="003A7914">
              <w:rPr>
                <w:sz w:val="16"/>
                <w:lang w:val="en-GB"/>
              </w:rPr>
              <w:t xml:space="preserve">Net loss for the </w:t>
            </w:r>
            <w:r>
              <w:rPr>
                <w:sz w:val="16"/>
                <w:lang w:val="en-GB"/>
              </w:rPr>
              <w:t>quarter</w:t>
            </w:r>
          </w:p>
        </w:tc>
        <w:tc>
          <w:tcPr>
            <w:tcW w:w="236" w:type="dxa"/>
            <w:vAlign w:val="bottom"/>
          </w:tcPr>
          <w:p w:rsidR="00BC7A08" w:rsidRPr="003A7914" w:rsidRDefault="00BC7A08" w:rsidP="00BC7A08">
            <w:pPr>
              <w:jc w:val="right"/>
              <w:rPr>
                <w:sz w:val="16"/>
                <w:lang w:val="en-GB"/>
              </w:rPr>
            </w:pPr>
          </w:p>
        </w:tc>
        <w:tc>
          <w:tcPr>
            <w:tcW w:w="1204" w:type="dxa"/>
            <w:tcBorders>
              <w:bottom w:val="single" w:sz="4" w:space="0" w:color="auto"/>
            </w:tcBorders>
            <w:vAlign w:val="bottom"/>
          </w:tcPr>
          <w:p w:rsidR="00BC7A08" w:rsidRPr="003A7914" w:rsidRDefault="00BC7A08" w:rsidP="00BC7A08">
            <w:pPr>
              <w:jc w:val="right"/>
              <w:rPr>
                <w:sz w:val="16"/>
                <w:lang w:val="en-GB"/>
              </w:rPr>
            </w:pPr>
            <w:r>
              <w:rPr>
                <w:sz w:val="16"/>
                <w:lang w:val="en-GB"/>
              </w:rPr>
              <w:t>-</w:t>
            </w:r>
          </w:p>
        </w:tc>
        <w:tc>
          <w:tcPr>
            <w:tcW w:w="236" w:type="dxa"/>
          </w:tcPr>
          <w:p w:rsidR="00BC7A08" w:rsidRPr="003A7914" w:rsidRDefault="00BC7A08" w:rsidP="00BC7A08">
            <w:pPr>
              <w:jc w:val="right"/>
              <w:rPr>
                <w:sz w:val="16"/>
                <w:lang w:val="en-GB"/>
              </w:rPr>
            </w:pPr>
          </w:p>
        </w:tc>
        <w:tc>
          <w:tcPr>
            <w:tcW w:w="1114" w:type="dxa"/>
            <w:tcBorders>
              <w:bottom w:val="single" w:sz="4" w:space="0" w:color="auto"/>
            </w:tcBorders>
            <w:vAlign w:val="bottom"/>
          </w:tcPr>
          <w:p w:rsidR="00BC7A08" w:rsidRPr="003A7914" w:rsidRDefault="00BC7A08" w:rsidP="00BC7A08">
            <w:pPr>
              <w:jc w:val="right"/>
              <w:rPr>
                <w:sz w:val="16"/>
                <w:lang w:val="en-GB"/>
              </w:rPr>
            </w:pPr>
            <w:r>
              <w:rPr>
                <w:sz w:val="16"/>
                <w:lang w:val="en-GB"/>
              </w:rPr>
              <w:t>-</w:t>
            </w:r>
          </w:p>
        </w:tc>
        <w:tc>
          <w:tcPr>
            <w:tcW w:w="236" w:type="dxa"/>
            <w:vAlign w:val="bottom"/>
          </w:tcPr>
          <w:p w:rsidR="00BC7A08" w:rsidRPr="003A7914" w:rsidRDefault="00BC7A08" w:rsidP="00BC7A08">
            <w:pPr>
              <w:jc w:val="right"/>
              <w:rPr>
                <w:sz w:val="16"/>
                <w:lang w:val="en-GB"/>
              </w:rPr>
            </w:pPr>
          </w:p>
        </w:tc>
        <w:tc>
          <w:tcPr>
            <w:tcW w:w="1204" w:type="dxa"/>
            <w:tcBorders>
              <w:bottom w:val="single" w:sz="4" w:space="0" w:color="auto"/>
            </w:tcBorders>
            <w:vAlign w:val="bottom"/>
          </w:tcPr>
          <w:p w:rsidR="00BC7A08" w:rsidRPr="003A7914" w:rsidRDefault="00BC7A08" w:rsidP="00BC7A08">
            <w:pPr>
              <w:jc w:val="right"/>
              <w:rPr>
                <w:sz w:val="16"/>
                <w:lang w:val="en-GB"/>
              </w:rPr>
            </w:pPr>
            <w:r>
              <w:rPr>
                <w:sz w:val="16"/>
                <w:lang w:val="en-GB"/>
              </w:rPr>
              <w:t>-</w:t>
            </w:r>
          </w:p>
        </w:tc>
        <w:tc>
          <w:tcPr>
            <w:tcW w:w="270" w:type="dxa"/>
          </w:tcPr>
          <w:p w:rsidR="00BC7A08" w:rsidRPr="003A7914" w:rsidRDefault="00BC7A08" w:rsidP="00BC7A08">
            <w:pPr>
              <w:jc w:val="right"/>
              <w:rPr>
                <w:sz w:val="16"/>
                <w:lang w:val="en-GB"/>
              </w:rPr>
            </w:pPr>
          </w:p>
        </w:tc>
        <w:tc>
          <w:tcPr>
            <w:tcW w:w="1260" w:type="dxa"/>
            <w:tcBorders>
              <w:bottom w:val="single" w:sz="4" w:space="0" w:color="auto"/>
            </w:tcBorders>
            <w:vAlign w:val="bottom"/>
          </w:tcPr>
          <w:p w:rsidR="00BC7A08" w:rsidRPr="003A7914" w:rsidRDefault="00BC7A08" w:rsidP="00BC7A08">
            <w:pPr>
              <w:jc w:val="right"/>
              <w:rPr>
                <w:sz w:val="16"/>
                <w:lang w:val="en-GB"/>
              </w:rPr>
            </w:pPr>
            <w:r>
              <w:rPr>
                <w:sz w:val="16"/>
                <w:lang w:val="en-GB"/>
              </w:rPr>
              <w:t>-</w:t>
            </w:r>
          </w:p>
        </w:tc>
        <w:tc>
          <w:tcPr>
            <w:tcW w:w="236" w:type="dxa"/>
            <w:vAlign w:val="bottom"/>
          </w:tcPr>
          <w:p w:rsidR="00BC7A08" w:rsidRPr="003A7914" w:rsidRDefault="00BC7A08" w:rsidP="00BC7A08">
            <w:pPr>
              <w:jc w:val="right"/>
              <w:rPr>
                <w:sz w:val="16"/>
                <w:lang w:val="en-GB"/>
              </w:rPr>
            </w:pPr>
          </w:p>
        </w:tc>
        <w:tc>
          <w:tcPr>
            <w:tcW w:w="1024" w:type="dxa"/>
            <w:tcBorders>
              <w:bottom w:val="single" w:sz="4" w:space="0" w:color="auto"/>
            </w:tcBorders>
            <w:vAlign w:val="bottom"/>
          </w:tcPr>
          <w:p w:rsidR="00BC7A08" w:rsidRPr="003A7914" w:rsidRDefault="00BC7A08" w:rsidP="00BC7A08">
            <w:pPr>
              <w:jc w:val="right"/>
              <w:rPr>
                <w:sz w:val="16"/>
                <w:lang w:val="en-GB"/>
              </w:rPr>
            </w:pPr>
            <w:r>
              <w:rPr>
                <w:sz w:val="16"/>
                <w:lang w:val="en-GB"/>
              </w:rPr>
              <w:t>-</w:t>
            </w:r>
          </w:p>
        </w:tc>
        <w:tc>
          <w:tcPr>
            <w:tcW w:w="236" w:type="dxa"/>
            <w:vAlign w:val="bottom"/>
          </w:tcPr>
          <w:p w:rsidR="00BC7A08" w:rsidRPr="003A7914" w:rsidRDefault="00BC7A08" w:rsidP="00BC7A08">
            <w:pPr>
              <w:jc w:val="right"/>
              <w:rPr>
                <w:sz w:val="16"/>
                <w:lang w:val="en-GB"/>
              </w:rPr>
            </w:pPr>
          </w:p>
        </w:tc>
        <w:tc>
          <w:tcPr>
            <w:tcW w:w="1024" w:type="dxa"/>
            <w:tcBorders>
              <w:bottom w:val="single" w:sz="4" w:space="0" w:color="auto"/>
            </w:tcBorders>
            <w:shd w:val="clear" w:color="auto" w:fill="auto"/>
            <w:vAlign w:val="bottom"/>
          </w:tcPr>
          <w:p w:rsidR="00BC7A08" w:rsidRPr="00BE0221" w:rsidRDefault="00BE0221" w:rsidP="00BC7A08">
            <w:pPr>
              <w:jc w:val="right"/>
              <w:rPr>
                <w:sz w:val="16"/>
                <w:lang w:val="en-GB"/>
              </w:rPr>
            </w:pPr>
            <w:r w:rsidRPr="00BE0221">
              <w:rPr>
                <w:sz w:val="16"/>
                <w:lang w:val="en-GB"/>
              </w:rPr>
              <w:t>(46,449</w:t>
            </w:r>
            <w:r w:rsidR="00BC7A08" w:rsidRPr="00BE0221">
              <w:rPr>
                <w:sz w:val="16"/>
                <w:lang w:val="en-GB"/>
              </w:rPr>
              <w:t>)</w:t>
            </w:r>
          </w:p>
        </w:tc>
        <w:tc>
          <w:tcPr>
            <w:tcW w:w="236" w:type="dxa"/>
            <w:vAlign w:val="bottom"/>
          </w:tcPr>
          <w:p w:rsidR="00BC7A08" w:rsidRPr="003A7914" w:rsidRDefault="00BC7A08" w:rsidP="00BC7A08">
            <w:pPr>
              <w:jc w:val="right"/>
              <w:rPr>
                <w:sz w:val="16"/>
                <w:lang w:val="en-GB"/>
              </w:rPr>
            </w:pPr>
          </w:p>
        </w:tc>
        <w:tc>
          <w:tcPr>
            <w:tcW w:w="1114" w:type="dxa"/>
            <w:tcBorders>
              <w:bottom w:val="single" w:sz="4" w:space="0" w:color="auto"/>
            </w:tcBorders>
            <w:vAlign w:val="bottom"/>
          </w:tcPr>
          <w:p w:rsidR="00BC7A08" w:rsidRPr="003A7914" w:rsidRDefault="00BE0221" w:rsidP="00BC7A08">
            <w:pPr>
              <w:jc w:val="right"/>
              <w:rPr>
                <w:sz w:val="16"/>
                <w:lang w:val="en-GB"/>
              </w:rPr>
            </w:pPr>
            <w:r>
              <w:rPr>
                <w:sz w:val="16"/>
                <w:lang w:val="en-GB"/>
              </w:rPr>
              <w:t>(46,449</w:t>
            </w:r>
            <w:r w:rsidR="002B7F7B">
              <w:rPr>
                <w:sz w:val="16"/>
                <w:lang w:val="en-GB"/>
              </w:rPr>
              <w:t>)</w:t>
            </w:r>
          </w:p>
        </w:tc>
      </w:tr>
      <w:tr w:rsidR="00D47F31" w:rsidRPr="003A7914" w:rsidTr="00D47F31">
        <w:trPr>
          <w:trHeight w:val="88"/>
        </w:trPr>
        <w:tc>
          <w:tcPr>
            <w:tcW w:w="2970" w:type="dxa"/>
          </w:tcPr>
          <w:p w:rsidR="00BC7A08" w:rsidRPr="003A7914" w:rsidRDefault="00BC7A08" w:rsidP="00D47F31">
            <w:pPr>
              <w:rPr>
                <w:b/>
                <w:bCs/>
                <w:sz w:val="16"/>
              </w:rPr>
            </w:pPr>
            <w:r>
              <w:rPr>
                <w:b/>
                <w:bCs/>
                <w:sz w:val="16"/>
              </w:rPr>
              <w:t>Balance at 30</w:t>
            </w:r>
            <w:r w:rsidRPr="003A7914">
              <w:rPr>
                <w:b/>
                <w:bCs/>
                <w:sz w:val="16"/>
              </w:rPr>
              <w:t xml:space="preserve"> </w:t>
            </w:r>
            <w:r w:rsidR="00D47F31">
              <w:rPr>
                <w:b/>
                <w:bCs/>
                <w:sz w:val="16"/>
              </w:rPr>
              <w:t>April</w:t>
            </w:r>
            <w:r w:rsidRPr="003A7914">
              <w:rPr>
                <w:b/>
                <w:bCs/>
                <w:sz w:val="16"/>
              </w:rPr>
              <w:t xml:space="preserve"> </w:t>
            </w:r>
            <w:r>
              <w:rPr>
                <w:b/>
                <w:bCs/>
                <w:sz w:val="16"/>
              </w:rPr>
              <w:t>2015</w:t>
            </w:r>
          </w:p>
        </w:tc>
        <w:tc>
          <w:tcPr>
            <w:tcW w:w="236" w:type="dxa"/>
            <w:vAlign w:val="bottom"/>
          </w:tcPr>
          <w:p w:rsidR="00BC7A08" w:rsidRPr="003A7914" w:rsidRDefault="00BC7A08" w:rsidP="00BC7A08">
            <w:pPr>
              <w:jc w:val="right"/>
              <w:rPr>
                <w:sz w:val="16"/>
                <w:lang w:val="en-GB"/>
              </w:rPr>
            </w:pPr>
          </w:p>
        </w:tc>
        <w:tc>
          <w:tcPr>
            <w:tcW w:w="1204" w:type="dxa"/>
            <w:tcBorders>
              <w:top w:val="single" w:sz="4" w:space="0" w:color="auto"/>
              <w:bottom w:val="single" w:sz="12" w:space="0" w:color="auto"/>
            </w:tcBorders>
            <w:vAlign w:val="bottom"/>
          </w:tcPr>
          <w:p w:rsidR="00BC7A08" w:rsidRPr="00BC7A08" w:rsidRDefault="00BC7A08" w:rsidP="00BC7A08">
            <w:pPr>
              <w:jc w:val="right"/>
              <w:rPr>
                <w:sz w:val="16"/>
              </w:rPr>
            </w:pPr>
            <w:r w:rsidRPr="00BC7A08">
              <w:rPr>
                <w:sz w:val="16"/>
              </w:rPr>
              <w:t>11,296,260</w:t>
            </w:r>
          </w:p>
        </w:tc>
        <w:tc>
          <w:tcPr>
            <w:tcW w:w="236" w:type="dxa"/>
            <w:vAlign w:val="bottom"/>
          </w:tcPr>
          <w:p w:rsidR="00BC7A08" w:rsidRPr="00B33DC1" w:rsidRDefault="00BC7A08" w:rsidP="00BC7A08">
            <w:pPr>
              <w:jc w:val="right"/>
              <w:rPr>
                <w:b/>
                <w:sz w:val="16"/>
              </w:rPr>
            </w:pPr>
          </w:p>
        </w:tc>
        <w:tc>
          <w:tcPr>
            <w:tcW w:w="1114" w:type="dxa"/>
            <w:tcBorders>
              <w:top w:val="single" w:sz="4" w:space="0" w:color="auto"/>
              <w:bottom w:val="single" w:sz="12" w:space="0" w:color="auto"/>
            </w:tcBorders>
            <w:vAlign w:val="bottom"/>
          </w:tcPr>
          <w:p w:rsidR="00BC7A08" w:rsidRPr="003A7914" w:rsidRDefault="00BC7A08" w:rsidP="00BC7A08">
            <w:pPr>
              <w:jc w:val="right"/>
              <w:rPr>
                <w:b/>
                <w:sz w:val="16"/>
              </w:rPr>
            </w:pPr>
            <w:r w:rsidRPr="003A7914">
              <w:rPr>
                <w:b/>
                <w:sz w:val="16"/>
              </w:rPr>
              <w:t>772,103</w:t>
            </w:r>
          </w:p>
        </w:tc>
        <w:tc>
          <w:tcPr>
            <w:tcW w:w="236" w:type="dxa"/>
            <w:vAlign w:val="bottom"/>
          </w:tcPr>
          <w:p w:rsidR="00BC7A08" w:rsidRPr="003A7914" w:rsidRDefault="00BC7A08" w:rsidP="00BC7A08">
            <w:pPr>
              <w:jc w:val="right"/>
              <w:rPr>
                <w:b/>
                <w:sz w:val="16"/>
              </w:rPr>
            </w:pPr>
          </w:p>
        </w:tc>
        <w:tc>
          <w:tcPr>
            <w:tcW w:w="1204" w:type="dxa"/>
            <w:tcBorders>
              <w:top w:val="single" w:sz="4" w:space="0" w:color="auto"/>
              <w:bottom w:val="single" w:sz="12" w:space="0" w:color="auto"/>
            </w:tcBorders>
            <w:vAlign w:val="bottom"/>
          </w:tcPr>
          <w:p w:rsidR="00BC7A08" w:rsidRPr="00B33DC1" w:rsidRDefault="00BC7A08" w:rsidP="00BC7A08">
            <w:pPr>
              <w:jc w:val="right"/>
              <w:rPr>
                <w:b/>
                <w:sz w:val="16"/>
              </w:rPr>
            </w:pPr>
            <w:r>
              <w:rPr>
                <w:b/>
                <w:sz w:val="16"/>
              </w:rPr>
              <w:t>89,405</w:t>
            </w:r>
          </w:p>
        </w:tc>
        <w:tc>
          <w:tcPr>
            <w:tcW w:w="270" w:type="dxa"/>
          </w:tcPr>
          <w:p w:rsidR="00BC7A08" w:rsidRPr="00B33DC1" w:rsidRDefault="00BC7A08" w:rsidP="00BC7A08">
            <w:pPr>
              <w:jc w:val="right"/>
              <w:rPr>
                <w:b/>
                <w:sz w:val="16"/>
              </w:rPr>
            </w:pPr>
          </w:p>
        </w:tc>
        <w:tc>
          <w:tcPr>
            <w:tcW w:w="1260" w:type="dxa"/>
            <w:tcBorders>
              <w:top w:val="single" w:sz="4" w:space="0" w:color="auto"/>
              <w:bottom w:val="single" w:sz="12" w:space="0" w:color="auto"/>
            </w:tcBorders>
            <w:vAlign w:val="bottom"/>
          </w:tcPr>
          <w:p w:rsidR="00BC7A08" w:rsidRPr="00B33DC1" w:rsidRDefault="00BC7A08" w:rsidP="00BC7A08">
            <w:pPr>
              <w:jc w:val="right"/>
              <w:rPr>
                <w:b/>
                <w:sz w:val="16"/>
              </w:rPr>
            </w:pPr>
            <w:r w:rsidRPr="00B33DC1">
              <w:rPr>
                <w:b/>
                <w:sz w:val="16"/>
              </w:rPr>
              <w:t>16,766</w:t>
            </w:r>
          </w:p>
        </w:tc>
        <w:tc>
          <w:tcPr>
            <w:tcW w:w="236" w:type="dxa"/>
            <w:vAlign w:val="bottom"/>
          </w:tcPr>
          <w:p w:rsidR="00BC7A08" w:rsidRPr="003A7914" w:rsidRDefault="00BC7A08" w:rsidP="00BC7A08">
            <w:pPr>
              <w:jc w:val="right"/>
              <w:rPr>
                <w:b/>
                <w:sz w:val="16"/>
              </w:rPr>
            </w:pPr>
          </w:p>
        </w:tc>
        <w:tc>
          <w:tcPr>
            <w:tcW w:w="1024" w:type="dxa"/>
            <w:tcBorders>
              <w:top w:val="single" w:sz="4" w:space="0" w:color="auto"/>
              <w:bottom w:val="single" w:sz="12" w:space="0" w:color="auto"/>
            </w:tcBorders>
            <w:vAlign w:val="bottom"/>
          </w:tcPr>
          <w:p w:rsidR="00BC7A08" w:rsidRPr="003A7914" w:rsidRDefault="00BC7A08" w:rsidP="00BC7A08">
            <w:pPr>
              <w:jc w:val="right"/>
              <w:rPr>
                <w:b/>
                <w:sz w:val="16"/>
              </w:rPr>
            </w:pPr>
            <w:r w:rsidRPr="003A7914">
              <w:rPr>
                <w:b/>
                <w:sz w:val="16"/>
              </w:rPr>
              <w:t>3,160</w:t>
            </w:r>
          </w:p>
        </w:tc>
        <w:tc>
          <w:tcPr>
            <w:tcW w:w="236" w:type="dxa"/>
            <w:vAlign w:val="bottom"/>
          </w:tcPr>
          <w:p w:rsidR="00BC7A08" w:rsidRPr="003A7914" w:rsidRDefault="00BC7A08" w:rsidP="00BC7A08">
            <w:pPr>
              <w:jc w:val="right"/>
              <w:rPr>
                <w:b/>
                <w:sz w:val="16"/>
              </w:rPr>
            </w:pPr>
          </w:p>
        </w:tc>
        <w:tc>
          <w:tcPr>
            <w:tcW w:w="1024" w:type="dxa"/>
            <w:tcBorders>
              <w:top w:val="single" w:sz="4" w:space="0" w:color="auto"/>
              <w:bottom w:val="single" w:sz="12" w:space="0" w:color="auto"/>
            </w:tcBorders>
            <w:vAlign w:val="bottom"/>
          </w:tcPr>
          <w:p w:rsidR="00BC7A08" w:rsidRPr="003A7914" w:rsidRDefault="00BC7A08" w:rsidP="00BC7A08">
            <w:pPr>
              <w:jc w:val="right"/>
              <w:rPr>
                <w:b/>
                <w:sz w:val="16"/>
              </w:rPr>
            </w:pPr>
            <w:r w:rsidRPr="003A7914">
              <w:rPr>
                <w:b/>
                <w:sz w:val="16"/>
              </w:rPr>
              <w:t>(</w:t>
            </w:r>
            <w:r w:rsidR="00BE0221">
              <w:rPr>
                <w:b/>
                <w:sz w:val="16"/>
              </w:rPr>
              <w:t>906,2</w:t>
            </w:r>
            <w:r>
              <w:rPr>
                <w:b/>
                <w:sz w:val="16"/>
              </w:rPr>
              <w:t>5</w:t>
            </w:r>
            <w:r w:rsidR="00BE0221">
              <w:rPr>
                <w:b/>
                <w:sz w:val="16"/>
              </w:rPr>
              <w:t>1</w:t>
            </w:r>
            <w:r w:rsidRPr="003A7914">
              <w:rPr>
                <w:b/>
                <w:sz w:val="16"/>
              </w:rPr>
              <w:t>)</w:t>
            </w:r>
          </w:p>
        </w:tc>
        <w:tc>
          <w:tcPr>
            <w:tcW w:w="236" w:type="dxa"/>
            <w:vAlign w:val="bottom"/>
          </w:tcPr>
          <w:p w:rsidR="00BC7A08" w:rsidRPr="003A7914" w:rsidRDefault="00BC7A08" w:rsidP="00BC7A08">
            <w:pPr>
              <w:jc w:val="right"/>
              <w:rPr>
                <w:b/>
                <w:sz w:val="16"/>
              </w:rPr>
            </w:pPr>
          </w:p>
        </w:tc>
        <w:tc>
          <w:tcPr>
            <w:tcW w:w="1114" w:type="dxa"/>
            <w:tcBorders>
              <w:top w:val="single" w:sz="4" w:space="0" w:color="auto"/>
              <w:bottom w:val="single" w:sz="12" w:space="0" w:color="auto"/>
            </w:tcBorders>
            <w:vAlign w:val="bottom"/>
          </w:tcPr>
          <w:p w:rsidR="00BC7A08" w:rsidRPr="003A7914" w:rsidRDefault="00BE0221" w:rsidP="00BC7A08">
            <w:pPr>
              <w:jc w:val="right"/>
              <w:rPr>
                <w:b/>
                <w:sz w:val="16"/>
              </w:rPr>
            </w:pPr>
            <w:r>
              <w:rPr>
                <w:b/>
                <w:sz w:val="16"/>
              </w:rPr>
              <w:t>(24,817)</w:t>
            </w:r>
          </w:p>
        </w:tc>
      </w:tr>
      <w:tr w:rsidR="00BC7A08" w:rsidRPr="003A7914" w:rsidTr="00D47F31">
        <w:trPr>
          <w:trHeight w:val="88"/>
        </w:trPr>
        <w:tc>
          <w:tcPr>
            <w:tcW w:w="2970" w:type="dxa"/>
          </w:tcPr>
          <w:p w:rsidR="00BC7A08" w:rsidRDefault="00BC7A08" w:rsidP="00BC7A08">
            <w:pPr>
              <w:rPr>
                <w:b/>
                <w:bCs/>
                <w:sz w:val="16"/>
              </w:rPr>
            </w:pPr>
          </w:p>
        </w:tc>
        <w:tc>
          <w:tcPr>
            <w:tcW w:w="236" w:type="dxa"/>
            <w:vAlign w:val="bottom"/>
          </w:tcPr>
          <w:p w:rsidR="00BC7A08" w:rsidRPr="003A7914" w:rsidRDefault="00BC7A08" w:rsidP="00BC7A08">
            <w:pPr>
              <w:jc w:val="right"/>
              <w:rPr>
                <w:sz w:val="16"/>
                <w:lang w:val="en-GB"/>
              </w:rPr>
            </w:pPr>
          </w:p>
        </w:tc>
        <w:tc>
          <w:tcPr>
            <w:tcW w:w="1204" w:type="dxa"/>
            <w:tcBorders>
              <w:top w:val="single" w:sz="12" w:space="0" w:color="auto"/>
            </w:tcBorders>
            <w:vAlign w:val="bottom"/>
          </w:tcPr>
          <w:p w:rsidR="00BC7A08" w:rsidRPr="003A7914" w:rsidRDefault="00BC7A08" w:rsidP="00BC7A08">
            <w:pPr>
              <w:jc w:val="right"/>
              <w:rPr>
                <w:b/>
                <w:sz w:val="16"/>
              </w:rPr>
            </w:pPr>
          </w:p>
        </w:tc>
        <w:tc>
          <w:tcPr>
            <w:tcW w:w="236" w:type="dxa"/>
            <w:vAlign w:val="bottom"/>
          </w:tcPr>
          <w:p w:rsidR="00BC7A08" w:rsidRPr="00B33DC1" w:rsidRDefault="00BC7A08" w:rsidP="00BC7A08">
            <w:pPr>
              <w:jc w:val="right"/>
              <w:rPr>
                <w:b/>
                <w:sz w:val="16"/>
              </w:rPr>
            </w:pPr>
          </w:p>
        </w:tc>
        <w:tc>
          <w:tcPr>
            <w:tcW w:w="1114" w:type="dxa"/>
            <w:tcBorders>
              <w:top w:val="single" w:sz="12" w:space="0" w:color="auto"/>
            </w:tcBorders>
            <w:vAlign w:val="bottom"/>
          </w:tcPr>
          <w:p w:rsidR="00BC7A08" w:rsidRPr="003A7914" w:rsidRDefault="00BC7A08" w:rsidP="00BC7A08">
            <w:pPr>
              <w:jc w:val="right"/>
              <w:rPr>
                <w:b/>
                <w:sz w:val="16"/>
              </w:rPr>
            </w:pPr>
          </w:p>
        </w:tc>
        <w:tc>
          <w:tcPr>
            <w:tcW w:w="236" w:type="dxa"/>
            <w:vAlign w:val="bottom"/>
          </w:tcPr>
          <w:p w:rsidR="00BC7A08" w:rsidRPr="003A7914" w:rsidRDefault="00BC7A08" w:rsidP="00BC7A08">
            <w:pPr>
              <w:jc w:val="right"/>
              <w:rPr>
                <w:b/>
                <w:sz w:val="16"/>
              </w:rPr>
            </w:pPr>
          </w:p>
        </w:tc>
        <w:tc>
          <w:tcPr>
            <w:tcW w:w="1204" w:type="dxa"/>
            <w:tcBorders>
              <w:top w:val="single" w:sz="12" w:space="0" w:color="auto"/>
            </w:tcBorders>
            <w:vAlign w:val="bottom"/>
          </w:tcPr>
          <w:p w:rsidR="00BC7A08" w:rsidRDefault="00BC7A08" w:rsidP="00BC7A08">
            <w:pPr>
              <w:jc w:val="right"/>
              <w:rPr>
                <w:b/>
                <w:sz w:val="16"/>
              </w:rPr>
            </w:pPr>
          </w:p>
        </w:tc>
        <w:tc>
          <w:tcPr>
            <w:tcW w:w="270" w:type="dxa"/>
          </w:tcPr>
          <w:p w:rsidR="00BC7A08" w:rsidRPr="00B33DC1" w:rsidRDefault="00BC7A08" w:rsidP="00BC7A08">
            <w:pPr>
              <w:jc w:val="right"/>
              <w:rPr>
                <w:b/>
                <w:sz w:val="16"/>
              </w:rPr>
            </w:pPr>
          </w:p>
        </w:tc>
        <w:tc>
          <w:tcPr>
            <w:tcW w:w="1260" w:type="dxa"/>
            <w:tcBorders>
              <w:top w:val="single" w:sz="12" w:space="0" w:color="auto"/>
            </w:tcBorders>
            <w:vAlign w:val="bottom"/>
          </w:tcPr>
          <w:p w:rsidR="00BC7A08" w:rsidRPr="00B33DC1" w:rsidRDefault="00BC7A08" w:rsidP="00BC7A08">
            <w:pPr>
              <w:jc w:val="right"/>
              <w:rPr>
                <w:b/>
                <w:sz w:val="16"/>
              </w:rPr>
            </w:pPr>
          </w:p>
        </w:tc>
        <w:tc>
          <w:tcPr>
            <w:tcW w:w="236" w:type="dxa"/>
            <w:vAlign w:val="bottom"/>
          </w:tcPr>
          <w:p w:rsidR="00BC7A08" w:rsidRPr="003A7914" w:rsidRDefault="00BC7A08" w:rsidP="00BC7A08">
            <w:pPr>
              <w:jc w:val="right"/>
              <w:rPr>
                <w:b/>
                <w:sz w:val="16"/>
              </w:rPr>
            </w:pPr>
          </w:p>
        </w:tc>
        <w:tc>
          <w:tcPr>
            <w:tcW w:w="1024" w:type="dxa"/>
            <w:tcBorders>
              <w:top w:val="single" w:sz="12" w:space="0" w:color="auto"/>
            </w:tcBorders>
            <w:vAlign w:val="bottom"/>
          </w:tcPr>
          <w:p w:rsidR="00BC7A08" w:rsidRPr="003A7914" w:rsidRDefault="00BC7A08" w:rsidP="00BC7A08">
            <w:pPr>
              <w:jc w:val="right"/>
              <w:rPr>
                <w:b/>
                <w:sz w:val="16"/>
              </w:rPr>
            </w:pPr>
          </w:p>
        </w:tc>
        <w:tc>
          <w:tcPr>
            <w:tcW w:w="236" w:type="dxa"/>
            <w:vAlign w:val="bottom"/>
          </w:tcPr>
          <w:p w:rsidR="00BC7A08" w:rsidRPr="003A7914" w:rsidRDefault="00BC7A08" w:rsidP="00BC7A08">
            <w:pPr>
              <w:jc w:val="right"/>
              <w:rPr>
                <w:b/>
                <w:sz w:val="16"/>
              </w:rPr>
            </w:pPr>
          </w:p>
        </w:tc>
        <w:tc>
          <w:tcPr>
            <w:tcW w:w="1024" w:type="dxa"/>
            <w:tcBorders>
              <w:top w:val="single" w:sz="12" w:space="0" w:color="auto"/>
            </w:tcBorders>
            <w:vAlign w:val="bottom"/>
          </w:tcPr>
          <w:p w:rsidR="00BC7A08" w:rsidRPr="003A7914" w:rsidRDefault="00BC7A08" w:rsidP="00BC7A08">
            <w:pPr>
              <w:jc w:val="right"/>
              <w:rPr>
                <w:b/>
                <w:sz w:val="16"/>
              </w:rPr>
            </w:pPr>
          </w:p>
        </w:tc>
        <w:tc>
          <w:tcPr>
            <w:tcW w:w="236" w:type="dxa"/>
            <w:vAlign w:val="bottom"/>
          </w:tcPr>
          <w:p w:rsidR="00BC7A08" w:rsidRPr="003A7914" w:rsidRDefault="00BC7A08" w:rsidP="00BC7A08">
            <w:pPr>
              <w:jc w:val="right"/>
              <w:rPr>
                <w:b/>
                <w:sz w:val="16"/>
              </w:rPr>
            </w:pPr>
          </w:p>
        </w:tc>
        <w:tc>
          <w:tcPr>
            <w:tcW w:w="1114" w:type="dxa"/>
            <w:tcBorders>
              <w:top w:val="single" w:sz="12" w:space="0" w:color="auto"/>
            </w:tcBorders>
            <w:vAlign w:val="bottom"/>
          </w:tcPr>
          <w:p w:rsidR="00BC7A08" w:rsidRDefault="00BC7A08" w:rsidP="00BC7A08">
            <w:pPr>
              <w:jc w:val="right"/>
              <w:rPr>
                <w:b/>
                <w:sz w:val="16"/>
              </w:rPr>
            </w:pPr>
          </w:p>
        </w:tc>
      </w:tr>
    </w:tbl>
    <w:p w:rsidR="007112B3" w:rsidRPr="00BC7A08" w:rsidRDefault="007112B3" w:rsidP="00BC7A08">
      <w:pPr>
        <w:tabs>
          <w:tab w:val="left" w:pos="4240"/>
        </w:tabs>
        <w:jc w:val="both"/>
        <w:rPr>
          <w:lang w:val="en-GB"/>
        </w:rPr>
        <w:sectPr w:rsidR="007112B3" w:rsidRPr="00BC7A08" w:rsidSect="008E1D55">
          <w:footerReference w:type="default" r:id="rId28"/>
          <w:endnotePr>
            <w:numFmt w:val="decimal"/>
          </w:endnotePr>
          <w:pgSz w:w="15840" w:h="12240" w:orient="landscape"/>
          <w:pgMar w:top="1440" w:right="1440" w:bottom="1440" w:left="1440" w:header="1080" w:footer="301" w:gutter="0"/>
          <w:pgNumType w:start="0"/>
          <w:cols w:space="720"/>
          <w:noEndnote/>
          <w:docGrid w:linePitch="326"/>
        </w:sectPr>
      </w:pPr>
      <w:bookmarkStart w:id="2" w:name="_Ref120415394"/>
    </w:p>
    <w:p w:rsidR="002E4E73" w:rsidRPr="004926A3" w:rsidRDefault="002E4E73" w:rsidP="00BC7A08">
      <w:pPr>
        <w:rPr>
          <w:b/>
          <w:bCs/>
          <w:sz w:val="22"/>
          <w:szCs w:val="22"/>
        </w:rPr>
      </w:pPr>
      <w:r w:rsidRPr="004926A3">
        <w:rPr>
          <w:b/>
          <w:sz w:val="22"/>
        </w:rPr>
        <w:lastRenderedPageBreak/>
        <w:t>Nature and Continuance of Operations</w:t>
      </w:r>
      <w:bookmarkEnd w:id="2"/>
    </w:p>
    <w:p w:rsidR="002E4E73" w:rsidRDefault="002E4E73">
      <w:pPr>
        <w:ind w:left="540"/>
        <w:rPr>
          <w:snapToGrid/>
          <w:sz w:val="22"/>
          <w:szCs w:val="22"/>
        </w:rPr>
      </w:pPr>
    </w:p>
    <w:p w:rsidR="00516A7D" w:rsidRPr="00516A7D" w:rsidRDefault="002C29FA" w:rsidP="005176C6">
      <w:pPr>
        <w:widowControl/>
        <w:ind w:left="540"/>
        <w:jc w:val="both"/>
        <w:rPr>
          <w:rFonts w:ascii="Times" w:hAnsi="Times"/>
          <w:snapToGrid/>
          <w:sz w:val="22"/>
          <w:szCs w:val="22"/>
          <w:lang w:eastAsia="zh-CN"/>
        </w:rPr>
      </w:pPr>
      <w:r w:rsidRPr="00516A7D">
        <w:rPr>
          <w:rFonts w:ascii="Times" w:hAnsi="Times"/>
          <w:snapToGrid/>
          <w:sz w:val="22"/>
          <w:szCs w:val="22"/>
          <w:lang w:eastAsia="zh-CN"/>
        </w:rPr>
        <w:t xml:space="preserve">Rheingold Exploration Corp. </w:t>
      </w:r>
      <w:r w:rsidR="002E4E73" w:rsidRPr="00516A7D">
        <w:rPr>
          <w:rFonts w:ascii="Times" w:hAnsi="Times"/>
          <w:snapToGrid/>
          <w:sz w:val="22"/>
          <w:szCs w:val="22"/>
          <w:lang w:eastAsia="zh-CN"/>
        </w:rPr>
        <w:t xml:space="preserve">(the “Company”) </w:t>
      </w:r>
      <w:r w:rsidR="00603F8D" w:rsidRPr="00516A7D">
        <w:rPr>
          <w:rFonts w:ascii="Times" w:hAnsi="Times"/>
          <w:snapToGrid/>
          <w:sz w:val="22"/>
          <w:szCs w:val="22"/>
          <w:lang w:eastAsia="zh-CN"/>
        </w:rPr>
        <w:t>wa</w:t>
      </w:r>
      <w:r w:rsidR="002E4E73" w:rsidRPr="00516A7D">
        <w:rPr>
          <w:rFonts w:ascii="Times" w:hAnsi="Times"/>
          <w:snapToGrid/>
          <w:sz w:val="22"/>
          <w:szCs w:val="22"/>
          <w:lang w:eastAsia="zh-CN"/>
        </w:rPr>
        <w:t xml:space="preserve">s incorporated under the laws of the </w:t>
      </w:r>
      <w:smartTag w:uri="urn:schemas-microsoft-com:office:smarttags" w:element="place">
        <w:smartTag w:uri="urn:schemas-microsoft-com:office:smarttags" w:element="PlaceType">
          <w:r w:rsidR="002E4E73" w:rsidRPr="00516A7D">
            <w:rPr>
              <w:rFonts w:ascii="Times" w:hAnsi="Times"/>
              <w:snapToGrid/>
              <w:sz w:val="22"/>
              <w:szCs w:val="22"/>
              <w:lang w:eastAsia="zh-CN"/>
            </w:rPr>
            <w:t>province</w:t>
          </w:r>
        </w:smartTag>
        <w:r w:rsidR="002E4E73" w:rsidRPr="00516A7D">
          <w:rPr>
            <w:rFonts w:ascii="Times" w:hAnsi="Times"/>
            <w:snapToGrid/>
            <w:sz w:val="22"/>
            <w:szCs w:val="22"/>
            <w:lang w:eastAsia="zh-CN"/>
          </w:rPr>
          <w:t xml:space="preserve"> of</w:t>
        </w:r>
        <w:r w:rsidR="00FD623E" w:rsidRPr="00516A7D">
          <w:rPr>
            <w:rFonts w:ascii="Times" w:hAnsi="Times"/>
            <w:snapToGrid/>
            <w:sz w:val="22"/>
            <w:szCs w:val="22"/>
            <w:lang w:eastAsia="zh-CN"/>
          </w:rPr>
          <w:t xml:space="preserve"> </w:t>
        </w:r>
        <w:smartTag w:uri="urn:schemas-microsoft-com:office:smarttags" w:element="PlaceName">
          <w:r w:rsidR="00FD623E" w:rsidRPr="00516A7D">
            <w:rPr>
              <w:rFonts w:ascii="Times" w:hAnsi="Times"/>
              <w:snapToGrid/>
              <w:sz w:val="22"/>
              <w:szCs w:val="22"/>
              <w:lang w:eastAsia="zh-CN"/>
            </w:rPr>
            <w:t>British Columbia</w:t>
          </w:r>
        </w:smartTag>
      </w:smartTag>
      <w:r w:rsidR="00D63DFF" w:rsidRPr="00516A7D">
        <w:rPr>
          <w:rFonts w:ascii="Times" w:hAnsi="Times"/>
          <w:snapToGrid/>
          <w:sz w:val="22"/>
          <w:szCs w:val="22"/>
          <w:lang w:eastAsia="zh-CN"/>
        </w:rPr>
        <w:t xml:space="preserve"> on 29 July</w:t>
      </w:r>
      <w:r w:rsidR="00FD623E" w:rsidRPr="00516A7D">
        <w:rPr>
          <w:rFonts w:ascii="Times" w:hAnsi="Times"/>
          <w:snapToGrid/>
          <w:sz w:val="22"/>
          <w:szCs w:val="22"/>
          <w:lang w:eastAsia="zh-CN"/>
        </w:rPr>
        <w:t xml:space="preserve"> 2010.</w:t>
      </w:r>
      <w:r w:rsidR="00516A7D" w:rsidRPr="00516A7D">
        <w:rPr>
          <w:rFonts w:ascii="Times" w:hAnsi="Times"/>
          <w:snapToGrid/>
          <w:sz w:val="22"/>
          <w:szCs w:val="22"/>
          <w:lang w:eastAsia="zh-CN"/>
        </w:rPr>
        <w:t xml:space="preserve"> </w:t>
      </w:r>
    </w:p>
    <w:p w:rsidR="00FD623E" w:rsidRDefault="00FD623E" w:rsidP="005176C6">
      <w:pPr>
        <w:pStyle w:val="BodyTextIndent"/>
        <w:ind w:left="0"/>
        <w:jc w:val="both"/>
        <w:rPr>
          <w:bCs/>
          <w:szCs w:val="22"/>
        </w:rPr>
      </w:pPr>
    </w:p>
    <w:p w:rsidR="004979FE" w:rsidRDefault="00516A7D" w:rsidP="004979FE">
      <w:pPr>
        <w:widowControl/>
        <w:ind w:left="540"/>
        <w:jc w:val="both"/>
        <w:rPr>
          <w:rFonts w:ascii="Times" w:hAnsi="Times"/>
          <w:snapToGrid/>
          <w:sz w:val="22"/>
          <w:szCs w:val="22"/>
          <w:lang w:eastAsia="zh-CN"/>
        </w:rPr>
      </w:pPr>
      <w:r>
        <w:rPr>
          <w:rFonts w:ascii="Times" w:hAnsi="Times"/>
          <w:snapToGrid/>
          <w:sz w:val="22"/>
          <w:szCs w:val="22"/>
          <w:lang w:eastAsia="zh-CN"/>
        </w:rPr>
        <w:t>The Company</w:t>
      </w:r>
      <w:r w:rsidR="00FD623E" w:rsidRPr="003F3D74">
        <w:rPr>
          <w:rFonts w:ascii="Times" w:hAnsi="Times"/>
          <w:snapToGrid/>
          <w:sz w:val="22"/>
          <w:szCs w:val="22"/>
          <w:lang w:eastAsia="zh-CN"/>
        </w:rPr>
        <w:t xml:space="preserve"> is a mining exploration company that is exploring for gold and other precious metals in the </w:t>
      </w:r>
      <w:smartTag w:uri="urn:schemas-microsoft-com:office:smarttags" w:element="PlaceName">
        <w:r w:rsidR="00FD623E" w:rsidRPr="003F3D74">
          <w:rPr>
            <w:rFonts w:ascii="Times" w:hAnsi="Times"/>
            <w:snapToGrid/>
            <w:sz w:val="22"/>
            <w:szCs w:val="22"/>
            <w:lang w:eastAsia="zh-CN"/>
          </w:rPr>
          <w:t>Rainy</w:t>
        </w:r>
      </w:smartTag>
      <w:r w:rsidR="00FD623E" w:rsidRPr="003F3D74">
        <w:rPr>
          <w:rFonts w:ascii="Times" w:hAnsi="Times"/>
          <w:snapToGrid/>
          <w:sz w:val="22"/>
          <w:szCs w:val="22"/>
          <w:lang w:eastAsia="zh-CN"/>
        </w:rPr>
        <w:t xml:space="preserve"> </w:t>
      </w:r>
      <w:smartTag w:uri="urn:schemas-microsoft-com:office:smarttags" w:element="PlaceType">
        <w:r w:rsidR="00FD623E" w:rsidRPr="003F3D74">
          <w:rPr>
            <w:rFonts w:ascii="Times" w:hAnsi="Times"/>
            <w:snapToGrid/>
            <w:sz w:val="22"/>
            <w:szCs w:val="22"/>
            <w:lang w:eastAsia="zh-CN"/>
          </w:rPr>
          <w:t>River</w:t>
        </w:r>
      </w:smartTag>
      <w:r w:rsidR="00FD623E" w:rsidRPr="003F3D74">
        <w:rPr>
          <w:rFonts w:ascii="Times" w:hAnsi="Times"/>
          <w:snapToGrid/>
          <w:sz w:val="22"/>
          <w:szCs w:val="22"/>
          <w:lang w:eastAsia="zh-CN"/>
        </w:rPr>
        <w:t xml:space="preserve"> distr</w:t>
      </w:r>
      <w:r w:rsidR="00FD623E">
        <w:rPr>
          <w:rFonts w:ascii="Times" w:hAnsi="Times"/>
          <w:snapToGrid/>
          <w:sz w:val="22"/>
          <w:szCs w:val="22"/>
          <w:lang w:eastAsia="zh-CN"/>
        </w:rPr>
        <w:t>ic</w:t>
      </w:r>
      <w:r w:rsidR="00D63DFF">
        <w:rPr>
          <w:rFonts w:ascii="Times" w:hAnsi="Times"/>
          <w:snapToGrid/>
          <w:sz w:val="22"/>
          <w:szCs w:val="22"/>
          <w:lang w:eastAsia="zh-CN"/>
        </w:rPr>
        <w:t xml:space="preserve">t of northwestern </w:t>
      </w:r>
      <w:smartTag w:uri="urn:schemas-microsoft-com:office:smarttags" w:element="State">
        <w:smartTag w:uri="urn:schemas-microsoft-com:office:smarttags" w:element="place">
          <w:r w:rsidR="00D63DFF">
            <w:rPr>
              <w:rFonts w:ascii="Times" w:hAnsi="Times"/>
              <w:snapToGrid/>
              <w:sz w:val="22"/>
              <w:szCs w:val="22"/>
              <w:lang w:eastAsia="zh-CN"/>
            </w:rPr>
            <w:t>Ontario</w:t>
          </w:r>
        </w:smartTag>
      </w:smartTag>
      <w:r w:rsidR="00D63DFF">
        <w:rPr>
          <w:rFonts w:ascii="Times" w:hAnsi="Times"/>
          <w:snapToGrid/>
          <w:sz w:val="22"/>
          <w:szCs w:val="22"/>
          <w:lang w:eastAsia="zh-CN"/>
        </w:rPr>
        <w:t xml:space="preserve">. The </w:t>
      </w:r>
      <w:r w:rsidR="002702E9">
        <w:rPr>
          <w:rFonts w:ascii="Times" w:hAnsi="Times"/>
          <w:snapToGrid/>
          <w:sz w:val="22"/>
          <w:szCs w:val="22"/>
          <w:lang w:eastAsia="zh-CN"/>
        </w:rPr>
        <w:t>C</w:t>
      </w:r>
      <w:r w:rsidR="00FD623E">
        <w:rPr>
          <w:rFonts w:ascii="Times" w:hAnsi="Times"/>
          <w:snapToGrid/>
          <w:sz w:val="22"/>
          <w:szCs w:val="22"/>
          <w:lang w:eastAsia="zh-CN"/>
        </w:rPr>
        <w:t>ompany’s</w:t>
      </w:r>
      <w:r w:rsidR="00FD623E" w:rsidRPr="003F3D74">
        <w:rPr>
          <w:rFonts w:ascii="Times" w:hAnsi="Times"/>
          <w:snapToGrid/>
          <w:sz w:val="22"/>
          <w:szCs w:val="22"/>
          <w:lang w:eastAsia="zh-CN"/>
        </w:rPr>
        <w:t xml:space="preserve"> </w:t>
      </w:r>
      <w:r w:rsidR="001D725F">
        <w:rPr>
          <w:rFonts w:ascii="Times" w:hAnsi="Times"/>
          <w:snapToGrid/>
          <w:sz w:val="22"/>
          <w:szCs w:val="22"/>
          <w:lang w:eastAsia="zh-CN"/>
        </w:rPr>
        <w:t xml:space="preserve">current </w:t>
      </w:r>
      <w:r w:rsidR="00FD623E" w:rsidRPr="003F3D74">
        <w:rPr>
          <w:rFonts w:ascii="Times" w:hAnsi="Times"/>
          <w:snapToGrid/>
          <w:sz w:val="22"/>
          <w:szCs w:val="22"/>
          <w:lang w:eastAsia="zh-CN"/>
        </w:rPr>
        <w:t>objective is to maximize shareholder value</w:t>
      </w:r>
      <w:r w:rsidR="00FD623E">
        <w:rPr>
          <w:rFonts w:ascii="Times" w:hAnsi="Times"/>
          <w:snapToGrid/>
          <w:sz w:val="22"/>
          <w:szCs w:val="22"/>
          <w:lang w:eastAsia="zh-CN"/>
        </w:rPr>
        <w:t xml:space="preserve"> by exploring and developing its </w:t>
      </w:r>
      <w:r w:rsidR="00FD623E" w:rsidRPr="003F3D74">
        <w:rPr>
          <w:rFonts w:ascii="Times" w:hAnsi="Times"/>
          <w:snapToGrid/>
          <w:sz w:val="22"/>
          <w:szCs w:val="22"/>
          <w:lang w:eastAsia="zh-CN"/>
        </w:rPr>
        <w:t>Pa</w:t>
      </w:r>
      <w:r w:rsidR="00FD623E">
        <w:rPr>
          <w:rFonts w:ascii="Times" w:hAnsi="Times"/>
          <w:snapToGrid/>
          <w:sz w:val="22"/>
          <w:szCs w:val="22"/>
          <w:lang w:eastAsia="zh-CN"/>
        </w:rPr>
        <w:t>t</w:t>
      </w:r>
      <w:r w:rsidR="00FD623E" w:rsidRPr="003F3D74">
        <w:rPr>
          <w:rFonts w:ascii="Times" w:hAnsi="Times"/>
          <w:snapToGrid/>
          <w:sz w:val="22"/>
          <w:szCs w:val="22"/>
          <w:lang w:eastAsia="zh-CN"/>
        </w:rPr>
        <w:t>tullo mineral project in a cost effective and technically sound manner</w:t>
      </w:r>
      <w:r w:rsidR="00FD623E" w:rsidRPr="00467377">
        <w:rPr>
          <w:rFonts w:ascii="Times" w:hAnsi="Times"/>
          <w:snapToGrid/>
          <w:sz w:val="22"/>
          <w:szCs w:val="22"/>
          <w:lang w:eastAsia="zh-CN"/>
        </w:rPr>
        <w:t>.</w:t>
      </w:r>
    </w:p>
    <w:p w:rsidR="004979FE" w:rsidRDefault="004979FE" w:rsidP="004979FE">
      <w:pPr>
        <w:widowControl/>
        <w:ind w:left="540"/>
        <w:jc w:val="both"/>
        <w:rPr>
          <w:rFonts w:ascii="Times" w:hAnsi="Times"/>
          <w:snapToGrid/>
          <w:sz w:val="22"/>
          <w:szCs w:val="22"/>
          <w:lang w:eastAsia="zh-CN"/>
        </w:rPr>
      </w:pPr>
    </w:p>
    <w:p w:rsidR="00FD623E" w:rsidRPr="004979FE" w:rsidRDefault="004979FE" w:rsidP="004979FE">
      <w:pPr>
        <w:widowControl/>
        <w:ind w:left="540"/>
        <w:rPr>
          <w:rFonts w:ascii="Times" w:hAnsi="Times"/>
          <w:snapToGrid/>
          <w:sz w:val="22"/>
          <w:szCs w:val="22"/>
          <w:lang w:eastAsia="zh-CN"/>
        </w:rPr>
      </w:pPr>
      <w:r w:rsidRPr="004979FE">
        <w:rPr>
          <w:rFonts w:ascii="Times" w:hAnsi="Times" w:cs="Times"/>
          <w:snapToGrid/>
          <w:sz w:val="22"/>
          <w:szCs w:val="22"/>
          <w:lang w:eastAsia="en-CA"/>
        </w:rPr>
        <w:t>The Company’s head office is located at</w:t>
      </w:r>
      <w:r>
        <w:rPr>
          <w:rFonts w:ascii="Times" w:hAnsi="Times" w:cs="Times"/>
          <w:snapToGrid/>
          <w:sz w:val="22"/>
          <w:szCs w:val="22"/>
          <w:lang w:eastAsia="en-CA"/>
        </w:rPr>
        <w:t xml:space="preserve"> Suite </w:t>
      </w:r>
      <w:r w:rsidRPr="004979FE">
        <w:rPr>
          <w:rFonts w:ascii="Times" w:hAnsi="Times" w:cs="Times"/>
          <w:snapToGrid/>
          <w:sz w:val="22"/>
          <w:szCs w:val="22"/>
          <w:lang w:eastAsia="en-CA"/>
        </w:rPr>
        <w:t>304 - 68 Water Street, Vancouver, BC, V6B 1A4, and the Company’s registered and records office is located at Suite 600, 1090 West</w:t>
      </w:r>
      <w:r w:rsidRPr="004979FE">
        <w:rPr>
          <w:rFonts w:ascii="Times" w:hAnsi="Times" w:cs="Times"/>
          <w:snapToGrid/>
          <w:sz w:val="22"/>
          <w:szCs w:val="22"/>
          <w:lang w:eastAsia="zh-CN"/>
        </w:rPr>
        <w:t xml:space="preserve"> </w:t>
      </w:r>
      <w:r w:rsidRPr="004979FE">
        <w:rPr>
          <w:rFonts w:ascii="Times" w:hAnsi="Times" w:cs="Times"/>
          <w:snapToGrid/>
          <w:sz w:val="22"/>
          <w:szCs w:val="22"/>
          <w:lang w:eastAsia="en-CA"/>
        </w:rPr>
        <w:t>Georgia Street, Vancouver, BC, V6E 3V7.</w:t>
      </w:r>
      <w:r w:rsidR="00FD623E" w:rsidRPr="004979FE">
        <w:rPr>
          <w:rFonts w:ascii="Times" w:hAnsi="Times" w:cs="Times"/>
          <w:snapToGrid/>
          <w:sz w:val="22"/>
          <w:szCs w:val="22"/>
          <w:lang w:eastAsia="zh-CN"/>
        </w:rPr>
        <w:t> </w:t>
      </w:r>
      <w:r w:rsidRPr="004979FE">
        <w:rPr>
          <w:rFonts w:ascii="Times" w:hAnsi="Times" w:cs="Times"/>
          <w:snapToGrid/>
          <w:sz w:val="22"/>
          <w:szCs w:val="22"/>
          <w:lang w:eastAsia="zh-CN"/>
        </w:rPr>
        <w:br/>
      </w:r>
    </w:p>
    <w:p w:rsidR="004979FE" w:rsidRDefault="00FD623E" w:rsidP="004979FE">
      <w:pPr>
        <w:tabs>
          <w:tab w:val="left" w:pos="10065"/>
        </w:tabs>
        <w:ind w:left="540"/>
        <w:jc w:val="both"/>
        <w:rPr>
          <w:rFonts w:ascii="Times" w:hAnsi="Times"/>
          <w:sz w:val="22"/>
          <w:szCs w:val="22"/>
          <w:lang w:val="en-GB"/>
        </w:rPr>
      </w:pPr>
      <w:r w:rsidRPr="004B7D2B">
        <w:rPr>
          <w:rFonts w:ascii="Times" w:hAnsi="Times"/>
          <w:sz w:val="22"/>
          <w:szCs w:val="22"/>
          <w:lang w:eastAsia="zh-CN"/>
        </w:rPr>
        <w:t xml:space="preserve">The Company’s </w:t>
      </w:r>
      <w:r w:rsidR="006D0062">
        <w:rPr>
          <w:rFonts w:ascii="Times" w:hAnsi="Times"/>
          <w:sz w:val="22"/>
          <w:szCs w:val="22"/>
          <w:lang w:eastAsia="zh-CN"/>
        </w:rPr>
        <w:t>condensed</w:t>
      </w:r>
      <w:r w:rsidR="00D33002">
        <w:rPr>
          <w:rFonts w:ascii="Times" w:hAnsi="Times"/>
          <w:sz w:val="22"/>
          <w:szCs w:val="22"/>
          <w:lang w:eastAsia="zh-CN"/>
        </w:rPr>
        <w:t xml:space="preserve"> interim</w:t>
      </w:r>
      <w:r w:rsidR="006D0062">
        <w:rPr>
          <w:rFonts w:ascii="Times" w:hAnsi="Times"/>
          <w:sz w:val="22"/>
          <w:szCs w:val="22"/>
          <w:lang w:eastAsia="zh-CN"/>
        </w:rPr>
        <w:t xml:space="preserve"> </w:t>
      </w:r>
      <w:r w:rsidRPr="004B7D2B">
        <w:rPr>
          <w:rFonts w:ascii="Times" w:hAnsi="Times"/>
          <w:sz w:val="22"/>
          <w:szCs w:val="22"/>
          <w:lang w:eastAsia="zh-CN"/>
        </w:rPr>
        <w:t xml:space="preserve">financial statements </w:t>
      </w:r>
      <w:r>
        <w:rPr>
          <w:rFonts w:ascii="Times" w:hAnsi="Times"/>
          <w:sz w:val="22"/>
          <w:szCs w:val="22"/>
          <w:lang w:eastAsia="zh-CN"/>
        </w:rPr>
        <w:t xml:space="preserve">for the </w:t>
      </w:r>
      <w:r w:rsidR="00B37D8D">
        <w:rPr>
          <w:rFonts w:ascii="Times" w:hAnsi="Times"/>
          <w:sz w:val="22"/>
          <w:szCs w:val="22"/>
          <w:lang w:eastAsia="zh-CN"/>
        </w:rPr>
        <w:t xml:space="preserve">three </w:t>
      </w:r>
      <w:r w:rsidR="004926A3">
        <w:rPr>
          <w:rFonts w:ascii="Times" w:hAnsi="Times"/>
          <w:sz w:val="22"/>
          <w:szCs w:val="22"/>
          <w:lang w:eastAsia="zh-CN"/>
        </w:rPr>
        <w:t>month period ended 30</w:t>
      </w:r>
      <w:r w:rsidR="00D47F31">
        <w:rPr>
          <w:rFonts w:ascii="Times" w:hAnsi="Times"/>
          <w:sz w:val="22"/>
          <w:szCs w:val="22"/>
          <w:lang w:eastAsia="zh-CN"/>
        </w:rPr>
        <w:t xml:space="preserve"> April 2015</w:t>
      </w:r>
      <w:r w:rsidR="004926A3">
        <w:rPr>
          <w:rFonts w:ascii="Times" w:hAnsi="Times"/>
          <w:sz w:val="22"/>
          <w:szCs w:val="22"/>
          <w:lang w:eastAsia="zh-CN"/>
        </w:rPr>
        <w:t xml:space="preserve"> </w:t>
      </w:r>
      <w:r w:rsidR="00D01897">
        <w:rPr>
          <w:rFonts w:ascii="Times" w:hAnsi="Times"/>
          <w:sz w:val="22"/>
          <w:szCs w:val="22"/>
          <w:lang w:eastAsia="zh-CN"/>
        </w:rPr>
        <w:t xml:space="preserve">and </w:t>
      </w:r>
      <w:r w:rsidR="00766AEA">
        <w:rPr>
          <w:rFonts w:ascii="Times" w:hAnsi="Times"/>
          <w:sz w:val="22"/>
          <w:szCs w:val="22"/>
          <w:lang w:eastAsia="zh-CN"/>
        </w:rPr>
        <w:t>for the year</w:t>
      </w:r>
      <w:r>
        <w:rPr>
          <w:rFonts w:ascii="Times" w:hAnsi="Times"/>
          <w:sz w:val="22"/>
          <w:szCs w:val="22"/>
          <w:lang w:eastAsia="zh-CN"/>
        </w:rPr>
        <w:t xml:space="preserve"> ended</w:t>
      </w:r>
      <w:r w:rsidR="00D63DFF">
        <w:rPr>
          <w:rFonts w:ascii="Times" w:hAnsi="Times"/>
          <w:sz w:val="22"/>
          <w:szCs w:val="22"/>
          <w:lang w:eastAsia="zh-CN"/>
        </w:rPr>
        <w:t xml:space="preserve"> </w:t>
      </w:r>
      <w:r w:rsidR="004926A3">
        <w:rPr>
          <w:rFonts w:ascii="Times" w:hAnsi="Times"/>
          <w:sz w:val="22"/>
          <w:szCs w:val="22"/>
          <w:lang w:eastAsia="zh-CN"/>
        </w:rPr>
        <w:t>30 January</w:t>
      </w:r>
      <w:r w:rsidR="00603F8D">
        <w:rPr>
          <w:rFonts w:ascii="Times" w:hAnsi="Times"/>
          <w:sz w:val="22"/>
          <w:szCs w:val="22"/>
          <w:lang w:eastAsia="zh-CN"/>
        </w:rPr>
        <w:t xml:space="preserve"> </w:t>
      </w:r>
      <w:r w:rsidRPr="004B7D2B">
        <w:rPr>
          <w:rFonts w:ascii="Times" w:hAnsi="Times"/>
          <w:sz w:val="22"/>
          <w:szCs w:val="22"/>
          <w:lang w:eastAsia="zh-CN"/>
        </w:rPr>
        <w:t xml:space="preserve">have been prepared on a going concern basis, which contemplates the realization of assets and the settlement of liabilities and commitments in the normal course of business. </w:t>
      </w:r>
      <w:r w:rsidRPr="004B7D2B">
        <w:rPr>
          <w:rFonts w:ascii="Times" w:hAnsi="Times"/>
          <w:sz w:val="22"/>
          <w:szCs w:val="22"/>
          <w:lang w:val="en-GB"/>
        </w:rPr>
        <w:t>The continuing operations of the Company are</w:t>
      </w:r>
      <w:r>
        <w:rPr>
          <w:rFonts w:ascii="Times" w:hAnsi="Times"/>
          <w:sz w:val="22"/>
          <w:szCs w:val="22"/>
          <w:lang w:val="en-GB"/>
        </w:rPr>
        <w:t xml:space="preserve"> dependent upon </w:t>
      </w:r>
      <w:r w:rsidRPr="0033447C">
        <w:rPr>
          <w:rFonts w:ascii="Times" w:hAnsi="Times"/>
          <w:sz w:val="22"/>
          <w:szCs w:val="22"/>
          <w:lang w:val="en-GB"/>
        </w:rPr>
        <w:t>the Company being able to satisfy its liabilities as</w:t>
      </w:r>
      <w:r>
        <w:rPr>
          <w:rFonts w:ascii="Times" w:hAnsi="Times"/>
          <w:sz w:val="22"/>
          <w:szCs w:val="22"/>
          <w:lang w:val="en-GB"/>
        </w:rPr>
        <w:t xml:space="preserve"> they </w:t>
      </w:r>
      <w:r w:rsidRPr="0033447C">
        <w:rPr>
          <w:rFonts w:ascii="Times" w:hAnsi="Times"/>
          <w:sz w:val="22"/>
          <w:szCs w:val="22"/>
          <w:lang w:val="en-GB"/>
        </w:rPr>
        <w:t>become due and to obtain the necessary financing to acquire, explore and develop its mineral</w:t>
      </w:r>
      <w:r>
        <w:rPr>
          <w:rFonts w:ascii="Times" w:hAnsi="Times"/>
          <w:sz w:val="22"/>
          <w:szCs w:val="22"/>
          <w:lang w:val="en-GB"/>
        </w:rPr>
        <w:t xml:space="preserve"> </w:t>
      </w:r>
      <w:r w:rsidRPr="0033447C">
        <w:rPr>
          <w:rFonts w:ascii="Times" w:hAnsi="Times"/>
          <w:sz w:val="22"/>
          <w:szCs w:val="22"/>
          <w:lang w:val="en-GB"/>
        </w:rPr>
        <w:t>property interests, the attainment of profitable mining operations or the receipt of proceeds from</w:t>
      </w:r>
      <w:r>
        <w:rPr>
          <w:rFonts w:ascii="Times" w:hAnsi="Times"/>
          <w:sz w:val="22"/>
          <w:szCs w:val="22"/>
          <w:lang w:val="en-GB"/>
        </w:rPr>
        <w:t xml:space="preserve"> the disposition </w:t>
      </w:r>
      <w:r w:rsidRPr="0033447C">
        <w:rPr>
          <w:rFonts w:ascii="Times" w:hAnsi="Times"/>
          <w:sz w:val="22"/>
          <w:szCs w:val="22"/>
          <w:lang w:val="en-GB"/>
        </w:rPr>
        <w:t>thereof.</w:t>
      </w:r>
      <w:r w:rsidRPr="004B7D2B">
        <w:rPr>
          <w:rFonts w:ascii="Times" w:hAnsi="Times"/>
          <w:sz w:val="22"/>
          <w:szCs w:val="22"/>
          <w:lang w:eastAsia="zh-CN"/>
        </w:rPr>
        <w:t xml:space="preserve"> The Company had a</w:t>
      </w:r>
      <w:r>
        <w:rPr>
          <w:rFonts w:ascii="Times" w:hAnsi="Times"/>
          <w:sz w:val="22"/>
          <w:szCs w:val="22"/>
          <w:lang w:eastAsia="zh-CN"/>
        </w:rPr>
        <w:t xml:space="preserve"> net </w:t>
      </w:r>
      <w:r w:rsidRPr="004B7D2B">
        <w:rPr>
          <w:rFonts w:ascii="Times" w:hAnsi="Times"/>
          <w:sz w:val="22"/>
          <w:szCs w:val="22"/>
          <w:lang w:eastAsia="zh-CN"/>
        </w:rPr>
        <w:t>loss of $</w:t>
      </w:r>
      <w:r w:rsidR="00BE0221" w:rsidRPr="00BE0221">
        <w:rPr>
          <w:bCs/>
          <w:sz w:val="22"/>
          <w:szCs w:val="22"/>
          <w:lang w:val="en-GB"/>
        </w:rPr>
        <w:t>46</w:t>
      </w:r>
      <w:r w:rsidR="00BE0221">
        <w:rPr>
          <w:bCs/>
          <w:sz w:val="22"/>
          <w:szCs w:val="22"/>
          <w:lang w:val="en-GB"/>
        </w:rPr>
        <w:t>,449</w:t>
      </w:r>
      <w:r w:rsidR="00903E5E">
        <w:rPr>
          <w:bCs/>
          <w:sz w:val="22"/>
          <w:szCs w:val="22"/>
          <w:lang w:val="en-GB"/>
        </w:rPr>
        <w:t xml:space="preserve"> </w:t>
      </w:r>
      <w:r w:rsidRPr="004B7D2B">
        <w:rPr>
          <w:rFonts w:ascii="Times" w:hAnsi="Times"/>
          <w:sz w:val="22"/>
          <w:szCs w:val="22"/>
          <w:lang w:eastAsia="zh-CN"/>
        </w:rPr>
        <w:t xml:space="preserve">for the </w:t>
      </w:r>
      <w:r w:rsidR="00903E5E">
        <w:rPr>
          <w:rFonts w:ascii="Times" w:hAnsi="Times"/>
          <w:sz w:val="22"/>
          <w:szCs w:val="22"/>
          <w:lang w:eastAsia="zh-CN"/>
        </w:rPr>
        <w:t>three</w:t>
      </w:r>
      <w:r w:rsidR="006A7991">
        <w:rPr>
          <w:rFonts w:ascii="Times" w:hAnsi="Times"/>
          <w:sz w:val="22"/>
          <w:szCs w:val="22"/>
          <w:lang w:eastAsia="zh-CN"/>
        </w:rPr>
        <w:t xml:space="preserve"> month period</w:t>
      </w:r>
      <w:r>
        <w:rPr>
          <w:rFonts w:ascii="Times" w:hAnsi="Times"/>
          <w:sz w:val="22"/>
          <w:szCs w:val="22"/>
          <w:lang w:eastAsia="zh-CN"/>
        </w:rPr>
        <w:t xml:space="preserve"> ended </w:t>
      </w:r>
      <w:r w:rsidR="00903E5E">
        <w:rPr>
          <w:rFonts w:ascii="Times" w:hAnsi="Times"/>
          <w:sz w:val="22"/>
          <w:szCs w:val="22"/>
          <w:lang w:eastAsia="zh-CN"/>
        </w:rPr>
        <w:t>30</w:t>
      </w:r>
      <w:r w:rsidR="00D01897">
        <w:rPr>
          <w:rFonts w:ascii="Times" w:hAnsi="Times"/>
          <w:sz w:val="22"/>
          <w:szCs w:val="22"/>
          <w:lang w:eastAsia="zh-CN"/>
        </w:rPr>
        <w:t xml:space="preserve"> </w:t>
      </w:r>
      <w:r w:rsidR="00903E5E">
        <w:rPr>
          <w:rFonts w:ascii="Times" w:hAnsi="Times"/>
          <w:sz w:val="22"/>
          <w:szCs w:val="22"/>
          <w:lang w:eastAsia="zh-CN"/>
        </w:rPr>
        <w:t>April</w:t>
      </w:r>
      <w:r w:rsidR="00C11BAB">
        <w:rPr>
          <w:rFonts w:ascii="Times" w:hAnsi="Times"/>
          <w:sz w:val="22"/>
          <w:szCs w:val="22"/>
          <w:lang w:eastAsia="zh-CN"/>
        </w:rPr>
        <w:t xml:space="preserve"> </w:t>
      </w:r>
      <w:r w:rsidR="00D47F31">
        <w:rPr>
          <w:rFonts w:ascii="Times" w:hAnsi="Times"/>
          <w:sz w:val="22"/>
          <w:szCs w:val="22"/>
          <w:lang w:eastAsia="zh-CN"/>
        </w:rPr>
        <w:t>2015</w:t>
      </w:r>
      <w:r w:rsidR="00CD6589">
        <w:rPr>
          <w:rFonts w:ascii="Times" w:hAnsi="Times"/>
          <w:sz w:val="22"/>
          <w:szCs w:val="22"/>
          <w:lang w:eastAsia="zh-CN"/>
        </w:rPr>
        <w:t xml:space="preserve"> </w:t>
      </w:r>
      <w:r w:rsidR="00CD6589">
        <w:rPr>
          <w:rFonts w:ascii="Times" w:hAnsi="Times"/>
          <w:bCs/>
          <w:sz w:val="22"/>
          <w:szCs w:val="22"/>
        </w:rPr>
        <w:t>(</w:t>
      </w:r>
      <w:r w:rsidR="006D0062">
        <w:rPr>
          <w:rFonts w:ascii="Times" w:hAnsi="Times"/>
          <w:bCs/>
          <w:sz w:val="22"/>
          <w:szCs w:val="22"/>
        </w:rPr>
        <w:t>201</w:t>
      </w:r>
      <w:r w:rsidR="00D47F31">
        <w:rPr>
          <w:rFonts w:ascii="Times" w:hAnsi="Times"/>
          <w:bCs/>
          <w:sz w:val="22"/>
          <w:szCs w:val="22"/>
        </w:rPr>
        <w:t>4</w:t>
      </w:r>
      <w:r w:rsidR="006A7991">
        <w:rPr>
          <w:rFonts w:ascii="Times" w:hAnsi="Times"/>
          <w:bCs/>
          <w:sz w:val="22"/>
          <w:szCs w:val="22"/>
        </w:rPr>
        <w:t xml:space="preserve"> </w:t>
      </w:r>
      <w:r w:rsidR="00CD6589">
        <w:rPr>
          <w:rFonts w:ascii="Times" w:hAnsi="Times"/>
          <w:bCs/>
          <w:sz w:val="22"/>
          <w:szCs w:val="22"/>
        </w:rPr>
        <w:t>-</w:t>
      </w:r>
      <w:r w:rsidR="006A7991">
        <w:rPr>
          <w:rFonts w:ascii="Times" w:hAnsi="Times"/>
          <w:bCs/>
          <w:sz w:val="22"/>
          <w:szCs w:val="22"/>
        </w:rPr>
        <w:t xml:space="preserve"> </w:t>
      </w:r>
      <w:r w:rsidR="006A7991" w:rsidRPr="004B7D2B">
        <w:rPr>
          <w:rFonts w:ascii="Times" w:hAnsi="Times"/>
          <w:sz w:val="22"/>
          <w:szCs w:val="22"/>
          <w:lang w:eastAsia="zh-CN"/>
        </w:rPr>
        <w:t>$</w:t>
      </w:r>
      <w:r w:rsidR="00D47F31">
        <w:rPr>
          <w:bCs/>
          <w:sz w:val="22"/>
          <w:szCs w:val="22"/>
          <w:lang w:val="en-GB"/>
        </w:rPr>
        <w:t>31,851</w:t>
      </w:r>
      <w:r w:rsidR="00CD6589">
        <w:rPr>
          <w:rFonts w:ascii="Times" w:hAnsi="Times"/>
          <w:bCs/>
          <w:sz w:val="22"/>
          <w:szCs w:val="22"/>
        </w:rPr>
        <w:t xml:space="preserve">) </w:t>
      </w:r>
      <w:r w:rsidR="009C674A">
        <w:rPr>
          <w:rFonts w:ascii="Times" w:hAnsi="Times"/>
          <w:sz w:val="22"/>
          <w:szCs w:val="22"/>
          <w:lang w:eastAsia="zh-CN"/>
        </w:rPr>
        <w:t xml:space="preserve">and had working </w:t>
      </w:r>
      <w:r w:rsidR="009C674A" w:rsidRPr="00CC4E43">
        <w:rPr>
          <w:rFonts w:ascii="Times" w:hAnsi="Times"/>
          <w:sz w:val="22"/>
          <w:szCs w:val="22"/>
          <w:lang w:eastAsia="zh-CN"/>
        </w:rPr>
        <w:t>capital</w:t>
      </w:r>
      <w:r w:rsidRPr="00CC4E43">
        <w:rPr>
          <w:rFonts w:ascii="Times" w:hAnsi="Times"/>
          <w:sz w:val="22"/>
          <w:szCs w:val="22"/>
          <w:lang w:eastAsia="zh-CN"/>
        </w:rPr>
        <w:t xml:space="preserve"> </w:t>
      </w:r>
      <w:r w:rsidR="00254498">
        <w:rPr>
          <w:rFonts w:ascii="Times" w:hAnsi="Times"/>
          <w:sz w:val="22"/>
          <w:szCs w:val="22"/>
          <w:lang w:eastAsia="zh-CN"/>
        </w:rPr>
        <w:t xml:space="preserve">deficiency </w:t>
      </w:r>
      <w:r w:rsidRPr="00CC4E43">
        <w:rPr>
          <w:rFonts w:ascii="Times" w:hAnsi="Times"/>
          <w:sz w:val="22"/>
          <w:szCs w:val="22"/>
          <w:lang w:eastAsia="zh-CN"/>
        </w:rPr>
        <w:t>of $</w:t>
      </w:r>
      <w:r w:rsidR="00254498">
        <w:rPr>
          <w:rFonts w:ascii="Times" w:hAnsi="Times"/>
          <w:sz w:val="22"/>
          <w:szCs w:val="22"/>
          <w:lang w:eastAsia="zh-CN"/>
        </w:rPr>
        <w:t>25,898</w:t>
      </w:r>
      <w:r w:rsidRPr="00CC4E43">
        <w:rPr>
          <w:rFonts w:ascii="Times" w:hAnsi="Times"/>
          <w:sz w:val="22"/>
          <w:szCs w:val="22"/>
          <w:lang w:eastAsia="zh-CN"/>
        </w:rPr>
        <w:t xml:space="preserve"> as at </w:t>
      </w:r>
      <w:r w:rsidR="00D01897">
        <w:rPr>
          <w:rFonts w:ascii="Times" w:hAnsi="Times"/>
          <w:sz w:val="22"/>
          <w:szCs w:val="22"/>
          <w:lang w:eastAsia="zh-CN"/>
        </w:rPr>
        <w:t>3</w:t>
      </w:r>
      <w:r w:rsidR="00903E5E">
        <w:rPr>
          <w:rFonts w:ascii="Times" w:hAnsi="Times"/>
          <w:sz w:val="22"/>
          <w:szCs w:val="22"/>
          <w:lang w:eastAsia="zh-CN"/>
        </w:rPr>
        <w:t>0 April</w:t>
      </w:r>
      <w:r w:rsidR="00AF6042">
        <w:rPr>
          <w:rFonts w:ascii="Times" w:hAnsi="Times"/>
          <w:sz w:val="22"/>
          <w:szCs w:val="22"/>
          <w:lang w:eastAsia="zh-CN"/>
        </w:rPr>
        <w:t xml:space="preserve"> </w:t>
      </w:r>
      <w:r w:rsidR="00D47F31">
        <w:rPr>
          <w:rFonts w:ascii="Times" w:hAnsi="Times"/>
          <w:sz w:val="22"/>
          <w:szCs w:val="22"/>
          <w:lang w:eastAsia="zh-CN"/>
        </w:rPr>
        <w:t>2015</w:t>
      </w:r>
      <w:r w:rsidR="00D63DFF" w:rsidRPr="002228C6">
        <w:rPr>
          <w:rFonts w:ascii="Times" w:hAnsi="Times"/>
          <w:sz w:val="22"/>
          <w:szCs w:val="22"/>
          <w:lang w:eastAsia="zh-CN"/>
        </w:rPr>
        <w:t xml:space="preserve"> (</w:t>
      </w:r>
      <w:r w:rsidR="006A7991">
        <w:rPr>
          <w:rFonts w:ascii="Times" w:hAnsi="Times"/>
          <w:bCs/>
          <w:sz w:val="22"/>
          <w:szCs w:val="22"/>
        </w:rPr>
        <w:t>31 January 201</w:t>
      </w:r>
      <w:r w:rsidR="00D47F31">
        <w:rPr>
          <w:rFonts w:ascii="Times" w:hAnsi="Times"/>
          <w:bCs/>
          <w:sz w:val="22"/>
          <w:szCs w:val="22"/>
        </w:rPr>
        <w:t>5</w:t>
      </w:r>
      <w:r w:rsidR="00D63DFF" w:rsidRPr="002228C6">
        <w:rPr>
          <w:rFonts w:ascii="Times" w:hAnsi="Times"/>
          <w:sz w:val="22"/>
          <w:szCs w:val="22"/>
          <w:lang w:eastAsia="zh-CN"/>
        </w:rPr>
        <w:t xml:space="preserve"> </w:t>
      </w:r>
      <w:r w:rsidR="00D47F31">
        <w:rPr>
          <w:rFonts w:ascii="Times" w:hAnsi="Times"/>
          <w:sz w:val="22"/>
          <w:szCs w:val="22"/>
          <w:lang w:eastAsia="zh-CN"/>
        </w:rPr>
        <w:t>–</w:t>
      </w:r>
      <w:r w:rsidR="00D63DFF" w:rsidRPr="002228C6">
        <w:rPr>
          <w:rFonts w:ascii="Times" w:hAnsi="Times"/>
          <w:sz w:val="22"/>
          <w:szCs w:val="22"/>
          <w:lang w:eastAsia="zh-CN"/>
        </w:rPr>
        <w:t xml:space="preserve"> </w:t>
      </w:r>
      <w:r w:rsidR="00D47F31">
        <w:rPr>
          <w:rFonts w:ascii="Times" w:hAnsi="Times"/>
          <w:sz w:val="22"/>
          <w:szCs w:val="22"/>
          <w:lang w:eastAsia="zh-CN"/>
        </w:rPr>
        <w:t>(</w:t>
      </w:r>
      <w:r w:rsidR="006A7991" w:rsidRPr="002228C6">
        <w:rPr>
          <w:rFonts w:ascii="Times" w:hAnsi="Times"/>
          <w:sz w:val="22"/>
          <w:szCs w:val="22"/>
          <w:lang w:eastAsia="zh-CN"/>
        </w:rPr>
        <w:t>$</w:t>
      </w:r>
      <w:r w:rsidR="007618C2">
        <w:rPr>
          <w:rFonts w:ascii="Times" w:hAnsi="Times"/>
          <w:sz w:val="22"/>
          <w:szCs w:val="22"/>
          <w:lang w:eastAsia="zh-CN"/>
        </w:rPr>
        <w:t>20,551</w:t>
      </w:r>
      <w:r w:rsidR="00D63DFF" w:rsidRPr="002228C6">
        <w:rPr>
          <w:rFonts w:ascii="Times" w:hAnsi="Times"/>
          <w:sz w:val="22"/>
          <w:szCs w:val="22"/>
          <w:lang w:eastAsia="zh-CN"/>
        </w:rPr>
        <w:t>)</w:t>
      </w:r>
      <w:r w:rsidRPr="002228C6">
        <w:rPr>
          <w:rFonts w:ascii="Times" w:hAnsi="Times"/>
          <w:sz w:val="22"/>
          <w:szCs w:val="22"/>
          <w:lang w:eastAsia="zh-CN"/>
        </w:rPr>
        <w:t>.</w:t>
      </w:r>
    </w:p>
    <w:p w:rsidR="004979FE" w:rsidRDefault="004979FE" w:rsidP="004979FE">
      <w:pPr>
        <w:tabs>
          <w:tab w:val="left" w:pos="10065"/>
        </w:tabs>
        <w:ind w:left="540"/>
        <w:jc w:val="both"/>
        <w:rPr>
          <w:rFonts w:ascii="Times" w:hAnsi="Times"/>
          <w:sz w:val="22"/>
          <w:szCs w:val="22"/>
          <w:lang w:val="en-GB"/>
        </w:rPr>
      </w:pPr>
    </w:p>
    <w:p w:rsidR="004979FE" w:rsidRPr="004979FE" w:rsidRDefault="00FD623E" w:rsidP="004979FE">
      <w:pPr>
        <w:tabs>
          <w:tab w:val="left" w:pos="10065"/>
        </w:tabs>
        <w:ind w:left="540"/>
        <w:jc w:val="both"/>
        <w:rPr>
          <w:snapToGrid/>
          <w:sz w:val="22"/>
          <w:szCs w:val="22"/>
          <w:lang w:eastAsia="zh-CN"/>
        </w:rPr>
      </w:pPr>
      <w:r w:rsidRPr="004979FE">
        <w:rPr>
          <w:snapToGrid/>
          <w:sz w:val="22"/>
          <w:szCs w:val="22"/>
          <w:lang w:eastAsia="zh-CN"/>
        </w:rPr>
        <w:t>The Compa</w:t>
      </w:r>
      <w:r w:rsidR="009C674A" w:rsidRPr="004979FE">
        <w:rPr>
          <w:snapToGrid/>
          <w:sz w:val="22"/>
          <w:szCs w:val="22"/>
          <w:lang w:eastAsia="zh-CN"/>
        </w:rPr>
        <w:t>ny had cash</w:t>
      </w:r>
      <w:r w:rsidRPr="004979FE">
        <w:rPr>
          <w:snapToGrid/>
          <w:sz w:val="22"/>
          <w:szCs w:val="22"/>
          <w:lang w:eastAsia="zh-CN"/>
        </w:rPr>
        <w:t xml:space="preserve"> </w:t>
      </w:r>
      <w:r w:rsidR="006D0062" w:rsidRPr="004979FE">
        <w:rPr>
          <w:snapToGrid/>
          <w:sz w:val="22"/>
          <w:szCs w:val="22"/>
          <w:lang w:eastAsia="zh-CN"/>
        </w:rPr>
        <w:t xml:space="preserve">and cash equivalents </w:t>
      </w:r>
      <w:r w:rsidRPr="004979FE">
        <w:rPr>
          <w:sz w:val="22"/>
          <w:szCs w:val="22"/>
          <w:lang w:eastAsia="zh-CN"/>
        </w:rPr>
        <w:t>of $</w:t>
      </w:r>
      <w:r w:rsidR="00254498" w:rsidRPr="004979FE">
        <w:rPr>
          <w:sz w:val="22"/>
          <w:szCs w:val="22"/>
          <w:lang w:eastAsia="zh-CN"/>
        </w:rPr>
        <w:t>2</w:t>
      </w:r>
      <w:r w:rsidR="004926A3" w:rsidRPr="004979FE">
        <w:rPr>
          <w:sz w:val="22"/>
          <w:szCs w:val="22"/>
          <w:lang w:eastAsia="zh-CN"/>
        </w:rPr>
        <w:t>,</w:t>
      </w:r>
      <w:r w:rsidR="00254498" w:rsidRPr="004979FE">
        <w:rPr>
          <w:sz w:val="22"/>
          <w:szCs w:val="22"/>
          <w:lang w:eastAsia="zh-CN"/>
        </w:rPr>
        <w:t>553</w:t>
      </w:r>
      <w:r w:rsidRPr="004979FE">
        <w:rPr>
          <w:sz w:val="22"/>
          <w:szCs w:val="22"/>
          <w:lang w:eastAsia="zh-CN"/>
        </w:rPr>
        <w:t xml:space="preserve"> at</w:t>
      </w:r>
      <w:r w:rsidR="00D63DFF" w:rsidRPr="004979FE">
        <w:rPr>
          <w:sz w:val="22"/>
          <w:szCs w:val="22"/>
          <w:lang w:eastAsia="zh-CN"/>
        </w:rPr>
        <w:t xml:space="preserve"> </w:t>
      </w:r>
      <w:r w:rsidR="004926A3" w:rsidRPr="004979FE">
        <w:rPr>
          <w:sz w:val="22"/>
          <w:szCs w:val="22"/>
          <w:lang w:eastAsia="zh-CN"/>
        </w:rPr>
        <w:t>30</w:t>
      </w:r>
      <w:r w:rsidR="00D01897" w:rsidRPr="004979FE">
        <w:rPr>
          <w:sz w:val="22"/>
          <w:szCs w:val="22"/>
          <w:lang w:eastAsia="zh-CN"/>
        </w:rPr>
        <w:t xml:space="preserve"> </w:t>
      </w:r>
      <w:r w:rsidR="004926A3" w:rsidRPr="004979FE">
        <w:rPr>
          <w:sz w:val="22"/>
          <w:szCs w:val="22"/>
          <w:lang w:eastAsia="zh-CN"/>
        </w:rPr>
        <w:t>April</w:t>
      </w:r>
      <w:r w:rsidR="00D01897" w:rsidRPr="004979FE">
        <w:rPr>
          <w:sz w:val="22"/>
          <w:szCs w:val="22"/>
          <w:lang w:eastAsia="zh-CN"/>
        </w:rPr>
        <w:t xml:space="preserve"> </w:t>
      </w:r>
      <w:r w:rsidR="00E357E8" w:rsidRPr="004979FE">
        <w:rPr>
          <w:sz w:val="22"/>
          <w:szCs w:val="22"/>
          <w:lang w:eastAsia="zh-CN"/>
        </w:rPr>
        <w:t>201</w:t>
      </w:r>
      <w:r w:rsidR="00D47F31" w:rsidRPr="004979FE">
        <w:rPr>
          <w:sz w:val="22"/>
          <w:szCs w:val="22"/>
          <w:lang w:eastAsia="zh-CN"/>
        </w:rPr>
        <w:t>5</w:t>
      </w:r>
      <w:r w:rsidR="00D63DFF" w:rsidRPr="004979FE">
        <w:rPr>
          <w:snapToGrid/>
          <w:sz w:val="22"/>
          <w:szCs w:val="22"/>
          <w:lang w:eastAsia="zh-CN"/>
        </w:rPr>
        <w:t xml:space="preserve"> (</w:t>
      </w:r>
      <w:r w:rsidR="006A7991" w:rsidRPr="004979FE">
        <w:rPr>
          <w:sz w:val="22"/>
          <w:szCs w:val="22"/>
          <w:lang w:eastAsia="zh-CN"/>
        </w:rPr>
        <w:t xml:space="preserve">31 January </w:t>
      </w:r>
      <w:proofErr w:type="gramStart"/>
      <w:r w:rsidR="006A7991" w:rsidRPr="004979FE">
        <w:rPr>
          <w:sz w:val="22"/>
          <w:szCs w:val="22"/>
          <w:lang w:eastAsia="zh-CN"/>
        </w:rPr>
        <w:t>201</w:t>
      </w:r>
      <w:r w:rsidR="00D47F31" w:rsidRPr="004979FE">
        <w:rPr>
          <w:sz w:val="22"/>
          <w:szCs w:val="22"/>
          <w:lang w:eastAsia="zh-CN"/>
        </w:rPr>
        <w:t>5</w:t>
      </w:r>
      <w:r w:rsidR="006A7991" w:rsidRPr="004979FE">
        <w:rPr>
          <w:snapToGrid/>
          <w:sz w:val="22"/>
          <w:szCs w:val="22"/>
          <w:lang w:eastAsia="zh-CN"/>
        </w:rPr>
        <w:t xml:space="preserve"> </w:t>
      </w:r>
      <w:r w:rsidR="00D63DFF" w:rsidRPr="004979FE">
        <w:rPr>
          <w:snapToGrid/>
          <w:sz w:val="22"/>
          <w:szCs w:val="22"/>
          <w:lang w:eastAsia="zh-CN"/>
        </w:rPr>
        <w:t xml:space="preserve"> -</w:t>
      </w:r>
      <w:proofErr w:type="gramEnd"/>
      <w:r w:rsidR="00D63DFF" w:rsidRPr="004979FE">
        <w:rPr>
          <w:snapToGrid/>
          <w:sz w:val="22"/>
          <w:szCs w:val="22"/>
          <w:lang w:eastAsia="zh-CN"/>
        </w:rPr>
        <w:t xml:space="preserve"> </w:t>
      </w:r>
      <w:r w:rsidR="006A7991" w:rsidRPr="004979FE">
        <w:rPr>
          <w:sz w:val="22"/>
          <w:szCs w:val="22"/>
          <w:lang w:eastAsia="zh-CN"/>
        </w:rPr>
        <w:t>$</w:t>
      </w:r>
      <w:r w:rsidR="00D47F31" w:rsidRPr="004979FE">
        <w:rPr>
          <w:sz w:val="22"/>
          <w:szCs w:val="22"/>
          <w:lang w:eastAsia="zh-CN"/>
        </w:rPr>
        <w:t>31,268</w:t>
      </w:r>
      <w:r w:rsidR="00D63DFF" w:rsidRPr="004979FE">
        <w:rPr>
          <w:snapToGrid/>
          <w:sz w:val="22"/>
          <w:szCs w:val="22"/>
          <w:lang w:eastAsia="zh-CN"/>
        </w:rPr>
        <w:t>)</w:t>
      </w:r>
      <w:r w:rsidR="004979FE" w:rsidRPr="004979FE">
        <w:rPr>
          <w:snapToGrid/>
          <w:sz w:val="22"/>
          <w:szCs w:val="22"/>
          <w:lang w:eastAsia="zh-CN"/>
        </w:rPr>
        <w:t>.</w:t>
      </w:r>
      <w:r w:rsidRPr="004979FE">
        <w:rPr>
          <w:snapToGrid/>
          <w:sz w:val="22"/>
          <w:szCs w:val="22"/>
          <w:lang w:eastAsia="zh-CN"/>
        </w:rPr>
        <w:t xml:space="preserve"> </w:t>
      </w:r>
      <w:r w:rsidR="004979FE" w:rsidRPr="004979FE">
        <w:rPr>
          <w:snapToGrid/>
          <w:sz w:val="22"/>
          <w:szCs w:val="22"/>
          <w:lang w:eastAsia="zh-CN"/>
        </w:rPr>
        <w:t>M</w:t>
      </w:r>
      <w:r w:rsidRPr="004979FE">
        <w:rPr>
          <w:snapToGrid/>
          <w:sz w:val="22"/>
          <w:szCs w:val="22"/>
          <w:lang w:eastAsia="zh-CN"/>
        </w:rPr>
        <w:t xml:space="preserve">anagement cannot provide assurance that the Company will ultimately achieve profitable operations or become cash flow positive, or raise additional debt and/or equity capital. </w:t>
      </w:r>
      <w:r w:rsidR="004979FE" w:rsidRPr="004979FE">
        <w:rPr>
          <w:snapToGrid/>
          <w:sz w:val="22"/>
          <w:szCs w:val="22"/>
          <w:lang w:eastAsia="en-CA"/>
        </w:rPr>
        <w:t>On May 11, 2015 the Company closed a non</w:t>
      </w:r>
      <w:r w:rsidR="004979FE" w:rsidRPr="004979FE">
        <w:rPr>
          <w:rFonts w:ascii="Calibri" w:hAnsi="Calibri"/>
          <w:snapToGrid/>
          <w:sz w:val="22"/>
          <w:szCs w:val="22"/>
          <w:lang w:eastAsia="en-CA"/>
        </w:rPr>
        <w:t>‐</w:t>
      </w:r>
      <w:r w:rsidR="004979FE" w:rsidRPr="004979FE">
        <w:rPr>
          <w:snapToGrid/>
          <w:sz w:val="22"/>
          <w:szCs w:val="22"/>
          <w:lang w:eastAsia="en-CA"/>
        </w:rPr>
        <w:t>brokered private placement equity financing. Under the financing, the Company issued 2,000,000 units at a price of $0.05 per unit for gross proceeds of</w:t>
      </w:r>
      <w:r w:rsidR="004979FE" w:rsidRPr="004979FE">
        <w:rPr>
          <w:sz w:val="22"/>
          <w:szCs w:val="22"/>
          <w:lang w:val="en-GB"/>
        </w:rPr>
        <w:t xml:space="preserve"> </w:t>
      </w:r>
      <w:r w:rsidR="004979FE" w:rsidRPr="004979FE">
        <w:rPr>
          <w:snapToGrid/>
          <w:sz w:val="22"/>
          <w:szCs w:val="22"/>
          <w:lang w:eastAsia="en-CA"/>
        </w:rPr>
        <w:t>$100,000. Each unit is comprised of one common share of the Company and one common share</w:t>
      </w:r>
      <w:r w:rsidR="004979FE" w:rsidRPr="004979FE">
        <w:rPr>
          <w:sz w:val="22"/>
          <w:szCs w:val="22"/>
          <w:lang w:val="en-GB"/>
        </w:rPr>
        <w:t xml:space="preserve"> </w:t>
      </w:r>
      <w:r w:rsidR="004979FE" w:rsidRPr="004979FE">
        <w:rPr>
          <w:snapToGrid/>
          <w:sz w:val="22"/>
          <w:szCs w:val="22"/>
          <w:lang w:eastAsia="en-CA"/>
        </w:rPr>
        <w:t>purchase warrant exercisable for two years for an additional share at a price of $0.10. As of April 30,</w:t>
      </w:r>
      <w:r w:rsidR="004979FE" w:rsidRPr="004979FE">
        <w:rPr>
          <w:sz w:val="22"/>
          <w:szCs w:val="22"/>
          <w:lang w:val="en-GB"/>
        </w:rPr>
        <w:t xml:space="preserve"> </w:t>
      </w:r>
      <w:r w:rsidR="004979FE" w:rsidRPr="004979FE">
        <w:rPr>
          <w:snapToGrid/>
          <w:sz w:val="22"/>
          <w:szCs w:val="22"/>
          <w:lang w:eastAsia="en-CA"/>
        </w:rPr>
        <w:t>2015 there were 11,296,260 common shares outstanding. As of June 29, 2015, the Company had a total of 13,296,260 common shares outstanding.</w:t>
      </w:r>
    </w:p>
    <w:p w:rsidR="004979FE" w:rsidRPr="004979FE" w:rsidRDefault="004979FE" w:rsidP="005176C6">
      <w:pPr>
        <w:widowControl/>
        <w:tabs>
          <w:tab w:val="left" w:pos="10065"/>
        </w:tabs>
        <w:ind w:left="540"/>
        <w:jc w:val="both"/>
        <w:rPr>
          <w:snapToGrid/>
          <w:sz w:val="22"/>
          <w:szCs w:val="22"/>
          <w:lang w:eastAsia="zh-CN"/>
        </w:rPr>
      </w:pPr>
    </w:p>
    <w:p w:rsidR="00FD623E" w:rsidRPr="004979FE" w:rsidRDefault="004979FE" w:rsidP="005176C6">
      <w:pPr>
        <w:widowControl/>
        <w:tabs>
          <w:tab w:val="left" w:pos="10065"/>
        </w:tabs>
        <w:ind w:left="540"/>
        <w:jc w:val="both"/>
        <w:rPr>
          <w:snapToGrid/>
          <w:sz w:val="22"/>
          <w:szCs w:val="22"/>
          <w:lang w:eastAsia="zh-CN"/>
        </w:rPr>
      </w:pPr>
      <w:r w:rsidRPr="004979FE">
        <w:rPr>
          <w:snapToGrid/>
          <w:sz w:val="22"/>
          <w:szCs w:val="22"/>
          <w:lang w:eastAsia="zh-CN"/>
        </w:rPr>
        <w:t>M</w:t>
      </w:r>
      <w:r w:rsidR="00FD623E" w:rsidRPr="004979FE">
        <w:rPr>
          <w:snapToGrid/>
          <w:sz w:val="22"/>
          <w:szCs w:val="22"/>
          <w:lang w:eastAsia="zh-CN"/>
        </w:rPr>
        <w:t xml:space="preserve">anagement believes that the Company’s capital resources should be adequate to continue operating and maintain its business strategy during </w:t>
      </w:r>
      <w:r w:rsidRPr="004979FE">
        <w:rPr>
          <w:snapToGrid/>
          <w:sz w:val="22"/>
          <w:szCs w:val="22"/>
          <w:lang w:eastAsia="zh-CN"/>
        </w:rPr>
        <w:t xml:space="preserve">the current </w:t>
      </w:r>
      <w:r w:rsidR="00FD623E" w:rsidRPr="004979FE">
        <w:rPr>
          <w:snapToGrid/>
          <w:sz w:val="22"/>
          <w:szCs w:val="22"/>
          <w:lang w:eastAsia="zh-CN"/>
        </w:rPr>
        <w:t xml:space="preserve">fiscal </w:t>
      </w:r>
      <w:r w:rsidRPr="004979FE">
        <w:rPr>
          <w:snapToGrid/>
          <w:sz w:val="22"/>
          <w:szCs w:val="22"/>
          <w:lang w:eastAsia="zh-CN"/>
        </w:rPr>
        <w:t>year</w:t>
      </w:r>
      <w:r w:rsidR="00FD623E" w:rsidRPr="004979FE">
        <w:rPr>
          <w:snapToGrid/>
          <w:sz w:val="22"/>
          <w:szCs w:val="22"/>
          <w:lang w:eastAsia="zh-CN"/>
        </w:rPr>
        <w:t>.  However, if the Company is unable to raise additional capital in the near future, due to the Company’s liquidity problems, management expects that the Company will need to curtail operations, liquidate assets, seek additional capital on less favorable terms and/or pursue other remedial measures.  These</w:t>
      </w:r>
      <w:r w:rsidR="006D0062" w:rsidRPr="004979FE">
        <w:rPr>
          <w:snapToGrid/>
          <w:sz w:val="22"/>
          <w:szCs w:val="22"/>
          <w:lang w:eastAsia="zh-CN"/>
        </w:rPr>
        <w:t xml:space="preserve"> condensed</w:t>
      </w:r>
      <w:r w:rsidR="00FD623E" w:rsidRPr="004979FE">
        <w:rPr>
          <w:snapToGrid/>
          <w:sz w:val="22"/>
          <w:szCs w:val="22"/>
          <w:lang w:eastAsia="zh-CN"/>
        </w:rPr>
        <w:t xml:space="preserve"> </w:t>
      </w:r>
      <w:r w:rsidR="00D33002" w:rsidRPr="004979FE">
        <w:rPr>
          <w:snapToGrid/>
          <w:sz w:val="22"/>
          <w:szCs w:val="22"/>
          <w:lang w:eastAsia="zh-CN"/>
        </w:rPr>
        <w:t xml:space="preserve">interim </w:t>
      </w:r>
      <w:r w:rsidR="00FD623E" w:rsidRPr="004979FE">
        <w:rPr>
          <w:snapToGrid/>
          <w:sz w:val="22"/>
          <w:szCs w:val="22"/>
          <w:lang w:eastAsia="zh-CN"/>
        </w:rPr>
        <w:t>financial statements do not include any adjustments related to the recoverability and classification of assets or the amounts and classification of liabilities that might be necessary should the Company be unable to continue as a going concern.</w:t>
      </w:r>
    </w:p>
    <w:p w:rsidR="00FD623E" w:rsidRDefault="00FD623E" w:rsidP="00FD623E">
      <w:pPr>
        <w:pStyle w:val="BodyTextIndent"/>
        <w:ind w:left="547"/>
        <w:rPr>
          <w:szCs w:val="22"/>
          <w:lang w:val="en-US"/>
        </w:rPr>
      </w:pPr>
    </w:p>
    <w:p w:rsidR="007E2CBE" w:rsidRDefault="007E2CBE" w:rsidP="007E2CBE">
      <w:pPr>
        <w:numPr>
          <w:ilvl w:val="0"/>
          <w:numId w:val="2"/>
        </w:numPr>
        <w:rPr>
          <w:b/>
          <w:sz w:val="22"/>
          <w:szCs w:val="22"/>
        </w:rPr>
      </w:pPr>
      <w:r>
        <w:rPr>
          <w:b/>
          <w:sz w:val="22"/>
          <w:szCs w:val="22"/>
        </w:rPr>
        <w:t>Significant Accounting Policies</w:t>
      </w:r>
      <w:r w:rsidRPr="004F77CF">
        <w:rPr>
          <w:b/>
          <w:sz w:val="22"/>
          <w:szCs w:val="22"/>
        </w:rPr>
        <w:t xml:space="preserve"> </w:t>
      </w:r>
    </w:p>
    <w:p w:rsidR="005D4503" w:rsidRDefault="005D4503" w:rsidP="005D4503">
      <w:pPr>
        <w:rPr>
          <w:b/>
          <w:sz w:val="22"/>
        </w:rPr>
      </w:pPr>
    </w:p>
    <w:p w:rsidR="005D4503" w:rsidRPr="006E0ABB" w:rsidRDefault="005D4503" w:rsidP="005D4503">
      <w:pPr>
        <w:ind w:left="547"/>
        <w:jc w:val="both"/>
        <w:rPr>
          <w:b/>
          <w:bCs/>
          <w:sz w:val="22"/>
          <w:szCs w:val="22"/>
        </w:rPr>
      </w:pPr>
      <w:r>
        <w:rPr>
          <w:b/>
          <w:bCs/>
          <w:sz w:val="22"/>
          <w:szCs w:val="22"/>
        </w:rPr>
        <w:t>Basis of Presentation</w:t>
      </w:r>
    </w:p>
    <w:p w:rsidR="005D4503" w:rsidRPr="005D4503" w:rsidRDefault="005D4503" w:rsidP="005D4503">
      <w:pPr>
        <w:rPr>
          <w:b/>
          <w:sz w:val="22"/>
        </w:rPr>
      </w:pPr>
    </w:p>
    <w:p w:rsidR="007E2CBE" w:rsidRPr="007E2CBE" w:rsidRDefault="007E2CBE" w:rsidP="007E2CBE">
      <w:pPr>
        <w:widowControl/>
        <w:tabs>
          <w:tab w:val="left" w:pos="10065"/>
        </w:tabs>
        <w:ind w:left="540"/>
        <w:jc w:val="both"/>
        <w:rPr>
          <w:rFonts w:ascii="Times" w:hAnsi="Times"/>
          <w:snapToGrid/>
          <w:sz w:val="22"/>
          <w:szCs w:val="22"/>
          <w:lang w:eastAsia="zh-CN"/>
        </w:rPr>
      </w:pPr>
      <w:r w:rsidRPr="007E2CBE">
        <w:rPr>
          <w:rFonts w:ascii="Times" w:hAnsi="Times"/>
          <w:snapToGrid/>
          <w:sz w:val="22"/>
          <w:szCs w:val="22"/>
          <w:lang w:eastAsia="zh-CN"/>
        </w:rPr>
        <w:t xml:space="preserve">These condensed interim financial statements have been prepared on the basis of accounting policies and methods of companies consistent with those applied in the Company’s annual financial </w:t>
      </w:r>
      <w:r>
        <w:rPr>
          <w:rFonts w:ascii="Times" w:hAnsi="Times"/>
          <w:snapToGrid/>
          <w:sz w:val="22"/>
          <w:szCs w:val="22"/>
          <w:lang w:eastAsia="zh-CN"/>
        </w:rPr>
        <w:t>statements for the year ended 31</w:t>
      </w:r>
      <w:r w:rsidRPr="007E2CBE">
        <w:rPr>
          <w:rFonts w:ascii="Times" w:hAnsi="Times"/>
          <w:snapToGrid/>
          <w:sz w:val="22"/>
          <w:szCs w:val="22"/>
          <w:lang w:eastAsia="zh-CN"/>
        </w:rPr>
        <w:t xml:space="preserve"> </w:t>
      </w:r>
      <w:r w:rsidR="00D47F31">
        <w:rPr>
          <w:rFonts w:ascii="Times" w:hAnsi="Times"/>
          <w:snapToGrid/>
          <w:sz w:val="22"/>
          <w:szCs w:val="22"/>
          <w:lang w:eastAsia="zh-CN"/>
        </w:rPr>
        <w:t>January 2015</w:t>
      </w:r>
      <w:r w:rsidRPr="007E2CBE">
        <w:rPr>
          <w:rFonts w:ascii="Times" w:hAnsi="Times"/>
          <w:snapToGrid/>
          <w:sz w:val="22"/>
          <w:szCs w:val="22"/>
          <w:lang w:eastAsia="zh-CN"/>
        </w:rPr>
        <w:t>.</w:t>
      </w:r>
    </w:p>
    <w:p w:rsidR="0016104D" w:rsidRDefault="0016104D" w:rsidP="006E0ABB">
      <w:pPr>
        <w:ind w:firstLine="540"/>
        <w:jc w:val="both"/>
        <w:outlineLvl w:val="0"/>
        <w:rPr>
          <w:b/>
          <w:bCs/>
          <w:sz w:val="22"/>
          <w:szCs w:val="22"/>
        </w:rPr>
      </w:pPr>
    </w:p>
    <w:p w:rsidR="006E0ABB" w:rsidRPr="006E0ABB" w:rsidRDefault="006E0ABB" w:rsidP="006E0ABB">
      <w:pPr>
        <w:ind w:firstLine="540"/>
        <w:jc w:val="both"/>
        <w:outlineLvl w:val="0"/>
        <w:rPr>
          <w:b/>
          <w:bCs/>
          <w:sz w:val="22"/>
          <w:szCs w:val="22"/>
        </w:rPr>
      </w:pPr>
      <w:r>
        <w:rPr>
          <w:b/>
          <w:bCs/>
          <w:sz w:val="22"/>
          <w:szCs w:val="22"/>
        </w:rPr>
        <w:t>Statement of Compliance</w:t>
      </w:r>
    </w:p>
    <w:p w:rsidR="00313921" w:rsidRDefault="00313921" w:rsidP="00313921">
      <w:pPr>
        <w:ind w:left="360"/>
        <w:jc w:val="both"/>
        <w:outlineLvl w:val="0"/>
        <w:rPr>
          <w:b/>
          <w:bCs/>
          <w:sz w:val="22"/>
          <w:szCs w:val="22"/>
        </w:rPr>
      </w:pPr>
    </w:p>
    <w:p w:rsidR="00313921" w:rsidRDefault="006E0ABB" w:rsidP="006E0ABB">
      <w:pPr>
        <w:ind w:left="540"/>
        <w:jc w:val="both"/>
        <w:rPr>
          <w:sz w:val="22"/>
          <w:szCs w:val="22"/>
        </w:rPr>
      </w:pPr>
      <w:r w:rsidRPr="006E0ABB">
        <w:rPr>
          <w:sz w:val="22"/>
          <w:szCs w:val="22"/>
        </w:rPr>
        <w:t xml:space="preserve">The condensed </w:t>
      </w:r>
      <w:r w:rsidR="0016104D">
        <w:rPr>
          <w:sz w:val="22"/>
          <w:szCs w:val="22"/>
        </w:rPr>
        <w:t xml:space="preserve">interim </w:t>
      </w:r>
      <w:r w:rsidRPr="006E0ABB">
        <w:rPr>
          <w:sz w:val="22"/>
          <w:szCs w:val="22"/>
        </w:rPr>
        <w:t xml:space="preserve">financial statements of the Company </w:t>
      </w:r>
      <w:r>
        <w:rPr>
          <w:sz w:val="22"/>
          <w:szCs w:val="22"/>
        </w:rPr>
        <w:t>have</w:t>
      </w:r>
      <w:r w:rsidRPr="006E0ABB">
        <w:rPr>
          <w:sz w:val="22"/>
          <w:szCs w:val="22"/>
        </w:rPr>
        <w:t xml:space="preserve"> been prepared in accordance with International Accounting Standards (“IAS”) 34, “</w:t>
      </w:r>
      <w:r w:rsidRPr="006E0ABB">
        <w:rPr>
          <w:i/>
          <w:sz w:val="22"/>
          <w:szCs w:val="22"/>
        </w:rPr>
        <w:t>Interim Financial Reporting</w:t>
      </w:r>
      <w:r w:rsidRPr="006E0ABB">
        <w:rPr>
          <w:sz w:val="22"/>
          <w:szCs w:val="22"/>
        </w:rPr>
        <w:t>” using accounting policies consistent with International Financial Reporting Standards (“IFRS”) as issued by the International Accounting Standards Board (“IASB”) and interpretations of the International Financial Reporting Interpretations Committee (“IFRIC”).</w:t>
      </w:r>
    </w:p>
    <w:p w:rsidR="008D6281" w:rsidRDefault="008D6281" w:rsidP="006E0ABB">
      <w:pPr>
        <w:ind w:left="540"/>
        <w:jc w:val="both"/>
        <w:rPr>
          <w:sz w:val="22"/>
          <w:szCs w:val="22"/>
        </w:rPr>
      </w:pPr>
    </w:p>
    <w:p w:rsidR="007E2CBE" w:rsidRPr="007A71F2" w:rsidRDefault="007E2CBE" w:rsidP="007E2CBE">
      <w:pPr>
        <w:pStyle w:val="BodyTextIndent"/>
        <w:ind w:left="547"/>
        <w:jc w:val="both"/>
        <w:rPr>
          <w:b/>
          <w:bCs/>
          <w:szCs w:val="22"/>
        </w:rPr>
      </w:pPr>
      <w:r w:rsidRPr="007A71F2">
        <w:rPr>
          <w:rFonts w:hint="eastAsia"/>
          <w:b/>
          <w:bCs/>
          <w:szCs w:val="22"/>
        </w:rPr>
        <w:t>Significant accounting judgments, estimates and assumptions</w:t>
      </w:r>
    </w:p>
    <w:p w:rsidR="007E2CBE" w:rsidRPr="007A71F2" w:rsidRDefault="007E2CBE" w:rsidP="007E2CBE">
      <w:pPr>
        <w:ind w:left="720"/>
        <w:jc w:val="both"/>
        <w:rPr>
          <w:sz w:val="22"/>
          <w:szCs w:val="22"/>
        </w:rPr>
      </w:pPr>
    </w:p>
    <w:p w:rsidR="007E2CBE" w:rsidRPr="00F20A67" w:rsidRDefault="007E2CBE" w:rsidP="007E2CBE">
      <w:pPr>
        <w:pStyle w:val="BodyTextIndent"/>
        <w:ind w:left="547"/>
        <w:jc w:val="both"/>
        <w:rPr>
          <w:snapToGrid/>
          <w:szCs w:val="22"/>
          <w:lang w:val="en-US"/>
        </w:rPr>
      </w:pPr>
      <w:r w:rsidRPr="00F20A67">
        <w:rPr>
          <w:snapToGrid/>
          <w:szCs w:val="22"/>
          <w:lang w:val="en-US"/>
        </w:rPr>
        <w:t xml:space="preserve">The preparation of the Company’s </w:t>
      </w:r>
      <w:r>
        <w:rPr>
          <w:snapToGrid/>
          <w:szCs w:val="22"/>
          <w:lang w:val="en-US"/>
        </w:rPr>
        <w:t xml:space="preserve">condensed interim </w:t>
      </w:r>
      <w:r w:rsidRPr="00F20A67">
        <w:rPr>
          <w:snapToGrid/>
          <w:szCs w:val="22"/>
          <w:lang w:val="en-US"/>
        </w:rPr>
        <w:t xml:space="preserve">financial statements in conformity with IFRS requires management to make judgments, estimates and assumptions that affect the reported amounts of assets, liabilities and contingent liabilities at the date of the </w:t>
      </w:r>
      <w:r>
        <w:rPr>
          <w:snapToGrid/>
          <w:szCs w:val="22"/>
          <w:lang w:val="en-US"/>
        </w:rPr>
        <w:t xml:space="preserve">condensed interim </w:t>
      </w:r>
      <w:r w:rsidRPr="00F20A67">
        <w:rPr>
          <w:snapToGrid/>
          <w:szCs w:val="22"/>
          <w:lang w:val="en-US"/>
        </w:rPr>
        <w:t>financial statements and reported amounts of income and expenses during the reporting period. Estimates and assumptions are continuously evaluated and are based on management’s experience and other factors, including expectations of future events that are believed to be reasonable under the circumstances. However, actual outcomes can differ from these estimates.</w:t>
      </w:r>
    </w:p>
    <w:p w:rsidR="007E2CBE" w:rsidRDefault="007E2CBE" w:rsidP="007E2CBE">
      <w:pPr>
        <w:widowControl/>
        <w:ind w:left="547"/>
        <w:rPr>
          <w:snapToGrid/>
          <w:szCs w:val="22"/>
        </w:rPr>
      </w:pPr>
    </w:p>
    <w:p w:rsidR="007E2CBE" w:rsidRPr="00FD5A60" w:rsidRDefault="007E2CBE" w:rsidP="007E2CBE">
      <w:pPr>
        <w:pStyle w:val="BodyTextIndent"/>
        <w:ind w:left="547"/>
        <w:jc w:val="both"/>
        <w:rPr>
          <w:snapToGrid/>
          <w:szCs w:val="22"/>
          <w:lang w:val="en-US"/>
        </w:rPr>
      </w:pPr>
      <w:r w:rsidRPr="00FD5A60">
        <w:rPr>
          <w:snapToGrid/>
          <w:szCs w:val="22"/>
          <w:lang w:val="en-US"/>
        </w:rPr>
        <w:t>Areas requiring a significant degree of estimation and judgment relate to the recoverability of the carrying value of exploration and evaluation assets, fair value measurements for financial instruments and share-based payments, the recoverability and measurement of deferred tax assets and liabilities, and ability to continue as a going concern.  Actual results may differ from those estimates and judgments.</w:t>
      </w:r>
    </w:p>
    <w:p w:rsidR="007E2CBE" w:rsidRDefault="007E2CBE" w:rsidP="006E0ABB">
      <w:pPr>
        <w:ind w:left="540"/>
        <w:jc w:val="both"/>
        <w:rPr>
          <w:sz w:val="22"/>
          <w:szCs w:val="22"/>
        </w:rPr>
      </w:pPr>
    </w:p>
    <w:p w:rsidR="00D47F31" w:rsidRPr="003A7914" w:rsidRDefault="00D47F31" w:rsidP="00D47F31">
      <w:pPr>
        <w:pStyle w:val="BodyTextIndent"/>
        <w:ind w:left="547"/>
        <w:jc w:val="both"/>
        <w:rPr>
          <w:b/>
          <w:bCs/>
          <w:szCs w:val="22"/>
        </w:rPr>
      </w:pPr>
      <w:bookmarkStart w:id="3" w:name="_Ref44394516"/>
      <w:bookmarkStart w:id="4" w:name="NoteAccountsReceivable"/>
      <w:r w:rsidRPr="003A7914">
        <w:rPr>
          <w:b/>
          <w:bCs/>
          <w:szCs w:val="22"/>
        </w:rPr>
        <w:t>Changes in accounting policies</w:t>
      </w:r>
    </w:p>
    <w:p w:rsidR="00D47F31" w:rsidRPr="003A7914" w:rsidRDefault="00D47F31" w:rsidP="00D47F31">
      <w:pPr>
        <w:pStyle w:val="BodyTextIndent"/>
        <w:ind w:left="547"/>
        <w:jc w:val="both"/>
        <w:rPr>
          <w:b/>
          <w:bCs/>
          <w:szCs w:val="22"/>
        </w:rPr>
      </w:pPr>
    </w:p>
    <w:p w:rsidR="00D47F31" w:rsidRPr="003C759C" w:rsidRDefault="00D47F31" w:rsidP="00D47F31">
      <w:pPr>
        <w:ind w:left="547"/>
        <w:jc w:val="both"/>
        <w:rPr>
          <w:sz w:val="22"/>
          <w:szCs w:val="22"/>
        </w:rPr>
      </w:pPr>
      <w:r w:rsidRPr="003C759C">
        <w:rPr>
          <w:sz w:val="22"/>
          <w:szCs w:val="22"/>
        </w:rPr>
        <w:t>A number of standards and amendments were issued effective for accounting periods beginning on or after 1 January 2014.   Many of these updates are not applicable to the Company.  As of 1 February 2014, the Company adopted the following IFRS standards and amendments:</w:t>
      </w:r>
    </w:p>
    <w:p w:rsidR="00D47F31" w:rsidRPr="003C759C" w:rsidRDefault="00D47F31" w:rsidP="00D47F31">
      <w:pPr>
        <w:jc w:val="both"/>
        <w:rPr>
          <w:rFonts w:asciiTheme="minorHAnsi" w:hAnsiTheme="minorHAnsi"/>
          <w:color w:val="454545"/>
        </w:rPr>
      </w:pPr>
    </w:p>
    <w:p w:rsidR="00D47F31" w:rsidRPr="003C759C" w:rsidRDefault="00D47F31" w:rsidP="00D47F31">
      <w:pPr>
        <w:autoSpaceDE w:val="0"/>
        <w:autoSpaceDN w:val="0"/>
        <w:adjustRightInd w:val="0"/>
        <w:ind w:left="540"/>
        <w:jc w:val="both"/>
        <w:rPr>
          <w:sz w:val="22"/>
          <w:szCs w:val="22"/>
        </w:rPr>
      </w:pPr>
      <w:r w:rsidRPr="003C759C">
        <w:rPr>
          <w:sz w:val="22"/>
          <w:szCs w:val="22"/>
        </w:rPr>
        <w:t xml:space="preserve">IAS 32 (Amendment) </w:t>
      </w:r>
      <w:r w:rsidRPr="003C759C">
        <w:rPr>
          <w:i/>
          <w:sz w:val="22"/>
          <w:szCs w:val="22"/>
        </w:rPr>
        <w:t>‘Offsetting Financial Assets and Financial Liabilities’</w:t>
      </w:r>
      <w:r w:rsidRPr="003C759C">
        <w:rPr>
          <w:sz w:val="22"/>
          <w:szCs w:val="22"/>
        </w:rPr>
        <w:t xml:space="preserve"> is effective for annual periods beginning on or after 1 January 2014 that clarifies the application of offsetting requirements.</w:t>
      </w:r>
      <w:r w:rsidRPr="003C759C">
        <w:rPr>
          <w:rFonts w:hint="eastAsia"/>
          <w:sz w:val="22"/>
          <w:szCs w:val="22"/>
        </w:rPr>
        <w:t xml:space="preserve"> </w:t>
      </w:r>
    </w:p>
    <w:p w:rsidR="00D47F31" w:rsidRPr="003C759C" w:rsidRDefault="00D47F31" w:rsidP="00D47F31">
      <w:pPr>
        <w:autoSpaceDE w:val="0"/>
        <w:autoSpaceDN w:val="0"/>
        <w:adjustRightInd w:val="0"/>
        <w:ind w:left="540"/>
        <w:jc w:val="both"/>
        <w:rPr>
          <w:sz w:val="22"/>
          <w:szCs w:val="22"/>
        </w:rPr>
      </w:pPr>
    </w:p>
    <w:p w:rsidR="00D47F31" w:rsidRDefault="00D47F31" w:rsidP="00D47F31">
      <w:pPr>
        <w:autoSpaceDE w:val="0"/>
        <w:autoSpaceDN w:val="0"/>
        <w:adjustRightInd w:val="0"/>
        <w:ind w:left="540"/>
        <w:jc w:val="both"/>
        <w:rPr>
          <w:sz w:val="22"/>
          <w:szCs w:val="22"/>
        </w:rPr>
      </w:pPr>
      <w:r w:rsidRPr="003C759C">
        <w:rPr>
          <w:sz w:val="22"/>
          <w:szCs w:val="22"/>
        </w:rPr>
        <w:t xml:space="preserve">IFRS 2 (Amendment) </w:t>
      </w:r>
      <w:r w:rsidRPr="003C759C">
        <w:rPr>
          <w:i/>
          <w:sz w:val="22"/>
          <w:szCs w:val="22"/>
        </w:rPr>
        <w:t>‘Share-based Payment’</w:t>
      </w:r>
      <w:r w:rsidRPr="003C759C">
        <w:rPr>
          <w:sz w:val="22"/>
          <w:szCs w:val="22"/>
        </w:rPr>
        <w:t xml:space="preserve"> clarifies the definition of “vesting condition”. The amendments are effective for stock options granted beginning on or after 1 July 2014.</w:t>
      </w:r>
    </w:p>
    <w:p w:rsidR="00D47F31" w:rsidRDefault="00D47F31" w:rsidP="00D47F31">
      <w:pPr>
        <w:autoSpaceDE w:val="0"/>
        <w:autoSpaceDN w:val="0"/>
        <w:adjustRightInd w:val="0"/>
        <w:ind w:left="540"/>
        <w:jc w:val="both"/>
        <w:rPr>
          <w:sz w:val="22"/>
          <w:szCs w:val="22"/>
        </w:rPr>
      </w:pPr>
    </w:p>
    <w:p w:rsidR="00D47F31" w:rsidRPr="003C759C" w:rsidRDefault="00D47F31" w:rsidP="00D47F31">
      <w:pPr>
        <w:ind w:left="547"/>
        <w:jc w:val="both"/>
        <w:rPr>
          <w:sz w:val="22"/>
          <w:szCs w:val="22"/>
        </w:rPr>
      </w:pPr>
      <w:r w:rsidRPr="003C759C">
        <w:rPr>
          <w:sz w:val="22"/>
          <w:szCs w:val="22"/>
        </w:rPr>
        <w:t xml:space="preserve">The adoption of the above standards did not have a significant impact on the Company’s financial statements. </w:t>
      </w:r>
    </w:p>
    <w:p w:rsidR="00D47F31" w:rsidRPr="003A7914" w:rsidRDefault="00D47F31" w:rsidP="00D47F31">
      <w:pPr>
        <w:pStyle w:val="BodyTextIndent"/>
        <w:ind w:left="547"/>
        <w:jc w:val="both"/>
        <w:rPr>
          <w:b/>
          <w:bCs/>
          <w:szCs w:val="22"/>
        </w:rPr>
      </w:pPr>
    </w:p>
    <w:p w:rsidR="00D47F31" w:rsidRPr="003A7914" w:rsidRDefault="00D47F31" w:rsidP="00D47F31">
      <w:pPr>
        <w:pStyle w:val="BodyTextIndent"/>
        <w:ind w:left="547"/>
        <w:jc w:val="both"/>
        <w:rPr>
          <w:b/>
          <w:bCs/>
          <w:szCs w:val="22"/>
        </w:rPr>
      </w:pPr>
      <w:r w:rsidRPr="003A7914">
        <w:rPr>
          <w:b/>
          <w:bCs/>
          <w:szCs w:val="22"/>
        </w:rPr>
        <w:t>Accounting standards issued but not yet effective</w:t>
      </w:r>
    </w:p>
    <w:p w:rsidR="00D47F31" w:rsidRPr="003A7914" w:rsidRDefault="00D47F31" w:rsidP="00D47F31">
      <w:pPr>
        <w:pStyle w:val="BodyTextIndent"/>
        <w:ind w:left="547"/>
        <w:jc w:val="both"/>
        <w:rPr>
          <w:b/>
          <w:bCs/>
          <w:szCs w:val="22"/>
        </w:rPr>
      </w:pPr>
    </w:p>
    <w:p w:rsidR="00D47F31" w:rsidRDefault="00D47F31" w:rsidP="00D47F31">
      <w:pPr>
        <w:ind w:left="547"/>
        <w:jc w:val="both"/>
        <w:rPr>
          <w:sz w:val="22"/>
          <w:szCs w:val="22"/>
        </w:rPr>
      </w:pPr>
      <w:r w:rsidRPr="003C759C">
        <w:rPr>
          <w:rFonts w:hint="eastAsia"/>
          <w:sz w:val="22"/>
          <w:szCs w:val="22"/>
        </w:rPr>
        <w:t xml:space="preserve">At the date of authorization of these financial statements, the IASB and IFRIC have issued the following new and revised standards, amendments and interpretations which are not yet effective during the year ended 31 </w:t>
      </w:r>
      <w:r w:rsidRPr="003C759C">
        <w:rPr>
          <w:sz w:val="22"/>
          <w:szCs w:val="22"/>
        </w:rPr>
        <w:t>January</w:t>
      </w:r>
      <w:r w:rsidRPr="003C759C">
        <w:rPr>
          <w:rFonts w:hint="eastAsia"/>
          <w:sz w:val="22"/>
          <w:szCs w:val="22"/>
        </w:rPr>
        <w:t xml:space="preserve"> 201</w:t>
      </w:r>
      <w:r w:rsidRPr="003C759C">
        <w:rPr>
          <w:sz w:val="22"/>
          <w:szCs w:val="22"/>
        </w:rPr>
        <w:t>5</w:t>
      </w:r>
      <w:r>
        <w:rPr>
          <w:rFonts w:hint="eastAsia"/>
          <w:sz w:val="22"/>
          <w:szCs w:val="22"/>
        </w:rPr>
        <w:t>:</w:t>
      </w:r>
    </w:p>
    <w:p w:rsidR="00D47F31" w:rsidRDefault="00D47F31" w:rsidP="00D47F31">
      <w:pPr>
        <w:ind w:left="547"/>
        <w:jc w:val="both"/>
        <w:rPr>
          <w:sz w:val="22"/>
          <w:szCs w:val="22"/>
        </w:rPr>
      </w:pPr>
    </w:p>
    <w:p w:rsidR="00D47F31" w:rsidRDefault="00D47F31" w:rsidP="00D47F31">
      <w:pPr>
        <w:ind w:left="547"/>
        <w:jc w:val="both"/>
        <w:rPr>
          <w:sz w:val="22"/>
          <w:szCs w:val="22"/>
        </w:rPr>
      </w:pPr>
      <w:r w:rsidRPr="003C759C">
        <w:rPr>
          <w:sz w:val="22"/>
          <w:szCs w:val="22"/>
        </w:rPr>
        <w:t xml:space="preserve">IFRS 9, </w:t>
      </w:r>
      <w:r w:rsidRPr="003C759C">
        <w:rPr>
          <w:i/>
          <w:sz w:val="22"/>
          <w:szCs w:val="22"/>
        </w:rPr>
        <w:t>‘Financial Instruments’</w:t>
      </w:r>
      <w:r w:rsidRPr="003C759C">
        <w:rPr>
          <w:sz w:val="22"/>
          <w:szCs w:val="22"/>
        </w:rPr>
        <w:t xml:space="preserve">: The IASB has undertaken a three-phase project to replace IAS 39 ‘Financial Instruments: Recognition and Measurement’ with IFRS 9 ‘Financial Instruments’. In November </w:t>
      </w:r>
      <w:r w:rsidRPr="003C759C">
        <w:rPr>
          <w:sz w:val="22"/>
          <w:szCs w:val="22"/>
        </w:rPr>
        <w:lastRenderedPageBreak/>
        <w:t xml:space="preserve">2009, the IASB issued the first phase of IFRS 9, which details the classification and measurement requirements for financial assets. Requirements for financial liabilities were added to the standard in October 2010. In July 2014, the IASB issued the final elements of IFRS 9. IFRS 9 introduces new requirements for classifying and measuring financial assets, as follows: </w:t>
      </w:r>
    </w:p>
    <w:p w:rsidR="00D47F31" w:rsidRPr="003C759C" w:rsidRDefault="00D47F31" w:rsidP="00D47F31">
      <w:pPr>
        <w:ind w:left="547"/>
        <w:jc w:val="both"/>
        <w:rPr>
          <w:sz w:val="22"/>
          <w:szCs w:val="22"/>
        </w:rPr>
      </w:pPr>
    </w:p>
    <w:p w:rsidR="00D47F31" w:rsidRPr="003C759C" w:rsidRDefault="00D47F31" w:rsidP="00D47F31">
      <w:pPr>
        <w:pStyle w:val="ListParagraph"/>
        <w:numPr>
          <w:ilvl w:val="0"/>
          <w:numId w:val="16"/>
        </w:numPr>
        <w:jc w:val="both"/>
        <w:rPr>
          <w:rFonts w:ascii="Times New Roman" w:hAnsi="Times New Roman"/>
        </w:rPr>
      </w:pPr>
      <w:r w:rsidRPr="003C759C">
        <w:rPr>
          <w:rFonts w:ascii="Times New Roman" w:hAnsi="Times New Roman"/>
        </w:rPr>
        <w:t>Financial assets meeting both a “business model” test and a “cash flow characteristics” test are measured at amortized cost (the use of fair value is optional in some limited circumstances)</w:t>
      </w:r>
      <w:r>
        <w:rPr>
          <w:rFonts w:ascii="Times New Roman" w:hAnsi="Times New Roman"/>
        </w:rPr>
        <w:t>.</w:t>
      </w:r>
      <w:r w:rsidRPr="003C759C">
        <w:rPr>
          <w:rFonts w:ascii="Times New Roman" w:hAnsi="Times New Roman"/>
        </w:rPr>
        <w:t xml:space="preserve"> </w:t>
      </w:r>
    </w:p>
    <w:p w:rsidR="00D47F31" w:rsidRPr="003C759C" w:rsidRDefault="00D47F31" w:rsidP="00D47F31">
      <w:pPr>
        <w:pStyle w:val="ListParagraph"/>
        <w:numPr>
          <w:ilvl w:val="0"/>
          <w:numId w:val="16"/>
        </w:numPr>
        <w:jc w:val="both"/>
        <w:rPr>
          <w:rFonts w:ascii="Times New Roman" w:hAnsi="Times New Roman"/>
        </w:rPr>
      </w:pPr>
      <w:r w:rsidRPr="003C759C">
        <w:rPr>
          <w:rFonts w:ascii="Times New Roman" w:hAnsi="Times New Roman"/>
        </w:rPr>
        <w:t>Investments in equity instruments can be designated as “fair value through other comprehensive income” with only dividends being recognized in profit or loss</w:t>
      </w:r>
      <w:r>
        <w:rPr>
          <w:rFonts w:ascii="Times New Roman" w:hAnsi="Times New Roman"/>
        </w:rPr>
        <w:t>.</w:t>
      </w:r>
      <w:r w:rsidRPr="003C759C">
        <w:rPr>
          <w:rFonts w:ascii="Times New Roman" w:hAnsi="Times New Roman"/>
        </w:rPr>
        <w:t xml:space="preserve"> </w:t>
      </w:r>
    </w:p>
    <w:p w:rsidR="00D47F31" w:rsidRPr="003C759C" w:rsidRDefault="00D47F31" w:rsidP="00D47F31">
      <w:pPr>
        <w:pStyle w:val="ListParagraph"/>
        <w:numPr>
          <w:ilvl w:val="0"/>
          <w:numId w:val="16"/>
        </w:numPr>
        <w:jc w:val="both"/>
        <w:rPr>
          <w:rFonts w:ascii="Times New Roman" w:hAnsi="Times New Roman"/>
        </w:rPr>
      </w:pPr>
      <w:r w:rsidRPr="003C759C">
        <w:rPr>
          <w:rFonts w:ascii="Times New Roman" w:hAnsi="Times New Roman"/>
        </w:rPr>
        <w:t>All other instruments (including all derivatives) are measured at fair value with changes recognized in profit or loss</w:t>
      </w:r>
      <w:r>
        <w:rPr>
          <w:rFonts w:ascii="Times New Roman" w:hAnsi="Times New Roman"/>
        </w:rPr>
        <w:t>.</w:t>
      </w:r>
      <w:r w:rsidRPr="003C759C">
        <w:rPr>
          <w:rFonts w:ascii="Times New Roman" w:hAnsi="Times New Roman"/>
        </w:rPr>
        <w:t xml:space="preserve"> </w:t>
      </w:r>
    </w:p>
    <w:p w:rsidR="00D47F31" w:rsidRPr="00E32A55" w:rsidRDefault="00D47F31" w:rsidP="00D47F31">
      <w:pPr>
        <w:pStyle w:val="ListParagraph"/>
        <w:numPr>
          <w:ilvl w:val="0"/>
          <w:numId w:val="16"/>
        </w:numPr>
        <w:jc w:val="both"/>
      </w:pPr>
      <w:r w:rsidRPr="003C759C">
        <w:rPr>
          <w:rFonts w:ascii="Times New Roman" w:hAnsi="Times New Roman"/>
        </w:rPr>
        <w:t xml:space="preserve">The concept of “embedded derivatives” does not apply to financial assets within the scope of the standard and the entire instrument must be classified and measured in accordance with the “business model” test and “cash flow characteristics” test. </w:t>
      </w:r>
    </w:p>
    <w:p w:rsidR="00D47F31" w:rsidRPr="003C759C" w:rsidRDefault="00D47F31" w:rsidP="00D47F31">
      <w:pPr>
        <w:pStyle w:val="ListParagraph"/>
        <w:ind w:left="1267"/>
        <w:jc w:val="both"/>
      </w:pPr>
    </w:p>
    <w:p w:rsidR="00D47F31" w:rsidRPr="003C759C" w:rsidRDefault="00D47F31" w:rsidP="00D47F31">
      <w:pPr>
        <w:pStyle w:val="ListParagraph"/>
        <w:numPr>
          <w:ilvl w:val="0"/>
          <w:numId w:val="16"/>
        </w:numPr>
        <w:jc w:val="both"/>
      </w:pPr>
      <w:r w:rsidRPr="003C759C">
        <w:rPr>
          <w:rFonts w:ascii="Times New Roman" w:hAnsi="Times New Roman"/>
        </w:rPr>
        <w:t>The revised financial liability provisions maintain the existing amortized cost measurement basis for most liabilities. New requirements apply where an entity chooses to measure a liability at fair value through profit or loss – in these cases, the portion of the change in fair value related to changes in the entity's own credit risk is presented in other comprehensive income rather than within profit or loss.</w:t>
      </w:r>
    </w:p>
    <w:p w:rsidR="00D47F31" w:rsidRPr="003C759C" w:rsidRDefault="00D47F31" w:rsidP="00D47F31">
      <w:pPr>
        <w:ind w:left="547"/>
        <w:jc w:val="both"/>
        <w:rPr>
          <w:sz w:val="22"/>
          <w:szCs w:val="22"/>
        </w:rPr>
      </w:pPr>
      <w:r w:rsidRPr="003C759C">
        <w:rPr>
          <w:sz w:val="22"/>
          <w:szCs w:val="22"/>
        </w:rPr>
        <w:t>The amendments are effective for annual periods beginning on or after January 1, 2018.</w:t>
      </w:r>
    </w:p>
    <w:p w:rsidR="00D47F31" w:rsidRDefault="00D47F31" w:rsidP="00D47F31">
      <w:pPr>
        <w:ind w:left="547"/>
        <w:jc w:val="both"/>
        <w:rPr>
          <w:sz w:val="22"/>
          <w:szCs w:val="22"/>
        </w:rPr>
      </w:pPr>
    </w:p>
    <w:p w:rsidR="00D47F31" w:rsidRPr="003C759C" w:rsidRDefault="00D47F31" w:rsidP="00D47F31">
      <w:pPr>
        <w:ind w:left="547"/>
        <w:jc w:val="both"/>
        <w:rPr>
          <w:sz w:val="22"/>
          <w:szCs w:val="22"/>
        </w:rPr>
      </w:pPr>
      <w:r w:rsidRPr="003C759C">
        <w:rPr>
          <w:sz w:val="22"/>
          <w:szCs w:val="22"/>
        </w:rPr>
        <w:t xml:space="preserve">IAS 1 </w:t>
      </w:r>
      <w:r w:rsidRPr="003C759C">
        <w:rPr>
          <w:i/>
          <w:sz w:val="22"/>
          <w:szCs w:val="22"/>
        </w:rPr>
        <w:t>“Presentation of Financial Statements’</w:t>
      </w:r>
      <w:r w:rsidRPr="003C759C">
        <w:rPr>
          <w:sz w:val="22"/>
          <w:szCs w:val="22"/>
        </w:rPr>
        <w:t xml:space="preserve"> is an amendment to clarify certain aspects focused on the areas of clarification of concept of materiality and aggregation of items in the financial statements, the use and presentation of subtotals in the statement of loss and comprehensive loss, and providing of additional flexibility in the structure and disclosures of the financial statements to enhance understandability. The amendment is applicable to annual periods beginning on or after January 1, 2016. </w:t>
      </w:r>
    </w:p>
    <w:p w:rsidR="00D47F31" w:rsidRDefault="00D47F31" w:rsidP="00D47F31">
      <w:pPr>
        <w:ind w:left="547"/>
        <w:jc w:val="both"/>
        <w:rPr>
          <w:sz w:val="22"/>
          <w:szCs w:val="22"/>
        </w:rPr>
      </w:pPr>
    </w:p>
    <w:p w:rsidR="00D47F31" w:rsidRPr="003C759C" w:rsidRDefault="00D47F31" w:rsidP="00D47F31">
      <w:pPr>
        <w:ind w:left="547"/>
        <w:jc w:val="both"/>
        <w:rPr>
          <w:sz w:val="22"/>
          <w:szCs w:val="22"/>
        </w:rPr>
      </w:pPr>
      <w:r w:rsidRPr="003C759C">
        <w:rPr>
          <w:sz w:val="22"/>
          <w:szCs w:val="22"/>
        </w:rPr>
        <w:t xml:space="preserve">IAS 24 </w:t>
      </w:r>
      <w:r w:rsidRPr="003C759C">
        <w:rPr>
          <w:i/>
          <w:sz w:val="22"/>
          <w:szCs w:val="22"/>
        </w:rPr>
        <w:t>‘Related Party Disclosures’</w:t>
      </w:r>
      <w:r w:rsidRPr="003C759C">
        <w:rPr>
          <w:sz w:val="22"/>
          <w:szCs w:val="22"/>
        </w:rPr>
        <w:t xml:space="preserve"> is an amendment to clarify that a management entity, or any member of a group of which it is a part, that provides key management services to a reporting entity, or its parent, is a related party of the reporting entity.  The amendments also require an entity to disclose amounts incurred for key management personnel services provided by a separate management entity. This replaces the more detailed disclosure by category required for other key management personnel compensation. The amendment is applicable to annual periods beginning on or after July 1, 2014. </w:t>
      </w:r>
    </w:p>
    <w:p w:rsidR="00D47F31" w:rsidRDefault="00D47F31" w:rsidP="00D47F31">
      <w:pPr>
        <w:ind w:left="547"/>
        <w:jc w:val="both"/>
        <w:rPr>
          <w:sz w:val="22"/>
          <w:szCs w:val="22"/>
        </w:rPr>
      </w:pPr>
    </w:p>
    <w:p w:rsidR="00D47F31" w:rsidRPr="003C759C" w:rsidRDefault="00D47F31" w:rsidP="00D47F31">
      <w:pPr>
        <w:ind w:left="547"/>
        <w:jc w:val="both"/>
        <w:rPr>
          <w:sz w:val="22"/>
          <w:szCs w:val="22"/>
        </w:rPr>
      </w:pPr>
      <w:r w:rsidRPr="003C759C">
        <w:rPr>
          <w:sz w:val="22"/>
          <w:szCs w:val="22"/>
        </w:rPr>
        <w:t xml:space="preserve">IAS 8 </w:t>
      </w:r>
      <w:r w:rsidRPr="003C759C">
        <w:rPr>
          <w:i/>
          <w:sz w:val="22"/>
          <w:szCs w:val="22"/>
        </w:rPr>
        <w:t>‘Operating Segments’</w:t>
      </w:r>
      <w:r w:rsidRPr="003C759C">
        <w:rPr>
          <w:sz w:val="22"/>
          <w:szCs w:val="22"/>
        </w:rPr>
        <w:t xml:space="preserve"> is amendment to clarify aggregation criteria, effective for annual periods beginning on or after July 1, 2014. </w:t>
      </w:r>
    </w:p>
    <w:p w:rsidR="00D47F31" w:rsidRPr="003C759C" w:rsidRDefault="00D47F31" w:rsidP="00D47F31">
      <w:pPr>
        <w:ind w:left="547"/>
        <w:jc w:val="both"/>
        <w:rPr>
          <w:sz w:val="22"/>
          <w:szCs w:val="22"/>
        </w:rPr>
      </w:pPr>
    </w:p>
    <w:p w:rsidR="00D47F31" w:rsidRPr="003C759C" w:rsidRDefault="00D47F31" w:rsidP="00D47F31">
      <w:pPr>
        <w:ind w:left="547"/>
        <w:jc w:val="both"/>
        <w:rPr>
          <w:sz w:val="22"/>
          <w:szCs w:val="22"/>
        </w:rPr>
      </w:pPr>
      <w:r w:rsidRPr="003C759C">
        <w:rPr>
          <w:sz w:val="22"/>
          <w:szCs w:val="22"/>
        </w:rPr>
        <w:t xml:space="preserve">IFRS 11 </w:t>
      </w:r>
      <w:r w:rsidRPr="003C759C">
        <w:rPr>
          <w:i/>
          <w:sz w:val="22"/>
          <w:szCs w:val="22"/>
        </w:rPr>
        <w:t>‘Joint Arrangements’</w:t>
      </w:r>
      <w:r w:rsidRPr="003C759C">
        <w:rPr>
          <w:sz w:val="22"/>
          <w:szCs w:val="22"/>
        </w:rPr>
        <w:t xml:space="preserve"> is an amendment to clarify accounting for acquisition of interest in a joint operation. The amendment is applicable to annual periods beginning on or after January 1, 2016.</w:t>
      </w:r>
    </w:p>
    <w:p w:rsidR="00D47F31" w:rsidRPr="003C759C" w:rsidRDefault="00D47F31" w:rsidP="00D47F31">
      <w:pPr>
        <w:ind w:left="547"/>
        <w:jc w:val="both"/>
        <w:rPr>
          <w:sz w:val="22"/>
          <w:szCs w:val="22"/>
        </w:rPr>
      </w:pPr>
    </w:p>
    <w:p w:rsidR="004979FE" w:rsidRDefault="00D47F31" w:rsidP="004979FE">
      <w:pPr>
        <w:ind w:left="547"/>
        <w:jc w:val="both"/>
        <w:rPr>
          <w:sz w:val="22"/>
          <w:szCs w:val="22"/>
        </w:rPr>
      </w:pPr>
      <w:r w:rsidRPr="003C759C">
        <w:rPr>
          <w:rFonts w:hint="eastAsia"/>
          <w:sz w:val="22"/>
          <w:szCs w:val="22"/>
        </w:rPr>
        <w:t>The Company has not early adopted these standards, amendments and interpretations and anticipates that the application of these standards, amendments and interpretations will not have a material impact on the financial position and financial performance of the C</w:t>
      </w:r>
      <w:r w:rsidRPr="003C759C">
        <w:rPr>
          <w:sz w:val="22"/>
          <w:szCs w:val="22"/>
        </w:rPr>
        <w:t>o</w:t>
      </w:r>
      <w:r w:rsidRPr="003C759C">
        <w:rPr>
          <w:rFonts w:hint="eastAsia"/>
          <w:sz w:val="22"/>
          <w:szCs w:val="22"/>
        </w:rPr>
        <w:t>mpany.</w:t>
      </w:r>
      <w:bookmarkStart w:id="5" w:name="_Ref117497430"/>
    </w:p>
    <w:p w:rsidR="00FD623E" w:rsidRPr="009E26FF" w:rsidRDefault="00FD623E" w:rsidP="004979FE">
      <w:pPr>
        <w:ind w:left="547"/>
        <w:jc w:val="both"/>
        <w:rPr>
          <w:b/>
          <w:bCs/>
          <w:sz w:val="22"/>
          <w:szCs w:val="22"/>
        </w:rPr>
      </w:pPr>
      <w:r w:rsidRPr="004B7D2B">
        <w:rPr>
          <w:rFonts w:ascii="Times" w:hAnsi="Times"/>
          <w:b/>
          <w:snapToGrid/>
          <w:sz w:val="22"/>
          <w:szCs w:val="22"/>
          <w:lang w:val="en-CA"/>
        </w:rPr>
        <w:lastRenderedPageBreak/>
        <w:t>Financial Instruments</w:t>
      </w:r>
      <w:r>
        <w:rPr>
          <w:rFonts w:ascii="Times" w:hAnsi="Times"/>
          <w:b/>
          <w:snapToGrid/>
          <w:sz w:val="22"/>
          <w:szCs w:val="22"/>
          <w:lang w:val="en-CA"/>
        </w:rPr>
        <w:t xml:space="preserve"> and Risk Management</w:t>
      </w:r>
    </w:p>
    <w:p w:rsidR="00FD623E" w:rsidRDefault="00FD623E" w:rsidP="00FD623E">
      <w:pPr>
        <w:ind w:left="547"/>
        <w:rPr>
          <w:rFonts w:ascii="Times" w:hAnsi="Times"/>
          <w:b/>
          <w:snapToGrid/>
          <w:sz w:val="22"/>
          <w:szCs w:val="22"/>
          <w:lang w:val="en-CA"/>
        </w:rPr>
      </w:pPr>
    </w:p>
    <w:p w:rsidR="00FD623E" w:rsidRDefault="00FD623E" w:rsidP="00FD623E">
      <w:pPr>
        <w:ind w:left="547"/>
        <w:jc w:val="both"/>
        <w:rPr>
          <w:rFonts w:ascii="Times" w:hAnsi="Times"/>
          <w:b/>
          <w:snapToGrid/>
          <w:sz w:val="22"/>
          <w:szCs w:val="22"/>
          <w:lang w:val="en-CA"/>
        </w:rPr>
      </w:pPr>
      <w:r>
        <w:rPr>
          <w:rFonts w:ascii="Times" w:hAnsi="Times"/>
          <w:b/>
          <w:snapToGrid/>
          <w:sz w:val="22"/>
          <w:szCs w:val="22"/>
          <w:lang w:val="en-CA"/>
        </w:rPr>
        <w:t>Fair values</w:t>
      </w:r>
    </w:p>
    <w:p w:rsidR="00FD623E" w:rsidRDefault="00FD623E" w:rsidP="00FD623E">
      <w:pPr>
        <w:ind w:left="547"/>
        <w:jc w:val="both"/>
        <w:rPr>
          <w:rFonts w:ascii="Times" w:hAnsi="Times"/>
          <w:b/>
          <w:snapToGrid/>
          <w:sz w:val="22"/>
          <w:szCs w:val="22"/>
          <w:lang w:val="en-CA"/>
        </w:rPr>
      </w:pPr>
    </w:p>
    <w:p w:rsidR="00FD623E" w:rsidRPr="004B7D2B" w:rsidRDefault="00FD623E" w:rsidP="00FD623E">
      <w:pPr>
        <w:ind w:left="547"/>
        <w:jc w:val="both"/>
        <w:rPr>
          <w:rFonts w:ascii="Times" w:hAnsi="Times"/>
          <w:sz w:val="22"/>
          <w:szCs w:val="22"/>
        </w:rPr>
      </w:pPr>
      <w:r w:rsidRPr="004B7D2B">
        <w:rPr>
          <w:rFonts w:ascii="Times" w:hAnsi="Times"/>
          <w:sz w:val="22"/>
          <w:szCs w:val="22"/>
        </w:rPr>
        <w:t xml:space="preserve">As at </w:t>
      </w:r>
      <w:r w:rsidR="0027682B">
        <w:rPr>
          <w:rFonts w:ascii="Times" w:hAnsi="Times"/>
          <w:sz w:val="22"/>
          <w:szCs w:val="22"/>
        </w:rPr>
        <w:t>30</w:t>
      </w:r>
      <w:r w:rsidR="001E7F5F">
        <w:rPr>
          <w:rFonts w:ascii="Times" w:hAnsi="Times"/>
          <w:sz w:val="22"/>
          <w:szCs w:val="22"/>
        </w:rPr>
        <w:t xml:space="preserve"> </w:t>
      </w:r>
      <w:r w:rsidR="0027682B">
        <w:rPr>
          <w:rFonts w:ascii="Times" w:hAnsi="Times"/>
          <w:sz w:val="22"/>
          <w:szCs w:val="22"/>
        </w:rPr>
        <w:t>April</w:t>
      </w:r>
      <w:r w:rsidR="00AF6042">
        <w:rPr>
          <w:rFonts w:ascii="Times" w:hAnsi="Times"/>
          <w:sz w:val="22"/>
          <w:szCs w:val="22"/>
        </w:rPr>
        <w:t xml:space="preserve"> </w:t>
      </w:r>
      <w:r w:rsidR="00042A59">
        <w:rPr>
          <w:rFonts w:ascii="Times" w:hAnsi="Times"/>
          <w:sz w:val="22"/>
          <w:szCs w:val="22"/>
        </w:rPr>
        <w:t>2015</w:t>
      </w:r>
      <w:r w:rsidRPr="004B7D2B">
        <w:rPr>
          <w:rFonts w:ascii="Times" w:hAnsi="Times"/>
          <w:sz w:val="22"/>
          <w:szCs w:val="22"/>
        </w:rPr>
        <w:t>, the Company’s carrying values of cash and cash equivalents</w:t>
      </w:r>
      <w:r w:rsidR="006639F0">
        <w:rPr>
          <w:rFonts w:ascii="Times" w:hAnsi="Times"/>
          <w:sz w:val="22"/>
          <w:szCs w:val="22"/>
        </w:rPr>
        <w:t xml:space="preserve"> </w:t>
      </w:r>
      <w:r w:rsidR="00FB39D7">
        <w:rPr>
          <w:rFonts w:ascii="Times" w:hAnsi="Times"/>
          <w:sz w:val="22"/>
          <w:szCs w:val="22"/>
        </w:rPr>
        <w:t>and</w:t>
      </w:r>
      <w:r>
        <w:rPr>
          <w:rFonts w:ascii="Times" w:hAnsi="Times"/>
          <w:sz w:val="22"/>
          <w:szCs w:val="22"/>
        </w:rPr>
        <w:t xml:space="preserve"> trade</w:t>
      </w:r>
      <w:r w:rsidRPr="004B7D2B">
        <w:rPr>
          <w:rFonts w:ascii="Times" w:hAnsi="Times"/>
          <w:sz w:val="22"/>
          <w:szCs w:val="22"/>
        </w:rPr>
        <w:t xml:space="preserve"> payable</w:t>
      </w:r>
      <w:r>
        <w:rPr>
          <w:rFonts w:ascii="Times" w:hAnsi="Times"/>
          <w:sz w:val="22"/>
          <w:szCs w:val="22"/>
        </w:rPr>
        <w:t>s</w:t>
      </w:r>
      <w:r w:rsidRPr="004B7D2B">
        <w:rPr>
          <w:rFonts w:ascii="Times" w:hAnsi="Times"/>
          <w:sz w:val="22"/>
          <w:szCs w:val="22"/>
        </w:rPr>
        <w:t xml:space="preserve"> approximate their fair values due to their short term maturity.</w:t>
      </w:r>
    </w:p>
    <w:p w:rsidR="00FD623E" w:rsidRDefault="00FD623E" w:rsidP="00FD623E">
      <w:pPr>
        <w:ind w:left="547"/>
        <w:rPr>
          <w:rFonts w:ascii="Times" w:hAnsi="Times"/>
          <w:sz w:val="22"/>
          <w:szCs w:val="22"/>
        </w:rPr>
      </w:pPr>
    </w:p>
    <w:tbl>
      <w:tblPr>
        <w:tblW w:w="9731" w:type="dxa"/>
        <w:tblInd w:w="547" w:type="dxa"/>
        <w:tblLayout w:type="fixed"/>
        <w:tblLook w:val="01E0"/>
      </w:tblPr>
      <w:tblGrid>
        <w:gridCol w:w="3295"/>
        <w:gridCol w:w="1846"/>
        <w:gridCol w:w="2160"/>
        <w:gridCol w:w="2430"/>
      </w:tblGrid>
      <w:tr w:rsidR="002F2504" w:rsidRPr="00CE4CBC" w:rsidTr="002F2504">
        <w:trPr>
          <w:trHeight w:val="283"/>
        </w:trPr>
        <w:tc>
          <w:tcPr>
            <w:tcW w:w="3295" w:type="dxa"/>
            <w:shd w:val="clear" w:color="auto" w:fill="FFFFFF"/>
            <w:vAlign w:val="bottom"/>
          </w:tcPr>
          <w:p w:rsidR="002F2504" w:rsidRPr="00CE4CBC" w:rsidRDefault="002F2504" w:rsidP="0097714E">
            <w:pPr>
              <w:ind w:left="-47" w:firstLine="40"/>
              <w:rPr>
                <w:b/>
                <w:sz w:val="20"/>
              </w:rPr>
            </w:pPr>
          </w:p>
        </w:tc>
        <w:tc>
          <w:tcPr>
            <w:tcW w:w="1846" w:type="dxa"/>
            <w:shd w:val="clear" w:color="auto" w:fill="FFFFFF"/>
            <w:vAlign w:val="bottom"/>
          </w:tcPr>
          <w:p w:rsidR="002F2504" w:rsidRPr="00CE4CBC" w:rsidRDefault="002F2504" w:rsidP="00186B72">
            <w:pPr>
              <w:jc w:val="right"/>
              <w:rPr>
                <w:b/>
                <w:sz w:val="20"/>
              </w:rPr>
            </w:pPr>
            <w:r w:rsidRPr="00CE4CBC">
              <w:rPr>
                <w:b/>
                <w:sz w:val="20"/>
              </w:rPr>
              <w:t>Fair value hierarchy</w:t>
            </w:r>
          </w:p>
        </w:tc>
        <w:tc>
          <w:tcPr>
            <w:tcW w:w="2160" w:type="dxa"/>
            <w:shd w:val="clear" w:color="auto" w:fill="FFFFFF"/>
            <w:vAlign w:val="bottom"/>
          </w:tcPr>
          <w:p w:rsidR="002F2504" w:rsidRPr="00CE4CBC" w:rsidRDefault="002F2504" w:rsidP="00186B72">
            <w:pPr>
              <w:jc w:val="right"/>
              <w:rPr>
                <w:b/>
                <w:sz w:val="20"/>
              </w:rPr>
            </w:pPr>
            <w:r w:rsidRPr="00CE4CBC">
              <w:rPr>
                <w:b/>
                <w:sz w:val="20"/>
              </w:rPr>
              <w:t xml:space="preserve">FVTPL, </w:t>
            </w:r>
          </w:p>
          <w:p w:rsidR="002F2504" w:rsidRPr="00CE4CBC" w:rsidRDefault="002F2504" w:rsidP="00186B72">
            <w:pPr>
              <w:jc w:val="right"/>
              <w:rPr>
                <w:b/>
                <w:sz w:val="20"/>
              </w:rPr>
            </w:pPr>
            <w:r w:rsidRPr="00CE4CBC">
              <w:rPr>
                <w:b/>
                <w:sz w:val="20"/>
              </w:rPr>
              <w:t>at fair value</w:t>
            </w:r>
          </w:p>
        </w:tc>
        <w:tc>
          <w:tcPr>
            <w:tcW w:w="2430" w:type="dxa"/>
            <w:shd w:val="clear" w:color="auto" w:fill="FFFFFF"/>
            <w:vAlign w:val="bottom"/>
          </w:tcPr>
          <w:p w:rsidR="002F2504" w:rsidRPr="00CE4CBC" w:rsidRDefault="002F2504" w:rsidP="00186B72">
            <w:pPr>
              <w:ind w:left="-88"/>
              <w:jc w:val="right"/>
              <w:rPr>
                <w:b/>
                <w:sz w:val="20"/>
              </w:rPr>
            </w:pPr>
            <w:r w:rsidRPr="00CE4CBC">
              <w:rPr>
                <w:b/>
                <w:sz w:val="20"/>
              </w:rPr>
              <w:t>Other liabilities,</w:t>
            </w:r>
          </w:p>
          <w:p w:rsidR="002F2504" w:rsidRPr="00CE4CBC" w:rsidRDefault="002F2504" w:rsidP="00186B72">
            <w:pPr>
              <w:ind w:left="-88"/>
              <w:jc w:val="right"/>
              <w:rPr>
                <w:b/>
                <w:sz w:val="20"/>
              </w:rPr>
            </w:pPr>
            <w:r w:rsidRPr="00CE4CBC">
              <w:rPr>
                <w:b/>
                <w:sz w:val="20"/>
              </w:rPr>
              <w:t>at amortized cost</w:t>
            </w:r>
          </w:p>
        </w:tc>
      </w:tr>
      <w:tr w:rsidR="002F2504" w:rsidRPr="00CE4CBC" w:rsidTr="002F2504">
        <w:trPr>
          <w:trHeight w:val="283"/>
        </w:trPr>
        <w:tc>
          <w:tcPr>
            <w:tcW w:w="3295" w:type="dxa"/>
            <w:shd w:val="clear" w:color="auto" w:fill="FFFFFF"/>
            <w:vAlign w:val="bottom"/>
          </w:tcPr>
          <w:p w:rsidR="002F2504" w:rsidRPr="00CE4CBC" w:rsidRDefault="006A7991">
            <w:pPr>
              <w:rPr>
                <w:sz w:val="20"/>
              </w:rPr>
            </w:pPr>
            <w:r>
              <w:rPr>
                <w:b/>
                <w:sz w:val="20"/>
              </w:rPr>
              <w:t xml:space="preserve">As at </w:t>
            </w:r>
            <w:r w:rsidR="0027682B">
              <w:rPr>
                <w:b/>
                <w:sz w:val="20"/>
              </w:rPr>
              <w:t>30</w:t>
            </w:r>
            <w:r w:rsidR="001E7F5F">
              <w:rPr>
                <w:b/>
                <w:sz w:val="20"/>
              </w:rPr>
              <w:t xml:space="preserve"> </w:t>
            </w:r>
            <w:r w:rsidR="0027682B">
              <w:rPr>
                <w:b/>
                <w:sz w:val="20"/>
              </w:rPr>
              <w:t>April</w:t>
            </w:r>
            <w:r w:rsidR="00AF6042">
              <w:rPr>
                <w:b/>
                <w:sz w:val="20"/>
              </w:rPr>
              <w:t xml:space="preserve"> </w:t>
            </w:r>
            <w:r w:rsidR="001E7F5F">
              <w:rPr>
                <w:b/>
                <w:sz w:val="20"/>
              </w:rPr>
              <w:t>201</w:t>
            </w:r>
            <w:r w:rsidR="00042A59">
              <w:rPr>
                <w:b/>
                <w:sz w:val="20"/>
              </w:rPr>
              <w:t>5</w:t>
            </w:r>
          </w:p>
        </w:tc>
        <w:tc>
          <w:tcPr>
            <w:tcW w:w="1846" w:type="dxa"/>
            <w:shd w:val="clear" w:color="auto" w:fill="FFFFFF"/>
            <w:vAlign w:val="bottom"/>
          </w:tcPr>
          <w:p w:rsidR="002F2504" w:rsidRPr="00CE4CBC" w:rsidRDefault="002F2504" w:rsidP="00186B72">
            <w:pPr>
              <w:jc w:val="right"/>
              <w:rPr>
                <w:sz w:val="20"/>
              </w:rPr>
            </w:pPr>
          </w:p>
        </w:tc>
        <w:tc>
          <w:tcPr>
            <w:tcW w:w="2160" w:type="dxa"/>
            <w:shd w:val="clear" w:color="auto" w:fill="FFFFFF"/>
            <w:vAlign w:val="bottom"/>
          </w:tcPr>
          <w:p w:rsidR="002F2504" w:rsidRPr="00CE4CBC" w:rsidRDefault="002F2504" w:rsidP="00186B72">
            <w:pPr>
              <w:jc w:val="right"/>
              <w:rPr>
                <w:sz w:val="20"/>
              </w:rPr>
            </w:pPr>
          </w:p>
        </w:tc>
        <w:tc>
          <w:tcPr>
            <w:tcW w:w="2430" w:type="dxa"/>
            <w:shd w:val="clear" w:color="auto" w:fill="FFFFFF"/>
            <w:vAlign w:val="bottom"/>
          </w:tcPr>
          <w:p w:rsidR="002F2504" w:rsidRPr="00CE4CBC" w:rsidRDefault="002F2504" w:rsidP="00186B72">
            <w:pPr>
              <w:ind w:left="-88"/>
              <w:jc w:val="right"/>
              <w:rPr>
                <w:sz w:val="20"/>
              </w:rPr>
            </w:pPr>
          </w:p>
        </w:tc>
      </w:tr>
      <w:tr w:rsidR="002F2504" w:rsidRPr="00CE4CBC" w:rsidTr="002F2504">
        <w:trPr>
          <w:trHeight w:val="283"/>
        </w:trPr>
        <w:tc>
          <w:tcPr>
            <w:tcW w:w="3295" w:type="dxa"/>
            <w:shd w:val="clear" w:color="auto" w:fill="FFFFFF"/>
            <w:vAlign w:val="bottom"/>
          </w:tcPr>
          <w:p w:rsidR="002F2504" w:rsidRPr="00CE4CBC" w:rsidRDefault="002F2504" w:rsidP="00186B72">
            <w:pPr>
              <w:rPr>
                <w:sz w:val="20"/>
              </w:rPr>
            </w:pPr>
            <w:r w:rsidRPr="00CE4CBC">
              <w:rPr>
                <w:sz w:val="20"/>
              </w:rPr>
              <w:t>Cash and cash equivalents</w:t>
            </w:r>
          </w:p>
        </w:tc>
        <w:tc>
          <w:tcPr>
            <w:tcW w:w="1846" w:type="dxa"/>
            <w:shd w:val="clear" w:color="auto" w:fill="FFFFFF"/>
            <w:vAlign w:val="bottom"/>
          </w:tcPr>
          <w:p w:rsidR="002F2504" w:rsidRPr="00CE4CBC" w:rsidRDefault="002F2504" w:rsidP="00186B72">
            <w:pPr>
              <w:ind w:left="-88"/>
              <w:jc w:val="right"/>
              <w:rPr>
                <w:sz w:val="20"/>
              </w:rPr>
            </w:pPr>
            <w:r w:rsidRPr="00CE4CBC">
              <w:rPr>
                <w:sz w:val="20"/>
              </w:rPr>
              <w:t>Level 1</w:t>
            </w:r>
          </w:p>
        </w:tc>
        <w:tc>
          <w:tcPr>
            <w:tcW w:w="2160" w:type="dxa"/>
            <w:shd w:val="clear" w:color="auto" w:fill="FFFFFF"/>
            <w:vAlign w:val="bottom"/>
          </w:tcPr>
          <w:p w:rsidR="002F2504" w:rsidRPr="005E4B93" w:rsidRDefault="00254498" w:rsidP="00186B72">
            <w:pPr>
              <w:ind w:left="-88"/>
              <w:jc w:val="right"/>
              <w:rPr>
                <w:sz w:val="20"/>
              </w:rPr>
            </w:pPr>
            <w:r>
              <w:rPr>
                <w:sz w:val="20"/>
              </w:rPr>
              <w:t>2</w:t>
            </w:r>
            <w:r w:rsidR="000B1148">
              <w:rPr>
                <w:sz w:val="20"/>
              </w:rPr>
              <w:t>,</w:t>
            </w:r>
            <w:r>
              <w:rPr>
                <w:sz w:val="20"/>
              </w:rPr>
              <w:t>553</w:t>
            </w:r>
          </w:p>
        </w:tc>
        <w:tc>
          <w:tcPr>
            <w:tcW w:w="2430" w:type="dxa"/>
            <w:shd w:val="clear" w:color="auto" w:fill="FFFFFF"/>
            <w:vAlign w:val="bottom"/>
          </w:tcPr>
          <w:p w:rsidR="002F2504" w:rsidRPr="005E4B93" w:rsidRDefault="002F2504" w:rsidP="00186B72">
            <w:pPr>
              <w:ind w:left="-88"/>
              <w:jc w:val="right"/>
              <w:rPr>
                <w:sz w:val="20"/>
              </w:rPr>
            </w:pPr>
            <w:r w:rsidRPr="005E4B93">
              <w:rPr>
                <w:sz w:val="20"/>
              </w:rPr>
              <w:t>-</w:t>
            </w:r>
          </w:p>
        </w:tc>
      </w:tr>
      <w:tr w:rsidR="002F2504" w:rsidRPr="00CE4CBC" w:rsidTr="002F2504">
        <w:trPr>
          <w:trHeight w:val="283"/>
        </w:trPr>
        <w:tc>
          <w:tcPr>
            <w:tcW w:w="3295" w:type="dxa"/>
            <w:shd w:val="clear" w:color="auto" w:fill="FFFFFF"/>
            <w:vAlign w:val="bottom"/>
          </w:tcPr>
          <w:p w:rsidR="002F2504" w:rsidRPr="00CE4CBC" w:rsidRDefault="002F2504" w:rsidP="00DA6A5A">
            <w:pPr>
              <w:rPr>
                <w:sz w:val="20"/>
              </w:rPr>
            </w:pPr>
            <w:r w:rsidRPr="00CE4CBC">
              <w:rPr>
                <w:sz w:val="20"/>
              </w:rPr>
              <w:t xml:space="preserve">Trade payables </w:t>
            </w:r>
          </w:p>
        </w:tc>
        <w:tc>
          <w:tcPr>
            <w:tcW w:w="1846" w:type="dxa"/>
            <w:shd w:val="clear" w:color="auto" w:fill="FFFFFF"/>
            <w:vAlign w:val="bottom"/>
          </w:tcPr>
          <w:p w:rsidR="002F2504" w:rsidRPr="00CE4CBC" w:rsidRDefault="002F2504" w:rsidP="00186B72">
            <w:pPr>
              <w:ind w:left="-88"/>
              <w:jc w:val="right"/>
              <w:rPr>
                <w:sz w:val="20"/>
              </w:rPr>
            </w:pPr>
            <w:r w:rsidRPr="00CE4CBC">
              <w:rPr>
                <w:sz w:val="20"/>
              </w:rPr>
              <w:t>N/A</w:t>
            </w:r>
          </w:p>
        </w:tc>
        <w:tc>
          <w:tcPr>
            <w:tcW w:w="2160" w:type="dxa"/>
            <w:shd w:val="clear" w:color="auto" w:fill="FFFFFF"/>
            <w:vAlign w:val="bottom"/>
          </w:tcPr>
          <w:p w:rsidR="002F2504" w:rsidRPr="005E4B93" w:rsidRDefault="002F2504" w:rsidP="00186B72">
            <w:pPr>
              <w:ind w:left="-88"/>
              <w:jc w:val="right"/>
              <w:rPr>
                <w:sz w:val="20"/>
              </w:rPr>
            </w:pPr>
            <w:r w:rsidRPr="005E4B93">
              <w:rPr>
                <w:sz w:val="20"/>
              </w:rPr>
              <w:t>-</w:t>
            </w:r>
          </w:p>
        </w:tc>
        <w:tc>
          <w:tcPr>
            <w:tcW w:w="2430" w:type="dxa"/>
            <w:shd w:val="clear" w:color="auto" w:fill="FFFFFF"/>
            <w:vAlign w:val="bottom"/>
          </w:tcPr>
          <w:p w:rsidR="002F2504" w:rsidRPr="005E4B93" w:rsidRDefault="00254498" w:rsidP="007B568C">
            <w:pPr>
              <w:ind w:left="-88"/>
              <w:jc w:val="right"/>
              <w:rPr>
                <w:sz w:val="20"/>
              </w:rPr>
            </w:pPr>
            <w:r>
              <w:rPr>
                <w:sz w:val="20"/>
              </w:rPr>
              <w:t>99,261</w:t>
            </w:r>
          </w:p>
        </w:tc>
      </w:tr>
      <w:tr w:rsidR="002F2504" w:rsidRPr="00CE4CBC" w:rsidTr="002F2504">
        <w:trPr>
          <w:trHeight w:val="283"/>
        </w:trPr>
        <w:tc>
          <w:tcPr>
            <w:tcW w:w="3295" w:type="dxa"/>
            <w:shd w:val="clear" w:color="auto" w:fill="FFFFFF"/>
            <w:vAlign w:val="bottom"/>
          </w:tcPr>
          <w:p w:rsidR="002F2504" w:rsidRPr="00CE4CBC" w:rsidRDefault="002F2504" w:rsidP="00DA6A5A">
            <w:pPr>
              <w:rPr>
                <w:sz w:val="20"/>
              </w:rPr>
            </w:pPr>
          </w:p>
        </w:tc>
        <w:tc>
          <w:tcPr>
            <w:tcW w:w="1846" w:type="dxa"/>
            <w:shd w:val="clear" w:color="auto" w:fill="FFFFFF"/>
            <w:vAlign w:val="bottom"/>
          </w:tcPr>
          <w:p w:rsidR="002F2504" w:rsidRPr="00CE4CBC" w:rsidRDefault="002F2504" w:rsidP="00186B72">
            <w:pPr>
              <w:ind w:left="-88"/>
              <w:jc w:val="right"/>
              <w:rPr>
                <w:sz w:val="20"/>
              </w:rPr>
            </w:pPr>
          </w:p>
        </w:tc>
        <w:tc>
          <w:tcPr>
            <w:tcW w:w="2160" w:type="dxa"/>
            <w:shd w:val="clear" w:color="auto" w:fill="FFFFFF"/>
            <w:vAlign w:val="bottom"/>
          </w:tcPr>
          <w:p w:rsidR="002F2504" w:rsidRPr="00CE4CBC" w:rsidRDefault="002F2504" w:rsidP="00186B72">
            <w:pPr>
              <w:ind w:left="-88"/>
              <w:jc w:val="right"/>
              <w:rPr>
                <w:sz w:val="20"/>
              </w:rPr>
            </w:pPr>
          </w:p>
        </w:tc>
        <w:tc>
          <w:tcPr>
            <w:tcW w:w="2430" w:type="dxa"/>
            <w:shd w:val="clear" w:color="auto" w:fill="FFFFFF"/>
            <w:vAlign w:val="bottom"/>
          </w:tcPr>
          <w:p w:rsidR="002F2504" w:rsidRPr="00CE4CBC" w:rsidRDefault="002F2504" w:rsidP="00186B72">
            <w:pPr>
              <w:ind w:left="-88"/>
              <w:jc w:val="right"/>
              <w:rPr>
                <w:sz w:val="20"/>
              </w:rPr>
            </w:pPr>
          </w:p>
        </w:tc>
      </w:tr>
      <w:tr w:rsidR="006A7991" w:rsidRPr="00CE4CBC" w:rsidTr="002F2504">
        <w:trPr>
          <w:trHeight w:val="283"/>
        </w:trPr>
        <w:tc>
          <w:tcPr>
            <w:tcW w:w="3295" w:type="dxa"/>
            <w:shd w:val="clear" w:color="auto" w:fill="FFFFFF"/>
            <w:vAlign w:val="bottom"/>
          </w:tcPr>
          <w:p w:rsidR="006A7991" w:rsidRPr="00CE4CBC" w:rsidRDefault="006A7991" w:rsidP="006A7991">
            <w:pPr>
              <w:rPr>
                <w:sz w:val="20"/>
              </w:rPr>
            </w:pPr>
            <w:r w:rsidRPr="00CE4CBC">
              <w:rPr>
                <w:b/>
                <w:sz w:val="20"/>
              </w:rPr>
              <w:t>As at 31 January 201</w:t>
            </w:r>
            <w:r w:rsidR="00042A59">
              <w:rPr>
                <w:b/>
                <w:sz w:val="20"/>
              </w:rPr>
              <w:t>5</w:t>
            </w:r>
          </w:p>
        </w:tc>
        <w:tc>
          <w:tcPr>
            <w:tcW w:w="1846" w:type="dxa"/>
            <w:shd w:val="clear" w:color="auto" w:fill="FFFFFF"/>
            <w:vAlign w:val="bottom"/>
          </w:tcPr>
          <w:p w:rsidR="006A7991" w:rsidRPr="00CE4CBC" w:rsidRDefault="006A7991" w:rsidP="006A7991">
            <w:pPr>
              <w:jc w:val="right"/>
              <w:rPr>
                <w:sz w:val="20"/>
              </w:rPr>
            </w:pPr>
          </w:p>
        </w:tc>
        <w:tc>
          <w:tcPr>
            <w:tcW w:w="2160" w:type="dxa"/>
            <w:shd w:val="clear" w:color="auto" w:fill="FFFFFF"/>
            <w:vAlign w:val="bottom"/>
          </w:tcPr>
          <w:p w:rsidR="006A7991" w:rsidRPr="00CE4CBC" w:rsidRDefault="006A7991" w:rsidP="006A7991">
            <w:pPr>
              <w:jc w:val="right"/>
              <w:rPr>
                <w:sz w:val="20"/>
              </w:rPr>
            </w:pPr>
          </w:p>
        </w:tc>
        <w:tc>
          <w:tcPr>
            <w:tcW w:w="2430" w:type="dxa"/>
            <w:shd w:val="clear" w:color="auto" w:fill="FFFFFF"/>
            <w:vAlign w:val="bottom"/>
          </w:tcPr>
          <w:p w:rsidR="006A7991" w:rsidRPr="00CE4CBC" w:rsidRDefault="006A7991" w:rsidP="006A7991">
            <w:pPr>
              <w:ind w:left="-88"/>
              <w:jc w:val="right"/>
              <w:rPr>
                <w:sz w:val="20"/>
              </w:rPr>
            </w:pPr>
          </w:p>
        </w:tc>
      </w:tr>
      <w:tr w:rsidR="00882981" w:rsidRPr="00CE4CBC" w:rsidTr="002F2504">
        <w:trPr>
          <w:trHeight w:val="283"/>
        </w:trPr>
        <w:tc>
          <w:tcPr>
            <w:tcW w:w="3295" w:type="dxa"/>
            <w:shd w:val="clear" w:color="auto" w:fill="FFFFFF"/>
            <w:vAlign w:val="bottom"/>
          </w:tcPr>
          <w:p w:rsidR="00882981" w:rsidRPr="00CE4CBC" w:rsidRDefault="00882981" w:rsidP="006A7991">
            <w:pPr>
              <w:rPr>
                <w:sz w:val="20"/>
              </w:rPr>
            </w:pPr>
            <w:r w:rsidRPr="00CE4CBC">
              <w:rPr>
                <w:sz w:val="20"/>
              </w:rPr>
              <w:t>Cash and cash equivalents</w:t>
            </w:r>
          </w:p>
        </w:tc>
        <w:tc>
          <w:tcPr>
            <w:tcW w:w="1846" w:type="dxa"/>
            <w:shd w:val="clear" w:color="auto" w:fill="FFFFFF"/>
            <w:vAlign w:val="bottom"/>
          </w:tcPr>
          <w:p w:rsidR="00882981" w:rsidRPr="00CE4CBC" w:rsidRDefault="00882981" w:rsidP="006A7991">
            <w:pPr>
              <w:ind w:left="-88"/>
              <w:jc w:val="right"/>
              <w:rPr>
                <w:sz w:val="20"/>
              </w:rPr>
            </w:pPr>
            <w:r w:rsidRPr="00CE4CBC">
              <w:rPr>
                <w:sz w:val="20"/>
              </w:rPr>
              <w:t>Level 1</w:t>
            </w:r>
          </w:p>
        </w:tc>
        <w:tc>
          <w:tcPr>
            <w:tcW w:w="2160" w:type="dxa"/>
            <w:shd w:val="clear" w:color="auto" w:fill="FFFFFF"/>
            <w:vAlign w:val="bottom"/>
          </w:tcPr>
          <w:p w:rsidR="00882981" w:rsidRPr="00CE4CBC" w:rsidRDefault="00042A59" w:rsidP="00882981">
            <w:pPr>
              <w:ind w:left="-88"/>
              <w:jc w:val="right"/>
              <w:rPr>
                <w:sz w:val="20"/>
              </w:rPr>
            </w:pPr>
            <w:r>
              <w:rPr>
                <w:sz w:val="20"/>
              </w:rPr>
              <w:t>31,268</w:t>
            </w:r>
          </w:p>
        </w:tc>
        <w:tc>
          <w:tcPr>
            <w:tcW w:w="2430" w:type="dxa"/>
            <w:shd w:val="clear" w:color="auto" w:fill="FFFFFF"/>
            <w:vAlign w:val="bottom"/>
          </w:tcPr>
          <w:p w:rsidR="00882981" w:rsidRPr="00CE4CBC" w:rsidRDefault="00882981" w:rsidP="00882981">
            <w:pPr>
              <w:ind w:left="-88"/>
              <w:jc w:val="right"/>
              <w:rPr>
                <w:sz w:val="20"/>
              </w:rPr>
            </w:pPr>
            <w:r w:rsidRPr="00CE4CBC">
              <w:rPr>
                <w:sz w:val="20"/>
              </w:rPr>
              <w:t>-</w:t>
            </w:r>
          </w:p>
        </w:tc>
      </w:tr>
      <w:tr w:rsidR="00882981" w:rsidRPr="00CE4CBC" w:rsidTr="006A7991">
        <w:trPr>
          <w:trHeight w:val="283"/>
        </w:trPr>
        <w:tc>
          <w:tcPr>
            <w:tcW w:w="3295" w:type="dxa"/>
            <w:shd w:val="clear" w:color="auto" w:fill="FFFFFF"/>
            <w:vAlign w:val="bottom"/>
          </w:tcPr>
          <w:p w:rsidR="00882981" w:rsidRPr="00CE4CBC" w:rsidRDefault="00882981" w:rsidP="006A7991">
            <w:pPr>
              <w:rPr>
                <w:sz w:val="20"/>
              </w:rPr>
            </w:pPr>
            <w:r w:rsidRPr="00CE4CBC">
              <w:rPr>
                <w:sz w:val="20"/>
              </w:rPr>
              <w:t xml:space="preserve">Trade payables </w:t>
            </w:r>
          </w:p>
        </w:tc>
        <w:tc>
          <w:tcPr>
            <w:tcW w:w="1846" w:type="dxa"/>
            <w:shd w:val="clear" w:color="auto" w:fill="FFFFFF"/>
            <w:vAlign w:val="bottom"/>
          </w:tcPr>
          <w:p w:rsidR="00882981" w:rsidRPr="00CE4CBC" w:rsidRDefault="00882981" w:rsidP="006A7991">
            <w:pPr>
              <w:ind w:left="-88"/>
              <w:jc w:val="right"/>
              <w:rPr>
                <w:sz w:val="20"/>
              </w:rPr>
            </w:pPr>
            <w:r w:rsidRPr="00CE4CBC">
              <w:rPr>
                <w:sz w:val="20"/>
              </w:rPr>
              <w:t>N/A</w:t>
            </w:r>
          </w:p>
        </w:tc>
        <w:tc>
          <w:tcPr>
            <w:tcW w:w="2160" w:type="dxa"/>
            <w:shd w:val="clear" w:color="auto" w:fill="FFFFFF"/>
            <w:vAlign w:val="bottom"/>
          </w:tcPr>
          <w:p w:rsidR="00882981" w:rsidRPr="00CE4CBC" w:rsidRDefault="00882981" w:rsidP="00882981">
            <w:pPr>
              <w:ind w:left="-88"/>
              <w:jc w:val="right"/>
              <w:rPr>
                <w:sz w:val="20"/>
              </w:rPr>
            </w:pPr>
            <w:r w:rsidRPr="00CE4CBC">
              <w:rPr>
                <w:sz w:val="20"/>
              </w:rPr>
              <w:t>-</w:t>
            </w:r>
          </w:p>
        </w:tc>
        <w:tc>
          <w:tcPr>
            <w:tcW w:w="2430" w:type="dxa"/>
            <w:shd w:val="clear" w:color="auto" w:fill="FFFFFF"/>
            <w:vAlign w:val="bottom"/>
          </w:tcPr>
          <w:p w:rsidR="00882981" w:rsidRPr="00A910FA" w:rsidRDefault="00042A59" w:rsidP="00882981">
            <w:pPr>
              <w:ind w:left="-88"/>
              <w:jc w:val="right"/>
              <w:rPr>
                <w:sz w:val="20"/>
              </w:rPr>
            </w:pPr>
            <w:r>
              <w:rPr>
                <w:sz w:val="20"/>
              </w:rPr>
              <w:t>5,126</w:t>
            </w:r>
          </w:p>
        </w:tc>
      </w:tr>
    </w:tbl>
    <w:p w:rsidR="00FD623E" w:rsidRDefault="00FD623E" w:rsidP="00FD623E">
      <w:pPr>
        <w:tabs>
          <w:tab w:val="left" w:pos="360"/>
        </w:tabs>
        <w:jc w:val="both"/>
        <w:rPr>
          <w:bCs/>
          <w:sz w:val="22"/>
          <w:szCs w:val="22"/>
        </w:rPr>
      </w:pPr>
    </w:p>
    <w:p w:rsidR="00FD623E" w:rsidRDefault="00FD623E" w:rsidP="00FD623E">
      <w:pPr>
        <w:ind w:left="540"/>
        <w:jc w:val="both"/>
        <w:rPr>
          <w:bCs/>
          <w:sz w:val="22"/>
          <w:szCs w:val="22"/>
        </w:rPr>
      </w:pPr>
      <w:r>
        <w:rPr>
          <w:bCs/>
          <w:sz w:val="22"/>
          <w:szCs w:val="22"/>
        </w:rPr>
        <w:t>Disclosure of a three-level hierarchy for fair value measurements based upon transparency of inputs to the valuation of financial instruments carried on the balance sheet at fair values is as follows:</w:t>
      </w:r>
    </w:p>
    <w:p w:rsidR="00FD623E" w:rsidRDefault="00FD623E" w:rsidP="00FD623E">
      <w:pPr>
        <w:tabs>
          <w:tab w:val="left" w:pos="360"/>
        </w:tabs>
        <w:ind w:left="360" w:hanging="360"/>
        <w:jc w:val="both"/>
        <w:rPr>
          <w:bCs/>
          <w:sz w:val="22"/>
          <w:szCs w:val="22"/>
        </w:rPr>
      </w:pPr>
    </w:p>
    <w:p w:rsidR="00FD623E" w:rsidRDefault="00FD623E" w:rsidP="00FD623E">
      <w:pPr>
        <w:tabs>
          <w:tab w:val="left" w:pos="540"/>
          <w:tab w:val="left" w:pos="1440"/>
        </w:tabs>
        <w:ind w:left="1440" w:hanging="1440"/>
        <w:jc w:val="both"/>
        <w:rPr>
          <w:bCs/>
          <w:sz w:val="22"/>
          <w:szCs w:val="22"/>
        </w:rPr>
      </w:pPr>
      <w:r>
        <w:rPr>
          <w:bCs/>
          <w:sz w:val="22"/>
          <w:szCs w:val="22"/>
        </w:rPr>
        <w:tab/>
        <w:t>Level 1:</w:t>
      </w:r>
      <w:r>
        <w:rPr>
          <w:bCs/>
          <w:sz w:val="22"/>
          <w:szCs w:val="22"/>
        </w:rPr>
        <w:tab/>
        <w:t>inputs to the valuation methodology are quoted prices (unadjusted) for identical assets or liabilities in active markets.</w:t>
      </w:r>
    </w:p>
    <w:p w:rsidR="00677E38" w:rsidRDefault="00FD623E" w:rsidP="00FD623E">
      <w:pPr>
        <w:tabs>
          <w:tab w:val="left" w:pos="540"/>
          <w:tab w:val="left" w:pos="1440"/>
        </w:tabs>
        <w:ind w:left="1440" w:hanging="1440"/>
        <w:jc w:val="both"/>
        <w:rPr>
          <w:bCs/>
          <w:sz w:val="22"/>
          <w:szCs w:val="22"/>
        </w:rPr>
      </w:pPr>
      <w:r>
        <w:rPr>
          <w:bCs/>
          <w:sz w:val="22"/>
          <w:szCs w:val="22"/>
        </w:rPr>
        <w:tab/>
      </w:r>
    </w:p>
    <w:p w:rsidR="00FD623E" w:rsidRDefault="00677E38" w:rsidP="00FD623E">
      <w:pPr>
        <w:tabs>
          <w:tab w:val="left" w:pos="540"/>
          <w:tab w:val="left" w:pos="1440"/>
        </w:tabs>
        <w:ind w:left="1440" w:hanging="1440"/>
        <w:jc w:val="both"/>
        <w:rPr>
          <w:bCs/>
          <w:sz w:val="22"/>
          <w:szCs w:val="22"/>
        </w:rPr>
      </w:pPr>
      <w:r>
        <w:rPr>
          <w:bCs/>
          <w:sz w:val="22"/>
          <w:szCs w:val="22"/>
        </w:rPr>
        <w:tab/>
      </w:r>
      <w:r w:rsidR="00FD623E">
        <w:rPr>
          <w:bCs/>
          <w:sz w:val="22"/>
          <w:szCs w:val="22"/>
        </w:rPr>
        <w:t>Level 2:</w:t>
      </w:r>
      <w:r w:rsidR="00FD623E">
        <w:rPr>
          <w:bCs/>
          <w:sz w:val="22"/>
          <w:szCs w:val="22"/>
        </w:rPr>
        <w:tab/>
        <w:t>inputs to the valuation methodology include quoted prices for similar assets and liabilities in active markets, and inputs that are observable for the asset or liability.</w:t>
      </w:r>
    </w:p>
    <w:p w:rsidR="00677E38" w:rsidRDefault="00FD623E" w:rsidP="00FD623E">
      <w:pPr>
        <w:tabs>
          <w:tab w:val="left" w:pos="540"/>
          <w:tab w:val="left" w:pos="1440"/>
        </w:tabs>
        <w:ind w:left="1440" w:hanging="1440"/>
        <w:jc w:val="both"/>
        <w:rPr>
          <w:bCs/>
          <w:sz w:val="22"/>
          <w:szCs w:val="22"/>
        </w:rPr>
      </w:pPr>
      <w:r>
        <w:rPr>
          <w:bCs/>
          <w:sz w:val="22"/>
          <w:szCs w:val="22"/>
        </w:rPr>
        <w:tab/>
      </w:r>
    </w:p>
    <w:p w:rsidR="00FD623E" w:rsidRDefault="00677E38" w:rsidP="00FD623E">
      <w:pPr>
        <w:tabs>
          <w:tab w:val="left" w:pos="540"/>
          <w:tab w:val="left" w:pos="1440"/>
        </w:tabs>
        <w:ind w:left="1440" w:hanging="1440"/>
        <w:jc w:val="both"/>
        <w:rPr>
          <w:bCs/>
          <w:sz w:val="22"/>
          <w:szCs w:val="22"/>
        </w:rPr>
      </w:pPr>
      <w:r>
        <w:rPr>
          <w:bCs/>
          <w:sz w:val="22"/>
          <w:szCs w:val="22"/>
        </w:rPr>
        <w:tab/>
      </w:r>
      <w:r w:rsidR="00FD623E">
        <w:rPr>
          <w:bCs/>
          <w:sz w:val="22"/>
          <w:szCs w:val="22"/>
        </w:rPr>
        <w:t>Level 3:</w:t>
      </w:r>
      <w:r w:rsidR="00FD623E">
        <w:rPr>
          <w:bCs/>
          <w:sz w:val="22"/>
          <w:szCs w:val="22"/>
        </w:rPr>
        <w:tab/>
        <w:t>inputs to the valuation methodology are unobservable and significant to the fair value measurement.</w:t>
      </w:r>
    </w:p>
    <w:p w:rsidR="00677E38" w:rsidRDefault="00FD623E" w:rsidP="006D0062">
      <w:pPr>
        <w:tabs>
          <w:tab w:val="left" w:pos="450"/>
          <w:tab w:val="left" w:pos="1170"/>
          <w:tab w:val="left" w:pos="1260"/>
        </w:tabs>
        <w:ind w:left="1260" w:hanging="1260"/>
        <w:jc w:val="both"/>
        <w:rPr>
          <w:b/>
          <w:bCs/>
          <w:sz w:val="22"/>
          <w:szCs w:val="22"/>
        </w:rPr>
      </w:pPr>
      <w:r>
        <w:rPr>
          <w:b/>
          <w:bCs/>
          <w:sz w:val="22"/>
          <w:szCs w:val="22"/>
        </w:rPr>
        <w:tab/>
      </w:r>
    </w:p>
    <w:p w:rsidR="00FD623E" w:rsidRDefault="00FD623E" w:rsidP="00677E38">
      <w:pPr>
        <w:ind w:left="1260" w:hanging="720"/>
        <w:jc w:val="both"/>
        <w:rPr>
          <w:b/>
          <w:bCs/>
          <w:sz w:val="22"/>
          <w:szCs w:val="22"/>
        </w:rPr>
      </w:pPr>
      <w:r>
        <w:rPr>
          <w:b/>
          <w:bCs/>
          <w:sz w:val="22"/>
          <w:szCs w:val="22"/>
        </w:rPr>
        <w:t>Credit risk</w:t>
      </w:r>
    </w:p>
    <w:p w:rsidR="00FD623E" w:rsidRDefault="00FD623E" w:rsidP="00FD623E">
      <w:pPr>
        <w:ind w:left="540"/>
        <w:jc w:val="both"/>
        <w:rPr>
          <w:b/>
          <w:bCs/>
          <w:sz w:val="22"/>
          <w:szCs w:val="22"/>
        </w:rPr>
      </w:pPr>
    </w:p>
    <w:p w:rsidR="00FD623E" w:rsidRDefault="00FD623E" w:rsidP="00FD623E">
      <w:pPr>
        <w:ind w:left="540"/>
        <w:jc w:val="both"/>
        <w:rPr>
          <w:b/>
          <w:bCs/>
          <w:sz w:val="22"/>
          <w:szCs w:val="22"/>
        </w:rPr>
      </w:pPr>
      <w:r>
        <w:rPr>
          <w:bCs/>
          <w:sz w:val="22"/>
          <w:szCs w:val="22"/>
        </w:rPr>
        <w:t>Financial instruments that potentially subject the Company to credit risk consist</w:t>
      </w:r>
      <w:r w:rsidR="00CB05A4">
        <w:rPr>
          <w:bCs/>
          <w:sz w:val="22"/>
          <w:szCs w:val="22"/>
        </w:rPr>
        <w:t xml:space="preserve"> of cash and cash equivalents and amounts receivable. </w:t>
      </w:r>
      <w:r>
        <w:rPr>
          <w:bCs/>
          <w:sz w:val="22"/>
          <w:szCs w:val="22"/>
        </w:rPr>
        <w:t>The Company</w:t>
      </w:r>
      <w:r w:rsidR="00CB05A4">
        <w:rPr>
          <w:bCs/>
          <w:sz w:val="22"/>
          <w:szCs w:val="22"/>
        </w:rPr>
        <w:t xml:space="preserve"> manages its credit risk relating to cash and cash equivalents by dealing only with high-related f</w:t>
      </w:r>
      <w:r>
        <w:rPr>
          <w:bCs/>
          <w:sz w:val="22"/>
          <w:szCs w:val="22"/>
        </w:rPr>
        <w:t xml:space="preserve">inancial institutions as </w:t>
      </w:r>
      <w:r w:rsidR="00DA6A5A">
        <w:rPr>
          <w:bCs/>
          <w:sz w:val="22"/>
          <w:szCs w:val="22"/>
        </w:rPr>
        <w:t xml:space="preserve">determined by rating agencies. </w:t>
      </w:r>
      <w:proofErr w:type="gramStart"/>
      <w:r w:rsidR="00CB05A4">
        <w:rPr>
          <w:bCs/>
          <w:sz w:val="22"/>
          <w:szCs w:val="22"/>
        </w:rPr>
        <w:t xml:space="preserve">As at </w:t>
      </w:r>
      <w:r w:rsidR="0027682B">
        <w:rPr>
          <w:rFonts w:ascii="Times" w:hAnsi="Times"/>
          <w:sz w:val="22"/>
          <w:szCs w:val="22"/>
          <w:lang w:eastAsia="zh-CN"/>
        </w:rPr>
        <w:t>30</w:t>
      </w:r>
      <w:r w:rsidR="007A5773">
        <w:rPr>
          <w:rFonts w:ascii="Times" w:hAnsi="Times"/>
          <w:sz w:val="22"/>
          <w:szCs w:val="22"/>
          <w:lang w:eastAsia="zh-CN"/>
        </w:rPr>
        <w:t xml:space="preserve"> </w:t>
      </w:r>
      <w:r w:rsidR="0027682B">
        <w:rPr>
          <w:rFonts w:ascii="Times" w:hAnsi="Times"/>
          <w:sz w:val="22"/>
          <w:szCs w:val="22"/>
          <w:lang w:eastAsia="zh-CN"/>
        </w:rPr>
        <w:t>April</w:t>
      </w:r>
      <w:r w:rsidR="00AF6042">
        <w:rPr>
          <w:bCs/>
          <w:sz w:val="22"/>
          <w:szCs w:val="22"/>
        </w:rPr>
        <w:t xml:space="preserve"> </w:t>
      </w:r>
      <w:r w:rsidR="00042A59">
        <w:rPr>
          <w:bCs/>
          <w:sz w:val="22"/>
          <w:szCs w:val="22"/>
        </w:rPr>
        <w:t>2015</w:t>
      </w:r>
      <w:r w:rsidR="00CB05A4">
        <w:rPr>
          <w:bCs/>
          <w:sz w:val="22"/>
          <w:szCs w:val="22"/>
        </w:rPr>
        <w:t>, amounts receivable of $</w:t>
      </w:r>
      <w:r w:rsidR="00254498" w:rsidRPr="00254498">
        <w:rPr>
          <w:bCs/>
          <w:sz w:val="22"/>
          <w:szCs w:val="22"/>
        </w:rPr>
        <w:t>65</w:t>
      </w:r>
      <w:r w:rsidR="007A5773">
        <w:rPr>
          <w:bCs/>
          <w:sz w:val="22"/>
          <w:szCs w:val="22"/>
        </w:rPr>
        <w:t>,</w:t>
      </w:r>
      <w:r w:rsidR="00254498">
        <w:rPr>
          <w:bCs/>
          <w:sz w:val="22"/>
          <w:szCs w:val="22"/>
        </w:rPr>
        <w:t>424</w:t>
      </w:r>
      <w:r w:rsidR="000B1148">
        <w:rPr>
          <w:bCs/>
          <w:sz w:val="22"/>
          <w:szCs w:val="22"/>
        </w:rPr>
        <w:t xml:space="preserve"> </w:t>
      </w:r>
      <w:r w:rsidR="00CB05A4">
        <w:rPr>
          <w:bCs/>
          <w:sz w:val="22"/>
          <w:szCs w:val="22"/>
        </w:rPr>
        <w:t>comprised of Goods and Services Tax/Harmonized Sales Tax (“GST/HST”) receivable of $</w:t>
      </w:r>
      <w:r w:rsidR="00254498">
        <w:rPr>
          <w:bCs/>
          <w:sz w:val="22"/>
          <w:szCs w:val="22"/>
        </w:rPr>
        <w:t>30,902</w:t>
      </w:r>
      <w:r w:rsidR="000B1148">
        <w:rPr>
          <w:bCs/>
          <w:sz w:val="22"/>
          <w:szCs w:val="22"/>
        </w:rPr>
        <w:t xml:space="preserve"> </w:t>
      </w:r>
      <w:r w:rsidR="00CB05A4">
        <w:rPr>
          <w:bCs/>
          <w:sz w:val="22"/>
          <w:szCs w:val="22"/>
        </w:rPr>
        <w:t>(</w:t>
      </w:r>
      <w:r w:rsidR="00042A59">
        <w:rPr>
          <w:bCs/>
          <w:sz w:val="22"/>
          <w:szCs w:val="22"/>
        </w:rPr>
        <w:t>31 January 2015</w:t>
      </w:r>
      <w:r w:rsidR="006A7991">
        <w:rPr>
          <w:bCs/>
          <w:sz w:val="22"/>
          <w:szCs w:val="22"/>
        </w:rPr>
        <w:t xml:space="preserve"> </w:t>
      </w:r>
      <w:r w:rsidR="00CB05A4">
        <w:rPr>
          <w:bCs/>
          <w:sz w:val="22"/>
          <w:szCs w:val="22"/>
        </w:rPr>
        <w:t>-</w:t>
      </w:r>
      <w:r w:rsidR="006A7991">
        <w:rPr>
          <w:bCs/>
          <w:sz w:val="22"/>
          <w:szCs w:val="22"/>
        </w:rPr>
        <w:t xml:space="preserve"> $</w:t>
      </w:r>
      <w:r w:rsidR="00042A59">
        <w:rPr>
          <w:bCs/>
          <w:sz w:val="22"/>
          <w:szCs w:val="22"/>
        </w:rPr>
        <w:t>28,891</w:t>
      </w:r>
      <w:r w:rsidR="00CB05A4">
        <w:rPr>
          <w:bCs/>
          <w:sz w:val="22"/>
          <w:szCs w:val="22"/>
        </w:rPr>
        <w:t>)</w:t>
      </w:r>
      <w:r w:rsidR="00882981">
        <w:rPr>
          <w:bCs/>
          <w:sz w:val="22"/>
          <w:szCs w:val="22"/>
        </w:rPr>
        <w:t>.</w:t>
      </w:r>
      <w:proofErr w:type="gramEnd"/>
      <w:r w:rsidR="00882981">
        <w:rPr>
          <w:bCs/>
          <w:sz w:val="22"/>
          <w:szCs w:val="22"/>
        </w:rPr>
        <w:t xml:space="preserve"> </w:t>
      </w:r>
      <w:r w:rsidR="00CB05A4">
        <w:rPr>
          <w:bCs/>
          <w:sz w:val="22"/>
          <w:szCs w:val="22"/>
        </w:rPr>
        <w:t xml:space="preserve">As a result, credit risk is considered insignificant. </w:t>
      </w:r>
    </w:p>
    <w:p w:rsidR="00FB39D7" w:rsidRDefault="00FB39D7" w:rsidP="00FD623E">
      <w:pPr>
        <w:ind w:left="540"/>
        <w:jc w:val="both"/>
        <w:rPr>
          <w:b/>
          <w:bCs/>
          <w:sz w:val="22"/>
          <w:szCs w:val="22"/>
        </w:rPr>
      </w:pPr>
    </w:p>
    <w:p w:rsidR="00FD623E" w:rsidRDefault="00FD623E" w:rsidP="00FD623E">
      <w:pPr>
        <w:ind w:left="540"/>
        <w:jc w:val="both"/>
        <w:rPr>
          <w:b/>
          <w:bCs/>
          <w:sz w:val="22"/>
          <w:szCs w:val="22"/>
        </w:rPr>
      </w:pPr>
      <w:r>
        <w:rPr>
          <w:b/>
          <w:bCs/>
          <w:sz w:val="22"/>
          <w:szCs w:val="22"/>
        </w:rPr>
        <w:t>Liquidity risk</w:t>
      </w:r>
    </w:p>
    <w:p w:rsidR="00FD623E" w:rsidRDefault="00FD623E" w:rsidP="00FD623E">
      <w:pPr>
        <w:ind w:left="540"/>
        <w:jc w:val="both"/>
        <w:rPr>
          <w:b/>
          <w:bCs/>
          <w:sz w:val="22"/>
          <w:szCs w:val="22"/>
        </w:rPr>
      </w:pPr>
    </w:p>
    <w:p w:rsidR="00FD623E" w:rsidRDefault="00FD623E" w:rsidP="008E1D55">
      <w:pPr>
        <w:ind w:left="540"/>
        <w:jc w:val="both"/>
        <w:rPr>
          <w:b/>
          <w:bCs/>
          <w:sz w:val="22"/>
          <w:szCs w:val="22"/>
        </w:rPr>
      </w:pPr>
      <w:r>
        <w:rPr>
          <w:bCs/>
          <w:sz w:val="22"/>
          <w:szCs w:val="22"/>
        </w:rPr>
        <w:t>The Company m</w:t>
      </w:r>
      <w:r w:rsidRPr="002228C6">
        <w:rPr>
          <w:bCs/>
          <w:sz w:val="22"/>
          <w:szCs w:val="22"/>
        </w:rPr>
        <w:t xml:space="preserve">anages liquidity risk by maintaining an adequate level of cash and cash equivalents to meet its ongoing obligations.  The Company has been successful in raising equity financing in the past; however, there is no assurance that it will be able to do so in the future. </w:t>
      </w:r>
      <w:proofErr w:type="gramStart"/>
      <w:r w:rsidRPr="002228C6">
        <w:rPr>
          <w:bCs/>
          <w:sz w:val="22"/>
          <w:szCs w:val="22"/>
        </w:rPr>
        <w:t xml:space="preserve">As at </w:t>
      </w:r>
      <w:r w:rsidR="00392719">
        <w:rPr>
          <w:rFonts w:ascii="Times" w:hAnsi="Times"/>
          <w:sz w:val="22"/>
          <w:szCs w:val="22"/>
          <w:lang w:eastAsia="zh-CN"/>
        </w:rPr>
        <w:t>30</w:t>
      </w:r>
      <w:r w:rsidR="007A5773">
        <w:rPr>
          <w:rFonts w:ascii="Times" w:hAnsi="Times"/>
          <w:sz w:val="22"/>
          <w:szCs w:val="22"/>
          <w:lang w:eastAsia="zh-CN"/>
        </w:rPr>
        <w:t xml:space="preserve"> </w:t>
      </w:r>
      <w:r w:rsidR="00392719">
        <w:rPr>
          <w:rFonts w:ascii="Times" w:hAnsi="Times"/>
          <w:sz w:val="22"/>
          <w:szCs w:val="22"/>
          <w:lang w:eastAsia="zh-CN"/>
        </w:rPr>
        <w:t>April</w:t>
      </w:r>
      <w:r w:rsidR="00AF6042">
        <w:rPr>
          <w:bCs/>
          <w:sz w:val="22"/>
          <w:szCs w:val="22"/>
        </w:rPr>
        <w:t xml:space="preserve"> </w:t>
      </w:r>
      <w:r w:rsidR="00042A59">
        <w:rPr>
          <w:bCs/>
          <w:sz w:val="22"/>
          <w:szCs w:val="22"/>
        </w:rPr>
        <w:t>2015</w:t>
      </w:r>
      <w:r w:rsidRPr="002228C6">
        <w:rPr>
          <w:bCs/>
          <w:sz w:val="22"/>
          <w:szCs w:val="22"/>
        </w:rPr>
        <w:t xml:space="preserve">, the Company had </w:t>
      </w:r>
      <w:r w:rsidR="00D755B1">
        <w:rPr>
          <w:bCs/>
          <w:sz w:val="22"/>
          <w:szCs w:val="22"/>
        </w:rPr>
        <w:t xml:space="preserve">a </w:t>
      </w:r>
      <w:r w:rsidRPr="002228C6">
        <w:rPr>
          <w:bCs/>
          <w:sz w:val="22"/>
          <w:szCs w:val="22"/>
        </w:rPr>
        <w:t xml:space="preserve">working </w:t>
      </w:r>
      <w:r w:rsidRPr="00CF4BF0">
        <w:rPr>
          <w:bCs/>
          <w:sz w:val="22"/>
          <w:szCs w:val="22"/>
        </w:rPr>
        <w:t xml:space="preserve">capital </w:t>
      </w:r>
      <w:r w:rsidR="00254498">
        <w:rPr>
          <w:bCs/>
          <w:sz w:val="22"/>
          <w:szCs w:val="22"/>
        </w:rPr>
        <w:t xml:space="preserve">deficiency </w:t>
      </w:r>
      <w:r w:rsidRPr="00CF4BF0">
        <w:rPr>
          <w:bCs/>
          <w:sz w:val="22"/>
          <w:szCs w:val="22"/>
        </w:rPr>
        <w:t xml:space="preserve">of </w:t>
      </w:r>
      <w:r w:rsidR="002228C6" w:rsidRPr="00CF4BF0">
        <w:rPr>
          <w:rFonts w:ascii="Times" w:hAnsi="Times"/>
          <w:sz w:val="22"/>
          <w:szCs w:val="22"/>
          <w:lang w:eastAsia="zh-CN"/>
        </w:rPr>
        <w:t>$</w:t>
      </w:r>
      <w:r w:rsidR="00D755B1">
        <w:rPr>
          <w:rFonts w:ascii="Times" w:hAnsi="Times"/>
          <w:sz w:val="22"/>
          <w:szCs w:val="22"/>
          <w:lang w:eastAsia="zh-CN"/>
        </w:rPr>
        <w:t>25,898</w:t>
      </w:r>
      <w:r w:rsidR="002228C6" w:rsidRPr="002228C6">
        <w:rPr>
          <w:rFonts w:ascii="Times" w:hAnsi="Times"/>
          <w:sz w:val="22"/>
          <w:szCs w:val="22"/>
          <w:lang w:eastAsia="zh-CN"/>
        </w:rPr>
        <w:t xml:space="preserve"> (</w:t>
      </w:r>
      <w:r w:rsidR="006A7991" w:rsidRPr="002228C6">
        <w:rPr>
          <w:bCs/>
          <w:sz w:val="22"/>
          <w:szCs w:val="22"/>
        </w:rPr>
        <w:t>31 January 201</w:t>
      </w:r>
      <w:r w:rsidR="00042A59">
        <w:rPr>
          <w:bCs/>
          <w:sz w:val="22"/>
          <w:szCs w:val="22"/>
        </w:rPr>
        <w:t>5</w:t>
      </w:r>
      <w:r w:rsidR="002228C6" w:rsidRPr="002228C6">
        <w:rPr>
          <w:rFonts w:ascii="Times" w:hAnsi="Times"/>
          <w:sz w:val="22"/>
          <w:szCs w:val="22"/>
          <w:lang w:eastAsia="zh-CN"/>
        </w:rPr>
        <w:t xml:space="preserve"> </w:t>
      </w:r>
      <w:r w:rsidR="00042A59">
        <w:rPr>
          <w:rFonts w:ascii="Times" w:hAnsi="Times"/>
          <w:sz w:val="22"/>
          <w:szCs w:val="22"/>
          <w:lang w:eastAsia="zh-CN"/>
        </w:rPr>
        <w:t>–</w:t>
      </w:r>
      <w:r w:rsidR="002228C6" w:rsidRPr="002228C6">
        <w:rPr>
          <w:rFonts w:ascii="Times" w:hAnsi="Times"/>
          <w:sz w:val="22"/>
          <w:szCs w:val="22"/>
          <w:lang w:eastAsia="zh-CN"/>
        </w:rPr>
        <w:t xml:space="preserve"> </w:t>
      </w:r>
      <w:r w:rsidR="00D755B1">
        <w:rPr>
          <w:rFonts w:ascii="Times" w:hAnsi="Times"/>
          <w:sz w:val="22"/>
          <w:szCs w:val="22"/>
          <w:lang w:eastAsia="zh-CN"/>
        </w:rPr>
        <w:t>$20,551)</w:t>
      </w:r>
      <w:r w:rsidR="002228C6" w:rsidRPr="002228C6">
        <w:rPr>
          <w:rFonts w:ascii="Times" w:hAnsi="Times"/>
          <w:sz w:val="22"/>
          <w:szCs w:val="22"/>
          <w:lang w:eastAsia="zh-CN"/>
        </w:rPr>
        <w:t>.</w:t>
      </w:r>
      <w:proofErr w:type="gramEnd"/>
    </w:p>
    <w:p w:rsidR="00CF4BF0" w:rsidRDefault="00CF4BF0" w:rsidP="00FD623E">
      <w:pPr>
        <w:ind w:left="540"/>
        <w:jc w:val="both"/>
        <w:rPr>
          <w:b/>
          <w:bCs/>
          <w:sz w:val="22"/>
          <w:szCs w:val="22"/>
        </w:rPr>
      </w:pPr>
    </w:p>
    <w:p w:rsidR="0037482B" w:rsidRDefault="0037482B" w:rsidP="00FD623E">
      <w:pPr>
        <w:ind w:left="540"/>
        <w:jc w:val="both"/>
        <w:rPr>
          <w:b/>
          <w:bCs/>
          <w:sz w:val="22"/>
          <w:szCs w:val="22"/>
        </w:rPr>
      </w:pPr>
    </w:p>
    <w:p w:rsidR="00882981" w:rsidRDefault="00882981" w:rsidP="00FD623E">
      <w:pPr>
        <w:ind w:left="540"/>
        <w:jc w:val="both"/>
        <w:rPr>
          <w:b/>
          <w:bCs/>
          <w:sz w:val="22"/>
          <w:szCs w:val="22"/>
        </w:rPr>
      </w:pPr>
    </w:p>
    <w:p w:rsidR="00FD623E" w:rsidRDefault="00FD623E" w:rsidP="00FD623E">
      <w:pPr>
        <w:ind w:left="540"/>
        <w:jc w:val="both"/>
        <w:rPr>
          <w:b/>
          <w:bCs/>
          <w:sz w:val="22"/>
          <w:szCs w:val="22"/>
        </w:rPr>
      </w:pPr>
      <w:r>
        <w:rPr>
          <w:b/>
          <w:bCs/>
          <w:sz w:val="22"/>
          <w:szCs w:val="22"/>
        </w:rPr>
        <w:lastRenderedPageBreak/>
        <w:t>Other risks</w:t>
      </w:r>
    </w:p>
    <w:p w:rsidR="00FD623E" w:rsidRDefault="00FD623E" w:rsidP="00FD623E">
      <w:pPr>
        <w:ind w:left="540"/>
        <w:jc w:val="both"/>
        <w:rPr>
          <w:b/>
          <w:bCs/>
          <w:sz w:val="22"/>
          <w:szCs w:val="22"/>
        </w:rPr>
      </w:pPr>
    </w:p>
    <w:p w:rsidR="00FD623E" w:rsidRPr="007F2E02" w:rsidRDefault="00FD623E" w:rsidP="00FD623E">
      <w:pPr>
        <w:ind w:left="540"/>
        <w:jc w:val="both"/>
        <w:rPr>
          <w:b/>
          <w:bCs/>
          <w:sz w:val="22"/>
          <w:szCs w:val="22"/>
        </w:rPr>
      </w:pPr>
      <w:r>
        <w:rPr>
          <w:bCs/>
          <w:sz w:val="22"/>
          <w:szCs w:val="22"/>
        </w:rPr>
        <w:t>Unless otherwise noted, it is management’s opinion that the Company is not exposed to significant</w:t>
      </w:r>
      <w:r w:rsidR="00DA6A5A">
        <w:rPr>
          <w:bCs/>
          <w:sz w:val="22"/>
          <w:szCs w:val="22"/>
        </w:rPr>
        <w:t xml:space="preserve"> currency risk,</w:t>
      </w:r>
      <w:r>
        <w:rPr>
          <w:bCs/>
          <w:sz w:val="22"/>
          <w:szCs w:val="22"/>
        </w:rPr>
        <w:t xml:space="preserve"> interest rate risk and commodity price risk arising from financial instruments.</w:t>
      </w:r>
    </w:p>
    <w:p w:rsidR="00FD623E" w:rsidRDefault="00FD623E" w:rsidP="00FD623E">
      <w:pPr>
        <w:ind w:left="540"/>
        <w:jc w:val="both"/>
        <w:rPr>
          <w:b/>
          <w:bCs/>
          <w:sz w:val="22"/>
          <w:szCs w:val="22"/>
        </w:rPr>
      </w:pPr>
    </w:p>
    <w:p w:rsidR="00FD623E" w:rsidRPr="002F287E" w:rsidRDefault="00FD623E" w:rsidP="00186B72">
      <w:pPr>
        <w:numPr>
          <w:ilvl w:val="0"/>
          <w:numId w:val="2"/>
        </w:numPr>
        <w:rPr>
          <w:b/>
          <w:bCs/>
          <w:sz w:val="22"/>
          <w:szCs w:val="22"/>
        </w:rPr>
      </w:pPr>
      <w:r w:rsidRPr="002F287E">
        <w:rPr>
          <w:b/>
          <w:bCs/>
          <w:sz w:val="22"/>
          <w:szCs w:val="22"/>
        </w:rPr>
        <w:t>Amounts Receivable</w:t>
      </w:r>
      <w:bookmarkEnd w:id="3"/>
      <w:bookmarkEnd w:id="4"/>
      <w:bookmarkEnd w:id="5"/>
    </w:p>
    <w:p w:rsidR="00FD623E" w:rsidRPr="002F287E" w:rsidRDefault="00FD623E" w:rsidP="00FD623E">
      <w:pPr>
        <w:ind w:left="540"/>
        <w:rPr>
          <w:sz w:val="22"/>
          <w:szCs w:val="22"/>
          <w:lang w:val="en-GB"/>
        </w:rPr>
      </w:pPr>
    </w:p>
    <w:p w:rsidR="00882981" w:rsidRDefault="00882981" w:rsidP="008E1D55">
      <w:pPr>
        <w:ind w:left="540"/>
        <w:jc w:val="both"/>
        <w:rPr>
          <w:sz w:val="22"/>
          <w:szCs w:val="22"/>
          <w:lang w:val="en-GB"/>
        </w:rPr>
      </w:pPr>
      <w:bookmarkStart w:id="6" w:name="_Ref44394599"/>
      <w:r>
        <w:rPr>
          <w:sz w:val="22"/>
          <w:szCs w:val="22"/>
          <w:lang w:val="en-GB"/>
        </w:rPr>
        <w:t xml:space="preserve">The Company’s amounts receivable arise from GST/HST receivable due from the government taxation authorities. </w:t>
      </w:r>
      <w:r>
        <w:rPr>
          <w:rFonts w:eastAsia="SimSun"/>
          <w:sz w:val="22"/>
          <w:szCs w:val="22"/>
        </w:rPr>
        <w:t>This amount</w:t>
      </w:r>
      <w:r w:rsidRPr="00D55ECD">
        <w:rPr>
          <w:rFonts w:eastAsia="SimSun"/>
          <w:sz w:val="22"/>
          <w:szCs w:val="22"/>
        </w:rPr>
        <w:t xml:space="preserve"> </w:t>
      </w:r>
      <w:r>
        <w:rPr>
          <w:rFonts w:eastAsia="SimSun"/>
          <w:sz w:val="22"/>
          <w:szCs w:val="22"/>
        </w:rPr>
        <w:t>is</w:t>
      </w:r>
      <w:r w:rsidRPr="00D55ECD">
        <w:rPr>
          <w:rFonts w:eastAsia="SimSun"/>
          <w:sz w:val="22"/>
          <w:szCs w:val="22"/>
        </w:rPr>
        <w:t xml:space="preserve"> non-interest bearing, unsecured and have settlement dates within one year.</w:t>
      </w:r>
    </w:p>
    <w:p w:rsidR="00FD623E" w:rsidRPr="002F287E" w:rsidRDefault="00FD623E" w:rsidP="00FD623E">
      <w:pPr>
        <w:ind w:left="540"/>
        <w:jc w:val="both"/>
        <w:rPr>
          <w:snapToGrid/>
          <w:sz w:val="22"/>
          <w:szCs w:val="22"/>
          <w:lang w:val="en-CA"/>
        </w:rPr>
      </w:pPr>
    </w:p>
    <w:p w:rsidR="00882981" w:rsidRDefault="00882981" w:rsidP="00882981">
      <w:pPr>
        <w:numPr>
          <w:ilvl w:val="0"/>
          <w:numId w:val="2"/>
        </w:numPr>
        <w:rPr>
          <w:b/>
          <w:bCs/>
          <w:sz w:val="22"/>
          <w:szCs w:val="22"/>
        </w:rPr>
      </w:pPr>
      <w:bookmarkStart w:id="7" w:name="NotePPE"/>
      <w:r>
        <w:rPr>
          <w:b/>
          <w:bCs/>
          <w:sz w:val="22"/>
          <w:szCs w:val="22"/>
        </w:rPr>
        <w:t>Prepaid Expenses and Advances</w:t>
      </w:r>
    </w:p>
    <w:p w:rsidR="00882981" w:rsidRDefault="00882981" w:rsidP="00882981">
      <w:pPr>
        <w:ind w:left="547"/>
        <w:rPr>
          <w:b/>
          <w:bCs/>
          <w:sz w:val="22"/>
          <w:szCs w:val="22"/>
        </w:rPr>
      </w:pPr>
    </w:p>
    <w:p w:rsidR="00882981" w:rsidRDefault="00882981" w:rsidP="00882981">
      <w:pPr>
        <w:ind w:left="540"/>
        <w:rPr>
          <w:sz w:val="22"/>
          <w:szCs w:val="22"/>
          <w:lang w:val="en-GB"/>
        </w:rPr>
      </w:pPr>
      <w:r w:rsidRPr="00882981">
        <w:rPr>
          <w:rFonts w:hint="eastAsia"/>
          <w:sz w:val="22"/>
          <w:szCs w:val="22"/>
          <w:lang w:val="en-GB"/>
        </w:rPr>
        <w:t>The Company</w:t>
      </w:r>
      <w:r w:rsidRPr="00882981">
        <w:rPr>
          <w:sz w:val="22"/>
          <w:szCs w:val="22"/>
          <w:lang w:val="en-GB"/>
        </w:rPr>
        <w:t>’</w:t>
      </w:r>
      <w:r w:rsidRPr="00882981">
        <w:rPr>
          <w:rFonts w:hint="eastAsia"/>
          <w:sz w:val="22"/>
          <w:szCs w:val="22"/>
          <w:lang w:val="en-GB"/>
        </w:rPr>
        <w:t xml:space="preserve">s prepaid expenses and </w:t>
      </w:r>
      <w:r w:rsidRPr="00882981">
        <w:rPr>
          <w:sz w:val="22"/>
          <w:szCs w:val="22"/>
          <w:lang w:val="en-GB"/>
        </w:rPr>
        <w:t>advances</w:t>
      </w:r>
      <w:r w:rsidRPr="00882981">
        <w:rPr>
          <w:rFonts w:hint="eastAsia"/>
          <w:sz w:val="22"/>
          <w:szCs w:val="22"/>
          <w:lang w:val="en-GB"/>
        </w:rPr>
        <w:t xml:space="preserve"> are as follows:</w:t>
      </w:r>
    </w:p>
    <w:p w:rsidR="00796901" w:rsidRPr="00882981" w:rsidRDefault="00796901" w:rsidP="00882981">
      <w:pPr>
        <w:ind w:left="540"/>
        <w:rPr>
          <w:sz w:val="22"/>
          <w:szCs w:val="22"/>
          <w:lang w:val="en-GB"/>
        </w:rPr>
      </w:pPr>
    </w:p>
    <w:tbl>
      <w:tblPr>
        <w:tblW w:w="8820" w:type="dxa"/>
        <w:tblInd w:w="558" w:type="dxa"/>
        <w:tblLayout w:type="fixed"/>
        <w:tblLook w:val="0000"/>
      </w:tblPr>
      <w:tblGrid>
        <w:gridCol w:w="4860"/>
        <w:gridCol w:w="270"/>
        <w:gridCol w:w="1710"/>
        <w:gridCol w:w="270"/>
        <w:gridCol w:w="1710"/>
      </w:tblGrid>
      <w:tr w:rsidR="00882981" w:rsidRPr="00CE4CBC" w:rsidTr="00882981">
        <w:trPr>
          <w:cantSplit/>
        </w:trPr>
        <w:tc>
          <w:tcPr>
            <w:tcW w:w="4860" w:type="dxa"/>
          </w:tcPr>
          <w:p w:rsidR="00882981" w:rsidRPr="00CE4CBC" w:rsidRDefault="00882981" w:rsidP="00882981">
            <w:pPr>
              <w:widowControl/>
              <w:rPr>
                <w:sz w:val="22"/>
                <w:szCs w:val="22"/>
              </w:rPr>
            </w:pPr>
          </w:p>
        </w:tc>
        <w:tc>
          <w:tcPr>
            <w:tcW w:w="1980" w:type="dxa"/>
            <w:gridSpan w:val="2"/>
            <w:vAlign w:val="bottom"/>
          </w:tcPr>
          <w:p w:rsidR="0045678D" w:rsidRDefault="00882981" w:rsidP="0045678D">
            <w:pPr>
              <w:jc w:val="right"/>
              <w:rPr>
                <w:b/>
                <w:sz w:val="22"/>
                <w:szCs w:val="22"/>
              </w:rPr>
            </w:pPr>
            <w:r>
              <w:rPr>
                <w:b/>
                <w:sz w:val="22"/>
                <w:szCs w:val="22"/>
              </w:rPr>
              <w:t xml:space="preserve">As at </w:t>
            </w:r>
            <w:r w:rsidR="00392719">
              <w:rPr>
                <w:b/>
                <w:sz w:val="22"/>
                <w:szCs w:val="22"/>
              </w:rPr>
              <w:t>30</w:t>
            </w:r>
            <w:r w:rsidR="0045678D">
              <w:rPr>
                <w:b/>
                <w:sz w:val="22"/>
                <w:szCs w:val="22"/>
              </w:rPr>
              <w:t xml:space="preserve"> </w:t>
            </w:r>
            <w:r w:rsidR="00392719">
              <w:rPr>
                <w:b/>
                <w:sz w:val="22"/>
                <w:szCs w:val="22"/>
              </w:rPr>
              <w:t>April</w:t>
            </w:r>
          </w:p>
          <w:p w:rsidR="00882981" w:rsidRDefault="00882981" w:rsidP="0045678D">
            <w:pPr>
              <w:jc w:val="right"/>
              <w:rPr>
                <w:b/>
                <w:bCs/>
                <w:sz w:val="22"/>
                <w:szCs w:val="22"/>
                <w:lang w:eastAsia="zh-CN"/>
              </w:rPr>
            </w:pPr>
            <w:r w:rsidRPr="00CE4CBC">
              <w:rPr>
                <w:b/>
                <w:bCs/>
                <w:sz w:val="22"/>
                <w:szCs w:val="22"/>
                <w:lang w:eastAsia="zh-CN"/>
              </w:rPr>
              <w:t>201</w:t>
            </w:r>
            <w:r w:rsidR="00042A59">
              <w:rPr>
                <w:b/>
                <w:bCs/>
                <w:sz w:val="22"/>
                <w:szCs w:val="22"/>
                <w:lang w:eastAsia="zh-CN"/>
              </w:rPr>
              <w:t>5</w:t>
            </w:r>
          </w:p>
          <w:p w:rsidR="00811F71" w:rsidRPr="00CE4CBC" w:rsidRDefault="00811F71" w:rsidP="0045678D">
            <w:pPr>
              <w:jc w:val="right"/>
              <w:rPr>
                <w:b/>
                <w:bCs/>
                <w:sz w:val="22"/>
                <w:szCs w:val="22"/>
              </w:rPr>
            </w:pPr>
          </w:p>
        </w:tc>
        <w:tc>
          <w:tcPr>
            <w:tcW w:w="1980" w:type="dxa"/>
            <w:gridSpan w:val="2"/>
            <w:vAlign w:val="bottom"/>
          </w:tcPr>
          <w:p w:rsidR="00882981" w:rsidRDefault="00882981" w:rsidP="00882981">
            <w:pPr>
              <w:jc w:val="right"/>
              <w:rPr>
                <w:b/>
                <w:bCs/>
                <w:sz w:val="22"/>
                <w:szCs w:val="22"/>
                <w:lang w:eastAsia="zh-CN"/>
              </w:rPr>
            </w:pPr>
            <w:r w:rsidRPr="002A1013">
              <w:rPr>
                <w:b/>
                <w:sz w:val="22"/>
                <w:szCs w:val="22"/>
              </w:rPr>
              <w:t xml:space="preserve">As at 31 January </w:t>
            </w:r>
            <w:r w:rsidR="00042A59">
              <w:rPr>
                <w:b/>
                <w:bCs/>
                <w:sz w:val="22"/>
                <w:szCs w:val="22"/>
                <w:lang w:eastAsia="zh-CN"/>
              </w:rPr>
              <w:t>2015</w:t>
            </w:r>
          </w:p>
          <w:p w:rsidR="00811F71" w:rsidRPr="002A1013" w:rsidRDefault="00811F71" w:rsidP="00882981">
            <w:pPr>
              <w:jc w:val="right"/>
              <w:rPr>
                <w:b/>
                <w:bCs/>
                <w:sz w:val="22"/>
                <w:szCs w:val="22"/>
                <w:lang w:eastAsia="zh-CN"/>
              </w:rPr>
            </w:pPr>
            <w:r>
              <w:rPr>
                <w:b/>
                <w:bCs/>
                <w:sz w:val="22"/>
                <w:szCs w:val="22"/>
                <w:lang w:eastAsia="zh-CN"/>
              </w:rPr>
              <w:t>(Audited)</w:t>
            </w:r>
          </w:p>
        </w:tc>
      </w:tr>
      <w:tr w:rsidR="00882981" w:rsidRPr="00CE4CBC" w:rsidTr="00882981">
        <w:tc>
          <w:tcPr>
            <w:tcW w:w="4860" w:type="dxa"/>
          </w:tcPr>
          <w:p w:rsidR="00882981" w:rsidRPr="00CE4CBC" w:rsidRDefault="00882981" w:rsidP="00882981">
            <w:pPr>
              <w:widowControl/>
              <w:rPr>
                <w:sz w:val="22"/>
                <w:szCs w:val="22"/>
              </w:rPr>
            </w:pPr>
          </w:p>
        </w:tc>
        <w:tc>
          <w:tcPr>
            <w:tcW w:w="270" w:type="dxa"/>
            <w:vAlign w:val="bottom"/>
          </w:tcPr>
          <w:p w:rsidR="00882981" w:rsidRPr="00CE4CBC" w:rsidRDefault="00882981" w:rsidP="00882981">
            <w:pPr>
              <w:jc w:val="right"/>
              <w:rPr>
                <w:b/>
                <w:bCs/>
                <w:sz w:val="22"/>
                <w:szCs w:val="22"/>
                <w:lang w:val="en-GB"/>
              </w:rPr>
            </w:pPr>
          </w:p>
        </w:tc>
        <w:tc>
          <w:tcPr>
            <w:tcW w:w="1710" w:type="dxa"/>
            <w:vAlign w:val="bottom"/>
          </w:tcPr>
          <w:p w:rsidR="00882981" w:rsidRPr="00CE4CBC" w:rsidRDefault="00882981" w:rsidP="00882981">
            <w:pPr>
              <w:jc w:val="right"/>
              <w:rPr>
                <w:b/>
                <w:bCs/>
                <w:sz w:val="22"/>
                <w:szCs w:val="22"/>
                <w:lang w:val="en-GB"/>
              </w:rPr>
            </w:pPr>
            <w:r w:rsidRPr="00CE4CBC">
              <w:rPr>
                <w:b/>
                <w:bCs/>
                <w:sz w:val="22"/>
                <w:szCs w:val="22"/>
                <w:lang w:val="en-GB"/>
              </w:rPr>
              <w:t>$</w:t>
            </w:r>
          </w:p>
        </w:tc>
        <w:tc>
          <w:tcPr>
            <w:tcW w:w="270" w:type="dxa"/>
            <w:vAlign w:val="bottom"/>
          </w:tcPr>
          <w:p w:rsidR="00882981" w:rsidRPr="00CE4CBC" w:rsidRDefault="00882981" w:rsidP="00882981">
            <w:pPr>
              <w:jc w:val="right"/>
              <w:rPr>
                <w:b/>
                <w:bCs/>
                <w:sz w:val="22"/>
                <w:szCs w:val="22"/>
                <w:lang w:val="en-GB"/>
              </w:rPr>
            </w:pPr>
          </w:p>
        </w:tc>
        <w:tc>
          <w:tcPr>
            <w:tcW w:w="1710" w:type="dxa"/>
            <w:vAlign w:val="bottom"/>
          </w:tcPr>
          <w:p w:rsidR="00882981" w:rsidRPr="00CE4CBC" w:rsidRDefault="00882981" w:rsidP="00882981">
            <w:pPr>
              <w:jc w:val="right"/>
              <w:rPr>
                <w:b/>
                <w:bCs/>
                <w:sz w:val="22"/>
                <w:szCs w:val="22"/>
                <w:lang w:val="en-GB"/>
              </w:rPr>
            </w:pPr>
            <w:r w:rsidRPr="00CE4CBC">
              <w:rPr>
                <w:b/>
                <w:bCs/>
                <w:sz w:val="22"/>
                <w:szCs w:val="22"/>
                <w:lang w:val="en-GB"/>
              </w:rPr>
              <w:t>$</w:t>
            </w:r>
          </w:p>
        </w:tc>
      </w:tr>
      <w:tr w:rsidR="00882981" w:rsidRPr="00CE4CBC" w:rsidTr="00882981">
        <w:tc>
          <w:tcPr>
            <w:tcW w:w="4860" w:type="dxa"/>
          </w:tcPr>
          <w:p w:rsidR="00882981" w:rsidRPr="00CE4CBC" w:rsidRDefault="00882981" w:rsidP="00882981">
            <w:pPr>
              <w:widowControl/>
              <w:rPr>
                <w:sz w:val="22"/>
                <w:szCs w:val="22"/>
              </w:rPr>
            </w:pPr>
          </w:p>
        </w:tc>
        <w:tc>
          <w:tcPr>
            <w:tcW w:w="270" w:type="dxa"/>
            <w:vAlign w:val="bottom"/>
          </w:tcPr>
          <w:p w:rsidR="00882981" w:rsidRPr="00CE4CBC" w:rsidRDefault="00882981" w:rsidP="00882981">
            <w:pPr>
              <w:jc w:val="right"/>
              <w:rPr>
                <w:b/>
                <w:bCs/>
                <w:sz w:val="22"/>
                <w:szCs w:val="22"/>
                <w:lang w:val="en-GB"/>
              </w:rPr>
            </w:pPr>
          </w:p>
        </w:tc>
        <w:tc>
          <w:tcPr>
            <w:tcW w:w="1710" w:type="dxa"/>
            <w:vAlign w:val="bottom"/>
          </w:tcPr>
          <w:p w:rsidR="00882981" w:rsidRPr="00CE4CBC" w:rsidRDefault="00882981" w:rsidP="00882981">
            <w:pPr>
              <w:jc w:val="right"/>
              <w:rPr>
                <w:b/>
                <w:bCs/>
                <w:sz w:val="22"/>
                <w:szCs w:val="22"/>
                <w:lang w:val="en-GB"/>
              </w:rPr>
            </w:pPr>
          </w:p>
        </w:tc>
        <w:tc>
          <w:tcPr>
            <w:tcW w:w="270" w:type="dxa"/>
            <w:vAlign w:val="bottom"/>
          </w:tcPr>
          <w:p w:rsidR="00882981" w:rsidRPr="00CE4CBC" w:rsidRDefault="00882981" w:rsidP="00882981">
            <w:pPr>
              <w:jc w:val="right"/>
              <w:rPr>
                <w:b/>
                <w:bCs/>
                <w:sz w:val="22"/>
                <w:szCs w:val="22"/>
                <w:lang w:val="en-GB"/>
              </w:rPr>
            </w:pPr>
          </w:p>
        </w:tc>
        <w:tc>
          <w:tcPr>
            <w:tcW w:w="1710" w:type="dxa"/>
            <w:vAlign w:val="bottom"/>
          </w:tcPr>
          <w:p w:rsidR="00882981" w:rsidRPr="00CE4CBC" w:rsidRDefault="00882981" w:rsidP="00882981">
            <w:pPr>
              <w:jc w:val="right"/>
              <w:rPr>
                <w:b/>
                <w:bCs/>
                <w:sz w:val="22"/>
                <w:szCs w:val="22"/>
                <w:lang w:val="en-GB"/>
              </w:rPr>
            </w:pPr>
          </w:p>
        </w:tc>
      </w:tr>
      <w:tr w:rsidR="00254498" w:rsidRPr="00CE4CBC" w:rsidTr="00882981">
        <w:tc>
          <w:tcPr>
            <w:tcW w:w="4860" w:type="dxa"/>
          </w:tcPr>
          <w:p w:rsidR="00254498" w:rsidRPr="00CE4CBC" w:rsidRDefault="00254498" w:rsidP="00254498">
            <w:pPr>
              <w:widowControl/>
              <w:rPr>
                <w:sz w:val="22"/>
                <w:szCs w:val="22"/>
              </w:rPr>
            </w:pPr>
            <w:r>
              <w:rPr>
                <w:sz w:val="22"/>
                <w:szCs w:val="22"/>
                <w:lang w:val="en-GB"/>
              </w:rPr>
              <w:t>Prepaid rent</w:t>
            </w:r>
          </w:p>
        </w:tc>
        <w:tc>
          <w:tcPr>
            <w:tcW w:w="270" w:type="dxa"/>
            <w:vAlign w:val="bottom"/>
          </w:tcPr>
          <w:p w:rsidR="00254498" w:rsidRPr="00CE4CBC" w:rsidRDefault="00254498" w:rsidP="00254498">
            <w:pPr>
              <w:jc w:val="right"/>
              <w:rPr>
                <w:sz w:val="22"/>
                <w:szCs w:val="22"/>
                <w:lang w:val="en-GB"/>
              </w:rPr>
            </w:pPr>
          </w:p>
        </w:tc>
        <w:tc>
          <w:tcPr>
            <w:tcW w:w="1710" w:type="dxa"/>
            <w:vAlign w:val="bottom"/>
          </w:tcPr>
          <w:p w:rsidR="00254498" w:rsidRPr="00CE4CBC" w:rsidRDefault="00254498" w:rsidP="00254498">
            <w:pPr>
              <w:jc w:val="right"/>
              <w:rPr>
                <w:sz w:val="22"/>
                <w:szCs w:val="22"/>
                <w:lang w:val="en-GB" w:eastAsia="zh-CN"/>
              </w:rPr>
            </w:pPr>
            <w:r>
              <w:rPr>
                <w:sz w:val="22"/>
                <w:szCs w:val="22"/>
                <w:lang w:val="en-GB" w:eastAsia="zh-CN"/>
              </w:rPr>
              <w:t>2,782</w:t>
            </w:r>
          </w:p>
        </w:tc>
        <w:tc>
          <w:tcPr>
            <w:tcW w:w="270" w:type="dxa"/>
            <w:vAlign w:val="bottom"/>
          </w:tcPr>
          <w:p w:rsidR="00254498" w:rsidRPr="00CE4CBC" w:rsidRDefault="00254498" w:rsidP="00254498">
            <w:pPr>
              <w:jc w:val="right"/>
              <w:rPr>
                <w:sz w:val="22"/>
                <w:szCs w:val="22"/>
                <w:lang w:val="en-GB"/>
              </w:rPr>
            </w:pPr>
          </w:p>
        </w:tc>
        <w:tc>
          <w:tcPr>
            <w:tcW w:w="1710" w:type="dxa"/>
            <w:vAlign w:val="bottom"/>
          </w:tcPr>
          <w:p w:rsidR="00254498" w:rsidRPr="00CE4CBC" w:rsidRDefault="00254498" w:rsidP="00254498">
            <w:pPr>
              <w:jc w:val="right"/>
              <w:rPr>
                <w:sz w:val="22"/>
                <w:szCs w:val="22"/>
                <w:lang w:val="en-GB" w:eastAsia="zh-CN"/>
              </w:rPr>
            </w:pPr>
            <w:r>
              <w:rPr>
                <w:sz w:val="22"/>
                <w:szCs w:val="22"/>
                <w:lang w:val="en-GB" w:eastAsia="zh-CN"/>
              </w:rPr>
              <w:t>-</w:t>
            </w:r>
          </w:p>
        </w:tc>
      </w:tr>
      <w:tr w:rsidR="00254498" w:rsidRPr="00CE4CBC" w:rsidTr="00882981">
        <w:tc>
          <w:tcPr>
            <w:tcW w:w="4860" w:type="dxa"/>
          </w:tcPr>
          <w:p w:rsidR="00254498" w:rsidRDefault="00254498" w:rsidP="00254498">
            <w:pPr>
              <w:widowControl/>
              <w:rPr>
                <w:sz w:val="22"/>
                <w:szCs w:val="22"/>
                <w:lang w:val="en-GB"/>
              </w:rPr>
            </w:pPr>
            <w:r>
              <w:rPr>
                <w:sz w:val="22"/>
                <w:szCs w:val="22"/>
                <w:lang w:val="en-GB"/>
              </w:rPr>
              <w:t>Prepaid administration expenses</w:t>
            </w:r>
          </w:p>
        </w:tc>
        <w:tc>
          <w:tcPr>
            <w:tcW w:w="270" w:type="dxa"/>
            <w:vAlign w:val="bottom"/>
          </w:tcPr>
          <w:p w:rsidR="00254498" w:rsidRPr="00CE4CBC" w:rsidRDefault="00254498" w:rsidP="00254498">
            <w:pPr>
              <w:jc w:val="right"/>
              <w:rPr>
                <w:sz w:val="22"/>
                <w:szCs w:val="22"/>
                <w:lang w:val="en-GB"/>
              </w:rPr>
            </w:pPr>
          </w:p>
        </w:tc>
        <w:tc>
          <w:tcPr>
            <w:tcW w:w="1710" w:type="dxa"/>
            <w:vAlign w:val="bottom"/>
          </w:tcPr>
          <w:p w:rsidR="00254498" w:rsidRDefault="00254498" w:rsidP="00254498">
            <w:pPr>
              <w:jc w:val="right"/>
              <w:rPr>
                <w:sz w:val="22"/>
                <w:szCs w:val="22"/>
                <w:lang w:val="en-GB" w:eastAsia="zh-CN"/>
              </w:rPr>
            </w:pPr>
            <w:r>
              <w:rPr>
                <w:sz w:val="22"/>
                <w:szCs w:val="22"/>
                <w:lang w:val="en-GB" w:eastAsia="zh-CN"/>
              </w:rPr>
              <w:t>2,604</w:t>
            </w:r>
          </w:p>
        </w:tc>
        <w:tc>
          <w:tcPr>
            <w:tcW w:w="270" w:type="dxa"/>
            <w:vAlign w:val="bottom"/>
          </w:tcPr>
          <w:p w:rsidR="00254498" w:rsidRPr="00CE4CBC" w:rsidRDefault="00254498" w:rsidP="00254498">
            <w:pPr>
              <w:jc w:val="right"/>
              <w:rPr>
                <w:sz w:val="22"/>
                <w:szCs w:val="22"/>
                <w:lang w:val="en-GB"/>
              </w:rPr>
            </w:pPr>
          </w:p>
        </w:tc>
        <w:tc>
          <w:tcPr>
            <w:tcW w:w="1710" w:type="dxa"/>
            <w:vAlign w:val="bottom"/>
          </w:tcPr>
          <w:p w:rsidR="00254498" w:rsidRDefault="00254498" w:rsidP="00254498">
            <w:pPr>
              <w:jc w:val="right"/>
              <w:rPr>
                <w:sz w:val="22"/>
                <w:szCs w:val="22"/>
                <w:lang w:val="en-GB" w:eastAsia="zh-CN"/>
              </w:rPr>
            </w:pPr>
            <w:r>
              <w:rPr>
                <w:sz w:val="22"/>
                <w:szCs w:val="22"/>
                <w:lang w:val="en-GB" w:eastAsia="zh-CN"/>
              </w:rPr>
              <w:t>2,604</w:t>
            </w:r>
          </w:p>
        </w:tc>
      </w:tr>
      <w:tr w:rsidR="00254498" w:rsidRPr="00CE4CBC" w:rsidTr="00882981">
        <w:tc>
          <w:tcPr>
            <w:tcW w:w="4860" w:type="dxa"/>
          </w:tcPr>
          <w:p w:rsidR="00254498" w:rsidRPr="00CE4CBC" w:rsidRDefault="00254498" w:rsidP="00254498">
            <w:pPr>
              <w:widowControl/>
              <w:rPr>
                <w:sz w:val="22"/>
                <w:szCs w:val="22"/>
                <w:lang w:val="en-GB"/>
              </w:rPr>
            </w:pPr>
          </w:p>
        </w:tc>
        <w:tc>
          <w:tcPr>
            <w:tcW w:w="270" w:type="dxa"/>
            <w:vAlign w:val="bottom"/>
          </w:tcPr>
          <w:p w:rsidR="00254498" w:rsidRPr="00CE4CBC" w:rsidRDefault="00254498" w:rsidP="00254498">
            <w:pPr>
              <w:jc w:val="right"/>
              <w:rPr>
                <w:sz w:val="22"/>
                <w:szCs w:val="22"/>
                <w:lang w:val="en-GB"/>
              </w:rPr>
            </w:pPr>
          </w:p>
        </w:tc>
        <w:tc>
          <w:tcPr>
            <w:tcW w:w="1710" w:type="dxa"/>
            <w:tcBorders>
              <w:top w:val="single" w:sz="4" w:space="0" w:color="auto"/>
            </w:tcBorders>
            <w:vAlign w:val="bottom"/>
          </w:tcPr>
          <w:p w:rsidR="00254498" w:rsidRPr="00CE4CBC" w:rsidRDefault="00254498" w:rsidP="00254498">
            <w:pPr>
              <w:jc w:val="right"/>
              <w:rPr>
                <w:sz w:val="22"/>
                <w:szCs w:val="22"/>
                <w:lang w:val="en-GB"/>
              </w:rPr>
            </w:pPr>
          </w:p>
        </w:tc>
        <w:tc>
          <w:tcPr>
            <w:tcW w:w="270" w:type="dxa"/>
            <w:vAlign w:val="bottom"/>
          </w:tcPr>
          <w:p w:rsidR="00254498" w:rsidRPr="00CE4CBC" w:rsidRDefault="00254498" w:rsidP="00254498">
            <w:pPr>
              <w:jc w:val="right"/>
              <w:rPr>
                <w:sz w:val="22"/>
                <w:szCs w:val="22"/>
                <w:lang w:val="en-GB"/>
              </w:rPr>
            </w:pPr>
          </w:p>
        </w:tc>
        <w:tc>
          <w:tcPr>
            <w:tcW w:w="1710" w:type="dxa"/>
            <w:tcBorders>
              <w:top w:val="single" w:sz="4" w:space="0" w:color="auto"/>
            </w:tcBorders>
            <w:vAlign w:val="bottom"/>
          </w:tcPr>
          <w:p w:rsidR="00254498" w:rsidRPr="00CE4CBC" w:rsidRDefault="00254498" w:rsidP="00254498">
            <w:pPr>
              <w:jc w:val="right"/>
              <w:rPr>
                <w:sz w:val="22"/>
                <w:szCs w:val="22"/>
                <w:lang w:val="en-GB"/>
              </w:rPr>
            </w:pPr>
          </w:p>
        </w:tc>
      </w:tr>
      <w:tr w:rsidR="00254498" w:rsidRPr="00CE4CBC" w:rsidTr="00882981">
        <w:tc>
          <w:tcPr>
            <w:tcW w:w="4860" w:type="dxa"/>
          </w:tcPr>
          <w:p w:rsidR="00254498" w:rsidRPr="00CE4CBC" w:rsidRDefault="00254498" w:rsidP="00254498">
            <w:pPr>
              <w:widowControl/>
              <w:rPr>
                <w:b/>
                <w:bCs/>
                <w:sz w:val="22"/>
                <w:szCs w:val="22"/>
                <w:lang w:val="en-GB"/>
              </w:rPr>
            </w:pPr>
          </w:p>
        </w:tc>
        <w:tc>
          <w:tcPr>
            <w:tcW w:w="270" w:type="dxa"/>
            <w:vAlign w:val="bottom"/>
          </w:tcPr>
          <w:p w:rsidR="00254498" w:rsidRPr="00CE4CBC" w:rsidRDefault="00254498" w:rsidP="00254498">
            <w:pPr>
              <w:jc w:val="right"/>
              <w:rPr>
                <w:sz w:val="22"/>
                <w:szCs w:val="22"/>
                <w:lang w:val="en-GB"/>
              </w:rPr>
            </w:pPr>
          </w:p>
        </w:tc>
        <w:tc>
          <w:tcPr>
            <w:tcW w:w="1710" w:type="dxa"/>
            <w:tcBorders>
              <w:bottom w:val="single" w:sz="12" w:space="0" w:color="auto"/>
            </w:tcBorders>
            <w:vAlign w:val="bottom"/>
          </w:tcPr>
          <w:p w:rsidR="00254498" w:rsidRPr="00CE4CBC" w:rsidRDefault="00254498" w:rsidP="00254498">
            <w:pPr>
              <w:jc w:val="right"/>
              <w:rPr>
                <w:sz w:val="22"/>
                <w:szCs w:val="22"/>
                <w:lang w:val="en-GB" w:eastAsia="zh-CN"/>
              </w:rPr>
            </w:pPr>
            <w:r>
              <w:rPr>
                <w:sz w:val="22"/>
                <w:szCs w:val="22"/>
                <w:lang w:val="en-GB" w:eastAsia="zh-CN"/>
              </w:rPr>
              <w:t>5,386</w:t>
            </w:r>
          </w:p>
        </w:tc>
        <w:tc>
          <w:tcPr>
            <w:tcW w:w="270" w:type="dxa"/>
            <w:vAlign w:val="bottom"/>
          </w:tcPr>
          <w:p w:rsidR="00254498" w:rsidRPr="00CE4CBC" w:rsidRDefault="00254498" w:rsidP="00254498">
            <w:pPr>
              <w:jc w:val="right"/>
              <w:rPr>
                <w:sz w:val="22"/>
                <w:szCs w:val="22"/>
                <w:lang w:val="en-GB"/>
              </w:rPr>
            </w:pPr>
          </w:p>
        </w:tc>
        <w:tc>
          <w:tcPr>
            <w:tcW w:w="1710" w:type="dxa"/>
            <w:tcBorders>
              <w:bottom w:val="single" w:sz="12" w:space="0" w:color="auto"/>
            </w:tcBorders>
            <w:vAlign w:val="bottom"/>
          </w:tcPr>
          <w:p w:rsidR="00254498" w:rsidRPr="00CE4CBC" w:rsidRDefault="00254498" w:rsidP="00254498">
            <w:pPr>
              <w:jc w:val="right"/>
              <w:rPr>
                <w:sz w:val="22"/>
                <w:szCs w:val="22"/>
                <w:lang w:val="en-GB" w:eastAsia="zh-CN"/>
              </w:rPr>
            </w:pPr>
            <w:r>
              <w:rPr>
                <w:sz w:val="22"/>
                <w:szCs w:val="22"/>
                <w:lang w:val="en-GB" w:eastAsia="zh-CN"/>
              </w:rPr>
              <w:t>2,604</w:t>
            </w:r>
          </w:p>
        </w:tc>
      </w:tr>
    </w:tbl>
    <w:p w:rsidR="00796901" w:rsidRDefault="00796901" w:rsidP="00796901">
      <w:pPr>
        <w:ind w:left="547"/>
        <w:rPr>
          <w:b/>
          <w:bCs/>
          <w:sz w:val="22"/>
          <w:szCs w:val="22"/>
        </w:rPr>
      </w:pPr>
    </w:p>
    <w:p w:rsidR="00FD623E" w:rsidRDefault="00FD623E" w:rsidP="00186B72">
      <w:pPr>
        <w:numPr>
          <w:ilvl w:val="0"/>
          <w:numId w:val="2"/>
        </w:numPr>
        <w:rPr>
          <w:b/>
          <w:bCs/>
          <w:sz w:val="22"/>
          <w:szCs w:val="22"/>
        </w:rPr>
      </w:pPr>
      <w:r>
        <w:rPr>
          <w:b/>
          <w:bCs/>
          <w:sz w:val="22"/>
          <w:szCs w:val="22"/>
        </w:rPr>
        <w:t>Exploration and Evaluation Properties</w:t>
      </w:r>
    </w:p>
    <w:p w:rsidR="00FD623E" w:rsidRDefault="00FD623E" w:rsidP="00FB39D7">
      <w:pPr>
        <w:rPr>
          <w:b/>
          <w:bCs/>
          <w:sz w:val="22"/>
          <w:szCs w:val="22"/>
        </w:rPr>
      </w:pPr>
    </w:p>
    <w:p w:rsidR="00796901" w:rsidRPr="00FB39D7" w:rsidRDefault="00796901" w:rsidP="00796901">
      <w:pPr>
        <w:tabs>
          <w:tab w:val="left" w:pos="1080"/>
          <w:tab w:val="left" w:pos="1170"/>
        </w:tabs>
        <w:ind w:left="533"/>
        <w:jc w:val="both"/>
        <w:rPr>
          <w:b/>
          <w:bCs/>
          <w:sz w:val="22"/>
          <w:szCs w:val="22"/>
        </w:rPr>
      </w:pPr>
      <w:r>
        <w:rPr>
          <w:b/>
          <w:bCs/>
          <w:sz w:val="22"/>
          <w:szCs w:val="22"/>
        </w:rPr>
        <w:t>Pattullo</w:t>
      </w:r>
      <w:r w:rsidRPr="00FB39D7">
        <w:rPr>
          <w:b/>
          <w:bCs/>
          <w:sz w:val="22"/>
          <w:szCs w:val="22"/>
        </w:rPr>
        <w:t xml:space="preserve"> Property </w:t>
      </w:r>
    </w:p>
    <w:p w:rsidR="00796901" w:rsidRDefault="00796901" w:rsidP="00796901">
      <w:pPr>
        <w:ind w:left="173"/>
        <w:jc w:val="both"/>
        <w:rPr>
          <w:bCs/>
          <w:sz w:val="22"/>
          <w:szCs w:val="22"/>
        </w:rPr>
      </w:pPr>
    </w:p>
    <w:p w:rsidR="00796901" w:rsidRDefault="00796901" w:rsidP="00796901">
      <w:pPr>
        <w:ind w:left="533"/>
        <w:jc w:val="both"/>
        <w:rPr>
          <w:sz w:val="22"/>
          <w:szCs w:val="22"/>
        </w:rPr>
      </w:pPr>
      <w:r w:rsidRPr="00FD623E">
        <w:rPr>
          <w:bCs/>
          <w:sz w:val="22"/>
          <w:szCs w:val="22"/>
        </w:rPr>
        <w:t xml:space="preserve">On </w:t>
      </w:r>
      <w:r>
        <w:rPr>
          <w:bCs/>
          <w:sz w:val="22"/>
          <w:szCs w:val="22"/>
        </w:rPr>
        <w:t>17 June</w:t>
      </w:r>
      <w:r w:rsidRPr="00FD623E">
        <w:rPr>
          <w:bCs/>
          <w:sz w:val="22"/>
          <w:szCs w:val="22"/>
        </w:rPr>
        <w:t xml:space="preserve"> 2011, the Company entered into an option agreement</w:t>
      </w:r>
      <w:r>
        <w:rPr>
          <w:bCs/>
          <w:sz w:val="22"/>
          <w:szCs w:val="22"/>
        </w:rPr>
        <w:t xml:space="preserve"> </w:t>
      </w:r>
      <w:r w:rsidRPr="00FD623E">
        <w:rPr>
          <w:bCs/>
          <w:sz w:val="22"/>
          <w:szCs w:val="22"/>
        </w:rPr>
        <w:t>to</w:t>
      </w:r>
      <w:r w:rsidRPr="00FD623E">
        <w:rPr>
          <w:sz w:val="22"/>
          <w:szCs w:val="22"/>
        </w:rPr>
        <w:t xml:space="preserve"> acquire a one hundred percent (100%) undivided interest in </w:t>
      </w:r>
      <w:r w:rsidRPr="00FD623E">
        <w:rPr>
          <w:color w:val="000000"/>
          <w:spacing w:val="-1"/>
          <w:sz w:val="22"/>
          <w:szCs w:val="22"/>
        </w:rPr>
        <w:t xml:space="preserve">4 unpatented mining claims </w:t>
      </w:r>
      <w:r w:rsidRPr="00FD623E">
        <w:rPr>
          <w:sz w:val="22"/>
          <w:szCs w:val="22"/>
        </w:rPr>
        <w:t xml:space="preserve">located in the </w:t>
      </w:r>
      <w:r>
        <w:rPr>
          <w:color w:val="000000"/>
          <w:spacing w:val="-1"/>
          <w:sz w:val="22"/>
          <w:szCs w:val="22"/>
        </w:rPr>
        <w:t>Pattullo</w:t>
      </w:r>
      <w:r w:rsidRPr="00FD623E">
        <w:rPr>
          <w:color w:val="000000"/>
          <w:spacing w:val="-1"/>
          <w:sz w:val="22"/>
          <w:szCs w:val="22"/>
        </w:rPr>
        <w:t xml:space="preserve"> and </w:t>
      </w:r>
      <w:proofErr w:type="spellStart"/>
      <w:r w:rsidRPr="00FD623E">
        <w:rPr>
          <w:color w:val="000000"/>
          <w:spacing w:val="-1"/>
          <w:sz w:val="22"/>
          <w:szCs w:val="22"/>
        </w:rPr>
        <w:t>Tait</w:t>
      </w:r>
      <w:proofErr w:type="spellEnd"/>
      <w:r w:rsidRPr="00FD623E">
        <w:rPr>
          <w:color w:val="000000"/>
          <w:spacing w:val="-1"/>
          <w:sz w:val="22"/>
          <w:szCs w:val="22"/>
        </w:rPr>
        <w:t xml:space="preserve"> townships of the Province of Ontario, Canada</w:t>
      </w:r>
      <w:r>
        <w:rPr>
          <w:rFonts w:hint="eastAsia"/>
          <w:color w:val="000000"/>
          <w:spacing w:val="-1"/>
          <w:sz w:val="22"/>
          <w:szCs w:val="22"/>
          <w:lang w:eastAsia="ko-KR"/>
        </w:rPr>
        <w:t xml:space="preserve"> (the </w:t>
      </w:r>
      <w:r>
        <w:rPr>
          <w:color w:val="000000"/>
          <w:spacing w:val="-1"/>
          <w:sz w:val="22"/>
          <w:szCs w:val="22"/>
          <w:lang w:eastAsia="ko-KR"/>
        </w:rPr>
        <w:t>“</w:t>
      </w:r>
      <w:r>
        <w:rPr>
          <w:rFonts w:hint="eastAsia"/>
          <w:color w:val="000000"/>
          <w:spacing w:val="-1"/>
          <w:sz w:val="22"/>
          <w:szCs w:val="22"/>
          <w:lang w:eastAsia="ko-KR"/>
        </w:rPr>
        <w:t>Pattullo Property</w:t>
      </w:r>
      <w:r>
        <w:rPr>
          <w:color w:val="000000"/>
          <w:spacing w:val="-1"/>
          <w:sz w:val="22"/>
          <w:szCs w:val="22"/>
          <w:lang w:eastAsia="ko-KR"/>
        </w:rPr>
        <w:t>”</w:t>
      </w:r>
      <w:r>
        <w:rPr>
          <w:rFonts w:hint="eastAsia"/>
          <w:color w:val="000000"/>
          <w:spacing w:val="-1"/>
          <w:sz w:val="22"/>
          <w:szCs w:val="22"/>
          <w:lang w:eastAsia="ko-KR"/>
        </w:rPr>
        <w:t>)</w:t>
      </w:r>
      <w:r w:rsidRPr="00FD623E">
        <w:rPr>
          <w:color w:val="000000"/>
          <w:spacing w:val="-1"/>
          <w:sz w:val="22"/>
          <w:szCs w:val="22"/>
        </w:rPr>
        <w:t xml:space="preserve">. </w:t>
      </w:r>
      <w:r w:rsidRPr="00FD623E">
        <w:rPr>
          <w:sz w:val="22"/>
          <w:szCs w:val="22"/>
        </w:rPr>
        <w:t xml:space="preserve">The Company acquired its option in the </w:t>
      </w:r>
      <w:r>
        <w:rPr>
          <w:sz w:val="22"/>
          <w:szCs w:val="22"/>
        </w:rPr>
        <w:t xml:space="preserve">Pattullo </w:t>
      </w:r>
      <w:r w:rsidRPr="00FD623E">
        <w:rPr>
          <w:sz w:val="22"/>
          <w:szCs w:val="22"/>
        </w:rPr>
        <w:t>Property through an Option Agreement with Perry Vern English, acting on behalf of Rubicon Minerals Corporation, (“</w:t>
      </w:r>
      <w:r>
        <w:rPr>
          <w:bCs/>
          <w:sz w:val="22"/>
          <w:szCs w:val="22"/>
        </w:rPr>
        <w:t>Rubicon</w:t>
      </w:r>
      <w:r w:rsidRPr="00FD623E">
        <w:rPr>
          <w:sz w:val="22"/>
          <w:szCs w:val="22"/>
        </w:rPr>
        <w:t>”), dated</w:t>
      </w:r>
      <w:r>
        <w:rPr>
          <w:sz w:val="22"/>
          <w:szCs w:val="22"/>
        </w:rPr>
        <w:t xml:space="preserve"> 13 June </w:t>
      </w:r>
      <w:r w:rsidRPr="00FD623E">
        <w:rPr>
          <w:sz w:val="22"/>
          <w:szCs w:val="22"/>
        </w:rPr>
        <w:t>2011</w:t>
      </w:r>
      <w:r>
        <w:rPr>
          <w:sz w:val="22"/>
          <w:szCs w:val="22"/>
        </w:rPr>
        <w:t>,</w:t>
      </w:r>
      <w:r w:rsidRPr="00FD623E">
        <w:rPr>
          <w:sz w:val="22"/>
          <w:szCs w:val="22"/>
        </w:rPr>
        <w:t xml:space="preserve"> </w:t>
      </w:r>
      <w:r>
        <w:rPr>
          <w:sz w:val="22"/>
          <w:szCs w:val="22"/>
        </w:rPr>
        <w:t>effective</w:t>
      </w:r>
      <w:r w:rsidRPr="00FD623E">
        <w:rPr>
          <w:sz w:val="22"/>
          <w:szCs w:val="22"/>
        </w:rPr>
        <w:t xml:space="preserve"> </w:t>
      </w:r>
      <w:r>
        <w:rPr>
          <w:sz w:val="22"/>
          <w:szCs w:val="22"/>
        </w:rPr>
        <w:t xml:space="preserve">17 June </w:t>
      </w:r>
      <w:r w:rsidRPr="00FD623E">
        <w:rPr>
          <w:sz w:val="22"/>
          <w:szCs w:val="22"/>
        </w:rPr>
        <w:t>2011</w:t>
      </w:r>
      <w:r>
        <w:rPr>
          <w:sz w:val="22"/>
          <w:szCs w:val="22"/>
        </w:rPr>
        <w:t xml:space="preserve"> (the </w:t>
      </w:r>
      <w:r>
        <w:rPr>
          <w:sz w:val="22"/>
          <w:szCs w:val="22"/>
          <w:lang w:eastAsia="ko-KR"/>
        </w:rPr>
        <w:t>“</w:t>
      </w:r>
      <w:r>
        <w:rPr>
          <w:sz w:val="22"/>
          <w:szCs w:val="22"/>
        </w:rPr>
        <w:t>Pattullo Agreement”)</w:t>
      </w:r>
      <w:r w:rsidRPr="00FD623E">
        <w:rPr>
          <w:sz w:val="22"/>
          <w:szCs w:val="22"/>
        </w:rPr>
        <w:t xml:space="preserve">. In connection with the </w:t>
      </w:r>
      <w:r>
        <w:rPr>
          <w:sz w:val="22"/>
          <w:szCs w:val="22"/>
        </w:rPr>
        <w:t>Pattullo</w:t>
      </w:r>
      <w:r w:rsidRPr="00FD623E">
        <w:rPr>
          <w:sz w:val="22"/>
          <w:szCs w:val="22"/>
        </w:rPr>
        <w:t xml:space="preserve"> Agreement, </w:t>
      </w:r>
      <w:r>
        <w:rPr>
          <w:sz w:val="22"/>
          <w:szCs w:val="22"/>
        </w:rPr>
        <w:t>the Company</w:t>
      </w:r>
      <w:r w:rsidRPr="00FD623E">
        <w:rPr>
          <w:sz w:val="22"/>
          <w:szCs w:val="22"/>
        </w:rPr>
        <w:t xml:space="preserve"> issued 50,000 common shares </w:t>
      </w:r>
      <w:r>
        <w:rPr>
          <w:sz w:val="22"/>
          <w:szCs w:val="22"/>
        </w:rPr>
        <w:t>valued at $2,500 (</w:t>
      </w:r>
      <w:r w:rsidRPr="00FD623E">
        <w:rPr>
          <w:sz w:val="22"/>
          <w:szCs w:val="22"/>
        </w:rPr>
        <w:t>$0.0</w:t>
      </w:r>
      <w:r>
        <w:rPr>
          <w:sz w:val="22"/>
          <w:szCs w:val="22"/>
        </w:rPr>
        <w:t>5</w:t>
      </w:r>
      <w:r w:rsidRPr="00FD623E">
        <w:rPr>
          <w:sz w:val="22"/>
          <w:szCs w:val="22"/>
        </w:rPr>
        <w:t xml:space="preserve"> per</w:t>
      </w:r>
      <w:r>
        <w:rPr>
          <w:sz w:val="22"/>
          <w:szCs w:val="22"/>
        </w:rPr>
        <w:t xml:space="preserve"> common</w:t>
      </w:r>
      <w:r w:rsidRPr="00FD623E">
        <w:rPr>
          <w:sz w:val="22"/>
          <w:szCs w:val="22"/>
        </w:rPr>
        <w:t xml:space="preserve"> share</w:t>
      </w:r>
      <w:r>
        <w:rPr>
          <w:sz w:val="22"/>
          <w:szCs w:val="22"/>
        </w:rPr>
        <w:t>)</w:t>
      </w:r>
      <w:r w:rsidRPr="00FD623E">
        <w:rPr>
          <w:sz w:val="22"/>
          <w:szCs w:val="22"/>
        </w:rPr>
        <w:t xml:space="preserve"> to an unrelated third party as a finder’s fee</w:t>
      </w:r>
      <w:r w:rsidR="00A8335F">
        <w:rPr>
          <w:sz w:val="22"/>
          <w:szCs w:val="22"/>
        </w:rPr>
        <w:t xml:space="preserve"> (Notes 8</w:t>
      </w:r>
      <w:r>
        <w:rPr>
          <w:sz w:val="22"/>
          <w:szCs w:val="22"/>
        </w:rPr>
        <w:t xml:space="preserve"> and 1</w:t>
      </w:r>
      <w:r w:rsidR="00A8335F">
        <w:rPr>
          <w:sz w:val="22"/>
          <w:szCs w:val="22"/>
        </w:rPr>
        <w:t>0</w:t>
      </w:r>
      <w:r>
        <w:rPr>
          <w:sz w:val="22"/>
          <w:szCs w:val="22"/>
        </w:rPr>
        <w:t>)</w:t>
      </w:r>
      <w:r w:rsidRPr="00FD623E">
        <w:rPr>
          <w:sz w:val="22"/>
          <w:szCs w:val="22"/>
        </w:rPr>
        <w:t xml:space="preserve">.  Pursuant to the </w:t>
      </w:r>
      <w:r>
        <w:rPr>
          <w:sz w:val="22"/>
          <w:szCs w:val="22"/>
        </w:rPr>
        <w:t>Pattullo</w:t>
      </w:r>
      <w:r w:rsidRPr="00FD623E">
        <w:rPr>
          <w:sz w:val="22"/>
          <w:szCs w:val="22"/>
        </w:rPr>
        <w:t xml:space="preserve"> Agreement, </w:t>
      </w:r>
      <w:r>
        <w:rPr>
          <w:sz w:val="22"/>
          <w:szCs w:val="22"/>
        </w:rPr>
        <w:t>the Company</w:t>
      </w:r>
      <w:r w:rsidRPr="00FD623E">
        <w:rPr>
          <w:sz w:val="22"/>
          <w:szCs w:val="22"/>
        </w:rPr>
        <w:t xml:space="preserve"> agreed to, (a) over a four year period, make cash payments to Perry Vern English for his subsequent delivery to Rubicon in the aggregate amount of $105,000; and (b) over a two year period, issue Rubicon 150,000 common shares of </w:t>
      </w:r>
      <w:r>
        <w:rPr>
          <w:sz w:val="22"/>
          <w:szCs w:val="22"/>
        </w:rPr>
        <w:t>the Company, as follows:</w:t>
      </w:r>
      <w:r w:rsidRPr="00FD623E">
        <w:rPr>
          <w:sz w:val="22"/>
          <w:szCs w:val="22"/>
        </w:rPr>
        <w:t xml:space="preserve"> </w:t>
      </w:r>
    </w:p>
    <w:p w:rsidR="00796901" w:rsidRDefault="00796901" w:rsidP="00796901">
      <w:pPr>
        <w:widowControl/>
        <w:rPr>
          <w:sz w:val="22"/>
          <w:szCs w:val="22"/>
        </w:rPr>
      </w:pPr>
    </w:p>
    <w:p w:rsidR="00796901" w:rsidRDefault="00796901" w:rsidP="00796901">
      <w:pPr>
        <w:numPr>
          <w:ilvl w:val="0"/>
          <w:numId w:val="11"/>
        </w:numPr>
        <w:jc w:val="both"/>
        <w:rPr>
          <w:sz w:val="22"/>
          <w:szCs w:val="22"/>
        </w:rPr>
      </w:pPr>
      <w:r w:rsidRPr="00573930">
        <w:rPr>
          <w:sz w:val="22"/>
          <w:szCs w:val="22"/>
        </w:rPr>
        <w:t xml:space="preserve">Pay $15,000 </w:t>
      </w:r>
      <w:r>
        <w:rPr>
          <w:sz w:val="22"/>
          <w:szCs w:val="22"/>
        </w:rPr>
        <w:t>in cash upon signing the agreement (paid);</w:t>
      </w:r>
    </w:p>
    <w:p w:rsidR="00DA0879" w:rsidRDefault="00796901" w:rsidP="00796901">
      <w:pPr>
        <w:numPr>
          <w:ilvl w:val="0"/>
          <w:numId w:val="11"/>
        </w:numPr>
        <w:jc w:val="both"/>
        <w:rPr>
          <w:sz w:val="22"/>
          <w:szCs w:val="22"/>
        </w:rPr>
      </w:pPr>
      <w:r>
        <w:rPr>
          <w:sz w:val="22"/>
          <w:szCs w:val="22"/>
        </w:rPr>
        <w:t>Issue 50,000 common shares of the Company by 23 June 2011 (issue</w:t>
      </w:r>
      <w:r w:rsidR="005F2B36">
        <w:rPr>
          <w:sz w:val="22"/>
          <w:szCs w:val="22"/>
        </w:rPr>
        <w:t xml:space="preserve">d and valued at $2,500) </w:t>
      </w:r>
    </w:p>
    <w:p w:rsidR="00EC5EB7" w:rsidRDefault="005F2B36">
      <w:pPr>
        <w:ind w:left="900"/>
        <w:jc w:val="both"/>
        <w:rPr>
          <w:sz w:val="22"/>
          <w:szCs w:val="22"/>
        </w:rPr>
      </w:pPr>
      <w:r>
        <w:rPr>
          <w:sz w:val="22"/>
          <w:szCs w:val="22"/>
        </w:rPr>
        <w:t>(Notes 8</w:t>
      </w:r>
      <w:r w:rsidR="00796901">
        <w:rPr>
          <w:sz w:val="22"/>
          <w:szCs w:val="22"/>
        </w:rPr>
        <w:t xml:space="preserve"> and </w:t>
      </w:r>
      <w:r w:rsidR="00A8335F">
        <w:rPr>
          <w:sz w:val="22"/>
          <w:szCs w:val="22"/>
        </w:rPr>
        <w:t>10</w:t>
      </w:r>
      <w:r w:rsidR="00796901">
        <w:rPr>
          <w:sz w:val="22"/>
          <w:szCs w:val="22"/>
        </w:rPr>
        <w:t>);</w:t>
      </w:r>
    </w:p>
    <w:p w:rsidR="00796901" w:rsidRPr="00573930" w:rsidRDefault="00796901" w:rsidP="00796901">
      <w:pPr>
        <w:numPr>
          <w:ilvl w:val="0"/>
          <w:numId w:val="11"/>
        </w:numPr>
        <w:jc w:val="both"/>
        <w:rPr>
          <w:sz w:val="22"/>
          <w:szCs w:val="22"/>
        </w:rPr>
      </w:pPr>
      <w:r w:rsidRPr="00573930">
        <w:rPr>
          <w:sz w:val="22"/>
          <w:szCs w:val="22"/>
        </w:rPr>
        <w:t xml:space="preserve">Pay $15,000 </w:t>
      </w:r>
      <w:r>
        <w:rPr>
          <w:sz w:val="22"/>
          <w:szCs w:val="22"/>
        </w:rPr>
        <w:t xml:space="preserve">in cash </w:t>
      </w:r>
      <w:r w:rsidRPr="00573930">
        <w:rPr>
          <w:sz w:val="22"/>
          <w:szCs w:val="22"/>
        </w:rPr>
        <w:t xml:space="preserve">on </w:t>
      </w:r>
      <w:r>
        <w:rPr>
          <w:sz w:val="22"/>
          <w:szCs w:val="22"/>
        </w:rPr>
        <w:t xml:space="preserve">17 June </w:t>
      </w:r>
      <w:r w:rsidRPr="00573930">
        <w:rPr>
          <w:sz w:val="22"/>
          <w:szCs w:val="22"/>
        </w:rPr>
        <w:t>2012</w:t>
      </w:r>
      <w:r>
        <w:rPr>
          <w:sz w:val="22"/>
          <w:szCs w:val="22"/>
        </w:rPr>
        <w:t xml:space="preserve"> (paid)</w:t>
      </w:r>
      <w:r w:rsidRPr="00573930">
        <w:rPr>
          <w:sz w:val="22"/>
          <w:szCs w:val="22"/>
        </w:rPr>
        <w:t>;</w:t>
      </w:r>
    </w:p>
    <w:p w:rsidR="00DA0879" w:rsidRDefault="00796901" w:rsidP="00796901">
      <w:pPr>
        <w:numPr>
          <w:ilvl w:val="0"/>
          <w:numId w:val="11"/>
        </w:numPr>
        <w:jc w:val="both"/>
        <w:rPr>
          <w:sz w:val="22"/>
          <w:szCs w:val="22"/>
        </w:rPr>
      </w:pPr>
      <w:r w:rsidRPr="00573930">
        <w:rPr>
          <w:sz w:val="22"/>
          <w:szCs w:val="22"/>
        </w:rPr>
        <w:t>Issue 5</w:t>
      </w:r>
      <w:r>
        <w:rPr>
          <w:sz w:val="22"/>
          <w:szCs w:val="22"/>
        </w:rPr>
        <w:t>0,000 common shares of the Company</w:t>
      </w:r>
      <w:r w:rsidRPr="00573930">
        <w:rPr>
          <w:sz w:val="22"/>
          <w:szCs w:val="22"/>
        </w:rPr>
        <w:t xml:space="preserve"> on</w:t>
      </w:r>
      <w:r>
        <w:rPr>
          <w:sz w:val="22"/>
          <w:szCs w:val="22"/>
        </w:rPr>
        <w:t xml:space="preserve"> 23 June</w:t>
      </w:r>
      <w:r w:rsidRPr="00573930">
        <w:rPr>
          <w:sz w:val="22"/>
          <w:szCs w:val="22"/>
        </w:rPr>
        <w:t xml:space="preserve"> 2012</w:t>
      </w:r>
      <w:r>
        <w:rPr>
          <w:sz w:val="22"/>
          <w:szCs w:val="22"/>
        </w:rPr>
        <w:t xml:space="preserve"> (issued and valued at $4,000) </w:t>
      </w:r>
    </w:p>
    <w:p w:rsidR="00EC5EB7" w:rsidRDefault="00796901">
      <w:pPr>
        <w:ind w:left="900"/>
        <w:jc w:val="both"/>
        <w:rPr>
          <w:sz w:val="22"/>
          <w:szCs w:val="22"/>
        </w:rPr>
      </w:pPr>
      <w:r>
        <w:rPr>
          <w:sz w:val="22"/>
          <w:szCs w:val="22"/>
        </w:rPr>
        <w:t xml:space="preserve">(Notes </w:t>
      </w:r>
      <w:r w:rsidR="005F2B36">
        <w:rPr>
          <w:sz w:val="22"/>
          <w:szCs w:val="22"/>
        </w:rPr>
        <w:t>8</w:t>
      </w:r>
      <w:r>
        <w:rPr>
          <w:sz w:val="22"/>
          <w:szCs w:val="22"/>
        </w:rPr>
        <w:t xml:space="preserve"> and </w:t>
      </w:r>
      <w:r w:rsidR="00A8335F">
        <w:rPr>
          <w:sz w:val="22"/>
          <w:szCs w:val="22"/>
        </w:rPr>
        <w:t>10</w:t>
      </w:r>
      <w:r>
        <w:rPr>
          <w:sz w:val="22"/>
          <w:szCs w:val="22"/>
        </w:rPr>
        <w:t>)</w:t>
      </w:r>
      <w:r w:rsidRPr="00573930">
        <w:rPr>
          <w:sz w:val="22"/>
          <w:szCs w:val="22"/>
        </w:rPr>
        <w:t xml:space="preserve">; </w:t>
      </w:r>
    </w:p>
    <w:p w:rsidR="00E73DE4" w:rsidRPr="00BB4397" w:rsidRDefault="00796901" w:rsidP="008E1D55">
      <w:pPr>
        <w:numPr>
          <w:ilvl w:val="0"/>
          <w:numId w:val="11"/>
        </w:numPr>
        <w:jc w:val="both"/>
        <w:rPr>
          <w:sz w:val="22"/>
          <w:szCs w:val="22"/>
        </w:rPr>
      </w:pPr>
      <w:r w:rsidRPr="00573930">
        <w:rPr>
          <w:sz w:val="22"/>
          <w:szCs w:val="22"/>
        </w:rPr>
        <w:t xml:space="preserve">Pay $20,000 </w:t>
      </w:r>
      <w:r>
        <w:rPr>
          <w:sz w:val="22"/>
          <w:szCs w:val="22"/>
        </w:rPr>
        <w:t>in cash on 17 June 2013 (paid);</w:t>
      </w:r>
    </w:p>
    <w:p w:rsidR="00DA0879" w:rsidRPr="00F03430" w:rsidRDefault="00796901" w:rsidP="00796901">
      <w:pPr>
        <w:numPr>
          <w:ilvl w:val="0"/>
          <w:numId w:val="11"/>
        </w:numPr>
        <w:jc w:val="both"/>
        <w:rPr>
          <w:sz w:val="22"/>
          <w:szCs w:val="22"/>
        </w:rPr>
      </w:pPr>
      <w:r w:rsidRPr="00F03430">
        <w:rPr>
          <w:sz w:val="22"/>
          <w:szCs w:val="22"/>
        </w:rPr>
        <w:t>Issue 50,000 common shares of the Company on 23 June 2013 (issued</w:t>
      </w:r>
      <w:r w:rsidR="00C7571A" w:rsidRPr="00F03430">
        <w:rPr>
          <w:sz w:val="22"/>
          <w:szCs w:val="22"/>
        </w:rPr>
        <w:t xml:space="preserve"> and valued at $</w:t>
      </w:r>
      <w:r w:rsidR="00E73DE4" w:rsidRPr="00F03430">
        <w:rPr>
          <w:sz w:val="22"/>
          <w:szCs w:val="22"/>
        </w:rPr>
        <w:t>6,000</w:t>
      </w:r>
      <w:r w:rsidRPr="00F03430">
        <w:rPr>
          <w:sz w:val="22"/>
          <w:szCs w:val="22"/>
        </w:rPr>
        <w:t xml:space="preserve">) </w:t>
      </w:r>
    </w:p>
    <w:p w:rsidR="00EC5EB7" w:rsidRDefault="00796901">
      <w:pPr>
        <w:ind w:left="180" w:firstLine="720"/>
        <w:jc w:val="both"/>
        <w:rPr>
          <w:sz w:val="22"/>
          <w:szCs w:val="22"/>
        </w:rPr>
      </w:pPr>
      <w:r>
        <w:rPr>
          <w:sz w:val="22"/>
          <w:szCs w:val="22"/>
        </w:rPr>
        <w:lastRenderedPageBreak/>
        <w:t>(Note</w:t>
      </w:r>
      <w:r w:rsidR="00C7571A">
        <w:rPr>
          <w:sz w:val="22"/>
          <w:szCs w:val="22"/>
        </w:rPr>
        <w:t>s 8 and 10</w:t>
      </w:r>
      <w:r>
        <w:rPr>
          <w:sz w:val="22"/>
          <w:szCs w:val="22"/>
        </w:rPr>
        <w:t>);</w:t>
      </w:r>
    </w:p>
    <w:p w:rsidR="00796901" w:rsidRPr="00573930" w:rsidRDefault="00796901" w:rsidP="00796901">
      <w:pPr>
        <w:numPr>
          <w:ilvl w:val="0"/>
          <w:numId w:val="11"/>
        </w:numPr>
        <w:jc w:val="both"/>
        <w:rPr>
          <w:sz w:val="22"/>
          <w:szCs w:val="22"/>
        </w:rPr>
      </w:pPr>
      <w:r w:rsidRPr="00573930">
        <w:rPr>
          <w:sz w:val="22"/>
          <w:szCs w:val="22"/>
        </w:rPr>
        <w:t>Pay $25,000</w:t>
      </w:r>
      <w:r>
        <w:rPr>
          <w:sz w:val="22"/>
          <w:szCs w:val="22"/>
        </w:rPr>
        <w:t xml:space="preserve"> in cash</w:t>
      </w:r>
      <w:r w:rsidRPr="00573930">
        <w:rPr>
          <w:sz w:val="22"/>
          <w:szCs w:val="22"/>
        </w:rPr>
        <w:t xml:space="preserve"> on </w:t>
      </w:r>
      <w:r>
        <w:rPr>
          <w:sz w:val="22"/>
          <w:szCs w:val="22"/>
        </w:rPr>
        <w:t>17 June</w:t>
      </w:r>
      <w:r w:rsidRPr="00573930">
        <w:rPr>
          <w:sz w:val="22"/>
          <w:szCs w:val="22"/>
        </w:rPr>
        <w:t xml:space="preserve"> 2014; </w:t>
      </w:r>
      <w:r>
        <w:rPr>
          <w:sz w:val="22"/>
          <w:szCs w:val="22"/>
        </w:rPr>
        <w:t>and</w:t>
      </w:r>
    </w:p>
    <w:p w:rsidR="00796901" w:rsidRPr="00573930" w:rsidRDefault="00796901" w:rsidP="00796901">
      <w:pPr>
        <w:numPr>
          <w:ilvl w:val="0"/>
          <w:numId w:val="11"/>
        </w:numPr>
        <w:jc w:val="both"/>
        <w:rPr>
          <w:sz w:val="22"/>
          <w:szCs w:val="22"/>
        </w:rPr>
      </w:pPr>
      <w:r w:rsidRPr="00573930">
        <w:rPr>
          <w:sz w:val="22"/>
          <w:szCs w:val="22"/>
        </w:rPr>
        <w:t>Pay $30,000</w:t>
      </w:r>
      <w:r>
        <w:rPr>
          <w:sz w:val="22"/>
          <w:szCs w:val="22"/>
        </w:rPr>
        <w:t xml:space="preserve"> in cash </w:t>
      </w:r>
      <w:r w:rsidR="008656A9">
        <w:rPr>
          <w:sz w:val="22"/>
          <w:szCs w:val="22"/>
        </w:rPr>
        <w:t>on 17 June 2015.</w:t>
      </w:r>
    </w:p>
    <w:p w:rsidR="00796901" w:rsidRDefault="00796901" w:rsidP="00796901">
      <w:pPr>
        <w:rPr>
          <w:sz w:val="22"/>
          <w:szCs w:val="22"/>
        </w:rPr>
      </w:pPr>
    </w:p>
    <w:p w:rsidR="00796901" w:rsidRDefault="00796901" w:rsidP="00796901">
      <w:pPr>
        <w:ind w:left="533"/>
        <w:jc w:val="both"/>
        <w:rPr>
          <w:sz w:val="22"/>
          <w:szCs w:val="22"/>
        </w:rPr>
      </w:pPr>
      <w:r>
        <w:rPr>
          <w:sz w:val="22"/>
          <w:szCs w:val="22"/>
        </w:rPr>
        <w:t>The Company</w:t>
      </w:r>
      <w:r w:rsidRPr="00FD623E">
        <w:rPr>
          <w:sz w:val="22"/>
          <w:szCs w:val="22"/>
        </w:rPr>
        <w:t xml:space="preserve"> has granted a 2% net smelter royalty to Rubicon, 1% of which can be purchased bac</w:t>
      </w:r>
      <w:r>
        <w:rPr>
          <w:sz w:val="22"/>
          <w:szCs w:val="22"/>
        </w:rPr>
        <w:t xml:space="preserve">k by the Company for $1,000,000. </w:t>
      </w:r>
    </w:p>
    <w:p w:rsidR="00796901" w:rsidRDefault="00796901" w:rsidP="00796901">
      <w:pPr>
        <w:ind w:left="547"/>
        <w:jc w:val="both"/>
        <w:rPr>
          <w:bCs/>
          <w:sz w:val="22"/>
          <w:szCs w:val="22"/>
        </w:rPr>
      </w:pPr>
    </w:p>
    <w:p w:rsidR="00796901" w:rsidRDefault="00796901" w:rsidP="00796901">
      <w:pPr>
        <w:ind w:left="547"/>
        <w:jc w:val="both"/>
        <w:rPr>
          <w:bCs/>
          <w:sz w:val="22"/>
          <w:szCs w:val="22"/>
        </w:rPr>
      </w:pPr>
      <w:r>
        <w:rPr>
          <w:bCs/>
          <w:sz w:val="22"/>
          <w:szCs w:val="22"/>
        </w:rPr>
        <w:t>Expenditures related to Pattullo Property can be summarized as follows:</w:t>
      </w:r>
    </w:p>
    <w:p w:rsidR="00796901" w:rsidRDefault="00796901" w:rsidP="00796901">
      <w:pPr>
        <w:ind w:left="547"/>
        <w:rPr>
          <w:b/>
          <w:bCs/>
          <w:sz w:val="22"/>
          <w:szCs w:val="22"/>
        </w:rPr>
      </w:pPr>
    </w:p>
    <w:tbl>
      <w:tblPr>
        <w:tblW w:w="9540" w:type="dxa"/>
        <w:tblInd w:w="558" w:type="dxa"/>
        <w:tblLayout w:type="fixed"/>
        <w:tblLook w:val="0000"/>
      </w:tblPr>
      <w:tblGrid>
        <w:gridCol w:w="3600"/>
        <w:gridCol w:w="270"/>
        <w:gridCol w:w="1710"/>
        <w:gridCol w:w="270"/>
        <w:gridCol w:w="1710"/>
        <w:gridCol w:w="270"/>
        <w:gridCol w:w="1710"/>
      </w:tblGrid>
      <w:tr w:rsidR="00796901" w:rsidRPr="00CE4CBC" w:rsidTr="00796901">
        <w:trPr>
          <w:cantSplit/>
        </w:trPr>
        <w:tc>
          <w:tcPr>
            <w:tcW w:w="3600" w:type="dxa"/>
          </w:tcPr>
          <w:p w:rsidR="00796901" w:rsidRPr="00CE4CBC" w:rsidRDefault="00796901" w:rsidP="00796901">
            <w:pPr>
              <w:widowControl/>
              <w:rPr>
                <w:sz w:val="22"/>
                <w:szCs w:val="22"/>
              </w:rPr>
            </w:pPr>
          </w:p>
        </w:tc>
        <w:tc>
          <w:tcPr>
            <w:tcW w:w="1980" w:type="dxa"/>
            <w:gridSpan w:val="2"/>
            <w:vAlign w:val="bottom"/>
          </w:tcPr>
          <w:p w:rsidR="0045678D" w:rsidRDefault="00796901" w:rsidP="00796901">
            <w:pPr>
              <w:jc w:val="right"/>
              <w:rPr>
                <w:b/>
                <w:bCs/>
                <w:sz w:val="22"/>
                <w:szCs w:val="22"/>
                <w:lang w:eastAsia="zh-CN"/>
              </w:rPr>
            </w:pPr>
            <w:r w:rsidRPr="00CE4CBC">
              <w:rPr>
                <w:b/>
                <w:bCs/>
                <w:sz w:val="22"/>
                <w:szCs w:val="22"/>
                <w:lang w:eastAsia="zh-CN"/>
              </w:rPr>
              <w:t xml:space="preserve">For the </w:t>
            </w:r>
            <w:r w:rsidR="00AF3FD6">
              <w:rPr>
                <w:b/>
                <w:bCs/>
                <w:sz w:val="22"/>
                <w:szCs w:val="22"/>
                <w:lang w:eastAsia="zh-CN"/>
              </w:rPr>
              <w:t>three</w:t>
            </w:r>
          </w:p>
          <w:p w:rsidR="00796901" w:rsidRPr="00CE4CBC" w:rsidRDefault="005906A8" w:rsidP="0045678D">
            <w:pPr>
              <w:jc w:val="right"/>
              <w:rPr>
                <w:b/>
                <w:bCs/>
                <w:sz w:val="22"/>
                <w:szCs w:val="22"/>
                <w:lang w:eastAsia="zh-CN"/>
              </w:rPr>
            </w:pPr>
            <w:r>
              <w:rPr>
                <w:b/>
                <w:bCs/>
                <w:sz w:val="22"/>
                <w:szCs w:val="22"/>
                <w:lang w:eastAsia="zh-CN"/>
              </w:rPr>
              <w:t>month period ended 30</w:t>
            </w:r>
            <w:r w:rsidR="0045678D">
              <w:rPr>
                <w:b/>
                <w:bCs/>
                <w:sz w:val="22"/>
                <w:szCs w:val="22"/>
                <w:lang w:eastAsia="zh-CN"/>
              </w:rPr>
              <w:t xml:space="preserve"> </w:t>
            </w:r>
            <w:r>
              <w:rPr>
                <w:b/>
                <w:bCs/>
                <w:sz w:val="22"/>
                <w:szCs w:val="22"/>
                <w:lang w:eastAsia="zh-CN"/>
              </w:rPr>
              <w:t>April</w:t>
            </w:r>
            <w:r w:rsidR="00AF6042" w:rsidRPr="00CE4CBC">
              <w:rPr>
                <w:b/>
                <w:bCs/>
                <w:sz w:val="22"/>
                <w:szCs w:val="22"/>
                <w:lang w:eastAsia="zh-CN"/>
              </w:rPr>
              <w:t xml:space="preserve"> </w:t>
            </w:r>
          </w:p>
          <w:p w:rsidR="00796901" w:rsidRPr="00CE4CBC" w:rsidRDefault="00796901" w:rsidP="00796901">
            <w:pPr>
              <w:jc w:val="right"/>
              <w:rPr>
                <w:b/>
                <w:bCs/>
                <w:sz w:val="22"/>
                <w:szCs w:val="22"/>
              </w:rPr>
            </w:pPr>
            <w:r w:rsidRPr="00CE4CBC">
              <w:rPr>
                <w:b/>
                <w:bCs/>
                <w:sz w:val="22"/>
                <w:szCs w:val="22"/>
                <w:lang w:eastAsia="zh-CN"/>
              </w:rPr>
              <w:t>201</w:t>
            </w:r>
            <w:r w:rsidR="00042A59">
              <w:rPr>
                <w:b/>
                <w:bCs/>
                <w:sz w:val="22"/>
                <w:szCs w:val="22"/>
                <w:lang w:eastAsia="zh-CN"/>
              </w:rPr>
              <w:t>5</w:t>
            </w:r>
          </w:p>
        </w:tc>
        <w:tc>
          <w:tcPr>
            <w:tcW w:w="1980" w:type="dxa"/>
            <w:gridSpan w:val="2"/>
            <w:vAlign w:val="bottom"/>
          </w:tcPr>
          <w:p w:rsidR="0045678D" w:rsidRDefault="00796901" w:rsidP="00796901">
            <w:pPr>
              <w:jc w:val="right"/>
              <w:rPr>
                <w:b/>
                <w:bCs/>
                <w:sz w:val="22"/>
                <w:szCs w:val="22"/>
                <w:lang w:eastAsia="zh-CN"/>
              </w:rPr>
            </w:pPr>
            <w:r w:rsidRPr="00CE4CBC">
              <w:rPr>
                <w:b/>
                <w:bCs/>
                <w:sz w:val="22"/>
                <w:szCs w:val="22"/>
                <w:lang w:eastAsia="zh-CN"/>
              </w:rPr>
              <w:t xml:space="preserve">For the </w:t>
            </w:r>
            <w:r w:rsidR="00AF3FD6">
              <w:rPr>
                <w:b/>
                <w:bCs/>
                <w:sz w:val="22"/>
                <w:szCs w:val="22"/>
                <w:lang w:eastAsia="zh-CN"/>
              </w:rPr>
              <w:t>three</w:t>
            </w:r>
          </w:p>
          <w:p w:rsidR="00796901" w:rsidRPr="00CE4CBC" w:rsidRDefault="00796901" w:rsidP="00796901">
            <w:pPr>
              <w:jc w:val="right"/>
              <w:rPr>
                <w:b/>
                <w:bCs/>
                <w:sz w:val="22"/>
                <w:szCs w:val="22"/>
                <w:lang w:eastAsia="zh-CN"/>
              </w:rPr>
            </w:pPr>
            <w:r>
              <w:rPr>
                <w:b/>
                <w:bCs/>
                <w:sz w:val="22"/>
                <w:szCs w:val="22"/>
                <w:lang w:eastAsia="zh-CN"/>
              </w:rPr>
              <w:t>month period ended 3</w:t>
            </w:r>
            <w:r w:rsidR="005906A8">
              <w:rPr>
                <w:b/>
                <w:bCs/>
                <w:sz w:val="22"/>
                <w:szCs w:val="22"/>
                <w:lang w:eastAsia="zh-CN"/>
              </w:rPr>
              <w:t>0</w:t>
            </w:r>
            <w:r w:rsidRPr="00CE4CBC">
              <w:rPr>
                <w:b/>
                <w:bCs/>
                <w:sz w:val="22"/>
                <w:szCs w:val="22"/>
                <w:lang w:eastAsia="zh-CN"/>
              </w:rPr>
              <w:t xml:space="preserve"> </w:t>
            </w:r>
            <w:r w:rsidR="005906A8">
              <w:rPr>
                <w:b/>
                <w:bCs/>
                <w:sz w:val="22"/>
                <w:szCs w:val="22"/>
                <w:lang w:eastAsia="zh-CN"/>
              </w:rPr>
              <w:t>April</w:t>
            </w:r>
            <w:r w:rsidR="00AF6042" w:rsidRPr="00CE4CBC">
              <w:rPr>
                <w:b/>
                <w:bCs/>
                <w:sz w:val="22"/>
                <w:szCs w:val="22"/>
                <w:lang w:eastAsia="zh-CN"/>
              </w:rPr>
              <w:t xml:space="preserve"> </w:t>
            </w:r>
          </w:p>
          <w:p w:rsidR="00796901" w:rsidRPr="00CE4CBC" w:rsidRDefault="00796901" w:rsidP="00796901">
            <w:pPr>
              <w:jc w:val="right"/>
              <w:rPr>
                <w:b/>
                <w:bCs/>
                <w:sz w:val="22"/>
                <w:szCs w:val="22"/>
                <w:lang w:eastAsia="zh-CN"/>
              </w:rPr>
            </w:pPr>
            <w:r w:rsidRPr="00CE4CBC">
              <w:rPr>
                <w:b/>
                <w:bCs/>
                <w:sz w:val="22"/>
                <w:szCs w:val="22"/>
                <w:lang w:eastAsia="zh-CN"/>
              </w:rPr>
              <w:t>201</w:t>
            </w:r>
            <w:r w:rsidR="00042A59">
              <w:rPr>
                <w:b/>
                <w:bCs/>
                <w:sz w:val="22"/>
                <w:szCs w:val="22"/>
                <w:lang w:eastAsia="zh-CN"/>
              </w:rPr>
              <w:t>4</w:t>
            </w:r>
          </w:p>
        </w:tc>
        <w:tc>
          <w:tcPr>
            <w:tcW w:w="1980" w:type="dxa"/>
            <w:gridSpan w:val="2"/>
            <w:vAlign w:val="bottom"/>
          </w:tcPr>
          <w:p w:rsidR="00796901" w:rsidRPr="00CE4CBC" w:rsidRDefault="00796901" w:rsidP="00796901">
            <w:pPr>
              <w:jc w:val="right"/>
              <w:rPr>
                <w:b/>
                <w:bCs/>
                <w:sz w:val="22"/>
                <w:szCs w:val="22"/>
              </w:rPr>
            </w:pPr>
            <w:r w:rsidRPr="00CE4CBC">
              <w:rPr>
                <w:b/>
                <w:bCs/>
                <w:sz w:val="22"/>
                <w:szCs w:val="22"/>
              </w:rPr>
              <w:t>Cumulative</w:t>
            </w:r>
          </w:p>
          <w:p w:rsidR="00796901" w:rsidRPr="00CE4CBC" w:rsidRDefault="00796901" w:rsidP="005906A8">
            <w:pPr>
              <w:jc w:val="right"/>
              <w:rPr>
                <w:b/>
                <w:bCs/>
                <w:sz w:val="20"/>
              </w:rPr>
            </w:pPr>
            <w:r>
              <w:rPr>
                <w:b/>
                <w:bCs/>
                <w:sz w:val="22"/>
                <w:szCs w:val="22"/>
              </w:rPr>
              <w:t>a</w:t>
            </w:r>
            <w:r w:rsidRPr="00CE4CBC">
              <w:rPr>
                <w:b/>
                <w:bCs/>
                <w:sz w:val="22"/>
                <w:szCs w:val="22"/>
              </w:rPr>
              <w:t xml:space="preserve">mounts from the date of incorporation on 29 July 2010 to </w:t>
            </w:r>
            <w:r w:rsidR="00AF6042" w:rsidRPr="00CE4CBC">
              <w:rPr>
                <w:rFonts w:hint="eastAsia"/>
                <w:b/>
                <w:bCs/>
                <w:sz w:val="22"/>
                <w:szCs w:val="22"/>
                <w:lang w:eastAsia="zh-CN"/>
              </w:rPr>
              <w:t>3</w:t>
            </w:r>
            <w:r w:rsidR="005906A8">
              <w:rPr>
                <w:b/>
                <w:bCs/>
                <w:sz w:val="22"/>
                <w:szCs w:val="22"/>
                <w:lang w:eastAsia="zh-CN"/>
              </w:rPr>
              <w:t>0</w:t>
            </w:r>
            <w:r w:rsidR="00AF6042">
              <w:rPr>
                <w:b/>
                <w:bCs/>
                <w:sz w:val="22"/>
                <w:szCs w:val="22"/>
                <w:lang w:eastAsia="zh-CN"/>
              </w:rPr>
              <w:t xml:space="preserve"> </w:t>
            </w:r>
            <w:r w:rsidR="005906A8">
              <w:rPr>
                <w:b/>
                <w:bCs/>
                <w:sz w:val="22"/>
                <w:szCs w:val="22"/>
                <w:lang w:eastAsia="zh-CN"/>
              </w:rPr>
              <w:t>April</w:t>
            </w:r>
            <w:r w:rsidR="00AF6042">
              <w:rPr>
                <w:b/>
                <w:bCs/>
                <w:sz w:val="22"/>
                <w:szCs w:val="22"/>
                <w:lang w:eastAsia="zh-CN"/>
              </w:rPr>
              <w:t xml:space="preserve"> </w:t>
            </w:r>
            <w:r w:rsidRPr="00CE4CBC">
              <w:rPr>
                <w:rFonts w:hint="eastAsia"/>
                <w:b/>
                <w:bCs/>
                <w:sz w:val="22"/>
                <w:szCs w:val="22"/>
                <w:lang w:eastAsia="zh-CN"/>
              </w:rPr>
              <w:t>201</w:t>
            </w:r>
            <w:r w:rsidR="00042A59">
              <w:rPr>
                <w:b/>
                <w:bCs/>
                <w:sz w:val="22"/>
                <w:szCs w:val="22"/>
                <w:lang w:eastAsia="zh-CN"/>
              </w:rPr>
              <w:t>5</w:t>
            </w:r>
          </w:p>
        </w:tc>
      </w:tr>
      <w:tr w:rsidR="00796901" w:rsidRPr="00CE4CBC" w:rsidTr="00796901">
        <w:tc>
          <w:tcPr>
            <w:tcW w:w="3600" w:type="dxa"/>
          </w:tcPr>
          <w:p w:rsidR="00796901" w:rsidRPr="00CE4CBC" w:rsidRDefault="00796901" w:rsidP="00796901">
            <w:pPr>
              <w:widowControl/>
              <w:rPr>
                <w:sz w:val="22"/>
                <w:szCs w:val="22"/>
              </w:rPr>
            </w:pPr>
          </w:p>
        </w:tc>
        <w:tc>
          <w:tcPr>
            <w:tcW w:w="270" w:type="dxa"/>
            <w:vAlign w:val="bottom"/>
          </w:tcPr>
          <w:p w:rsidR="00796901" w:rsidRPr="00CE4CBC" w:rsidRDefault="00796901" w:rsidP="00796901">
            <w:pPr>
              <w:jc w:val="right"/>
              <w:rPr>
                <w:b/>
                <w:bCs/>
                <w:sz w:val="22"/>
                <w:szCs w:val="22"/>
                <w:lang w:val="en-GB"/>
              </w:rPr>
            </w:pPr>
          </w:p>
        </w:tc>
        <w:tc>
          <w:tcPr>
            <w:tcW w:w="1710" w:type="dxa"/>
            <w:vAlign w:val="bottom"/>
          </w:tcPr>
          <w:p w:rsidR="00796901" w:rsidRPr="00CE4CBC" w:rsidRDefault="00796901" w:rsidP="00796901">
            <w:pPr>
              <w:jc w:val="right"/>
              <w:rPr>
                <w:b/>
                <w:bCs/>
                <w:sz w:val="22"/>
                <w:szCs w:val="22"/>
                <w:lang w:val="en-GB"/>
              </w:rPr>
            </w:pPr>
            <w:r w:rsidRPr="00CE4CBC">
              <w:rPr>
                <w:b/>
                <w:bCs/>
                <w:sz w:val="22"/>
                <w:szCs w:val="22"/>
                <w:lang w:val="en-GB"/>
              </w:rPr>
              <w:t>$</w:t>
            </w:r>
          </w:p>
        </w:tc>
        <w:tc>
          <w:tcPr>
            <w:tcW w:w="270" w:type="dxa"/>
            <w:vAlign w:val="bottom"/>
          </w:tcPr>
          <w:p w:rsidR="00796901" w:rsidRPr="00CE4CBC" w:rsidRDefault="00796901" w:rsidP="00796901">
            <w:pPr>
              <w:jc w:val="right"/>
              <w:rPr>
                <w:b/>
                <w:bCs/>
                <w:sz w:val="22"/>
                <w:szCs w:val="22"/>
                <w:lang w:val="en-GB"/>
              </w:rPr>
            </w:pPr>
          </w:p>
        </w:tc>
        <w:tc>
          <w:tcPr>
            <w:tcW w:w="1710" w:type="dxa"/>
            <w:vAlign w:val="bottom"/>
          </w:tcPr>
          <w:p w:rsidR="00796901" w:rsidRPr="00CE4CBC" w:rsidRDefault="00796901" w:rsidP="00796901">
            <w:pPr>
              <w:jc w:val="right"/>
              <w:rPr>
                <w:b/>
                <w:bCs/>
                <w:sz w:val="22"/>
                <w:szCs w:val="22"/>
                <w:lang w:val="en-GB"/>
              </w:rPr>
            </w:pPr>
            <w:r w:rsidRPr="00CE4CBC">
              <w:rPr>
                <w:b/>
                <w:bCs/>
                <w:sz w:val="22"/>
                <w:szCs w:val="22"/>
                <w:lang w:val="en-GB"/>
              </w:rPr>
              <w:t>$</w:t>
            </w:r>
          </w:p>
        </w:tc>
        <w:tc>
          <w:tcPr>
            <w:tcW w:w="270" w:type="dxa"/>
            <w:vAlign w:val="bottom"/>
          </w:tcPr>
          <w:p w:rsidR="00796901" w:rsidRPr="00CE4CBC" w:rsidRDefault="00796901" w:rsidP="00796901">
            <w:pPr>
              <w:jc w:val="right"/>
              <w:rPr>
                <w:b/>
                <w:bCs/>
                <w:sz w:val="22"/>
                <w:szCs w:val="22"/>
                <w:lang w:val="en-GB"/>
              </w:rPr>
            </w:pPr>
          </w:p>
        </w:tc>
        <w:tc>
          <w:tcPr>
            <w:tcW w:w="1710" w:type="dxa"/>
            <w:vAlign w:val="bottom"/>
          </w:tcPr>
          <w:p w:rsidR="00796901" w:rsidRPr="00CE4CBC" w:rsidRDefault="00796901" w:rsidP="00796901">
            <w:pPr>
              <w:jc w:val="right"/>
              <w:rPr>
                <w:b/>
                <w:bCs/>
                <w:sz w:val="22"/>
                <w:szCs w:val="22"/>
                <w:lang w:val="en-GB"/>
              </w:rPr>
            </w:pPr>
            <w:r w:rsidRPr="00CE4CBC">
              <w:rPr>
                <w:b/>
                <w:bCs/>
                <w:sz w:val="22"/>
                <w:szCs w:val="22"/>
                <w:lang w:val="en-GB"/>
              </w:rPr>
              <w:t>$</w:t>
            </w:r>
          </w:p>
        </w:tc>
      </w:tr>
      <w:tr w:rsidR="00796901" w:rsidRPr="00CE4CBC" w:rsidTr="00796901">
        <w:tc>
          <w:tcPr>
            <w:tcW w:w="3600" w:type="dxa"/>
          </w:tcPr>
          <w:p w:rsidR="00796901" w:rsidRPr="00CE4CBC" w:rsidRDefault="00796901" w:rsidP="00796901">
            <w:pPr>
              <w:widowControl/>
              <w:rPr>
                <w:sz w:val="22"/>
                <w:szCs w:val="22"/>
              </w:rPr>
            </w:pPr>
          </w:p>
        </w:tc>
        <w:tc>
          <w:tcPr>
            <w:tcW w:w="270" w:type="dxa"/>
            <w:vAlign w:val="bottom"/>
          </w:tcPr>
          <w:p w:rsidR="00796901" w:rsidRPr="00CE4CBC" w:rsidRDefault="00796901" w:rsidP="00796901">
            <w:pPr>
              <w:jc w:val="right"/>
              <w:rPr>
                <w:b/>
                <w:bCs/>
                <w:sz w:val="22"/>
                <w:szCs w:val="22"/>
                <w:lang w:val="en-GB"/>
              </w:rPr>
            </w:pPr>
          </w:p>
        </w:tc>
        <w:tc>
          <w:tcPr>
            <w:tcW w:w="1710" w:type="dxa"/>
            <w:vAlign w:val="bottom"/>
          </w:tcPr>
          <w:p w:rsidR="00796901" w:rsidRPr="00CE4CBC" w:rsidRDefault="00796901" w:rsidP="00796901">
            <w:pPr>
              <w:jc w:val="right"/>
              <w:rPr>
                <w:b/>
                <w:bCs/>
                <w:sz w:val="22"/>
                <w:szCs w:val="22"/>
                <w:lang w:val="en-GB"/>
              </w:rPr>
            </w:pPr>
          </w:p>
        </w:tc>
        <w:tc>
          <w:tcPr>
            <w:tcW w:w="270" w:type="dxa"/>
            <w:vAlign w:val="bottom"/>
          </w:tcPr>
          <w:p w:rsidR="00796901" w:rsidRPr="00CE4CBC" w:rsidRDefault="00796901" w:rsidP="00796901">
            <w:pPr>
              <w:jc w:val="right"/>
              <w:rPr>
                <w:b/>
                <w:bCs/>
                <w:sz w:val="22"/>
                <w:szCs w:val="22"/>
                <w:lang w:val="en-GB"/>
              </w:rPr>
            </w:pPr>
          </w:p>
        </w:tc>
        <w:tc>
          <w:tcPr>
            <w:tcW w:w="1710" w:type="dxa"/>
            <w:vAlign w:val="bottom"/>
          </w:tcPr>
          <w:p w:rsidR="00796901" w:rsidRPr="00CE4CBC" w:rsidRDefault="00796901" w:rsidP="00796901">
            <w:pPr>
              <w:jc w:val="right"/>
              <w:rPr>
                <w:b/>
                <w:bCs/>
                <w:sz w:val="22"/>
                <w:szCs w:val="22"/>
                <w:lang w:val="en-GB"/>
              </w:rPr>
            </w:pPr>
          </w:p>
        </w:tc>
        <w:tc>
          <w:tcPr>
            <w:tcW w:w="270" w:type="dxa"/>
            <w:vAlign w:val="bottom"/>
          </w:tcPr>
          <w:p w:rsidR="00796901" w:rsidRPr="00CE4CBC" w:rsidRDefault="00796901" w:rsidP="00796901">
            <w:pPr>
              <w:jc w:val="right"/>
              <w:rPr>
                <w:b/>
                <w:bCs/>
                <w:sz w:val="22"/>
                <w:szCs w:val="22"/>
                <w:lang w:val="en-GB"/>
              </w:rPr>
            </w:pPr>
          </w:p>
        </w:tc>
        <w:tc>
          <w:tcPr>
            <w:tcW w:w="1710" w:type="dxa"/>
            <w:vAlign w:val="bottom"/>
          </w:tcPr>
          <w:p w:rsidR="00796901" w:rsidRPr="00CE4CBC" w:rsidRDefault="00796901" w:rsidP="00796901">
            <w:pPr>
              <w:jc w:val="right"/>
              <w:rPr>
                <w:b/>
                <w:bCs/>
                <w:sz w:val="22"/>
                <w:szCs w:val="22"/>
                <w:lang w:val="en-GB"/>
              </w:rPr>
            </w:pPr>
          </w:p>
        </w:tc>
      </w:tr>
      <w:tr w:rsidR="00796901" w:rsidRPr="00CE4CBC" w:rsidTr="00796901">
        <w:tc>
          <w:tcPr>
            <w:tcW w:w="3600" w:type="dxa"/>
          </w:tcPr>
          <w:p w:rsidR="00796901" w:rsidRPr="00CE4CBC" w:rsidRDefault="00796901" w:rsidP="00796901">
            <w:pPr>
              <w:widowControl/>
              <w:rPr>
                <w:b/>
                <w:bCs/>
                <w:sz w:val="22"/>
                <w:szCs w:val="22"/>
                <w:lang w:val="en-GB" w:eastAsia="zh-CN"/>
              </w:rPr>
            </w:pPr>
            <w:r w:rsidRPr="00CE4CBC">
              <w:rPr>
                <w:rFonts w:hint="eastAsia"/>
                <w:b/>
                <w:bCs/>
                <w:sz w:val="22"/>
                <w:szCs w:val="22"/>
                <w:lang w:val="en-GB" w:eastAsia="zh-CN"/>
              </w:rPr>
              <w:t>Exploration</w:t>
            </w:r>
            <w:r>
              <w:rPr>
                <w:b/>
                <w:bCs/>
                <w:sz w:val="22"/>
                <w:szCs w:val="22"/>
                <w:lang w:val="en-GB" w:eastAsia="zh-CN"/>
              </w:rPr>
              <w:t xml:space="preserve"> and evaluation</w:t>
            </w:r>
            <w:r w:rsidRPr="00CE4CBC">
              <w:rPr>
                <w:b/>
                <w:bCs/>
                <w:sz w:val="22"/>
                <w:szCs w:val="22"/>
                <w:lang w:val="en-GB" w:eastAsia="zh-CN"/>
              </w:rPr>
              <w:t xml:space="preserve"> expenditures</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796901" w:rsidP="00796901">
            <w:pPr>
              <w:jc w:val="right"/>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796901" w:rsidP="00796901">
            <w:pPr>
              <w:jc w:val="right"/>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796901" w:rsidP="00796901">
            <w:pPr>
              <w:jc w:val="right"/>
              <w:rPr>
                <w:sz w:val="22"/>
                <w:szCs w:val="22"/>
                <w:lang w:val="en-GB"/>
              </w:rPr>
            </w:pPr>
          </w:p>
        </w:tc>
      </w:tr>
      <w:tr w:rsidR="00796901" w:rsidRPr="00CE4CBC" w:rsidTr="00796901">
        <w:tc>
          <w:tcPr>
            <w:tcW w:w="3600" w:type="dxa"/>
          </w:tcPr>
          <w:p w:rsidR="00796901" w:rsidRPr="00CE4CBC" w:rsidRDefault="00796901" w:rsidP="00796901">
            <w:pPr>
              <w:widowControl/>
              <w:rPr>
                <w:sz w:val="22"/>
                <w:szCs w:val="22"/>
              </w:rPr>
            </w:pPr>
            <w:r w:rsidRPr="00CE4CBC">
              <w:rPr>
                <w:sz w:val="22"/>
                <w:szCs w:val="22"/>
                <w:lang w:val="en-GB"/>
              </w:rPr>
              <w:t>Consulting fees</w:t>
            </w:r>
            <w:r w:rsidR="00500D84">
              <w:rPr>
                <w:sz w:val="22"/>
                <w:szCs w:val="22"/>
                <w:lang w:val="en-GB"/>
              </w:rPr>
              <w:t xml:space="preserve"> </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F03430" w:rsidP="00796901">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672E0D" w:rsidRDefault="00AF3FD6" w:rsidP="00796901">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AF3FD6" w:rsidP="00796901">
            <w:pPr>
              <w:jc w:val="right"/>
              <w:rPr>
                <w:sz w:val="22"/>
                <w:szCs w:val="22"/>
                <w:lang w:val="en-GB" w:eastAsia="zh-CN"/>
              </w:rPr>
            </w:pPr>
            <w:r>
              <w:rPr>
                <w:sz w:val="22"/>
                <w:szCs w:val="22"/>
                <w:lang w:val="en-GB" w:eastAsia="zh-CN"/>
              </w:rPr>
              <w:t>15,662</w:t>
            </w:r>
          </w:p>
        </w:tc>
      </w:tr>
      <w:tr w:rsidR="00796901" w:rsidRPr="00CE4CBC" w:rsidTr="00796901">
        <w:tc>
          <w:tcPr>
            <w:tcW w:w="3600" w:type="dxa"/>
          </w:tcPr>
          <w:p w:rsidR="00796901" w:rsidRPr="00CE4CBC" w:rsidRDefault="00796901" w:rsidP="00796901">
            <w:pPr>
              <w:widowControl/>
              <w:rPr>
                <w:sz w:val="22"/>
                <w:szCs w:val="22"/>
                <w:lang w:val="en-GB"/>
              </w:rPr>
            </w:pPr>
            <w:r w:rsidRPr="00CE4CBC">
              <w:rPr>
                <w:sz w:val="22"/>
                <w:szCs w:val="22"/>
                <w:lang w:val="en-GB"/>
              </w:rPr>
              <w:t>Geological</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796901" w:rsidP="00796901">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796901" w:rsidP="00796901">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796901" w:rsidP="00796901">
            <w:pPr>
              <w:jc w:val="right"/>
              <w:rPr>
                <w:sz w:val="22"/>
                <w:szCs w:val="22"/>
                <w:lang w:val="en-GB" w:eastAsia="zh-CN"/>
              </w:rPr>
            </w:pPr>
            <w:r w:rsidRPr="00CE4CBC">
              <w:rPr>
                <w:sz w:val="22"/>
                <w:szCs w:val="22"/>
                <w:lang w:val="en-GB" w:eastAsia="zh-CN"/>
              </w:rPr>
              <w:t>27,252</w:t>
            </w:r>
          </w:p>
        </w:tc>
      </w:tr>
      <w:tr w:rsidR="00796901" w:rsidRPr="00CE4CBC" w:rsidTr="00796901">
        <w:tc>
          <w:tcPr>
            <w:tcW w:w="3600" w:type="dxa"/>
          </w:tcPr>
          <w:p w:rsidR="00796901" w:rsidRPr="00CE4CBC" w:rsidRDefault="00796901" w:rsidP="00796901">
            <w:pPr>
              <w:widowControl/>
              <w:rPr>
                <w:sz w:val="22"/>
                <w:szCs w:val="22"/>
                <w:lang w:val="en-GB"/>
              </w:rPr>
            </w:pPr>
            <w:r w:rsidRPr="00CE4CBC">
              <w:rPr>
                <w:sz w:val="22"/>
                <w:szCs w:val="22"/>
                <w:lang w:val="en-GB"/>
              </w:rPr>
              <w:t xml:space="preserve">Geophysical </w:t>
            </w:r>
          </w:p>
        </w:tc>
        <w:tc>
          <w:tcPr>
            <w:tcW w:w="270" w:type="dxa"/>
            <w:vAlign w:val="bottom"/>
          </w:tcPr>
          <w:p w:rsidR="00796901" w:rsidRPr="00CE4CBC" w:rsidRDefault="00796901" w:rsidP="00796901">
            <w:pPr>
              <w:jc w:val="right"/>
              <w:rPr>
                <w:sz w:val="22"/>
                <w:szCs w:val="22"/>
                <w:lang w:val="en-GB"/>
              </w:rPr>
            </w:pPr>
          </w:p>
        </w:tc>
        <w:tc>
          <w:tcPr>
            <w:tcW w:w="1710" w:type="dxa"/>
            <w:tcBorders>
              <w:bottom w:val="single" w:sz="4" w:space="0" w:color="auto"/>
            </w:tcBorders>
            <w:vAlign w:val="bottom"/>
          </w:tcPr>
          <w:p w:rsidR="00796901" w:rsidRPr="00CE4CBC" w:rsidRDefault="00796901" w:rsidP="00796901">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796901" w:rsidP="00796901">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796901" w:rsidP="00796901">
            <w:pPr>
              <w:jc w:val="right"/>
              <w:rPr>
                <w:sz w:val="22"/>
                <w:szCs w:val="22"/>
                <w:lang w:val="en-GB" w:eastAsia="zh-CN"/>
              </w:rPr>
            </w:pPr>
            <w:r w:rsidRPr="00CE4CBC">
              <w:rPr>
                <w:sz w:val="22"/>
                <w:szCs w:val="22"/>
                <w:lang w:val="en-GB" w:eastAsia="zh-CN"/>
              </w:rPr>
              <w:t>79,100</w:t>
            </w:r>
          </w:p>
        </w:tc>
      </w:tr>
      <w:tr w:rsidR="00796901" w:rsidRPr="00CE4CBC" w:rsidTr="00796901">
        <w:tc>
          <w:tcPr>
            <w:tcW w:w="3600" w:type="dxa"/>
          </w:tcPr>
          <w:p w:rsidR="00796901" w:rsidRPr="00CE4CBC" w:rsidRDefault="00796901" w:rsidP="00796901">
            <w:pPr>
              <w:widowControl/>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tcBorders>
              <w:top w:val="single" w:sz="4" w:space="0" w:color="auto"/>
            </w:tcBorders>
            <w:vAlign w:val="bottom"/>
          </w:tcPr>
          <w:p w:rsidR="00796901" w:rsidRPr="00CE4CBC" w:rsidRDefault="00796901" w:rsidP="00796901">
            <w:pPr>
              <w:jc w:val="right"/>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tcBorders>
              <w:top w:val="single" w:sz="4" w:space="0" w:color="auto"/>
            </w:tcBorders>
            <w:vAlign w:val="bottom"/>
          </w:tcPr>
          <w:p w:rsidR="00796901" w:rsidRPr="00CE4CBC" w:rsidRDefault="00796901" w:rsidP="00796901">
            <w:pPr>
              <w:jc w:val="right"/>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tcBorders>
              <w:top w:val="single" w:sz="4" w:space="0" w:color="auto"/>
            </w:tcBorders>
            <w:vAlign w:val="bottom"/>
          </w:tcPr>
          <w:p w:rsidR="00796901" w:rsidRPr="00CE4CBC" w:rsidRDefault="00796901" w:rsidP="00796901">
            <w:pPr>
              <w:jc w:val="right"/>
              <w:rPr>
                <w:sz w:val="22"/>
                <w:szCs w:val="22"/>
                <w:lang w:val="en-GB"/>
              </w:rPr>
            </w:pPr>
          </w:p>
        </w:tc>
      </w:tr>
      <w:tr w:rsidR="00796901" w:rsidRPr="00CE4CBC" w:rsidTr="00796901">
        <w:tc>
          <w:tcPr>
            <w:tcW w:w="3600" w:type="dxa"/>
          </w:tcPr>
          <w:p w:rsidR="00796901" w:rsidRPr="00CE4CBC" w:rsidRDefault="00796901" w:rsidP="00796901">
            <w:pPr>
              <w:widowControl/>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F03430" w:rsidP="00796901">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AF3FD6" w:rsidP="00796901">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CE4CBC" w:rsidRDefault="00AF3FD6" w:rsidP="00796901">
            <w:pPr>
              <w:jc w:val="right"/>
              <w:rPr>
                <w:sz w:val="22"/>
                <w:szCs w:val="22"/>
                <w:lang w:val="en-GB" w:eastAsia="zh-CN"/>
              </w:rPr>
            </w:pPr>
            <w:r>
              <w:rPr>
                <w:sz w:val="22"/>
                <w:szCs w:val="22"/>
                <w:lang w:val="en-GB" w:eastAsia="zh-CN"/>
              </w:rPr>
              <w:t>122,014</w:t>
            </w:r>
          </w:p>
        </w:tc>
      </w:tr>
      <w:tr w:rsidR="00796901" w:rsidRPr="00CE4CBC" w:rsidTr="00796901">
        <w:trPr>
          <w:trHeight w:val="80"/>
        </w:trPr>
        <w:tc>
          <w:tcPr>
            <w:tcW w:w="3600" w:type="dxa"/>
          </w:tcPr>
          <w:p w:rsidR="00796901" w:rsidRPr="00CE4CBC" w:rsidRDefault="00796901" w:rsidP="00796901">
            <w:pPr>
              <w:widowControl/>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vAlign w:val="bottom"/>
          </w:tcPr>
          <w:p w:rsidR="00796901" w:rsidRPr="00E73DE4" w:rsidRDefault="00796901" w:rsidP="00796901">
            <w:pPr>
              <w:jc w:val="right"/>
              <w:rPr>
                <w:sz w:val="22"/>
                <w:szCs w:val="22"/>
                <w:lang w:val="en-GB"/>
              </w:rPr>
            </w:pPr>
          </w:p>
        </w:tc>
        <w:tc>
          <w:tcPr>
            <w:tcW w:w="270" w:type="dxa"/>
            <w:vAlign w:val="bottom"/>
          </w:tcPr>
          <w:p w:rsidR="00796901" w:rsidRPr="00E73DE4" w:rsidRDefault="00796901" w:rsidP="00796901">
            <w:pPr>
              <w:jc w:val="right"/>
              <w:rPr>
                <w:sz w:val="22"/>
                <w:szCs w:val="22"/>
                <w:lang w:val="en-GB"/>
              </w:rPr>
            </w:pPr>
          </w:p>
        </w:tc>
        <w:tc>
          <w:tcPr>
            <w:tcW w:w="1710" w:type="dxa"/>
            <w:vAlign w:val="bottom"/>
          </w:tcPr>
          <w:p w:rsidR="00796901" w:rsidRPr="00E73DE4" w:rsidRDefault="00796901" w:rsidP="00796901">
            <w:pPr>
              <w:jc w:val="right"/>
              <w:rPr>
                <w:sz w:val="22"/>
                <w:szCs w:val="22"/>
                <w:lang w:val="en-GB"/>
              </w:rPr>
            </w:pPr>
          </w:p>
        </w:tc>
        <w:tc>
          <w:tcPr>
            <w:tcW w:w="270" w:type="dxa"/>
            <w:vAlign w:val="bottom"/>
          </w:tcPr>
          <w:p w:rsidR="00796901" w:rsidRPr="00E73DE4" w:rsidRDefault="00796901" w:rsidP="00796901">
            <w:pPr>
              <w:jc w:val="right"/>
              <w:rPr>
                <w:sz w:val="22"/>
                <w:szCs w:val="22"/>
                <w:lang w:val="en-GB"/>
              </w:rPr>
            </w:pPr>
          </w:p>
        </w:tc>
        <w:tc>
          <w:tcPr>
            <w:tcW w:w="1710" w:type="dxa"/>
            <w:vAlign w:val="bottom"/>
          </w:tcPr>
          <w:p w:rsidR="00796901" w:rsidRPr="00E73DE4" w:rsidRDefault="00796901" w:rsidP="00796901">
            <w:pPr>
              <w:jc w:val="right"/>
              <w:rPr>
                <w:sz w:val="22"/>
                <w:szCs w:val="22"/>
                <w:lang w:val="en-GB"/>
              </w:rPr>
            </w:pPr>
          </w:p>
        </w:tc>
      </w:tr>
      <w:tr w:rsidR="00796901" w:rsidRPr="00CE4CBC" w:rsidTr="00796901">
        <w:tc>
          <w:tcPr>
            <w:tcW w:w="3600" w:type="dxa"/>
          </w:tcPr>
          <w:p w:rsidR="00796901" w:rsidRPr="00CE4CBC" w:rsidRDefault="00796901" w:rsidP="00796901">
            <w:pPr>
              <w:rPr>
                <w:b/>
                <w:sz w:val="22"/>
                <w:szCs w:val="22"/>
                <w:lang w:val="en-GB"/>
              </w:rPr>
            </w:pPr>
            <w:r w:rsidRPr="00CE4CBC">
              <w:rPr>
                <w:b/>
                <w:sz w:val="22"/>
                <w:szCs w:val="22"/>
                <w:lang w:val="en-GB"/>
              </w:rPr>
              <w:t>Acquisition costs</w:t>
            </w:r>
          </w:p>
        </w:tc>
        <w:tc>
          <w:tcPr>
            <w:tcW w:w="270" w:type="dxa"/>
            <w:vAlign w:val="bottom"/>
          </w:tcPr>
          <w:p w:rsidR="00796901" w:rsidRPr="00CE4CBC" w:rsidRDefault="00796901" w:rsidP="00796901">
            <w:pPr>
              <w:jc w:val="right"/>
              <w:rPr>
                <w:bCs/>
                <w:sz w:val="22"/>
                <w:szCs w:val="22"/>
                <w:lang w:val="en-GB"/>
              </w:rPr>
            </w:pPr>
          </w:p>
        </w:tc>
        <w:tc>
          <w:tcPr>
            <w:tcW w:w="1710" w:type="dxa"/>
            <w:vAlign w:val="bottom"/>
          </w:tcPr>
          <w:p w:rsidR="00796901" w:rsidRPr="00E73DE4" w:rsidRDefault="00F03430" w:rsidP="00E73DE4">
            <w:pPr>
              <w:jc w:val="right"/>
              <w:rPr>
                <w:bCs/>
                <w:sz w:val="22"/>
                <w:szCs w:val="22"/>
                <w:lang w:val="en-GB"/>
              </w:rPr>
            </w:pPr>
            <w:r>
              <w:rPr>
                <w:bCs/>
                <w:sz w:val="22"/>
                <w:szCs w:val="22"/>
                <w:lang w:val="en-GB"/>
              </w:rPr>
              <w:t>-</w:t>
            </w:r>
          </w:p>
        </w:tc>
        <w:tc>
          <w:tcPr>
            <w:tcW w:w="270" w:type="dxa"/>
            <w:vAlign w:val="bottom"/>
          </w:tcPr>
          <w:p w:rsidR="00796901" w:rsidRPr="00E73DE4" w:rsidRDefault="00796901" w:rsidP="00796901">
            <w:pPr>
              <w:jc w:val="right"/>
              <w:rPr>
                <w:bCs/>
                <w:sz w:val="22"/>
                <w:szCs w:val="22"/>
                <w:lang w:val="en-GB"/>
              </w:rPr>
            </w:pPr>
          </w:p>
        </w:tc>
        <w:tc>
          <w:tcPr>
            <w:tcW w:w="1710" w:type="dxa"/>
            <w:vAlign w:val="bottom"/>
          </w:tcPr>
          <w:p w:rsidR="00796901" w:rsidRPr="00E73DE4" w:rsidRDefault="00F03430" w:rsidP="00796901">
            <w:pPr>
              <w:jc w:val="right"/>
              <w:rPr>
                <w:bCs/>
                <w:sz w:val="22"/>
                <w:szCs w:val="22"/>
                <w:lang w:val="en-GB"/>
              </w:rPr>
            </w:pPr>
            <w:r>
              <w:rPr>
                <w:bCs/>
                <w:sz w:val="22"/>
                <w:szCs w:val="22"/>
                <w:lang w:val="en-GB"/>
              </w:rPr>
              <w:t>-</w:t>
            </w:r>
          </w:p>
        </w:tc>
        <w:tc>
          <w:tcPr>
            <w:tcW w:w="270" w:type="dxa"/>
            <w:vAlign w:val="bottom"/>
          </w:tcPr>
          <w:p w:rsidR="00796901" w:rsidRPr="00E73DE4" w:rsidRDefault="00796901" w:rsidP="00796901">
            <w:pPr>
              <w:jc w:val="right"/>
              <w:rPr>
                <w:bCs/>
                <w:sz w:val="22"/>
                <w:szCs w:val="22"/>
                <w:lang w:val="en-GB"/>
              </w:rPr>
            </w:pPr>
          </w:p>
        </w:tc>
        <w:tc>
          <w:tcPr>
            <w:tcW w:w="1710" w:type="dxa"/>
            <w:vAlign w:val="bottom"/>
          </w:tcPr>
          <w:p w:rsidR="00796901" w:rsidRPr="00E73DE4" w:rsidRDefault="00042A59" w:rsidP="00796901">
            <w:pPr>
              <w:jc w:val="right"/>
              <w:rPr>
                <w:bCs/>
                <w:sz w:val="22"/>
                <w:szCs w:val="22"/>
                <w:lang w:val="en-GB"/>
              </w:rPr>
            </w:pPr>
            <w:r>
              <w:rPr>
                <w:bCs/>
                <w:sz w:val="22"/>
                <w:szCs w:val="22"/>
                <w:lang w:val="en-GB"/>
              </w:rPr>
              <w:t>90</w:t>
            </w:r>
            <w:r w:rsidR="00796901" w:rsidRPr="00E73DE4">
              <w:rPr>
                <w:bCs/>
                <w:sz w:val="22"/>
                <w:szCs w:val="22"/>
                <w:lang w:val="en-GB"/>
              </w:rPr>
              <w:t>,000</w:t>
            </w:r>
          </w:p>
        </w:tc>
      </w:tr>
      <w:tr w:rsidR="00796901" w:rsidRPr="00CE4CBC" w:rsidTr="00796901">
        <w:tc>
          <w:tcPr>
            <w:tcW w:w="3600" w:type="dxa"/>
          </w:tcPr>
          <w:p w:rsidR="00796901" w:rsidRPr="00CE4CBC" w:rsidRDefault="00796901" w:rsidP="00796901">
            <w:pPr>
              <w:widowControl/>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tcBorders>
              <w:top w:val="single" w:sz="4" w:space="0" w:color="auto"/>
            </w:tcBorders>
            <w:vAlign w:val="bottom"/>
          </w:tcPr>
          <w:p w:rsidR="00796901" w:rsidRPr="00CE4CBC" w:rsidRDefault="00796901" w:rsidP="00796901">
            <w:pPr>
              <w:jc w:val="right"/>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tcBorders>
              <w:top w:val="single" w:sz="4" w:space="0" w:color="auto"/>
            </w:tcBorders>
            <w:vAlign w:val="bottom"/>
          </w:tcPr>
          <w:p w:rsidR="00796901" w:rsidRPr="00CE4CBC" w:rsidRDefault="00796901" w:rsidP="00796901">
            <w:pPr>
              <w:jc w:val="right"/>
              <w:rPr>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tcBorders>
              <w:top w:val="single" w:sz="4" w:space="0" w:color="auto"/>
            </w:tcBorders>
            <w:vAlign w:val="bottom"/>
          </w:tcPr>
          <w:p w:rsidR="00796901" w:rsidRPr="00CE4CBC" w:rsidRDefault="00796901" w:rsidP="00796901">
            <w:pPr>
              <w:jc w:val="right"/>
              <w:rPr>
                <w:sz w:val="22"/>
                <w:szCs w:val="22"/>
                <w:lang w:val="en-GB"/>
              </w:rPr>
            </w:pPr>
          </w:p>
        </w:tc>
      </w:tr>
      <w:tr w:rsidR="00796901" w:rsidRPr="00CE4CBC" w:rsidTr="00796901">
        <w:tc>
          <w:tcPr>
            <w:tcW w:w="3600" w:type="dxa"/>
          </w:tcPr>
          <w:p w:rsidR="00796901" w:rsidRPr="00CE4CBC" w:rsidRDefault="00796901" w:rsidP="00796901">
            <w:pPr>
              <w:widowControl/>
              <w:rPr>
                <w:b/>
                <w:bCs/>
                <w:sz w:val="22"/>
                <w:szCs w:val="22"/>
                <w:lang w:val="en-GB"/>
              </w:rPr>
            </w:pPr>
          </w:p>
        </w:tc>
        <w:tc>
          <w:tcPr>
            <w:tcW w:w="270" w:type="dxa"/>
            <w:vAlign w:val="bottom"/>
          </w:tcPr>
          <w:p w:rsidR="00796901" w:rsidRPr="00CE4CBC" w:rsidRDefault="00796901" w:rsidP="00796901">
            <w:pPr>
              <w:jc w:val="right"/>
              <w:rPr>
                <w:sz w:val="22"/>
                <w:szCs w:val="22"/>
                <w:lang w:val="en-GB"/>
              </w:rPr>
            </w:pPr>
          </w:p>
        </w:tc>
        <w:tc>
          <w:tcPr>
            <w:tcW w:w="1710" w:type="dxa"/>
            <w:tcBorders>
              <w:bottom w:val="single" w:sz="12" w:space="0" w:color="auto"/>
            </w:tcBorders>
            <w:vAlign w:val="bottom"/>
          </w:tcPr>
          <w:p w:rsidR="00796901" w:rsidRPr="00CE4CBC" w:rsidRDefault="00F03430" w:rsidP="00E73DE4">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tcBorders>
              <w:bottom w:val="single" w:sz="12" w:space="0" w:color="auto"/>
            </w:tcBorders>
            <w:vAlign w:val="bottom"/>
          </w:tcPr>
          <w:p w:rsidR="00796901" w:rsidRPr="00CE4CBC" w:rsidRDefault="00F03430" w:rsidP="00796901">
            <w:pPr>
              <w:jc w:val="right"/>
              <w:rPr>
                <w:sz w:val="22"/>
                <w:szCs w:val="22"/>
                <w:lang w:val="en-GB" w:eastAsia="zh-CN"/>
              </w:rPr>
            </w:pPr>
            <w:r>
              <w:rPr>
                <w:sz w:val="22"/>
                <w:szCs w:val="22"/>
                <w:lang w:val="en-GB" w:eastAsia="zh-CN"/>
              </w:rPr>
              <w:t>-</w:t>
            </w:r>
          </w:p>
        </w:tc>
        <w:tc>
          <w:tcPr>
            <w:tcW w:w="270" w:type="dxa"/>
            <w:vAlign w:val="bottom"/>
          </w:tcPr>
          <w:p w:rsidR="00796901" w:rsidRPr="00CE4CBC" w:rsidRDefault="00796901" w:rsidP="00796901">
            <w:pPr>
              <w:jc w:val="right"/>
              <w:rPr>
                <w:sz w:val="22"/>
                <w:szCs w:val="22"/>
                <w:lang w:val="en-GB"/>
              </w:rPr>
            </w:pPr>
          </w:p>
        </w:tc>
        <w:tc>
          <w:tcPr>
            <w:tcW w:w="1710" w:type="dxa"/>
            <w:tcBorders>
              <w:bottom w:val="single" w:sz="12" w:space="0" w:color="auto"/>
            </w:tcBorders>
            <w:vAlign w:val="bottom"/>
          </w:tcPr>
          <w:p w:rsidR="00796901" w:rsidRPr="00CE4CBC" w:rsidRDefault="00042A59" w:rsidP="0045678D">
            <w:pPr>
              <w:jc w:val="right"/>
              <w:rPr>
                <w:sz w:val="22"/>
                <w:szCs w:val="22"/>
                <w:lang w:val="en-GB" w:eastAsia="zh-CN"/>
              </w:rPr>
            </w:pPr>
            <w:r>
              <w:rPr>
                <w:sz w:val="22"/>
                <w:szCs w:val="22"/>
                <w:lang w:val="en-GB" w:eastAsia="zh-CN"/>
              </w:rPr>
              <w:t>212</w:t>
            </w:r>
            <w:r w:rsidR="00E73DE4">
              <w:rPr>
                <w:sz w:val="22"/>
                <w:szCs w:val="22"/>
                <w:lang w:val="en-GB" w:eastAsia="zh-CN"/>
              </w:rPr>
              <w:t>,</w:t>
            </w:r>
            <w:r w:rsidR="00AF3FD6">
              <w:rPr>
                <w:sz w:val="22"/>
                <w:szCs w:val="22"/>
                <w:lang w:val="en-GB" w:eastAsia="zh-CN"/>
              </w:rPr>
              <w:t>014</w:t>
            </w:r>
          </w:p>
        </w:tc>
      </w:tr>
    </w:tbl>
    <w:p w:rsidR="00796901" w:rsidRDefault="00796901" w:rsidP="00796901">
      <w:pPr>
        <w:snapToGrid w:val="0"/>
        <w:ind w:left="547"/>
        <w:jc w:val="both"/>
        <w:rPr>
          <w:b/>
          <w:bCs/>
          <w:sz w:val="22"/>
          <w:szCs w:val="22"/>
        </w:rPr>
      </w:pPr>
    </w:p>
    <w:p w:rsidR="00796901" w:rsidRDefault="00796901" w:rsidP="00796901">
      <w:pPr>
        <w:snapToGrid w:val="0"/>
        <w:ind w:left="547"/>
        <w:jc w:val="both"/>
        <w:rPr>
          <w:b/>
          <w:bCs/>
          <w:sz w:val="22"/>
          <w:szCs w:val="22"/>
        </w:rPr>
      </w:pPr>
      <w:r>
        <w:rPr>
          <w:b/>
          <w:bCs/>
          <w:sz w:val="22"/>
          <w:szCs w:val="22"/>
        </w:rPr>
        <w:t xml:space="preserve">Millen </w:t>
      </w:r>
      <w:smartTag w:uri="urn:schemas-microsoft-com:office:smarttags" w:element="PlaceType">
        <w:r>
          <w:rPr>
            <w:b/>
            <w:bCs/>
            <w:sz w:val="22"/>
            <w:szCs w:val="22"/>
          </w:rPr>
          <w:t>Mountain</w:t>
        </w:r>
      </w:smartTag>
      <w:r>
        <w:rPr>
          <w:b/>
          <w:bCs/>
          <w:sz w:val="22"/>
          <w:szCs w:val="22"/>
        </w:rPr>
        <w:t xml:space="preserve"> Property</w:t>
      </w:r>
    </w:p>
    <w:p w:rsidR="00796901" w:rsidRDefault="00796901" w:rsidP="00796901">
      <w:pPr>
        <w:ind w:left="533"/>
        <w:jc w:val="both"/>
        <w:rPr>
          <w:sz w:val="22"/>
          <w:szCs w:val="22"/>
        </w:rPr>
      </w:pPr>
    </w:p>
    <w:p w:rsidR="00796901" w:rsidRPr="005176C6" w:rsidRDefault="00796901" w:rsidP="00796901">
      <w:pPr>
        <w:ind w:left="533"/>
        <w:jc w:val="both"/>
        <w:rPr>
          <w:sz w:val="22"/>
          <w:szCs w:val="22"/>
        </w:rPr>
      </w:pPr>
      <w:r w:rsidRPr="005176C6">
        <w:rPr>
          <w:sz w:val="22"/>
          <w:szCs w:val="22"/>
        </w:rPr>
        <w:t xml:space="preserve">The Company currently holds a 100% interest in exploration rights to approximately 3,222 hectares of land located approximately 20 km east of </w:t>
      </w:r>
      <w:proofErr w:type="spellStart"/>
      <w:smartTag w:uri="urn:schemas-microsoft-com:office:smarttags" w:element="place">
        <w:smartTag w:uri="urn:schemas-microsoft-com:office:smarttags" w:element="City">
          <w:r w:rsidRPr="005176C6">
            <w:rPr>
              <w:sz w:val="22"/>
              <w:szCs w:val="22"/>
            </w:rPr>
            <w:t>Stewiacke</w:t>
          </w:r>
        </w:smartTag>
        <w:proofErr w:type="spellEnd"/>
        <w:r w:rsidRPr="005176C6">
          <w:rPr>
            <w:sz w:val="22"/>
            <w:szCs w:val="22"/>
          </w:rPr>
          <w:t xml:space="preserve">, </w:t>
        </w:r>
        <w:smartTag w:uri="urn:schemas-microsoft-com:office:smarttags" w:element="State">
          <w:r w:rsidRPr="005176C6">
            <w:rPr>
              <w:sz w:val="22"/>
              <w:szCs w:val="22"/>
            </w:rPr>
            <w:t>Nova Scotia</w:t>
          </w:r>
        </w:smartTag>
      </w:smartTag>
      <w:r w:rsidRPr="005176C6">
        <w:rPr>
          <w:sz w:val="22"/>
          <w:szCs w:val="22"/>
        </w:rPr>
        <w:t xml:space="preserve"> (the “Millen Mountain Property”). The Company staked these claims through the Nova Scotia Department of Natural Resources during June of 2011 at a cost of $1,342. In connection with the staking of the Millen Mountain Property, the Company issued 100,000 common shares valued at $5,000 ($0.05 per common share) </w:t>
      </w:r>
      <w:r>
        <w:rPr>
          <w:sz w:val="22"/>
          <w:szCs w:val="22"/>
        </w:rPr>
        <w:t xml:space="preserve">to a director of the Company </w:t>
      </w:r>
      <w:r w:rsidRPr="005176C6">
        <w:rPr>
          <w:sz w:val="22"/>
          <w:szCs w:val="22"/>
        </w:rPr>
        <w:t>as a finder’s fee</w:t>
      </w:r>
      <w:r>
        <w:rPr>
          <w:sz w:val="22"/>
          <w:szCs w:val="22"/>
        </w:rPr>
        <w:t xml:space="preserve"> (Notes </w:t>
      </w:r>
      <w:r w:rsidR="00F05B2A">
        <w:rPr>
          <w:sz w:val="22"/>
          <w:szCs w:val="22"/>
        </w:rPr>
        <w:t>8</w:t>
      </w:r>
      <w:r w:rsidR="00F2560E">
        <w:rPr>
          <w:sz w:val="22"/>
          <w:szCs w:val="22"/>
        </w:rPr>
        <w:t xml:space="preserve"> </w:t>
      </w:r>
      <w:r>
        <w:rPr>
          <w:sz w:val="22"/>
          <w:szCs w:val="22"/>
        </w:rPr>
        <w:t xml:space="preserve">and </w:t>
      </w:r>
      <w:r w:rsidR="005F2B36">
        <w:rPr>
          <w:sz w:val="22"/>
          <w:szCs w:val="22"/>
        </w:rPr>
        <w:t>10</w:t>
      </w:r>
      <w:r>
        <w:rPr>
          <w:sz w:val="22"/>
          <w:szCs w:val="22"/>
        </w:rPr>
        <w:t>).</w:t>
      </w:r>
    </w:p>
    <w:p w:rsidR="00796901" w:rsidRDefault="00796901" w:rsidP="00796901">
      <w:pPr>
        <w:ind w:left="533"/>
        <w:jc w:val="both"/>
        <w:rPr>
          <w:sz w:val="22"/>
          <w:szCs w:val="22"/>
        </w:rPr>
      </w:pPr>
    </w:p>
    <w:p w:rsidR="00796901" w:rsidRDefault="00796901" w:rsidP="00796901">
      <w:pPr>
        <w:ind w:left="533"/>
        <w:jc w:val="both"/>
        <w:rPr>
          <w:bCs/>
          <w:sz w:val="22"/>
          <w:szCs w:val="22"/>
        </w:rPr>
      </w:pPr>
      <w:r w:rsidRPr="004F641E">
        <w:rPr>
          <w:bCs/>
          <w:sz w:val="22"/>
          <w:szCs w:val="22"/>
        </w:rPr>
        <w:t>Expenditures related to Millen Mountain Property can be summarized as follows:</w:t>
      </w:r>
    </w:p>
    <w:p w:rsidR="00796901" w:rsidRDefault="00796901" w:rsidP="00796901">
      <w:pPr>
        <w:ind w:left="547"/>
        <w:rPr>
          <w:b/>
          <w:bCs/>
          <w:sz w:val="22"/>
          <w:szCs w:val="22"/>
        </w:rPr>
      </w:pPr>
    </w:p>
    <w:tbl>
      <w:tblPr>
        <w:tblW w:w="9540" w:type="dxa"/>
        <w:tblInd w:w="648" w:type="dxa"/>
        <w:tblLayout w:type="fixed"/>
        <w:tblLook w:val="0000"/>
      </w:tblPr>
      <w:tblGrid>
        <w:gridCol w:w="3600"/>
        <w:gridCol w:w="270"/>
        <w:gridCol w:w="270"/>
        <w:gridCol w:w="270"/>
        <w:gridCol w:w="1530"/>
        <w:gridCol w:w="270"/>
        <w:gridCol w:w="1530"/>
        <w:gridCol w:w="270"/>
        <w:gridCol w:w="1530"/>
      </w:tblGrid>
      <w:tr w:rsidR="00F05B2A" w:rsidRPr="00CE4CBC" w:rsidTr="00796901">
        <w:trPr>
          <w:cantSplit/>
        </w:trPr>
        <w:tc>
          <w:tcPr>
            <w:tcW w:w="3600" w:type="dxa"/>
          </w:tcPr>
          <w:p w:rsidR="00F05B2A" w:rsidRPr="00CE4CBC" w:rsidRDefault="00F05B2A" w:rsidP="00796901">
            <w:pPr>
              <w:widowControl/>
              <w:rPr>
                <w:sz w:val="22"/>
                <w:szCs w:val="22"/>
              </w:rPr>
            </w:pPr>
          </w:p>
        </w:tc>
        <w:tc>
          <w:tcPr>
            <w:tcW w:w="540" w:type="dxa"/>
            <w:gridSpan w:val="2"/>
            <w:vAlign w:val="bottom"/>
          </w:tcPr>
          <w:p w:rsidR="00F05B2A" w:rsidRPr="00CE4CBC" w:rsidRDefault="00F05B2A" w:rsidP="00796901">
            <w:pPr>
              <w:jc w:val="right"/>
              <w:rPr>
                <w:b/>
                <w:bCs/>
                <w:sz w:val="22"/>
              </w:rPr>
            </w:pPr>
          </w:p>
        </w:tc>
        <w:tc>
          <w:tcPr>
            <w:tcW w:w="1800" w:type="dxa"/>
            <w:gridSpan w:val="2"/>
            <w:vAlign w:val="bottom"/>
          </w:tcPr>
          <w:p w:rsidR="00F05B2A" w:rsidRPr="00CE4CBC" w:rsidRDefault="00F05B2A" w:rsidP="00F05B2A">
            <w:pPr>
              <w:jc w:val="right"/>
              <w:rPr>
                <w:b/>
                <w:bCs/>
                <w:sz w:val="22"/>
                <w:szCs w:val="22"/>
                <w:lang w:eastAsia="zh-CN"/>
              </w:rPr>
            </w:pPr>
            <w:r w:rsidRPr="00CE4CBC">
              <w:rPr>
                <w:b/>
                <w:bCs/>
                <w:sz w:val="22"/>
                <w:szCs w:val="22"/>
                <w:lang w:eastAsia="zh-CN"/>
              </w:rPr>
              <w:t xml:space="preserve">For the </w:t>
            </w:r>
            <w:r w:rsidR="00AF6042">
              <w:rPr>
                <w:b/>
                <w:bCs/>
                <w:sz w:val="22"/>
                <w:szCs w:val="22"/>
                <w:lang w:eastAsia="zh-CN"/>
              </w:rPr>
              <w:t>nine</w:t>
            </w:r>
            <w:r>
              <w:rPr>
                <w:b/>
                <w:bCs/>
                <w:sz w:val="22"/>
                <w:szCs w:val="22"/>
                <w:lang w:eastAsia="zh-CN"/>
              </w:rPr>
              <w:t xml:space="preserve"> month p</w:t>
            </w:r>
            <w:r w:rsidR="005906A8">
              <w:rPr>
                <w:b/>
                <w:bCs/>
                <w:sz w:val="22"/>
                <w:szCs w:val="22"/>
                <w:lang w:eastAsia="zh-CN"/>
              </w:rPr>
              <w:t>eriod ended 30</w:t>
            </w:r>
            <w:r w:rsidRPr="00CE4CBC">
              <w:rPr>
                <w:b/>
                <w:bCs/>
                <w:sz w:val="22"/>
                <w:szCs w:val="22"/>
                <w:lang w:eastAsia="zh-CN"/>
              </w:rPr>
              <w:t xml:space="preserve"> </w:t>
            </w:r>
            <w:r w:rsidR="005906A8">
              <w:rPr>
                <w:b/>
                <w:bCs/>
                <w:sz w:val="22"/>
                <w:szCs w:val="22"/>
                <w:lang w:eastAsia="zh-CN"/>
              </w:rPr>
              <w:t xml:space="preserve">    April</w:t>
            </w:r>
            <w:r w:rsidR="00AF6042" w:rsidRPr="00CE4CBC">
              <w:rPr>
                <w:b/>
                <w:bCs/>
                <w:sz w:val="22"/>
                <w:szCs w:val="22"/>
                <w:lang w:eastAsia="zh-CN"/>
              </w:rPr>
              <w:t xml:space="preserve"> </w:t>
            </w:r>
          </w:p>
          <w:p w:rsidR="00F05B2A" w:rsidRPr="00CE4CBC" w:rsidRDefault="00F05B2A" w:rsidP="00F05B2A">
            <w:pPr>
              <w:jc w:val="right"/>
              <w:rPr>
                <w:b/>
                <w:bCs/>
                <w:sz w:val="22"/>
                <w:szCs w:val="22"/>
              </w:rPr>
            </w:pPr>
            <w:r w:rsidRPr="00CE4CBC">
              <w:rPr>
                <w:b/>
                <w:bCs/>
                <w:sz w:val="22"/>
                <w:szCs w:val="22"/>
                <w:lang w:eastAsia="zh-CN"/>
              </w:rPr>
              <w:t>201</w:t>
            </w:r>
            <w:r w:rsidR="003566EF">
              <w:rPr>
                <w:b/>
                <w:bCs/>
                <w:sz w:val="22"/>
                <w:szCs w:val="22"/>
                <w:lang w:eastAsia="zh-CN"/>
              </w:rPr>
              <w:t>5</w:t>
            </w:r>
          </w:p>
        </w:tc>
        <w:tc>
          <w:tcPr>
            <w:tcW w:w="1800" w:type="dxa"/>
            <w:gridSpan w:val="2"/>
            <w:vAlign w:val="bottom"/>
          </w:tcPr>
          <w:p w:rsidR="00F05B2A" w:rsidRPr="00CE4CBC" w:rsidRDefault="00F05B2A" w:rsidP="00F05B2A">
            <w:pPr>
              <w:jc w:val="right"/>
              <w:rPr>
                <w:b/>
                <w:bCs/>
                <w:sz w:val="22"/>
                <w:szCs w:val="22"/>
                <w:lang w:eastAsia="zh-CN"/>
              </w:rPr>
            </w:pPr>
            <w:r w:rsidRPr="00CE4CBC">
              <w:rPr>
                <w:b/>
                <w:bCs/>
                <w:sz w:val="22"/>
                <w:szCs w:val="22"/>
                <w:lang w:eastAsia="zh-CN"/>
              </w:rPr>
              <w:t xml:space="preserve">For the </w:t>
            </w:r>
            <w:r w:rsidR="00AF6042">
              <w:rPr>
                <w:b/>
                <w:bCs/>
                <w:sz w:val="22"/>
                <w:szCs w:val="22"/>
                <w:lang w:eastAsia="zh-CN"/>
              </w:rPr>
              <w:t xml:space="preserve">nine </w:t>
            </w:r>
            <w:r w:rsidR="005906A8">
              <w:rPr>
                <w:b/>
                <w:bCs/>
                <w:sz w:val="22"/>
                <w:szCs w:val="22"/>
                <w:lang w:eastAsia="zh-CN"/>
              </w:rPr>
              <w:t>month period ended 30</w:t>
            </w:r>
            <w:r w:rsidR="00500D84">
              <w:rPr>
                <w:b/>
                <w:bCs/>
                <w:sz w:val="22"/>
                <w:szCs w:val="22"/>
                <w:lang w:eastAsia="zh-CN"/>
              </w:rPr>
              <w:t xml:space="preserve"> </w:t>
            </w:r>
            <w:r w:rsidR="005906A8">
              <w:rPr>
                <w:b/>
                <w:bCs/>
                <w:sz w:val="22"/>
                <w:szCs w:val="22"/>
                <w:lang w:eastAsia="zh-CN"/>
              </w:rPr>
              <w:t xml:space="preserve">    April</w:t>
            </w:r>
            <w:r w:rsidR="00AF6042" w:rsidRPr="00CE4CBC">
              <w:rPr>
                <w:b/>
                <w:bCs/>
                <w:sz w:val="22"/>
                <w:szCs w:val="22"/>
                <w:lang w:eastAsia="zh-CN"/>
              </w:rPr>
              <w:t xml:space="preserve"> </w:t>
            </w:r>
          </w:p>
          <w:p w:rsidR="00F05B2A" w:rsidRPr="00CE4CBC" w:rsidRDefault="00F05B2A" w:rsidP="00F05B2A">
            <w:pPr>
              <w:jc w:val="right"/>
              <w:rPr>
                <w:b/>
                <w:bCs/>
                <w:sz w:val="22"/>
                <w:szCs w:val="22"/>
                <w:lang w:eastAsia="zh-CN"/>
              </w:rPr>
            </w:pPr>
            <w:r w:rsidRPr="00CE4CBC">
              <w:rPr>
                <w:b/>
                <w:bCs/>
                <w:sz w:val="22"/>
                <w:szCs w:val="22"/>
                <w:lang w:eastAsia="zh-CN"/>
              </w:rPr>
              <w:t>201</w:t>
            </w:r>
            <w:r w:rsidR="003566EF">
              <w:rPr>
                <w:b/>
                <w:bCs/>
                <w:sz w:val="22"/>
                <w:szCs w:val="22"/>
                <w:lang w:eastAsia="zh-CN"/>
              </w:rPr>
              <w:t>4</w:t>
            </w:r>
          </w:p>
        </w:tc>
        <w:tc>
          <w:tcPr>
            <w:tcW w:w="1800" w:type="dxa"/>
            <w:gridSpan w:val="2"/>
            <w:vAlign w:val="bottom"/>
          </w:tcPr>
          <w:p w:rsidR="00F05B2A" w:rsidRPr="00CE4CBC" w:rsidRDefault="00F05B2A" w:rsidP="00796901">
            <w:pPr>
              <w:jc w:val="right"/>
              <w:rPr>
                <w:b/>
                <w:bCs/>
                <w:sz w:val="22"/>
                <w:szCs w:val="22"/>
              </w:rPr>
            </w:pPr>
            <w:r w:rsidRPr="00CE4CBC">
              <w:rPr>
                <w:b/>
                <w:bCs/>
                <w:sz w:val="22"/>
                <w:szCs w:val="22"/>
              </w:rPr>
              <w:t>Cumulative</w:t>
            </w:r>
          </w:p>
          <w:p w:rsidR="00F05B2A" w:rsidRPr="00CE4CBC" w:rsidRDefault="00F05B2A">
            <w:pPr>
              <w:jc w:val="right"/>
              <w:rPr>
                <w:b/>
                <w:bCs/>
                <w:sz w:val="22"/>
                <w:szCs w:val="22"/>
              </w:rPr>
            </w:pPr>
            <w:r>
              <w:rPr>
                <w:b/>
                <w:bCs/>
                <w:sz w:val="22"/>
                <w:szCs w:val="22"/>
              </w:rPr>
              <w:t>a</w:t>
            </w:r>
            <w:r w:rsidRPr="00CE4CBC">
              <w:rPr>
                <w:b/>
                <w:bCs/>
                <w:sz w:val="22"/>
                <w:szCs w:val="22"/>
              </w:rPr>
              <w:t xml:space="preserve">mounts from the date of incorporation on 29 July 2010 to </w:t>
            </w:r>
            <w:r w:rsidR="005906A8">
              <w:rPr>
                <w:b/>
                <w:bCs/>
                <w:sz w:val="22"/>
                <w:szCs w:val="22"/>
              </w:rPr>
              <w:t xml:space="preserve"> </w:t>
            </w:r>
            <w:r>
              <w:rPr>
                <w:rFonts w:hint="eastAsia"/>
                <w:b/>
                <w:bCs/>
                <w:sz w:val="22"/>
                <w:szCs w:val="22"/>
                <w:lang w:eastAsia="zh-CN"/>
              </w:rPr>
              <w:t>3</w:t>
            </w:r>
            <w:r w:rsidR="005906A8">
              <w:rPr>
                <w:b/>
                <w:bCs/>
                <w:sz w:val="22"/>
                <w:szCs w:val="22"/>
                <w:lang w:eastAsia="zh-CN"/>
              </w:rPr>
              <w:t>0</w:t>
            </w:r>
            <w:r w:rsidR="00500D84">
              <w:rPr>
                <w:b/>
                <w:bCs/>
                <w:sz w:val="22"/>
                <w:szCs w:val="22"/>
                <w:lang w:eastAsia="zh-CN"/>
              </w:rPr>
              <w:t xml:space="preserve"> </w:t>
            </w:r>
            <w:r w:rsidR="005906A8">
              <w:rPr>
                <w:b/>
                <w:bCs/>
                <w:sz w:val="22"/>
                <w:szCs w:val="22"/>
                <w:lang w:eastAsia="zh-CN"/>
              </w:rPr>
              <w:t xml:space="preserve">April </w:t>
            </w:r>
            <w:r w:rsidRPr="00CE4CBC">
              <w:rPr>
                <w:rFonts w:hint="eastAsia"/>
                <w:b/>
                <w:bCs/>
                <w:sz w:val="22"/>
                <w:szCs w:val="22"/>
                <w:lang w:eastAsia="zh-CN"/>
              </w:rPr>
              <w:t>201</w:t>
            </w:r>
            <w:r w:rsidR="003566EF">
              <w:rPr>
                <w:b/>
                <w:bCs/>
                <w:sz w:val="22"/>
                <w:szCs w:val="22"/>
                <w:lang w:eastAsia="zh-CN"/>
              </w:rPr>
              <w:t>5</w:t>
            </w:r>
          </w:p>
        </w:tc>
      </w:tr>
      <w:tr w:rsidR="00F05B2A" w:rsidRPr="00CE4CBC" w:rsidTr="00796901">
        <w:tc>
          <w:tcPr>
            <w:tcW w:w="3600" w:type="dxa"/>
          </w:tcPr>
          <w:p w:rsidR="00F05B2A" w:rsidRPr="00CE4CBC" w:rsidRDefault="00F05B2A" w:rsidP="00796901">
            <w:pPr>
              <w:widowControl/>
              <w:rPr>
                <w:sz w:val="22"/>
                <w:szCs w:val="22"/>
              </w:rPr>
            </w:pPr>
          </w:p>
        </w:tc>
        <w:tc>
          <w:tcPr>
            <w:tcW w:w="270" w:type="dxa"/>
            <w:vAlign w:val="bottom"/>
          </w:tcPr>
          <w:p w:rsidR="00F05B2A" w:rsidRPr="00CE4CBC" w:rsidRDefault="00F05B2A" w:rsidP="00796901">
            <w:pPr>
              <w:jc w:val="right"/>
              <w:rPr>
                <w:b/>
                <w:bCs/>
                <w:sz w:val="22"/>
                <w:szCs w:val="22"/>
                <w:lang w:val="en-GB"/>
              </w:rPr>
            </w:pPr>
          </w:p>
        </w:tc>
        <w:tc>
          <w:tcPr>
            <w:tcW w:w="270" w:type="dxa"/>
            <w:vAlign w:val="bottom"/>
          </w:tcPr>
          <w:p w:rsidR="00F05B2A" w:rsidRPr="00CE4CBC" w:rsidRDefault="00F05B2A" w:rsidP="00796901">
            <w:pPr>
              <w:jc w:val="right"/>
              <w:rPr>
                <w:b/>
                <w:bCs/>
                <w:sz w:val="22"/>
                <w:szCs w:val="22"/>
                <w:lang w:val="en-GB"/>
              </w:rPr>
            </w:pPr>
          </w:p>
        </w:tc>
        <w:tc>
          <w:tcPr>
            <w:tcW w:w="270" w:type="dxa"/>
            <w:vAlign w:val="bottom"/>
          </w:tcPr>
          <w:p w:rsidR="00F05B2A" w:rsidRPr="00CE4CBC" w:rsidRDefault="00F05B2A" w:rsidP="00796901">
            <w:pPr>
              <w:jc w:val="right"/>
              <w:rPr>
                <w:b/>
                <w:bCs/>
                <w:sz w:val="22"/>
                <w:szCs w:val="22"/>
                <w:lang w:val="en-GB"/>
              </w:rPr>
            </w:pPr>
          </w:p>
        </w:tc>
        <w:tc>
          <w:tcPr>
            <w:tcW w:w="1530" w:type="dxa"/>
            <w:vAlign w:val="bottom"/>
          </w:tcPr>
          <w:p w:rsidR="00F05B2A" w:rsidRPr="00CE4CBC" w:rsidRDefault="00F05B2A" w:rsidP="00796901">
            <w:pPr>
              <w:jc w:val="right"/>
              <w:rPr>
                <w:b/>
                <w:bCs/>
                <w:sz w:val="22"/>
                <w:szCs w:val="22"/>
                <w:lang w:val="en-GB"/>
              </w:rPr>
            </w:pPr>
            <w:r w:rsidRPr="00CE4CBC">
              <w:rPr>
                <w:b/>
                <w:bCs/>
                <w:sz w:val="22"/>
                <w:szCs w:val="22"/>
                <w:lang w:val="en-GB"/>
              </w:rPr>
              <w:t>$</w:t>
            </w:r>
          </w:p>
        </w:tc>
        <w:tc>
          <w:tcPr>
            <w:tcW w:w="270" w:type="dxa"/>
            <w:vAlign w:val="bottom"/>
          </w:tcPr>
          <w:p w:rsidR="00F05B2A" w:rsidRPr="00CE4CBC" w:rsidRDefault="00F05B2A" w:rsidP="00796901">
            <w:pPr>
              <w:jc w:val="right"/>
              <w:rPr>
                <w:b/>
                <w:bCs/>
                <w:sz w:val="22"/>
                <w:szCs w:val="22"/>
                <w:lang w:val="en-GB"/>
              </w:rPr>
            </w:pPr>
          </w:p>
        </w:tc>
        <w:tc>
          <w:tcPr>
            <w:tcW w:w="1530" w:type="dxa"/>
            <w:vAlign w:val="bottom"/>
          </w:tcPr>
          <w:p w:rsidR="00F05B2A" w:rsidRPr="00CE4CBC" w:rsidRDefault="00F05B2A" w:rsidP="00796901">
            <w:pPr>
              <w:jc w:val="right"/>
              <w:rPr>
                <w:b/>
                <w:bCs/>
                <w:sz w:val="22"/>
                <w:szCs w:val="22"/>
                <w:lang w:val="en-GB"/>
              </w:rPr>
            </w:pPr>
            <w:r w:rsidRPr="00CE4CBC">
              <w:rPr>
                <w:b/>
                <w:bCs/>
                <w:sz w:val="22"/>
                <w:szCs w:val="22"/>
                <w:lang w:val="en-GB"/>
              </w:rPr>
              <w:t>$</w:t>
            </w:r>
          </w:p>
        </w:tc>
        <w:tc>
          <w:tcPr>
            <w:tcW w:w="270" w:type="dxa"/>
            <w:vAlign w:val="bottom"/>
          </w:tcPr>
          <w:p w:rsidR="00F05B2A" w:rsidRPr="00CE4CBC" w:rsidRDefault="00F05B2A" w:rsidP="00796901">
            <w:pPr>
              <w:jc w:val="right"/>
              <w:rPr>
                <w:b/>
                <w:bCs/>
                <w:sz w:val="22"/>
                <w:szCs w:val="22"/>
                <w:lang w:val="en-GB"/>
              </w:rPr>
            </w:pPr>
          </w:p>
        </w:tc>
        <w:tc>
          <w:tcPr>
            <w:tcW w:w="1530" w:type="dxa"/>
            <w:vAlign w:val="bottom"/>
          </w:tcPr>
          <w:p w:rsidR="00F05B2A" w:rsidRPr="00CE4CBC" w:rsidRDefault="00F05B2A" w:rsidP="00796901">
            <w:pPr>
              <w:jc w:val="right"/>
              <w:rPr>
                <w:b/>
                <w:bCs/>
                <w:sz w:val="22"/>
                <w:szCs w:val="22"/>
                <w:lang w:val="en-GB"/>
              </w:rPr>
            </w:pPr>
            <w:r w:rsidRPr="00CE4CBC">
              <w:rPr>
                <w:b/>
                <w:bCs/>
                <w:sz w:val="22"/>
                <w:szCs w:val="22"/>
                <w:lang w:val="en-GB"/>
              </w:rPr>
              <w:t>$</w:t>
            </w:r>
          </w:p>
        </w:tc>
      </w:tr>
      <w:tr w:rsidR="00F05B2A" w:rsidRPr="00CE4CBC" w:rsidTr="00796901">
        <w:tc>
          <w:tcPr>
            <w:tcW w:w="3600" w:type="dxa"/>
          </w:tcPr>
          <w:p w:rsidR="00F05B2A" w:rsidRPr="00CE4CBC" w:rsidRDefault="00F05B2A" w:rsidP="00796901">
            <w:pPr>
              <w:widowControl/>
              <w:rPr>
                <w:sz w:val="22"/>
                <w:szCs w:val="22"/>
              </w:rPr>
            </w:pPr>
          </w:p>
        </w:tc>
        <w:tc>
          <w:tcPr>
            <w:tcW w:w="270" w:type="dxa"/>
            <w:vAlign w:val="bottom"/>
          </w:tcPr>
          <w:p w:rsidR="00F05B2A" w:rsidRPr="00CE4CBC" w:rsidRDefault="00F05B2A" w:rsidP="00796901">
            <w:pPr>
              <w:jc w:val="right"/>
              <w:rPr>
                <w:b/>
                <w:bCs/>
                <w:sz w:val="22"/>
                <w:szCs w:val="22"/>
                <w:lang w:val="en-GB"/>
              </w:rPr>
            </w:pPr>
          </w:p>
        </w:tc>
        <w:tc>
          <w:tcPr>
            <w:tcW w:w="270" w:type="dxa"/>
            <w:vAlign w:val="bottom"/>
          </w:tcPr>
          <w:p w:rsidR="00F05B2A" w:rsidRPr="00CE4CBC" w:rsidRDefault="00F05B2A" w:rsidP="00796901">
            <w:pPr>
              <w:jc w:val="right"/>
              <w:rPr>
                <w:b/>
                <w:bCs/>
                <w:sz w:val="22"/>
                <w:szCs w:val="22"/>
                <w:lang w:val="en-GB"/>
              </w:rPr>
            </w:pPr>
          </w:p>
        </w:tc>
        <w:tc>
          <w:tcPr>
            <w:tcW w:w="270" w:type="dxa"/>
            <w:vAlign w:val="bottom"/>
          </w:tcPr>
          <w:p w:rsidR="00F05B2A" w:rsidRPr="00CE4CBC" w:rsidRDefault="00F05B2A" w:rsidP="00796901">
            <w:pPr>
              <w:jc w:val="right"/>
              <w:rPr>
                <w:b/>
                <w:bCs/>
                <w:sz w:val="22"/>
                <w:szCs w:val="22"/>
                <w:lang w:val="en-GB"/>
              </w:rPr>
            </w:pPr>
          </w:p>
        </w:tc>
        <w:tc>
          <w:tcPr>
            <w:tcW w:w="1530" w:type="dxa"/>
            <w:vAlign w:val="bottom"/>
          </w:tcPr>
          <w:p w:rsidR="00F05B2A" w:rsidRPr="00CE4CBC" w:rsidRDefault="00F05B2A" w:rsidP="00796901">
            <w:pPr>
              <w:jc w:val="right"/>
              <w:rPr>
                <w:b/>
                <w:bCs/>
                <w:sz w:val="22"/>
                <w:szCs w:val="22"/>
                <w:lang w:val="en-GB"/>
              </w:rPr>
            </w:pPr>
          </w:p>
        </w:tc>
        <w:tc>
          <w:tcPr>
            <w:tcW w:w="270" w:type="dxa"/>
            <w:vAlign w:val="bottom"/>
          </w:tcPr>
          <w:p w:rsidR="00F05B2A" w:rsidRPr="00CE4CBC" w:rsidRDefault="00F05B2A" w:rsidP="00796901">
            <w:pPr>
              <w:jc w:val="right"/>
              <w:rPr>
                <w:b/>
                <w:bCs/>
                <w:sz w:val="22"/>
                <w:szCs w:val="22"/>
                <w:lang w:val="en-GB"/>
              </w:rPr>
            </w:pPr>
          </w:p>
        </w:tc>
        <w:tc>
          <w:tcPr>
            <w:tcW w:w="1530" w:type="dxa"/>
            <w:vAlign w:val="bottom"/>
          </w:tcPr>
          <w:p w:rsidR="00F05B2A" w:rsidRPr="00CE4CBC" w:rsidRDefault="00F05B2A" w:rsidP="00796901">
            <w:pPr>
              <w:jc w:val="right"/>
              <w:rPr>
                <w:b/>
                <w:bCs/>
                <w:sz w:val="22"/>
                <w:szCs w:val="22"/>
                <w:lang w:val="en-GB"/>
              </w:rPr>
            </w:pPr>
          </w:p>
        </w:tc>
        <w:tc>
          <w:tcPr>
            <w:tcW w:w="270" w:type="dxa"/>
            <w:vAlign w:val="bottom"/>
          </w:tcPr>
          <w:p w:rsidR="00F05B2A" w:rsidRPr="00CE4CBC" w:rsidRDefault="00F05B2A" w:rsidP="00796901">
            <w:pPr>
              <w:jc w:val="right"/>
              <w:rPr>
                <w:b/>
                <w:bCs/>
                <w:sz w:val="22"/>
                <w:szCs w:val="22"/>
                <w:lang w:val="en-GB"/>
              </w:rPr>
            </w:pPr>
          </w:p>
        </w:tc>
        <w:tc>
          <w:tcPr>
            <w:tcW w:w="1530" w:type="dxa"/>
            <w:vAlign w:val="bottom"/>
          </w:tcPr>
          <w:p w:rsidR="00F05B2A" w:rsidRPr="00CE4CBC" w:rsidRDefault="00F05B2A" w:rsidP="00796901">
            <w:pPr>
              <w:jc w:val="right"/>
              <w:rPr>
                <w:b/>
                <w:bCs/>
                <w:sz w:val="22"/>
                <w:szCs w:val="22"/>
                <w:lang w:val="en-GB"/>
              </w:rPr>
            </w:pPr>
          </w:p>
        </w:tc>
      </w:tr>
      <w:tr w:rsidR="00F05B2A" w:rsidRPr="00CE4CBC" w:rsidTr="00796901">
        <w:tc>
          <w:tcPr>
            <w:tcW w:w="3600" w:type="dxa"/>
          </w:tcPr>
          <w:p w:rsidR="00F05B2A" w:rsidRPr="00CE4CBC" w:rsidRDefault="00F05B2A" w:rsidP="00796901">
            <w:pPr>
              <w:widowControl/>
              <w:rPr>
                <w:b/>
                <w:bCs/>
                <w:sz w:val="22"/>
                <w:szCs w:val="22"/>
                <w:lang w:val="en-GB" w:eastAsia="zh-CN"/>
              </w:rPr>
            </w:pPr>
            <w:r w:rsidRPr="00CE4CBC">
              <w:rPr>
                <w:rFonts w:hint="eastAsia"/>
                <w:b/>
                <w:bCs/>
                <w:sz w:val="22"/>
                <w:szCs w:val="22"/>
                <w:lang w:val="en-GB" w:eastAsia="zh-CN"/>
              </w:rPr>
              <w:t>Exploration</w:t>
            </w:r>
            <w:r w:rsidRPr="00CE4CBC">
              <w:rPr>
                <w:b/>
                <w:bCs/>
                <w:sz w:val="22"/>
                <w:szCs w:val="22"/>
                <w:lang w:val="en-GB" w:eastAsia="zh-CN"/>
              </w:rPr>
              <w:t xml:space="preserve"> expenditures</w:t>
            </w: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vAlign w:val="bottom"/>
          </w:tcPr>
          <w:p w:rsidR="00F05B2A" w:rsidRPr="00CE4CBC" w:rsidRDefault="00F05B2A" w:rsidP="00796901">
            <w:pPr>
              <w:jc w:val="right"/>
              <w:rPr>
                <w:sz w:val="22"/>
                <w:szCs w:val="22"/>
                <w:lang w:val="en-GB"/>
              </w:rPr>
            </w:pPr>
          </w:p>
        </w:tc>
      </w:tr>
      <w:tr w:rsidR="00F05B2A" w:rsidRPr="00CE4CBC" w:rsidTr="00796901">
        <w:tc>
          <w:tcPr>
            <w:tcW w:w="3600" w:type="dxa"/>
          </w:tcPr>
          <w:p w:rsidR="00F05B2A" w:rsidRPr="00CE4CBC" w:rsidRDefault="00F05B2A" w:rsidP="00796901">
            <w:pPr>
              <w:widowControl/>
              <w:rPr>
                <w:sz w:val="22"/>
                <w:szCs w:val="22"/>
              </w:rPr>
            </w:pPr>
            <w:r w:rsidRPr="00CE4CBC">
              <w:rPr>
                <w:sz w:val="22"/>
                <w:szCs w:val="22"/>
                <w:lang w:val="en-GB"/>
              </w:rPr>
              <w:t>Consulting fees</w:t>
            </w:r>
            <w:r w:rsidR="005F2B36">
              <w:rPr>
                <w:sz w:val="22"/>
                <w:szCs w:val="22"/>
                <w:lang w:val="en-GB"/>
              </w:rPr>
              <w:t xml:space="preserve"> (Note 9</w:t>
            </w:r>
            <w:r>
              <w:rPr>
                <w:sz w:val="22"/>
                <w:szCs w:val="22"/>
                <w:lang w:val="en-GB"/>
              </w:rPr>
              <w:t>)</w:t>
            </w: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vAlign w:val="bottom"/>
          </w:tcPr>
          <w:p w:rsidR="00F05B2A" w:rsidRPr="00CE4CBC" w:rsidRDefault="00F05B2A" w:rsidP="00796901">
            <w:pPr>
              <w:jc w:val="right"/>
              <w:rPr>
                <w:sz w:val="22"/>
                <w:szCs w:val="22"/>
                <w:lang w:val="en-GB" w:eastAsia="zh-CN"/>
              </w:rPr>
            </w:pPr>
            <w:r>
              <w:rPr>
                <w:sz w:val="22"/>
                <w:szCs w:val="22"/>
                <w:lang w:val="en-GB" w:eastAsia="zh-CN"/>
              </w:rPr>
              <w:t>-</w:t>
            </w:r>
          </w:p>
        </w:tc>
        <w:tc>
          <w:tcPr>
            <w:tcW w:w="270" w:type="dxa"/>
            <w:vAlign w:val="bottom"/>
          </w:tcPr>
          <w:p w:rsidR="00F05B2A" w:rsidRPr="00CE4CBC" w:rsidRDefault="00F05B2A" w:rsidP="00796901">
            <w:pPr>
              <w:jc w:val="right"/>
              <w:rPr>
                <w:sz w:val="22"/>
                <w:szCs w:val="22"/>
                <w:lang w:val="en-GB"/>
              </w:rPr>
            </w:pPr>
          </w:p>
        </w:tc>
        <w:tc>
          <w:tcPr>
            <w:tcW w:w="1530" w:type="dxa"/>
            <w:vAlign w:val="bottom"/>
          </w:tcPr>
          <w:p w:rsidR="00F05B2A" w:rsidRPr="00CE4CBC" w:rsidRDefault="004F641E" w:rsidP="00F05B2A">
            <w:pPr>
              <w:jc w:val="right"/>
              <w:rPr>
                <w:sz w:val="22"/>
                <w:szCs w:val="22"/>
                <w:lang w:val="en-GB" w:eastAsia="zh-CN"/>
              </w:rPr>
            </w:pPr>
            <w:r>
              <w:rPr>
                <w:sz w:val="22"/>
                <w:szCs w:val="22"/>
                <w:lang w:val="en-GB" w:eastAsia="zh-CN"/>
              </w:rPr>
              <w:t>-</w:t>
            </w:r>
          </w:p>
        </w:tc>
        <w:tc>
          <w:tcPr>
            <w:tcW w:w="270" w:type="dxa"/>
            <w:vAlign w:val="bottom"/>
          </w:tcPr>
          <w:p w:rsidR="00F05B2A" w:rsidRPr="00CE4CBC" w:rsidRDefault="00F05B2A" w:rsidP="00796901">
            <w:pPr>
              <w:jc w:val="right"/>
              <w:rPr>
                <w:sz w:val="22"/>
                <w:szCs w:val="22"/>
                <w:lang w:val="en-GB"/>
              </w:rPr>
            </w:pPr>
          </w:p>
        </w:tc>
        <w:tc>
          <w:tcPr>
            <w:tcW w:w="1530" w:type="dxa"/>
            <w:vAlign w:val="bottom"/>
          </w:tcPr>
          <w:p w:rsidR="00F05B2A" w:rsidRPr="00CE4CBC" w:rsidRDefault="00F05B2A" w:rsidP="00796901">
            <w:pPr>
              <w:jc w:val="right"/>
              <w:rPr>
                <w:sz w:val="22"/>
                <w:szCs w:val="22"/>
                <w:lang w:val="en-GB" w:eastAsia="zh-CN"/>
              </w:rPr>
            </w:pPr>
            <w:r>
              <w:rPr>
                <w:sz w:val="22"/>
                <w:szCs w:val="22"/>
                <w:lang w:val="en-GB" w:eastAsia="zh-CN"/>
              </w:rPr>
              <w:t>15,123</w:t>
            </w:r>
          </w:p>
        </w:tc>
      </w:tr>
      <w:tr w:rsidR="00F05B2A" w:rsidRPr="00CE4CBC" w:rsidTr="00796901">
        <w:tc>
          <w:tcPr>
            <w:tcW w:w="3600" w:type="dxa"/>
          </w:tcPr>
          <w:p w:rsidR="00F05B2A" w:rsidRPr="00CE4CBC" w:rsidRDefault="00F05B2A" w:rsidP="00796901">
            <w:pPr>
              <w:widowControl/>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tcBorders>
              <w:top w:val="single" w:sz="4" w:space="0" w:color="auto"/>
            </w:tcBorders>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tcBorders>
              <w:top w:val="single" w:sz="4" w:space="0" w:color="auto"/>
            </w:tcBorders>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tcBorders>
              <w:top w:val="single" w:sz="4" w:space="0" w:color="auto"/>
            </w:tcBorders>
            <w:vAlign w:val="bottom"/>
          </w:tcPr>
          <w:p w:rsidR="00F05B2A" w:rsidRPr="00CE4CBC" w:rsidRDefault="00F05B2A" w:rsidP="00796901">
            <w:pPr>
              <w:jc w:val="right"/>
              <w:rPr>
                <w:sz w:val="22"/>
                <w:szCs w:val="22"/>
                <w:lang w:val="en-GB"/>
              </w:rPr>
            </w:pPr>
          </w:p>
        </w:tc>
      </w:tr>
      <w:tr w:rsidR="00F05B2A" w:rsidRPr="00CE4CBC" w:rsidTr="00796901">
        <w:tc>
          <w:tcPr>
            <w:tcW w:w="3600" w:type="dxa"/>
          </w:tcPr>
          <w:p w:rsidR="00F05B2A" w:rsidRPr="00CE4CBC" w:rsidRDefault="00F05B2A" w:rsidP="00796901">
            <w:pPr>
              <w:rPr>
                <w:b/>
                <w:sz w:val="22"/>
                <w:szCs w:val="22"/>
                <w:lang w:val="en-GB"/>
              </w:rPr>
            </w:pPr>
            <w:r w:rsidRPr="00CE4CBC">
              <w:rPr>
                <w:b/>
                <w:sz w:val="22"/>
                <w:szCs w:val="22"/>
                <w:lang w:val="en-GB"/>
              </w:rPr>
              <w:t>Acquisition costs</w:t>
            </w:r>
          </w:p>
        </w:tc>
        <w:tc>
          <w:tcPr>
            <w:tcW w:w="270" w:type="dxa"/>
            <w:vAlign w:val="bottom"/>
          </w:tcPr>
          <w:p w:rsidR="00F05B2A" w:rsidRPr="00CE4CBC" w:rsidRDefault="00F05B2A" w:rsidP="00796901">
            <w:pPr>
              <w:jc w:val="right"/>
              <w:rPr>
                <w:bCs/>
                <w:sz w:val="22"/>
                <w:szCs w:val="22"/>
                <w:lang w:val="en-GB"/>
              </w:rPr>
            </w:pPr>
          </w:p>
        </w:tc>
        <w:tc>
          <w:tcPr>
            <w:tcW w:w="270" w:type="dxa"/>
            <w:vAlign w:val="bottom"/>
          </w:tcPr>
          <w:p w:rsidR="00F05B2A" w:rsidRPr="00CE4CBC" w:rsidRDefault="00F05B2A" w:rsidP="00796901">
            <w:pPr>
              <w:jc w:val="right"/>
              <w:rPr>
                <w:bCs/>
                <w:sz w:val="22"/>
                <w:szCs w:val="22"/>
                <w:lang w:val="en-GB"/>
              </w:rPr>
            </w:pPr>
          </w:p>
        </w:tc>
        <w:tc>
          <w:tcPr>
            <w:tcW w:w="270" w:type="dxa"/>
            <w:vAlign w:val="bottom"/>
          </w:tcPr>
          <w:p w:rsidR="00F05B2A" w:rsidRPr="00CE4CBC" w:rsidRDefault="00F05B2A" w:rsidP="00796901">
            <w:pPr>
              <w:jc w:val="right"/>
              <w:rPr>
                <w:bCs/>
                <w:sz w:val="22"/>
                <w:szCs w:val="22"/>
                <w:lang w:val="en-GB"/>
              </w:rPr>
            </w:pPr>
          </w:p>
        </w:tc>
        <w:tc>
          <w:tcPr>
            <w:tcW w:w="1530" w:type="dxa"/>
            <w:vAlign w:val="bottom"/>
          </w:tcPr>
          <w:p w:rsidR="00F05B2A" w:rsidRPr="00CE4CBC" w:rsidRDefault="00F05B2A" w:rsidP="00796901">
            <w:pPr>
              <w:jc w:val="right"/>
              <w:rPr>
                <w:bCs/>
                <w:sz w:val="22"/>
                <w:szCs w:val="22"/>
                <w:lang w:val="en-GB"/>
              </w:rPr>
            </w:pPr>
            <w:r>
              <w:rPr>
                <w:bCs/>
                <w:sz w:val="22"/>
                <w:szCs w:val="22"/>
                <w:lang w:val="en-GB"/>
              </w:rPr>
              <w:t>-</w:t>
            </w:r>
          </w:p>
        </w:tc>
        <w:tc>
          <w:tcPr>
            <w:tcW w:w="270" w:type="dxa"/>
            <w:vAlign w:val="bottom"/>
          </w:tcPr>
          <w:p w:rsidR="00F05B2A" w:rsidRPr="00CE4CBC" w:rsidRDefault="00F05B2A" w:rsidP="00796901">
            <w:pPr>
              <w:jc w:val="right"/>
              <w:rPr>
                <w:bCs/>
                <w:sz w:val="22"/>
                <w:szCs w:val="22"/>
                <w:lang w:val="en-GB"/>
              </w:rPr>
            </w:pPr>
          </w:p>
        </w:tc>
        <w:tc>
          <w:tcPr>
            <w:tcW w:w="1530" w:type="dxa"/>
            <w:vAlign w:val="bottom"/>
          </w:tcPr>
          <w:p w:rsidR="00F05B2A" w:rsidRPr="00CE4CBC" w:rsidRDefault="004F641E" w:rsidP="00F05B2A">
            <w:pPr>
              <w:jc w:val="right"/>
              <w:rPr>
                <w:bCs/>
                <w:sz w:val="22"/>
                <w:szCs w:val="22"/>
                <w:lang w:val="en-GB"/>
              </w:rPr>
            </w:pPr>
            <w:r>
              <w:rPr>
                <w:bCs/>
                <w:sz w:val="22"/>
                <w:szCs w:val="22"/>
                <w:lang w:val="en-GB"/>
              </w:rPr>
              <w:t>-</w:t>
            </w:r>
          </w:p>
        </w:tc>
        <w:tc>
          <w:tcPr>
            <w:tcW w:w="270" w:type="dxa"/>
            <w:vAlign w:val="bottom"/>
          </w:tcPr>
          <w:p w:rsidR="00F05B2A" w:rsidRPr="00CE4CBC" w:rsidRDefault="00F05B2A" w:rsidP="00796901">
            <w:pPr>
              <w:jc w:val="right"/>
              <w:rPr>
                <w:bCs/>
                <w:sz w:val="22"/>
                <w:szCs w:val="22"/>
                <w:lang w:val="en-GB"/>
              </w:rPr>
            </w:pPr>
          </w:p>
        </w:tc>
        <w:tc>
          <w:tcPr>
            <w:tcW w:w="1530" w:type="dxa"/>
            <w:vAlign w:val="bottom"/>
          </w:tcPr>
          <w:p w:rsidR="00F05B2A" w:rsidRPr="00CE4CBC" w:rsidRDefault="003566EF" w:rsidP="00796901">
            <w:pPr>
              <w:jc w:val="right"/>
              <w:rPr>
                <w:bCs/>
                <w:sz w:val="22"/>
                <w:szCs w:val="22"/>
                <w:lang w:val="en-GB"/>
              </w:rPr>
            </w:pPr>
            <w:r>
              <w:rPr>
                <w:bCs/>
                <w:sz w:val="22"/>
                <w:szCs w:val="22"/>
                <w:lang w:val="en-GB"/>
              </w:rPr>
              <w:t>9,769</w:t>
            </w:r>
          </w:p>
        </w:tc>
      </w:tr>
      <w:tr w:rsidR="00F05B2A" w:rsidRPr="00CE4CBC" w:rsidTr="00796901">
        <w:tc>
          <w:tcPr>
            <w:tcW w:w="3600" w:type="dxa"/>
          </w:tcPr>
          <w:p w:rsidR="00F05B2A" w:rsidRPr="00CE4CBC" w:rsidRDefault="00F05B2A" w:rsidP="00796901">
            <w:pPr>
              <w:widowControl/>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tcBorders>
              <w:top w:val="single" w:sz="4" w:space="0" w:color="auto"/>
            </w:tcBorders>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tcBorders>
              <w:top w:val="single" w:sz="4" w:space="0" w:color="auto"/>
            </w:tcBorders>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tcBorders>
              <w:top w:val="single" w:sz="4" w:space="0" w:color="auto"/>
            </w:tcBorders>
            <w:vAlign w:val="bottom"/>
          </w:tcPr>
          <w:p w:rsidR="00F05B2A" w:rsidRPr="00CE4CBC" w:rsidRDefault="00F05B2A" w:rsidP="00796901">
            <w:pPr>
              <w:jc w:val="right"/>
              <w:rPr>
                <w:sz w:val="22"/>
                <w:szCs w:val="22"/>
                <w:lang w:val="en-GB"/>
              </w:rPr>
            </w:pPr>
          </w:p>
        </w:tc>
      </w:tr>
      <w:tr w:rsidR="00F05B2A" w:rsidRPr="00CE4CBC" w:rsidTr="00796901">
        <w:tc>
          <w:tcPr>
            <w:tcW w:w="3600" w:type="dxa"/>
          </w:tcPr>
          <w:p w:rsidR="00F05B2A" w:rsidRPr="00CE4CBC" w:rsidRDefault="00F05B2A" w:rsidP="00796901">
            <w:pPr>
              <w:widowControl/>
              <w:rPr>
                <w:b/>
                <w:bCs/>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270" w:type="dxa"/>
            <w:vAlign w:val="bottom"/>
          </w:tcPr>
          <w:p w:rsidR="00F05B2A" w:rsidRPr="00CE4CBC" w:rsidRDefault="00F05B2A" w:rsidP="00796901">
            <w:pPr>
              <w:jc w:val="right"/>
              <w:rPr>
                <w:sz w:val="22"/>
                <w:szCs w:val="22"/>
                <w:lang w:val="en-GB"/>
              </w:rPr>
            </w:pPr>
          </w:p>
        </w:tc>
        <w:tc>
          <w:tcPr>
            <w:tcW w:w="1530" w:type="dxa"/>
            <w:tcBorders>
              <w:bottom w:val="single" w:sz="12" w:space="0" w:color="auto"/>
            </w:tcBorders>
            <w:vAlign w:val="bottom"/>
          </w:tcPr>
          <w:p w:rsidR="00F05B2A" w:rsidRPr="00CE4CBC" w:rsidRDefault="00F05B2A" w:rsidP="00796901">
            <w:pPr>
              <w:jc w:val="right"/>
              <w:rPr>
                <w:sz w:val="22"/>
                <w:szCs w:val="22"/>
                <w:lang w:val="en-GB" w:eastAsia="zh-CN"/>
              </w:rPr>
            </w:pPr>
            <w:r>
              <w:rPr>
                <w:sz w:val="22"/>
                <w:szCs w:val="22"/>
                <w:lang w:val="en-GB" w:eastAsia="zh-CN"/>
              </w:rPr>
              <w:t>-</w:t>
            </w:r>
          </w:p>
        </w:tc>
        <w:tc>
          <w:tcPr>
            <w:tcW w:w="270" w:type="dxa"/>
            <w:vAlign w:val="bottom"/>
          </w:tcPr>
          <w:p w:rsidR="00F05B2A" w:rsidRPr="00CE4CBC" w:rsidRDefault="00F05B2A" w:rsidP="00796901">
            <w:pPr>
              <w:jc w:val="right"/>
              <w:rPr>
                <w:sz w:val="22"/>
                <w:szCs w:val="22"/>
                <w:lang w:val="en-GB"/>
              </w:rPr>
            </w:pPr>
          </w:p>
        </w:tc>
        <w:tc>
          <w:tcPr>
            <w:tcW w:w="1530" w:type="dxa"/>
            <w:tcBorders>
              <w:bottom w:val="single" w:sz="12" w:space="0" w:color="auto"/>
            </w:tcBorders>
            <w:vAlign w:val="bottom"/>
          </w:tcPr>
          <w:p w:rsidR="00F05B2A" w:rsidRPr="00CE4CBC" w:rsidRDefault="004F641E" w:rsidP="00796901">
            <w:pPr>
              <w:jc w:val="right"/>
              <w:rPr>
                <w:sz w:val="22"/>
                <w:szCs w:val="22"/>
                <w:lang w:val="en-GB" w:eastAsia="zh-CN"/>
              </w:rPr>
            </w:pPr>
            <w:r>
              <w:rPr>
                <w:sz w:val="22"/>
                <w:szCs w:val="22"/>
                <w:lang w:val="en-GB" w:eastAsia="zh-CN"/>
              </w:rPr>
              <w:t>-</w:t>
            </w:r>
          </w:p>
        </w:tc>
        <w:tc>
          <w:tcPr>
            <w:tcW w:w="270" w:type="dxa"/>
            <w:vAlign w:val="bottom"/>
          </w:tcPr>
          <w:p w:rsidR="00F05B2A" w:rsidRPr="00CE4CBC" w:rsidRDefault="00F05B2A" w:rsidP="00796901">
            <w:pPr>
              <w:jc w:val="right"/>
              <w:rPr>
                <w:sz w:val="22"/>
                <w:szCs w:val="22"/>
                <w:lang w:val="en-GB"/>
              </w:rPr>
            </w:pPr>
          </w:p>
        </w:tc>
        <w:tc>
          <w:tcPr>
            <w:tcW w:w="1530" w:type="dxa"/>
            <w:tcBorders>
              <w:bottom w:val="single" w:sz="12" w:space="0" w:color="auto"/>
            </w:tcBorders>
            <w:vAlign w:val="bottom"/>
          </w:tcPr>
          <w:p w:rsidR="00F05B2A" w:rsidRPr="00CE4CBC" w:rsidRDefault="003566EF" w:rsidP="00796901">
            <w:pPr>
              <w:jc w:val="right"/>
              <w:rPr>
                <w:sz w:val="22"/>
                <w:szCs w:val="22"/>
                <w:lang w:val="en-GB" w:eastAsia="zh-CN"/>
              </w:rPr>
            </w:pPr>
            <w:r>
              <w:rPr>
                <w:sz w:val="22"/>
                <w:szCs w:val="22"/>
                <w:lang w:val="en-GB" w:eastAsia="zh-CN"/>
              </w:rPr>
              <w:t>24,892</w:t>
            </w:r>
          </w:p>
        </w:tc>
      </w:tr>
    </w:tbl>
    <w:p w:rsidR="00796901" w:rsidRDefault="00796901" w:rsidP="00796901">
      <w:pPr>
        <w:ind w:left="547"/>
        <w:rPr>
          <w:b/>
          <w:bCs/>
          <w:sz w:val="22"/>
          <w:szCs w:val="22"/>
        </w:rPr>
      </w:pPr>
    </w:p>
    <w:p w:rsidR="00796901" w:rsidRPr="00AF2CDA" w:rsidRDefault="00796901" w:rsidP="008E1D55">
      <w:pPr>
        <w:ind w:left="547"/>
        <w:jc w:val="both"/>
        <w:rPr>
          <w:bCs/>
          <w:sz w:val="22"/>
          <w:szCs w:val="22"/>
        </w:rPr>
      </w:pPr>
      <w:r w:rsidRPr="00AF2CDA">
        <w:rPr>
          <w:bCs/>
          <w:sz w:val="22"/>
          <w:szCs w:val="22"/>
        </w:rPr>
        <w:t xml:space="preserve">During the </w:t>
      </w:r>
      <w:r w:rsidR="004F641E">
        <w:rPr>
          <w:bCs/>
          <w:sz w:val="22"/>
          <w:szCs w:val="22"/>
        </w:rPr>
        <w:t>three</w:t>
      </w:r>
      <w:r w:rsidR="00AF6042">
        <w:rPr>
          <w:bCs/>
          <w:sz w:val="22"/>
          <w:szCs w:val="22"/>
        </w:rPr>
        <w:t xml:space="preserve"> </w:t>
      </w:r>
      <w:r w:rsidR="00A8335F">
        <w:rPr>
          <w:bCs/>
          <w:sz w:val="22"/>
          <w:szCs w:val="22"/>
        </w:rPr>
        <w:t>month period</w:t>
      </w:r>
      <w:r>
        <w:rPr>
          <w:bCs/>
          <w:sz w:val="22"/>
          <w:szCs w:val="22"/>
        </w:rPr>
        <w:t xml:space="preserve"> ended 3</w:t>
      </w:r>
      <w:r w:rsidR="004F641E">
        <w:rPr>
          <w:bCs/>
          <w:sz w:val="22"/>
          <w:szCs w:val="22"/>
        </w:rPr>
        <w:t>0</w:t>
      </w:r>
      <w:r w:rsidR="007F619C">
        <w:rPr>
          <w:bCs/>
          <w:sz w:val="22"/>
          <w:szCs w:val="22"/>
        </w:rPr>
        <w:t xml:space="preserve"> </w:t>
      </w:r>
      <w:r w:rsidR="004F641E">
        <w:rPr>
          <w:bCs/>
          <w:sz w:val="22"/>
          <w:szCs w:val="22"/>
        </w:rPr>
        <w:t>April</w:t>
      </w:r>
      <w:r w:rsidR="00AF6042">
        <w:rPr>
          <w:bCs/>
          <w:sz w:val="22"/>
          <w:szCs w:val="22"/>
        </w:rPr>
        <w:t xml:space="preserve"> </w:t>
      </w:r>
      <w:r w:rsidR="003566EF">
        <w:rPr>
          <w:bCs/>
          <w:sz w:val="22"/>
          <w:szCs w:val="22"/>
        </w:rPr>
        <w:t>2015</w:t>
      </w:r>
      <w:r>
        <w:rPr>
          <w:bCs/>
          <w:sz w:val="22"/>
          <w:szCs w:val="22"/>
        </w:rPr>
        <w:t>, the Company recorded a write-down in the amo</w:t>
      </w:r>
      <w:r w:rsidR="003566EF">
        <w:rPr>
          <w:bCs/>
          <w:sz w:val="22"/>
          <w:szCs w:val="22"/>
        </w:rPr>
        <w:t>unt of $Nil (2014</w:t>
      </w:r>
      <w:r w:rsidR="004F641E">
        <w:rPr>
          <w:bCs/>
          <w:sz w:val="22"/>
          <w:szCs w:val="22"/>
        </w:rPr>
        <w:t xml:space="preserve"> - $Nil</w:t>
      </w:r>
      <w:r w:rsidR="00E03888">
        <w:rPr>
          <w:bCs/>
          <w:sz w:val="22"/>
          <w:szCs w:val="22"/>
        </w:rPr>
        <w:t>)</w:t>
      </w:r>
      <w:r>
        <w:rPr>
          <w:bCs/>
          <w:sz w:val="22"/>
          <w:szCs w:val="22"/>
        </w:rPr>
        <w:t xml:space="preserve"> in relation to the Millen Mountain Property. </w:t>
      </w:r>
    </w:p>
    <w:p w:rsidR="00796901" w:rsidRDefault="00796901" w:rsidP="008E1D55">
      <w:pPr>
        <w:ind w:left="547"/>
        <w:jc w:val="both"/>
        <w:rPr>
          <w:b/>
          <w:bCs/>
          <w:sz w:val="22"/>
          <w:szCs w:val="22"/>
        </w:rPr>
      </w:pPr>
    </w:p>
    <w:p w:rsidR="00796901" w:rsidRPr="00412354" w:rsidRDefault="00796901" w:rsidP="008E1D55">
      <w:pPr>
        <w:ind w:left="547"/>
        <w:jc w:val="both"/>
        <w:rPr>
          <w:bCs/>
          <w:sz w:val="22"/>
          <w:szCs w:val="22"/>
        </w:rPr>
      </w:pPr>
      <w:r w:rsidRPr="00412354">
        <w:rPr>
          <w:bCs/>
          <w:sz w:val="22"/>
          <w:szCs w:val="22"/>
        </w:rPr>
        <w:t>Total costs included in exploration and evaluation properties related to Mil</w:t>
      </w:r>
      <w:r w:rsidR="004F641E">
        <w:rPr>
          <w:bCs/>
          <w:sz w:val="22"/>
          <w:szCs w:val="22"/>
        </w:rPr>
        <w:t>len Mountain Property is $Nil</w:t>
      </w:r>
      <w:r w:rsidRPr="00412354">
        <w:rPr>
          <w:bCs/>
          <w:sz w:val="22"/>
          <w:szCs w:val="22"/>
        </w:rPr>
        <w:t xml:space="preserve"> (</w:t>
      </w:r>
      <w:r w:rsidR="003566EF">
        <w:rPr>
          <w:bCs/>
          <w:sz w:val="22"/>
          <w:szCs w:val="22"/>
        </w:rPr>
        <w:t>30 April 2014</w:t>
      </w:r>
      <w:r w:rsidRPr="00412354">
        <w:rPr>
          <w:bCs/>
          <w:sz w:val="22"/>
          <w:szCs w:val="22"/>
        </w:rPr>
        <w:t xml:space="preserve"> - $</w:t>
      </w:r>
      <w:r w:rsidR="003566EF">
        <w:rPr>
          <w:bCs/>
          <w:sz w:val="22"/>
          <w:szCs w:val="22"/>
        </w:rPr>
        <w:t>Nil</w:t>
      </w:r>
      <w:r w:rsidRPr="00412354">
        <w:rPr>
          <w:bCs/>
          <w:sz w:val="22"/>
          <w:szCs w:val="22"/>
        </w:rPr>
        <w:t>)</w:t>
      </w:r>
      <w:r w:rsidR="00F05B2A">
        <w:rPr>
          <w:bCs/>
          <w:sz w:val="22"/>
          <w:szCs w:val="22"/>
        </w:rPr>
        <w:t xml:space="preserve"> as at </w:t>
      </w:r>
      <w:r w:rsidR="004F641E">
        <w:rPr>
          <w:bCs/>
          <w:sz w:val="22"/>
          <w:szCs w:val="22"/>
        </w:rPr>
        <w:t>30</w:t>
      </w:r>
      <w:r w:rsidR="007F619C">
        <w:rPr>
          <w:bCs/>
          <w:sz w:val="22"/>
          <w:szCs w:val="22"/>
        </w:rPr>
        <w:t xml:space="preserve"> </w:t>
      </w:r>
      <w:r w:rsidR="004F641E">
        <w:rPr>
          <w:bCs/>
          <w:sz w:val="22"/>
          <w:szCs w:val="22"/>
        </w:rPr>
        <w:t>April</w:t>
      </w:r>
      <w:r w:rsidR="00AF6042">
        <w:rPr>
          <w:bCs/>
          <w:sz w:val="22"/>
          <w:szCs w:val="22"/>
        </w:rPr>
        <w:t xml:space="preserve"> </w:t>
      </w:r>
      <w:r w:rsidR="003566EF">
        <w:rPr>
          <w:bCs/>
          <w:sz w:val="22"/>
          <w:szCs w:val="22"/>
        </w:rPr>
        <w:t>2015</w:t>
      </w:r>
      <w:r>
        <w:rPr>
          <w:bCs/>
          <w:sz w:val="22"/>
          <w:szCs w:val="22"/>
        </w:rPr>
        <w:t xml:space="preserve">. </w:t>
      </w:r>
    </w:p>
    <w:p w:rsidR="00677E38" w:rsidRPr="00677E38" w:rsidRDefault="00677E38" w:rsidP="00F05B2A">
      <w:pPr>
        <w:rPr>
          <w:b/>
          <w:bCs/>
          <w:sz w:val="22"/>
          <w:szCs w:val="22"/>
        </w:rPr>
      </w:pPr>
      <w:bookmarkStart w:id="8" w:name="Note5Intangible"/>
      <w:bookmarkEnd w:id="6"/>
      <w:bookmarkEnd w:id="7"/>
    </w:p>
    <w:p w:rsidR="00FD623E" w:rsidRDefault="00A921D0" w:rsidP="00DA6A5A">
      <w:pPr>
        <w:numPr>
          <w:ilvl w:val="0"/>
          <w:numId w:val="2"/>
        </w:numPr>
        <w:rPr>
          <w:b/>
          <w:bCs/>
          <w:sz w:val="22"/>
          <w:szCs w:val="22"/>
        </w:rPr>
      </w:pPr>
      <w:r>
        <w:rPr>
          <w:b/>
          <w:bCs/>
          <w:sz w:val="22"/>
          <w:szCs w:val="22"/>
        </w:rPr>
        <w:t>Trade</w:t>
      </w:r>
      <w:r w:rsidR="00FD623E">
        <w:rPr>
          <w:b/>
          <w:bCs/>
          <w:sz w:val="22"/>
          <w:szCs w:val="22"/>
        </w:rPr>
        <w:t xml:space="preserve"> Payable</w:t>
      </w:r>
      <w:r>
        <w:rPr>
          <w:b/>
          <w:bCs/>
          <w:sz w:val="22"/>
          <w:szCs w:val="22"/>
        </w:rPr>
        <w:t>s</w:t>
      </w:r>
      <w:r w:rsidR="00FD623E">
        <w:rPr>
          <w:b/>
          <w:bCs/>
          <w:sz w:val="22"/>
          <w:szCs w:val="22"/>
        </w:rPr>
        <w:t xml:space="preserve"> and Accrued Liabilities</w:t>
      </w:r>
    </w:p>
    <w:bookmarkEnd w:id="8"/>
    <w:p w:rsidR="00FD623E" w:rsidRDefault="00FD623E" w:rsidP="00FD623E">
      <w:pPr>
        <w:ind w:left="540"/>
        <w:rPr>
          <w:snapToGrid/>
          <w:sz w:val="22"/>
          <w:szCs w:val="22"/>
          <w:lang w:val="en-CA"/>
        </w:rPr>
      </w:pPr>
    </w:p>
    <w:p w:rsidR="00FD623E" w:rsidRDefault="00A921D0" w:rsidP="008E1D55">
      <w:pPr>
        <w:ind w:left="540"/>
        <w:jc w:val="both"/>
        <w:rPr>
          <w:rFonts w:ascii="Times" w:hAnsi="Times"/>
          <w:snapToGrid/>
          <w:sz w:val="22"/>
          <w:szCs w:val="22"/>
          <w:lang w:val="en-CA"/>
        </w:rPr>
      </w:pPr>
      <w:r>
        <w:rPr>
          <w:rFonts w:ascii="Times" w:hAnsi="Times"/>
          <w:snapToGrid/>
          <w:sz w:val="22"/>
          <w:szCs w:val="22"/>
          <w:lang w:val="en-CA"/>
        </w:rPr>
        <w:t>Trade</w:t>
      </w:r>
      <w:r w:rsidR="00FD623E" w:rsidRPr="004B7D2B">
        <w:rPr>
          <w:rFonts w:ascii="Times" w:hAnsi="Times"/>
          <w:snapToGrid/>
          <w:sz w:val="22"/>
          <w:szCs w:val="22"/>
          <w:lang w:val="en-CA"/>
        </w:rPr>
        <w:t xml:space="preserve"> payable</w:t>
      </w:r>
      <w:r>
        <w:rPr>
          <w:rFonts w:ascii="Times" w:hAnsi="Times"/>
          <w:snapToGrid/>
          <w:sz w:val="22"/>
          <w:szCs w:val="22"/>
          <w:lang w:val="en-CA"/>
        </w:rPr>
        <w:t>s</w:t>
      </w:r>
      <w:r w:rsidR="00FD623E" w:rsidRPr="004B7D2B">
        <w:rPr>
          <w:rFonts w:ascii="Times" w:hAnsi="Times"/>
          <w:snapToGrid/>
          <w:sz w:val="22"/>
          <w:szCs w:val="22"/>
          <w:lang w:val="en-CA"/>
        </w:rPr>
        <w:t xml:space="preserve"> and accrued liabilities are non-interest bearing, unsecured and have settlement dates within one year.</w:t>
      </w:r>
    </w:p>
    <w:p w:rsidR="00CF27A9" w:rsidRPr="00E96FA5" w:rsidRDefault="00CF27A9" w:rsidP="00E96FA5">
      <w:pPr>
        <w:ind w:left="540"/>
        <w:rPr>
          <w:rFonts w:ascii="Times" w:hAnsi="Times"/>
          <w:snapToGrid/>
          <w:sz w:val="22"/>
          <w:szCs w:val="22"/>
          <w:lang w:val="en-CA"/>
        </w:rPr>
      </w:pPr>
    </w:p>
    <w:p w:rsidR="00FD623E" w:rsidRPr="00A921D0" w:rsidRDefault="00FD623E" w:rsidP="00186B72">
      <w:pPr>
        <w:numPr>
          <w:ilvl w:val="0"/>
          <w:numId w:val="2"/>
        </w:numPr>
        <w:rPr>
          <w:b/>
          <w:bCs/>
          <w:sz w:val="22"/>
          <w:szCs w:val="22"/>
        </w:rPr>
      </w:pPr>
      <w:r w:rsidRPr="00A921D0">
        <w:rPr>
          <w:b/>
          <w:bCs/>
          <w:sz w:val="22"/>
          <w:szCs w:val="22"/>
        </w:rPr>
        <w:t>Share Capital</w:t>
      </w:r>
    </w:p>
    <w:p w:rsidR="00FD623E" w:rsidRDefault="00FD623E" w:rsidP="00FD623E">
      <w:pPr>
        <w:ind w:left="540"/>
        <w:rPr>
          <w:b/>
          <w:bCs/>
          <w:sz w:val="22"/>
          <w:szCs w:val="22"/>
        </w:rPr>
      </w:pPr>
    </w:p>
    <w:p w:rsidR="00FD623E" w:rsidRDefault="00FD623E" w:rsidP="00FD623E">
      <w:pPr>
        <w:pStyle w:val="BodyTextIndent"/>
        <w:ind w:left="540"/>
        <w:jc w:val="both"/>
        <w:rPr>
          <w:b/>
          <w:bCs/>
          <w:szCs w:val="22"/>
        </w:rPr>
      </w:pPr>
      <w:r>
        <w:rPr>
          <w:b/>
          <w:bCs/>
          <w:szCs w:val="22"/>
        </w:rPr>
        <w:t>Authorized</w:t>
      </w:r>
    </w:p>
    <w:p w:rsidR="00FD623E" w:rsidRDefault="00FD623E" w:rsidP="00FD623E">
      <w:pPr>
        <w:ind w:left="547"/>
        <w:jc w:val="both"/>
        <w:rPr>
          <w:b/>
          <w:bCs/>
          <w:sz w:val="22"/>
          <w:szCs w:val="22"/>
        </w:rPr>
      </w:pPr>
    </w:p>
    <w:p w:rsidR="00FD623E" w:rsidRDefault="00FD623E" w:rsidP="00FD623E">
      <w:pPr>
        <w:pStyle w:val="BodyTextIndent"/>
        <w:ind w:left="547"/>
        <w:jc w:val="both"/>
        <w:rPr>
          <w:szCs w:val="22"/>
        </w:rPr>
      </w:pPr>
      <w:r w:rsidRPr="004B7D2B">
        <w:rPr>
          <w:rFonts w:ascii="Times" w:hAnsi="Times"/>
          <w:szCs w:val="22"/>
        </w:rPr>
        <w:t xml:space="preserve">The total authorized capital is </w:t>
      </w:r>
      <w:r w:rsidRPr="00F94934">
        <w:rPr>
          <w:rFonts w:ascii="Times" w:hAnsi="Times"/>
          <w:szCs w:val="22"/>
        </w:rPr>
        <w:t>unlimited</w:t>
      </w:r>
      <w:r w:rsidRPr="004B7D2B">
        <w:rPr>
          <w:rFonts w:ascii="Times" w:hAnsi="Times"/>
          <w:szCs w:val="22"/>
        </w:rPr>
        <w:t xml:space="preserve"> common shares with no par value</w:t>
      </w:r>
      <w:r>
        <w:rPr>
          <w:rFonts w:ascii="Times" w:hAnsi="Times"/>
          <w:szCs w:val="22"/>
        </w:rPr>
        <w:t>.</w:t>
      </w:r>
    </w:p>
    <w:p w:rsidR="00AA464F" w:rsidRDefault="00AA464F" w:rsidP="00AA464F">
      <w:pPr>
        <w:pStyle w:val="BodyTextIndent"/>
        <w:ind w:left="540"/>
        <w:jc w:val="both"/>
        <w:rPr>
          <w:b/>
          <w:bCs/>
          <w:szCs w:val="22"/>
        </w:rPr>
      </w:pPr>
    </w:p>
    <w:p w:rsidR="00AA464F" w:rsidRDefault="00AA464F" w:rsidP="00AA464F">
      <w:pPr>
        <w:pStyle w:val="BodyTextIndent"/>
        <w:ind w:left="540"/>
        <w:jc w:val="both"/>
        <w:rPr>
          <w:b/>
          <w:bCs/>
          <w:szCs w:val="22"/>
        </w:rPr>
      </w:pPr>
      <w:r w:rsidRPr="004F641E">
        <w:rPr>
          <w:b/>
          <w:bCs/>
          <w:szCs w:val="22"/>
        </w:rPr>
        <w:t>Issued and Outstanding</w:t>
      </w:r>
    </w:p>
    <w:p w:rsidR="00AA464F" w:rsidRPr="008656A9" w:rsidRDefault="00AA464F" w:rsidP="00AA464F">
      <w:pPr>
        <w:pStyle w:val="BodyTextIndent"/>
        <w:ind w:left="540"/>
        <w:jc w:val="both"/>
        <w:rPr>
          <w:rFonts w:ascii="Times" w:hAnsi="Times" w:cs="Times"/>
          <w:b/>
          <w:bCs/>
          <w:szCs w:val="22"/>
        </w:rPr>
      </w:pPr>
    </w:p>
    <w:p w:rsidR="008656A9" w:rsidRPr="008656A9" w:rsidRDefault="00AA464F" w:rsidP="008656A9">
      <w:pPr>
        <w:tabs>
          <w:tab w:val="left" w:pos="10065"/>
        </w:tabs>
        <w:ind w:left="540"/>
        <w:jc w:val="both"/>
        <w:rPr>
          <w:rFonts w:ascii="Times" w:hAnsi="Times" w:cs="Times"/>
          <w:snapToGrid/>
          <w:sz w:val="22"/>
          <w:szCs w:val="22"/>
          <w:lang w:eastAsia="zh-CN"/>
        </w:rPr>
      </w:pPr>
      <w:r w:rsidRPr="008656A9">
        <w:rPr>
          <w:rFonts w:ascii="Times" w:hAnsi="Times" w:cs="Times"/>
          <w:sz w:val="22"/>
          <w:szCs w:val="22"/>
        </w:rPr>
        <w:t xml:space="preserve">As of </w:t>
      </w:r>
      <w:r w:rsidR="004F641E" w:rsidRPr="008656A9">
        <w:rPr>
          <w:rFonts w:ascii="Times" w:hAnsi="Times" w:cs="Times"/>
          <w:bCs/>
          <w:sz w:val="22"/>
          <w:szCs w:val="22"/>
        </w:rPr>
        <w:t>30</w:t>
      </w:r>
      <w:r w:rsidR="008656A9" w:rsidRPr="008656A9">
        <w:rPr>
          <w:rFonts w:ascii="Times" w:hAnsi="Times" w:cs="Times"/>
          <w:bCs/>
          <w:sz w:val="22"/>
          <w:szCs w:val="22"/>
        </w:rPr>
        <w:t xml:space="preserve"> </w:t>
      </w:r>
      <w:r w:rsidR="004F641E" w:rsidRPr="008656A9">
        <w:rPr>
          <w:rFonts w:ascii="Times" w:hAnsi="Times" w:cs="Times"/>
          <w:bCs/>
          <w:sz w:val="22"/>
          <w:szCs w:val="22"/>
        </w:rPr>
        <w:t>April</w:t>
      </w:r>
      <w:r w:rsidR="00AF6042" w:rsidRPr="008656A9">
        <w:rPr>
          <w:rFonts w:ascii="Times" w:hAnsi="Times" w:cs="Times"/>
          <w:bCs/>
          <w:sz w:val="22"/>
          <w:szCs w:val="22"/>
        </w:rPr>
        <w:t xml:space="preserve"> </w:t>
      </w:r>
      <w:r w:rsidR="003566EF" w:rsidRPr="008656A9">
        <w:rPr>
          <w:rFonts w:ascii="Times" w:hAnsi="Times" w:cs="Times"/>
          <w:bCs/>
          <w:sz w:val="22"/>
          <w:szCs w:val="22"/>
        </w:rPr>
        <w:t>2015</w:t>
      </w:r>
      <w:r w:rsidRPr="008656A9">
        <w:rPr>
          <w:rFonts w:ascii="Times" w:hAnsi="Times" w:cs="Times"/>
          <w:sz w:val="22"/>
          <w:szCs w:val="22"/>
        </w:rPr>
        <w:t>, the total issued and outstanding share capital consists of 11,</w:t>
      </w:r>
      <w:r w:rsidR="00F077DA" w:rsidRPr="008656A9">
        <w:rPr>
          <w:rFonts w:ascii="Times" w:hAnsi="Times" w:cs="Times"/>
          <w:sz w:val="22"/>
          <w:szCs w:val="22"/>
        </w:rPr>
        <w:t>296,260</w:t>
      </w:r>
      <w:r w:rsidRPr="008656A9">
        <w:rPr>
          <w:rFonts w:ascii="Times" w:hAnsi="Times" w:cs="Times"/>
          <w:sz w:val="22"/>
          <w:szCs w:val="22"/>
        </w:rPr>
        <w:t xml:space="preserve"> (</w:t>
      </w:r>
      <w:r w:rsidR="00333C76" w:rsidRPr="008656A9">
        <w:rPr>
          <w:rFonts w:ascii="Times" w:hAnsi="Times" w:cs="Times"/>
          <w:sz w:val="22"/>
          <w:szCs w:val="22"/>
        </w:rPr>
        <w:t>31</w:t>
      </w:r>
      <w:r w:rsidRPr="008656A9">
        <w:rPr>
          <w:rFonts w:ascii="Times" w:hAnsi="Times" w:cs="Times"/>
          <w:sz w:val="22"/>
          <w:szCs w:val="22"/>
        </w:rPr>
        <w:t xml:space="preserve"> </w:t>
      </w:r>
      <w:r w:rsidR="003566EF" w:rsidRPr="008656A9">
        <w:rPr>
          <w:rFonts w:ascii="Times" w:hAnsi="Times" w:cs="Times"/>
          <w:sz w:val="22"/>
          <w:szCs w:val="22"/>
        </w:rPr>
        <w:t>January 2015</w:t>
      </w:r>
      <w:r w:rsidRPr="008656A9">
        <w:rPr>
          <w:rFonts w:ascii="Times" w:hAnsi="Times" w:cs="Times"/>
          <w:sz w:val="22"/>
          <w:szCs w:val="22"/>
        </w:rPr>
        <w:t xml:space="preserve"> - </w:t>
      </w:r>
      <w:r w:rsidR="00333C76" w:rsidRPr="008656A9">
        <w:rPr>
          <w:rFonts w:ascii="Times" w:hAnsi="Times" w:cs="Times"/>
          <w:sz w:val="22"/>
          <w:szCs w:val="22"/>
        </w:rPr>
        <w:t>11,296,260</w:t>
      </w:r>
      <w:r w:rsidRPr="008656A9">
        <w:rPr>
          <w:rFonts w:ascii="Times" w:hAnsi="Times" w:cs="Times"/>
          <w:sz w:val="22"/>
          <w:szCs w:val="22"/>
        </w:rPr>
        <w:t>) common shares with no par value.</w:t>
      </w:r>
      <w:r w:rsidR="008656A9" w:rsidRPr="008656A9">
        <w:rPr>
          <w:rFonts w:ascii="Times" w:hAnsi="Times" w:cs="Times"/>
          <w:sz w:val="22"/>
          <w:szCs w:val="22"/>
        </w:rPr>
        <w:t xml:space="preserve"> </w:t>
      </w:r>
      <w:r w:rsidR="008656A9" w:rsidRPr="008656A9">
        <w:rPr>
          <w:rFonts w:ascii="Times" w:hAnsi="Times" w:cs="Times"/>
          <w:snapToGrid/>
          <w:sz w:val="22"/>
          <w:szCs w:val="22"/>
          <w:lang w:eastAsia="en-CA"/>
        </w:rPr>
        <w:t>On May 11, 2015 the Company closed a non</w:t>
      </w:r>
      <w:r w:rsidR="008656A9" w:rsidRPr="008656A9">
        <w:rPr>
          <w:rFonts w:ascii="Calibri" w:hAnsi="Calibri" w:cs="Times"/>
          <w:snapToGrid/>
          <w:sz w:val="22"/>
          <w:szCs w:val="22"/>
          <w:lang w:eastAsia="en-CA"/>
        </w:rPr>
        <w:t>‐</w:t>
      </w:r>
      <w:r w:rsidR="008656A9" w:rsidRPr="008656A9">
        <w:rPr>
          <w:rFonts w:ascii="Times" w:hAnsi="Times" w:cs="Times"/>
          <w:snapToGrid/>
          <w:sz w:val="22"/>
          <w:szCs w:val="22"/>
          <w:lang w:eastAsia="en-CA"/>
        </w:rPr>
        <w:t>brokered private placement equity financing. Under the financing, the Company issued 2,000,000 units at a price of $0.05 per unit for gross proceeds of</w:t>
      </w:r>
      <w:r w:rsidR="008656A9" w:rsidRPr="008656A9">
        <w:rPr>
          <w:rFonts w:ascii="Times" w:hAnsi="Times" w:cs="Times"/>
          <w:sz w:val="22"/>
          <w:szCs w:val="22"/>
          <w:lang w:val="en-GB"/>
        </w:rPr>
        <w:t xml:space="preserve"> </w:t>
      </w:r>
      <w:r w:rsidR="008656A9" w:rsidRPr="008656A9">
        <w:rPr>
          <w:rFonts w:ascii="Times" w:hAnsi="Times" w:cs="Times"/>
          <w:snapToGrid/>
          <w:sz w:val="22"/>
          <w:szCs w:val="22"/>
          <w:lang w:eastAsia="en-CA"/>
        </w:rPr>
        <w:t>$100,000. Each unit is comprised of one common share of the Company and one common share</w:t>
      </w:r>
      <w:r w:rsidR="008656A9" w:rsidRPr="008656A9">
        <w:rPr>
          <w:rFonts w:ascii="Times" w:hAnsi="Times" w:cs="Times"/>
          <w:sz w:val="22"/>
          <w:szCs w:val="22"/>
          <w:lang w:val="en-GB"/>
        </w:rPr>
        <w:t xml:space="preserve"> </w:t>
      </w:r>
      <w:r w:rsidR="008656A9" w:rsidRPr="008656A9">
        <w:rPr>
          <w:rFonts w:ascii="Times" w:hAnsi="Times" w:cs="Times"/>
          <w:snapToGrid/>
          <w:sz w:val="22"/>
          <w:szCs w:val="22"/>
          <w:lang w:eastAsia="en-CA"/>
        </w:rPr>
        <w:t>purchase warrant exercisable for two years for an additional share at a price of $0.10. As of June 29, 2015, the Company had a total of 13,296,260 common shares outstanding.</w:t>
      </w:r>
    </w:p>
    <w:p w:rsidR="00AA464F" w:rsidRDefault="00AA464F" w:rsidP="00AA464F">
      <w:pPr>
        <w:pStyle w:val="BodyTextIndent"/>
        <w:ind w:left="547"/>
        <w:jc w:val="both"/>
        <w:rPr>
          <w:szCs w:val="22"/>
        </w:rPr>
      </w:pPr>
    </w:p>
    <w:p w:rsidR="00AA464F" w:rsidRDefault="00AA464F" w:rsidP="00AA464F">
      <w:pPr>
        <w:pStyle w:val="BodyTextIndent"/>
        <w:ind w:left="547"/>
        <w:jc w:val="both"/>
        <w:rPr>
          <w:szCs w:val="22"/>
        </w:rPr>
      </w:pPr>
      <w:r w:rsidRPr="00333C76">
        <w:rPr>
          <w:szCs w:val="22"/>
        </w:rPr>
        <w:t xml:space="preserve">As of </w:t>
      </w:r>
      <w:r w:rsidR="00333C76" w:rsidRPr="00333C76">
        <w:rPr>
          <w:bCs/>
          <w:szCs w:val="22"/>
        </w:rPr>
        <w:t>30</w:t>
      </w:r>
      <w:r w:rsidR="00A402F6" w:rsidRPr="00333C76">
        <w:rPr>
          <w:bCs/>
          <w:szCs w:val="22"/>
        </w:rPr>
        <w:t xml:space="preserve"> </w:t>
      </w:r>
      <w:r w:rsidR="00333C76" w:rsidRPr="00333C76">
        <w:rPr>
          <w:bCs/>
          <w:szCs w:val="22"/>
        </w:rPr>
        <w:t>April</w:t>
      </w:r>
      <w:r w:rsidR="00AF6042" w:rsidRPr="00333C76">
        <w:rPr>
          <w:bCs/>
          <w:szCs w:val="22"/>
        </w:rPr>
        <w:t xml:space="preserve"> </w:t>
      </w:r>
      <w:r w:rsidR="003566EF">
        <w:rPr>
          <w:bCs/>
          <w:szCs w:val="22"/>
        </w:rPr>
        <w:t>2015</w:t>
      </w:r>
      <w:r w:rsidRPr="00333C76">
        <w:rPr>
          <w:szCs w:val="22"/>
        </w:rPr>
        <w:t xml:space="preserve">, </w:t>
      </w:r>
      <w:r w:rsidR="003566EF">
        <w:rPr>
          <w:szCs w:val="22"/>
        </w:rPr>
        <w:t>725,506</w:t>
      </w:r>
      <w:r w:rsidRPr="00333C76">
        <w:rPr>
          <w:szCs w:val="22"/>
        </w:rPr>
        <w:t xml:space="preserve"> </w:t>
      </w:r>
      <w:r w:rsidR="003566EF">
        <w:rPr>
          <w:szCs w:val="22"/>
        </w:rPr>
        <w:t>(31 January 2015 – 1,451,013</w:t>
      </w:r>
      <w:r w:rsidR="00E03888" w:rsidRPr="00333C76">
        <w:rPr>
          <w:szCs w:val="22"/>
        </w:rPr>
        <w:t xml:space="preserve">) </w:t>
      </w:r>
      <w:r w:rsidRPr="00333C76">
        <w:rPr>
          <w:szCs w:val="22"/>
        </w:rPr>
        <w:t>shares were held in escrow. The shares held in escrow are to be released according to the following schedule:</w:t>
      </w:r>
    </w:p>
    <w:p w:rsidR="008656A9" w:rsidRDefault="008656A9" w:rsidP="00AA464F">
      <w:pPr>
        <w:pStyle w:val="BodyTextIndent"/>
        <w:ind w:left="547"/>
        <w:jc w:val="both"/>
        <w:rPr>
          <w:szCs w:val="22"/>
        </w:rPr>
      </w:pPr>
    </w:p>
    <w:p w:rsidR="00AA464F" w:rsidRDefault="00AA464F" w:rsidP="00AA464F">
      <w:pPr>
        <w:pStyle w:val="BodyTextIndent"/>
        <w:ind w:left="547"/>
        <w:jc w:val="both"/>
        <w:rPr>
          <w:szCs w:val="22"/>
        </w:rPr>
      </w:pPr>
    </w:p>
    <w:tbl>
      <w:tblPr>
        <w:tblStyle w:val="TableGrid"/>
        <w:tblW w:w="6210" w:type="dxa"/>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4"/>
        <w:gridCol w:w="1976"/>
      </w:tblGrid>
      <w:tr w:rsidR="00AA464F" w:rsidTr="008E1D55">
        <w:tc>
          <w:tcPr>
            <w:tcW w:w="4234" w:type="dxa"/>
            <w:vAlign w:val="bottom"/>
          </w:tcPr>
          <w:p w:rsidR="00AA464F" w:rsidRPr="009B21C8" w:rsidRDefault="00AA464F" w:rsidP="00AA464F">
            <w:pPr>
              <w:pStyle w:val="BodyTextIndent"/>
              <w:ind w:left="0"/>
              <w:rPr>
                <w:rFonts w:ascii="Times New Roman" w:hAnsi="Times New Roman"/>
                <w:b/>
              </w:rPr>
            </w:pPr>
            <w:r w:rsidRPr="009B21C8">
              <w:rPr>
                <w:rFonts w:ascii="Times New Roman" w:hAnsi="Times New Roman"/>
                <w:b/>
              </w:rPr>
              <w:t>Date</w:t>
            </w:r>
          </w:p>
        </w:tc>
        <w:tc>
          <w:tcPr>
            <w:tcW w:w="1976" w:type="dxa"/>
            <w:tcBorders>
              <w:bottom w:val="single" w:sz="4" w:space="0" w:color="auto"/>
            </w:tcBorders>
          </w:tcPr>
          <w:p w:rsidR="00AA464F" w:rsidRPr="009B21C8" w:rsidRDefault="00AA464F" w:rsidP="00AA464F">
            <w:pPr>
              <w:pStyle w:val="BodyTextIndent"/>
              <w:ind w:left="0"/>
              <w:jc w:val="right"/>
              <w:rPr>
                <w:rFonts w:ascii="Times New Roman" w:hAnsi="Times New Roman"/>
                <w:b/>
              </w:rPr>
            </w:pPr>
            <w:r w:rsidRPr="009B21C8">
              <w:rPr>
                <w:rFonts w:ascii="Times New Roman" w:hAnsi="Times New Roman"/>
                <w:b/>
              </w:rPr>
              <w:t>Number of shares released</w:t>
            </w:r>
          </w:p>
        </w:tc>
      </w:tr>
      <w:tr w:rsidR="00811F71" w:rsidTr="006A017E">
        <w:tc>
          <w:tcPr>
            <w:tcW w:w="4234" w:type="dxa"/>
            <w:vAlign w:val="bottom"/>
          </w:tcPr>
          <w:p w:rsidR="00811F71" w:rsidRPr="009B21C8" w:rsidRDefault="00811F71" w:rsidP="00AA464F">
            <w:pPr>
              <w:pStyle w:val="BodyTextIndent"/>
              <w:ind w:left="0"/>
              <w:rPr>
                <w:b/>
              </w:rPr>
            </w:pPr>
          </w:p>
        </w:tc>
        <w:tc>
          <w:tcPr>
            <w:tcW w:w="1976" w:type="dxa"/>
            <w:tcBorders>
              <w:bottom w:val="single" w:sz="4" w:space="0" w:color="auto"/>
            </w:tcBorders>
          </w:tcPr>
          <w:p w:rsidR="00811F71" w:rsidRPr="009B21C8" w:rsidRDefault="00811F71" w:rsidP="00AA464F">
            <w:pPr>
              <w:pStyle w:val="BodyTextIndent"/>
              <w:ind w:left="0"/>
              <w:jc w:val="right"/>
              <w:rPr>
                <w:b/>
              </w:rPr>
            </w:pPr>
          </w:p>
        </w:tc>
      </w:tr>
      <w:tr w:rsidR="003566EF" w:rsidTr="00806504">
        <w:tc>
          <w:tcPr>
            <w:tcW w:w="4234" w:type="dxa"/>
          </w:tcPr>
          <w:p w:rsidR="003566EF" w:rsidRPr="00FA0D5D" w:rsidRDefault="003566EF" w:rsidP="00AA464F">
            <w:pPr>
              <w:pStyle w:val="BodyTextIndent"/>
              <w:ind w:left="0"/>
              <w:jc w:val="both"/>
              <w:rPr>
                <w:rFonts w:ascii="Times New Roman" w:hAnsi="Times New Roman"/>
              </w:rPr>
            </w:pPr>
            <w:r w:rsidRPr="001762EF">
              <w:rPr>
                <w:rFonts w:ascii="Times New Roman" w:hAnsi="Times New Roman"/>
              </w:rPr>
              <w:t>31 October 2015</w:t>
            </w:r>
          </w:p>
        </w:tc>
        <w:tc>
          <w:tcPr>
            <w:tcW w:w="1976" w:type="dxa"/>
            <w:tcBorders>
              <w:bottom w:val="single" w:sz="4" w:space="0" w:color="auto"/>
            </w:tcBorders>
          </w:tcPr>
          <w:p w:rsidR="003566EF" w:rsidRPr="00FA0D5D" w:rsidRDefault="003566EF" w:rsidP="00AA464F">
            <w:pPr>
              <w:pStyle w:val="BodyTextIndent"/>
              <w:ind w:left="0"/>
              <w:jc w:val="right"/>
              <w:rPr>
                <w:rFonts w:ascii="Times New Roman" w:hAnsi="Times New Roman"/>
              </w:rPr>
            </w:pPr>
            <w:r w:rsidRPr="001762EF">
              <w:rPr>
                <w:rFonts w:ascii="Times New Roman" w:hAnsi="Times New Roman"/>
              </w:rPr>
              <w:t>725,506</w:t>
            </w:r>
          </w:p>
        </w:tc>
      </w:tr>
      <w:tr w:rsidR="003566EF" w:rsidTr="00806504">
        <w:tc>
          <w:tcPr>
            <w:tcW w:w="4234" w:type="dxa"/>
          </w:tcPr>
          <w:p w:rsidR="003566EF" w:rsidRPr="009B21C8" w:rsidRDefault="003566EF" w:rsidP="00AA464F">
            <w:pPr>
              <w:pStyle w:val="BodyTextIndent"/>
              <w:ind w:left="0"/>
              <w:jc w:val="both"/>
              <w:rPr>
                <w:rFonts w:ascii="Times New Roman" w:hAnsi="Times New Roman"/>
                <w:b/>
              </w:rPr>
            </w:pPr>
          </w:p>
          <w:p w:rsidR="003566EF" w:rsidRPr="001762EF" w:rsidRDefault="003566EF" w:rsidP="00AA464F">
            <w:pPr>
              <w:pStyle w:val="BodyTextIndent"/>
              <w:ind w:left="0"/>
              <w:jc w:val="both"/>
              <w:rPr>
                <w:rFonts w:ascii="Times New Roman" w:hAnsi="Times New Roman"/>
              </w:rPr>
            </w:pPr>
            <w:r w:rsidRPr="009B21C8">
              <w:rPr>
                <w:rFonts w:ascii="Times New Roman" w:hAnsi="Times New Roman"/>
                <w:b/>
              </w:rPr>
              <w:t>Total</w:t>
            </w:r>
          </w:p>
        </w:tc>
        <w:tc>
          <w:tcPr>
            <w:tcW w:w="1976" w:type="dxa"/>
            <w:tcBorders>
              <w:top w:val="single" w:sz="4" w:space="0" w:color="auto"/>
              <w:bottom w:val="single" w:sz="12" w:space="0" w:color="auto"/>
            </w:tcBorders>
          </w:tcPr>
          <w:p w:rsidR="003566EF" w:rsidRDefault="003566EF" w:rsidP="00AA464F">
            <w:pPr>
              <w:pStyle w:val="BodyTextIndent"/>
              <w:ind w:left="0"/>
              <w:jc w:val="right"/>
              <w:rPr>
                <w:rFonts w:ascii="Times New Roman" w:hAnsi="Times New Roman"/>
                <w:b/>
              </w:rPr>
            </w:pPr>
          </w:p>
          <w:p w:rsidR="003566EF" w:rsidRPr="001762EF" w:rsidRDefault="003566EF" w:rsidP="003566EF">
            <w:pPr>
              <w:pStyle w:val="BodyTextIndent"/>
              <w:ind w:left="0"/>
              <w:jc w:val="right"/>
              <w:rPr>
                <w:rFonts w:ascii="Times New Roman" w:hAnsi="Times New Roman"/>
              </w:rPr>
            </w:pPr>
            <w:r>
              <w:rPr>
                <w:rFonts w:ascii="Times New Roman" w:hAnsi="Times New Roman"/>
                <w:b/>
              </w:rPr>
              <w:t>725,506</w:t>
            </w:r>
          </w:p>
        </w:tc>
      </w:tr>
      <w:tr w:rsidR="003566EF" w:rsidTr="008E1D55">
        <w:tc>
          <w:tcPr>
            <w:tcW w:w="4234" w:type="dxa"/>
          </w:tcPr>
          <w:p w:rsidR="003566EF" w:rsidRPr="009B21C8" w:rsidRDefault="003566EF" w:rsidP="00AA464F">
            <w:pPr>
              <w:pStyle w:val="BodyTextIndent"/>
              <w:ind w:left="0"/>
              <w:jc w:val="both"/>
              <w:rPr>
                <w:rFonts w:ascii="Times New Roman" w:hAnsi="Times New Roman"/>
                <w:b/>
              </w:rPr>
            </w:pPr>
          </w:p>
        </w:tc>
        <w:tc>
          <w:tcPr>
            <w:tcW w:w="1976" w:type="dxa"/>
            <w:tcBorders>
              <w:top w:val="single" w:sz="4" w:space="0" w:color="auto"/>
              <w:bottom w:val="single" w:sz="12" w:space="0" w:color="auto"/>
            </w:tcBorders>
          </w:tcPr>
          <w:p w:rsidR="003566EF" w:rsidRPr="009B21C8" w:rsidRDefault="003566EF" w:rsidP="00AA464F">
            <w:pPr>
              <w:pStyle w:val="BodyTextIndent"/>
              <w:ind w:left="0"/>
              <w:jc w:val="right"/>
              <w:rPr>
                <w:rFonts w:ascii="Times New Roman" w:hAnsi="Times New Roman"/>
                <w:b/>
              </w:rPr>
            </w:pPr>
          </w:p>
        </w:tc>
      </w:tr>
    </w:tbl>
    <w:p w:rsidR="00AA464F" w:rsidRDefault="00AA464F" w:rsidP="00AA464F">
      <w:pPr>
        <w:pStyle w:val="BodyTextIndent"/>
        <w:ind w:left="547"/>
        <w:jc w:val="both"/>
        <w:rPr>
          <w:szCs w:val="22"/>
        </w:rPr>
      </w:pPr>
    </w:p>
    <w:p w:rsidR="008656A9" w:rsidRDefault="008656A9" w:rsidP="00DA0879">
      <w:pPr>
        <w:ind w:left="540"/>
        <w:jc w:val="both"/>
        <w:rPr>
          <w:sz w:val="22"/>
          <w:szCs w:val="22"/>
        </w:rPr>
      </w:pPr>
    </w:p>
    <w:p w:rsidR="008656A9" w:rsidRDefault="008656A9" w:rsidP="00DA0879">
      <w:pPr>
        <w:ind w:left="540"/>
        <w:jc w:val="both"/>
        <w:rPr>
          <w:sz w:val="22"/>
          <w:szCs w:val="22"/>
        </w:rPr>
      </w:pPr>
      <w:r w:rsidRPr="008656A9">
        <w:rPr>
          <w:rFonts w:ascii="Times" w:hAnsi="Times" w:cs="Times"/>
          <w:snapToGrid/>
          <w:sz w:val="22"/>
          <w:szCs w:val="22"/>
          <w:lang w:eastAsia="en-CA"/>
        </w:rPr>
        <w:lastRenderedPageBreak/>
        <w:t xml:space="preserve">On 11, </w:t>
      </w:r>
      <w:r>
        <w:rPr>
          <w:rFonts w:ascii="Times" w:hAnsi="Times" w:cs="Times"/>
          <w:snapToGrid/>
          <w:sz w:val="22"/>
          <w:szCs w:val="22"/>
          <w:lang w:eastAsia="en-CA"/>
        </w:rPr>
        <w:t xml:space="preserve">May, </w:t>
      </w:r>
      <w:r w:rsidRPr="008656A9">
        <w:rPr>
          <w:rFonts w:ascii="Times" w:hAnsi="Times" w:cs="Times"/>
          <w:snapToGrid/>
          <w:sz w:val="22"/>
          <w:szCs w:val="22"/>
          <w:lang w:eastAsia="en-CA"/>
        </w:rPr>
        <w:t>2015 the Company closed a non</w:t>
      </w:r>
      <w:r w:rsidRPr="008656A9">
        <w:rPr>
          <w:rFonts w:ascii="Calibri" w:hAnsi="Calibri" w:cs="Times"/>
          <w:snapToGrid/>
          <w:sz w:val="22"/>
          <w:szCs w:val="22"/>
          <w:lang w:eastAsia="en-CA"/>
        </w:rPr>
        <w:t>‐</w:t>
      </w:r>
      <w:r w:rsidRPr="008656A9">
        <w:rPr>
          <w:rFonts w:ascii="Times" w:hAnsi="Times" w:cs="Times"/>
          <w:snapToGrid/>
          <w:sz w:val="22"/>
          <w:szCs w:val="22"/>
          <w:lang w:eastAsia="en-CA"/>
        </w:rPr>
        <w:t>brokered private placement equity financing. Under the financing, the Company issued 2,000,000 units at a price of $0.05 per unit for gross proceeds of</w:t>
      </w:r>
      <w:r w:rsidRPr="008656A9">
        <w:rPr>
          <w:rFonts w:ascii="Times" w:hAnsi="Times" w:cs="Times"/>
          <w:sz w:val="22"/>
          <w:szCs w:val="22"/>
          <w:lang w:val="en-GB"/>
        </w:rPr>
        <w:t xml:space="preserve"> </w:t>
      </w:r>
      <w:r w:rsidRPr="008656A9">
        <w:rPr>
          <w:rFonts w:ascii="Times" w:hAnsi="Times" w:cs="Times"/>
          <w:snapToGrid/>
          <w:sz w:val="22"/>
          <w:szCs w:val="22"/>
          <w:lang w:eastAsia="en-CA"/>
        </w:rPr>
        <w:t>$100,000. Each unit is comprised of one common share of the Company and one common share</w:t>
      </w:r>
      <w:r w:rsidRPr="008656A9">
        <w:rPr>
          <w:rFonts w:ascii="Times" w:hAnsi="Times" w:cs="Times"/>
          <w:sz w:val="22"/>
          <w:szCs w:val="22"/>
          <w:lang w:val="en-GB"/>
        </w:rPr>
        <w:t xml:space="preserve"> </w:t>
      </w:r>
      <w:r w:rsidRPr="008656A9">
        <w:rPr>
          <w:rFonts w:ascii="Times" w:hAnsi="Times" w:cs="Times"/>
          <w:snapToGrid/>
          <w:sz w:val="22"/>
          <w:szCs w:val="22"/>
          <w:lang w:eastAsia="en-CA"/>
        </w:rPr>
        <w:t>purchase warrant exercisable for two years for an additional share at a price of $0.10.</w:t>
      </w:r>
    </w:p>
    <w:p w:rsidR="008656A9" w:rsidRDefault="008656A9" w:rsidP="00DA0879">
      <w:pPr>
        <w:ind w:left="540"/>
        <w:jc w:val="both"/>
        <w:rPr>
          <w:sz w:val="22"/>
          <w:szCs w:val="22"/>
        </w:rPr>
      </w:pPr>
    </w:p>
    <w:p w:rsidR="00DA0879" w:rsidRDefault="00DA0879" w:rsidP="00DA0879">
      <w:pPr>
        <w:ind w:left="540"/>
        <w:jc w:val="both"/>
        <w:rPr>
          <w:sz w:val="22"/>
          <w:szCs w:val="22"/>
        </w:rPr>
      </w:pPr>
      <w:r w:rsidRPr="00F94934">
        <w:rPr>
          <w:sz w:val="22"/>
          <w:szCs w:val="22"/>
        </w:rPr>
        <w:t xml:space="preserve">On </w:t>
      </w:r>
      <w:r>
        <w:rPr>
          <w:sz w:val="22"/>
          <w:szCs w:val="22"/>
        </w:rPr>
        <w:t>12 July 2013</w:t>
      </w:r>
      <w:r w:rsidRPr="00F94934">
        <w:rPr>
          <w:sz w:val="22"/>
          <w:szCs w:val="22"/>
        </w:rPr>
        <w:t xml:space="preserve">, the Company issued </w:t>
      </w:r>
      <w:r>
        <w:rPr>
          <w:sz w:val="22"/>
          <w:szCs w:val="22"/>
        </w:rPr>
        <w:t>5</w:t>
      </w:r>
      <w:r w:rsidRPr="00F94934">
        <w:rPr>
          <w:sz w:val="22"/>
          <w:szCs w:val="22"/>
        </w:rPr>
        <w:t xml:space="preserve">0,000 common shares </w:t>
      </w:r>
      <w:r>
        <w:rPr>
          <w:sz w:val="22"/>
          <w:szCs w:val="22"/>
        </w:rPr>
        <w:t>of the Company at $0.12 per common share for a total value of $6,000 related to</w:t>
      </w:r>
      <w:r w:rsidRPr="00F94934">
        <w:rPr>
          <w:sz w:val="22"/>
          <w:szCs w:val="22"/>
        </w:rPr>
        <w:t xml:space="preserve"> the Pattullo Property</w:t>
      </w:r>
      <w:r>
        <w:rPr>
          <w:sz w:val="22"/>
          <w:szCs w:val="22"/>
        </w:rPr>
        <w:t xml:space="preserve"> (Notes 6 and 10)</w:t>
      </w:r>
      <w:r w:rsidRPr="00F94934">
        <w:rPr>
          <w:sz w:val="22"/>
          <w:szCs w:val="22"/>
        </w:rPr>
        <w:t xml:space="preserve">. </w:t>
      </w:r>
    </w:p>
    <w:p w:rsidR="008656A9" w:rsidRDefault="008656A9" w:rsidP="008656A9">
      <w:pPr>
        <w:tabs>
          <w:tab w:val="left" w:pos="1080"/>
          <w:tab w:val="left" w:pos="1260"/>
        </w:tabs>
        <w:ind w:left="540"/>
        <w:jc w:val="both"/>
        <w:rPr>
          <w:sz w:val="22"/>
          <w:szCs w:val="22"/>
          <w:lang w:val="en-CA"/>
        </w:rPr>
      </w:pPr>
    </w:p>
    <w:p w:rsidR="008656A9" w:rsidRDefault="008656A9" w:rsidP="008656A9">
      <w:pPr>
        <w:tabs>
          <w:tab w:val="left" w:pos="1080"/>
          <w:tab w:val="left" w:pos="1260"/>
        </w:tabs>
        <w:ind w:left="540"/>
        <w:jc w:val="both"/>
        <w:rPr>
          <w:sz w:val="22"/>
          <w:szCs w:val="22"/>
          <w:lang w:val="en-CA"/>
        </w:rPr>
      </w:pPr>
      <w:r>
        <w:rPr>
          <w:sz w:val="22"/>
          <w:szCs w:val="22"/>
          <w:lang w:val="en-CA"/>
        </w:rPr>
        <w:t xml:space="preserve">On 31 October 2012, the Company completed an initial public offering (the “Offering”) to issue 3,350,000 common shares at $0.15 per share for gross proceeds of $502,500. Under the terms of an agency agreement, the Company paid the agent a commission of 8% of the aggregate gross proceeds pursuant to the Offering, a corporate finance fee of $30,000 in cash and paid additional share issuance costs of $59,581 in relation to the offering. </w:t>
      </w:r>
    </w:p>
    <w:p w:rsidR="008656A9" w:rsidRDefault="008656A9" w:rsidP="00DA0879">
      <w:pPr>
        <w:ind w:left="540"/>
        <w:jc w:val="both"/>
        <w:rPr>
          <w:sz w:val="22"/>
          <w:szCs w:val="22"/>
        </w:rPr>
      </w:pPr>
    </w:p>
    <w:p w:rsidR="00AA464F" w:rsidRDefault="00AA464F" w:rsidP="00AA464F">
      <w:pPr>
        <w:ind w:left="540"/>
        <w:jc w:val="both"/>
        <w:rPr>
          <w:sz w:val="22"/>
          <w:szCs w:val="22"/>
        </w:rPr>
      </w:pPr>
      <w:r w:rsidRPr="00F94934">
        <w:rPr>
          <w:sz w:val="22"/>
          <w:szCs w:val="22"/>
        </w:rPr>
        <w:t xml:space="preserve">On </w:t>
      </w:r>
      <w:r>
        <w:rPr>
          <w:sz w:val="22"/>
          <w:szCs w:val="22"/>
        </w:rPr>
        <w:t>18 June 2012</w:t>
      </w:r>
      <w:r w:rsidRPr="00F94934">
        <w:rPr>
          <w:sz w:val="22"/>
          <w:szCs w:val="22"/>
        </w:rPr>
        <w:t xml:space="preserve">, the Company issued </w:t>
      </w:r>
      <w:r>
        <w:rPr>
          <w:sz w:val="22"/>
          <w:szCs w:val="22"/>
        </w:rPr>
        <w:t>5</w:t>
      </w:r>
      <w:r w:rsidRPr="00F94934">
        <w:rPr>
          <w:sz w:val="22"/>
          <w:szCs w:val="22"/>
        </w:rPr>
        <w:t xml:space="preserve">0,000 common shares </w:t>
      </w:r>
      <w:r>
        <w:rPr>
          <w:sz w:val="22"/>
          <w:szCs w:val="22"/>
        </w:rPr>
        <w:t>of the Company at $0.08 per common share for a total value of $4,000 related to</w:t>
      </w:r>
      <w:r w:rsidRPr="00F94934">
        <w:rPr>
          <w:sz w:val="22"/>
          <w:szCs w:val="22"/>
        </w:rPr>
        <w:t xml:space="preserve"> the Pattullo Property</w:t>
      </w:r>
      <w:r>
        <w:rPr>
          <w:sz w:val="22"/>
          <w:szCs w:val="22"/>
        </w:rPr>
        <w:t xml:space="preserve"> (</w:t>
      </w:r>
      <w:r w:rsidR="005F2B36">
        <w:rPr>
          <w:sz w:val="22"/>
          <w:szCs w:val="22"/>
        </w:rPr>
        <w:t>Notes 6 and 10</w:t>
      </w:r>
      <w:r>
        <w:rPr>
          <w:sz w:val="22"/>
          <w:szCs w:val="22"/>
        </w:rPr>
        <w:t>)</w:t>
      </w:r>
      <w:r w:rsidRPr="00F94934">
        <w:rPr>
          <w:sz w:val="22"/>
          <w:szCs w:val="22"/>
        </w:rPr>
        <w:t xml:space="preserve">. </w:t>
      </w:r>
    </w:p>
    <w:p w:rsidR="00AA464F" w:rsidRDefault="00AA464F" w:rsidP="00AA464F">
      <w:pPr>
        <w:pStyle w:val="BodyTextIndent"/>
        <w:ind w:left="547"/>
        <w:jc w:val="both"/>
        <w:rPr>
          <w:szCs w:val="22"/>
        </w:rPr>
      </w:pPr>
    </w:p>
    <w:p w:rsidR="00AA464F" w:rsidRDefault="00AA464F" w:rsidP="00AA464F">
      <w:pPr>
        <w:ind w:left="540"/>
        <w:jc w:val="both"/>
        <w:rPr>
          <w:sz w:val="22"/>
          <w:szCs w:val="22"/>
        </w:rPr>
      </w:pPr>
      <w:r w:rsidRPr="00F94934">
        <w:rPr>
          <w:sz w:val="22"/>
          <w:szCs w:val="22"/>
        </w:rPr>
        <w:t xml:space="preserve">On </w:t>
      </w:r>
      <w:r>
        <w:rPr>
          <w:sz w:val="22"/>
          <w:szCs w:val="22"/>
        </w:rPr>
        <w:t xml:space="preserve">11 November </w:t>
      </w:r>
      <w:r w:rsidRPr="00F94934">
        <w:rPr>
          <w:sz w:val="22"/>
          <w:szCs w:val="22"/>
        </w:rPr>
        <w:t xml:space="preserve">2011, the Company issued </w:t>
      </w:r>
      <w:r>
        <w:rPr>
          <w:sz w:val="22"/>
          <w:szCs w:val="22"/>
        </w:rPr>
        <w:t>5</w:t>
      </w:r>
      <w:r w:rsidRPr="00F94934">
        <w:rPr>
          <w:sz w:val="22"/>
          <w:szCs w:val="22"/>
        </w:rPr>
        <w:t xml:space="preserve">0,000 common shares </w:t>
      </w:r>
      <w:r>
        <w:rPr>
          <w:sz w:val="22"/>
          <w:szCs w:val="22"/>
        </w:rPr>
        <w:t>of the Company at $0.05 per common share for a total value of $2,500 related to</w:t>
      </w:r>
      <w:r w:rsidRPr="00F94934">
        <w:rPr>
          <w:sz w:val="22"/>
          <w:szCs w:val="22"/>
        </w:rPr>
        <w:t xml:space="preserve"> the Pattullo Property</w:t>
      </w:r>
      <w:r w:rsidR="005F2B36">
        <w:rPr>
          <w:sz w:val="22"/>
          <w:szCs w:val="22"/>
        </w:rPr>
        <w:t xml:space="preserve"> (Notes 6 and 10</w:t>
      </w:r>
      <w:r>
        <w:rPr>
          <w:sz w:val="22"/>
          <w:szCs w:val="22"/>
        </w:rPr>
        <w:t>)</w:t>
      </w:r>
      <w:r w:rsidRPr="00F94934">
        <w:rPr>
          <w:sz w:val="22"/>
          <w:szCs w:val="22"/>
        </w:rPr>
        <w:t xml:space="preserve">. </w:t>
      </w:r>
    </w:p>
    <w:p w:rsidR="00AA464F" w:rsidRDefault="00AA464F" w:rsidP="00AA464F">
      <w:pPr>
        <w:ind w:left="540"/>
        <w:jc w:val="both"/>
        <w:rPr>
          <w:sz w:val="22"/>
          <w:szCs w:val="22"/>
        </w:rPr>
      </w:pPr>
    </w:p>
    <w:p w:rsidR="00AA464F" w:rsidRDefault="00AA464F" w:rsidP="00AA464F">
      <w:pPr>
        <w:ind w:left="540"/>
        <w:jc w:val="both"/>
        <w:rPr>
          <w:sz w:val="22"/>
          <w:szCs w:val="22"/>
        </w:rPr>
      </w:pPr>
      <w:r>
        <w:rPr>
          <w:sz w:val="22"/>
          <w:szCs w:val="22"/>
        </w:rPr>
        <w:t>On 31 October</w:t>
      </w:r>
      <w:r w:rsidRPr="00F94934">
        <w:rPr>
          <w:sz w:val="22"/>
          <w:szCs w:val="22"/>
        </w:rPr>
        <w:t xml:space="preserve"> 2011, the Company issued 3,156,250 common shares at a price of $0.08 per common share, for total cash proceeds of $252,500.</w:t>
      </w:r>
    </w:p>
    <w:p w:rsidR="00AA464F" w:rsidRDefault="00AA464F" w:rsidP="00AA464F">
      <w:pPr>
        <w:jc w:val="both"/>
        <w:rPr>
          <w:sz w:val="22"/>
          <w:szCs w:val="22"/>
        </w:rPr>
      </w:pPr>
    </w:p>
    <w:p w:rsidR="00AA464F" w:rsidRDefault="00AA464F" w:rsidP="00AA464F">
      <w:pPr>
        <w:ind w:left="540"/>
        <w:jc w:val="both"/>
        <w:rPr>
          <w:sz w:val="22"/>
          <w:szCs w:val="22"/>
        </w:rPr>
      </w:pPr>
      <w:r>
        <w:rPr>
          <w:sz w:val="22"/>
          <w:szCs w:val="22"/>
        </w:rPr>
        <w:t>On 5 July</w:t>
      </w:r>
      <w:r w:rsidRPr="00F94934">
        <w:rPr>
          <w:sz w:val="22"/>
          <w:szCs w:val="22"/>
        </w:rPr>
        <w:t xml:space="preserve"> 2011, the Company issued 2,840,000 common shares at a price of $0.05 per common share for total cash proceeds of $142,000.  </w:t>
      </w:r>
    </w:p>
    <w:p w:rsidR="00AA464F" w:rsidRDefault="00AA464F" w:rsidP="00AA464F">
      <w:pPr>
        <w:ind w:left="540"/>
        <w:jc w:val="both"/>
        <w:rPr>
          <w:sz w:val="22"/>
          <w:szCs w:val="22"/>
        </w:rPr>
      </w:pPr>
    </w:p>
    <w:p w:rsidR="00AA464F" w:rsidRDefault="00AA464F" w:rsidP="00AA464F">
      <w:pPr>
        <w:ind w:left="540"/>
        <w:jc w:val="both"/>
        <w:rPr>
          <w:sz w:val="22"/>
          <w:szCs w:val="22"/>
        </w:rPr>
      </w:pPr>
      <w:r w:rsidRPr="00F94934">
        <w:rPr>
          <w:sz w:val="22"/>
          <w:szCs w:val="22"/>
        </w:rPr>
        <w:t xml:space="preserve">On </w:t>
      </w:r>
      <w:r>
        <w:rPr>
          <w:rFonts w:hint="eastAsia"/>
          <w:sz w:val="22"/>
          <w:szCs w:val="22"/>
          <w:lang w:eastAsia="ko-KR"/>
        </w:rPr>
        <w:t>2</w:t>
      </w:r>
      <w:r>
        <w:rPr>
          <w:sz w:val="22"/>
          <w:szCs w:val="22"/>
        </w:rPr>
        <w:t>7 June</w:t>
      </w:r>
      <w:r w:rsidRPr="00F94934">
        <w:rPr>
          <w:sz w:val="22"/>
          <w:szCs w:val="22"/>
        </w:rPr>
        <w:t xml:space="preserve"> 2011, the Company issued </w:t>
      </w:r>
      <w:r>
        <w:rPr>
          <w:sz w:val="22"/>
          <w:szCs w:val="22"/>
        </w:rPr>
        <w:t>5</w:t>
      </w:r>
      <w:r w:rsidRPr="00F94934">
        <w:rPr>
          <w:sz w:val="22"/>
          <w:szCs w:val="22"/>
        </w:rPr>
        <w:t xml:space="preserve">0,000 common shares </w:t>
      </w:r>
      <w:r>
        <w:rPr>
          <w:sz w:val="22"/>
          <w:szCs w:val="22"/>
        </w:rPr>
        <w:t>of the Company at $0.05 per common share for a total value of $2,500 as finder’s fee related to</w:t>
      </w:r>
      <w:r w:rsidRPr="00F94934">
        <w:rPr>
          <w:sz w:val="22"/>
          <w:szCs w:val="22"/>
        </w:rPr>
        <w:t xml:space="preserve"> the Pattullo Property</w:t>
      </w:r>
      <w:r>
        <w:rPr>
          <w:sz w:val="22"/>
          <w:szCs w:val="22"/>
        </w:rPr>
        <w:t xml:space="preserve"> (Notes 6 and 1</w:t>
      </w:r>
      <w:r w:rsidR="005F2B36">
        <w:rPr>
          <w:sz w:val="22"/>
          <w:szCs w:val="22"/>
        </w:rPr>
        <w:t>0</w:t>
      </w:r>
      <w:r>
        <w:rPr>
          <w:sz w:val="22"/>
          <w:szCs w:val="22"/>
        </w:rPr>
        <w:t>)</w:t>
      </w:r>
      <w:r w:rsidRPr="00F94934">
        <w:rPr>
          <w:sz w:val="22"/>
          <w:szCs w:val="22"/>
        </w:rPr>
        <w:t xml:space="preserve">. </w:t>
      </w:r>
    </w:p>
    <w:p w:rsidR="00AA464F" w:rsidRDefault="00AA464F" w:rsidP="00AA464F">
      <w:pPr>
        <w:ind w:left="540"/>
        <w:jc w:val="both"/>
        <w:rPr>
          <w:sz w:val="22"/>
          <w:szCs w:val="22"/>
        </w:rPr>
      </w:pPr>
    </w:p>
    <w:p w:rsidR="00AA464F" w:rsidRDefault="00AA464F" w:rsidP="00AA464F">
      <w:pPr>
        <w:ind w:left="540"/>
        <w:jc w:val="both"/>
        <w:rPr>
          <w:sz w:val="22"/>
          <w:szCs w:val="22"/>
        </w:rPr>
      </w:pPr>
      <w:r>
        <w:rPr>
          <w:sz w:val="22"/>
          <w:szCs w:val="22"/>
        </w:rPr>
        <w:t xml:space="preserve">On </w:t>
      </w:r>
      <w:r>
        <w:rPr>
          <w:rFonts w:hint="eastAsia"/>
          <w:sz w:val="22"/>
          <w:szCs w:val="22"/>
          <w:lang w:eastAsia="ko-KR"/>
        </w:rPr>
        <w:t>14 June</w:t>
      </w:r>
      <w:r w:rsidRPr="00F94934">
        <w:rPr>
          <w:sz w:val="22"/>
          <w:szCs w:val="22"/>
        </w:rPr>
        <w:t xml:space="preserve"> 2011, th</w:t>
      </w:r>
      <w:r>
        <w:rPr>
          <w:sz w:val="22"/>
          <w:szCs w:val="22"/>
        </w:rPr>
        <w:t>e Company issued</w:t>
      </w:r>
      <w:r w:rsidRPr="00F94934">
        <w:rPr>
          <w:sz w:val="22"/>
          <w:szCs w:val="22"/>
        </w:rPr>
        <w:t xml:space="preserve"> </w:t>
      </w:r>
      <w:r>
        <w:rPr>
          <w:sz w:val="22"/>
          <w:szCs w:val="22"/>
        </w:rPr>
        <w:t>100,000 common shares of the Company at $0.05</w:t>
      </w:r>
      <w:r w:rsidRPr="00F94934">
        <w:rPr>
          <w:sz w:val="22"/>
          <w:szCs w:val="22"/>
        </w:rPr>
        <w:t xml:space="preserve"> </w:t>
      </w:r>
      <w:r>
        <w:rPr>
          <w:sz w:val="22"/>
          <w:szCs w:val="22"/>
        </w:rPr>
        <w:t xml:space="preserve">per </w:t>
      </w:r>
      <w:proofErr w:type="gramStart"/>
      <w:r>
        <w:rPr>
          <w:sz w:val="22"/>
          <w:szCs w:val="22"/>
        </w:rPr>
        <w:t>common  share</w:t>
      </w:r>
      <w:proofErr w:type="gramEnd"/>
      <w:r>
        <w:rPr>
          <w:sz w:val="22"/>
          <w:szCs w:val="22"/>
        </w:rPr>
        <w:t xml:space="preserve"> for a total value of $5,000 to a director of the Company as finder’s fee related to </w:t>
      </w:r>
      <w:r w:rsidRPr="00F94934">
        <w:rPr>
          <w:sz w:val="22"/>
          <w:szCs w:val="22"/>
        </w:rPr>
        <w:t>th</w:t>
      </w:r>
      <w:r>
        <w:rPr>
          <w:sz w:val="22"/>
          <w:szCs w:val="22"/>
        </w:rPr>
        <w:t>e Mil</w:t>
      </w:r>
      <w:r w:rsidR="005F2B36">
        <w:rPr>
          <w:sz w:val="22"/>
          <w:szCs w:val="22"/>
        </w:rPr>
        <w:t>len Mountain Property (Notes 6</w:t>
      </w:r>
      <w:r w:rsidR="00DA0879">
        <w:rPr>
          <w:sz w:val="22"/>
          <w:szCs w:val="22"/>
        </w:rPr>
        <w:t>, 9</w:t>
      </w:r>
      <w:r>
        <w:rPr>
          <w:sz w:val="22"/>
          <w:szCs w:val="22"/>
        </w:rPr>
        <w:t xml:space="preserve"> and 1</w:t>
      </w:r>
      <w:r w:rsidR="005F2B36">
        <w:rPr>
          <w:sz w:val="22"/>
          <w:szCs w:val="22"/>
        </w:rPr>
        <w:t>0</w:t>
      </w:r>
      <w:r>
        <w:rPr>
          <w:sz w:val="22"/>
          <w:szCs w:val="22"/>
        </w:rPr>
        <w:t xml:space="preserve">). </w:t>
      </w:r>
    </w:p>
    <w:p w:rsidR="00AA464F" w:rsidRDefault="00AA464F" w:rsidP="00AA464F">
      <w:pPr>
        <w:widowControl/>
        <w:rPr>
          <w:sz w:val="22"/>
          <w:szCs w:val="22"/>
          <w:lang w:eastAsia="ko-KR"/>
        </w:rPr>
      </w:pPr>
    </w:p>
    <w:p w:rsidR="00AA464F" w:rsidRDefault="00AA464F" w:rsidP="00AA464F">
      <w:pPr>
        <w:ind w:left="540"/>
        <w:jc w:val="both"/>
        <w:rPr>
          <w:sz w:val="22"/>
          <w:szCs w:val="22"/>
        </w:rPr>
      </w:pPr>
      <w:r w:rsidRPr="00F94934">
        <w:rPr>
          <w:sz w:val="22"/>
          <w:szCs w:val="22"/>
        </w:rPr>
        <w:t xml:space="preserve">On </w:t>
      </w:r>
      <w:r>
        <w:rPr>
          <w:sz w:val="22"/>
          <w:szCs w:val="22"/>
        </w:rPr>
        <w:t>11 January</w:t>
      </w:r>
      <w:r w:rsidRPr="00F94934">
        <w:rPr>
          <w:sz w:val="22"/>
          <w:szCs w:val="22"/>
        </w:rPr>
        <w:t xml:space="preserve"> 2011, the Company issued 1,650,000 common shares of the Company at a price of $0.001 per common share for total cash proceeds of $1,650. </w:t>
      </w:r>
    </w:p>
    <w:p w:rsidR="00DA0879" w:rsidRDefault="00DA0879">
      <w:pPr>
        <w:widowControl/>
        <w:rPr>
          <w:sz w:val="22"/>
          <w:szCs w:val="22"/>
        </w:rPr>
      </w:pPr>
    </w:p>
    <w:p w:rsidR="00AA464F" w:rsidRDefault="00AA464F" w:rsidP="00AA464F">
      <w:pPr>
        <w:ind w:left="540"/>
        <w:jc w:val="both"/>
        <w:rPr>
          <w:sz w:val="22"/>
          <w:szCs w:val="22"/>
        </w:rPr>
      </w:pPr>
      <w:r w:rsidRPr="00333C76">
        <w:rPr>
          <w:sz w:val="22"/>
          <w:szCs w:val="22"/>
        </w:rPr>
        <w:t>On 29 July 2010, the Company issued 10 common shares of the Company at a price of $0.001 to the Chief Executive Officer of the Company related to the incorporation of the Company.</w:t>
      </w:r>
    </w:p>
    <w:p w:rsidR="00AA464F" w:rsidRDefault="00AA464F" w:rsidP="00AA464F">
      <w:pPr>
        <w:pStyle w:val="BodyTextIndent"/>
        <w:ind w:left="540"/>
        <w:jc w:val="both"/>
        <w:rPr>
          <w:b/>
          <w:bCs/>
          <w:szCs w:val="22"/>
        </w:rPr>
      </w:pPr>
    </w:p>
    <w:p w:rsidR="00AA464F" w:rsidRDefault="00AA464F" w:rsidP="00AA464F">
      <w:pPr>
        <w:pStyle w:val="BodyTextIndent"/>
        <w:ind w:left="540"/>
        <w:jc w:val="both"/>
        <w:rPr>
          <w:b/>
          <w:bCs/>
          <w:szCs w:val="22"/>
        </w:rPr>
      </w:pPr>
      <w:r>
        <w:rPr>
          <w:b/>
          <w:bCs/>
          <w:szCs w:val="22"/>
        </w:rPr>
        <w:t>Stock options</w:t>
      </w:r>
    </w:p>
    <w:p w:rsidR="00AA464F" w:rsidRDefault="00AA464F" w:rsidP="00AA464F">
      <w:pPr>
        <w:pStyle w:val="BodyTextIndent"/>
        <w:ind w:left="547"/>
        <w:jc w:val="both"/>
        <w:rPr>
          <w:szCs w:val="22"/>
        </w:rPr>
      </w:pPr>
    </w:p>
    <w:p w:rsidR="00AA464F" w:rsidRDefault="00AA464F" w:rsidP="00AA464F">
      <w:pPr>
        <w:ind w:left="540"/>
        <w:jc w:val="both"/>
        <w:rPr>
          <w:sz w:val="22"/>
          <w:szCs w:val="22"/>
        </w:rPr>
      </w:pPr>
      <w:r>
        <w:rPr>
          <w:rFonts w:hint="eastAsia"/>
          <w:sz w:val="22"/>
          <w:szCs w:val="22"/>
        </w:rPr>
        <w:t xml:space="preserve">The Company has adopted a stock option plan (the </w:t>
      </w:r>
      <w:r>
        <w:rPr>
          <w:sz w:val="22"/>
          <w:szCs w:val="22"/>
        </w:rPr>
        <w:t>“</w:t>
      </w:r>
      <w:r>
        <w:rPr>
          <w:rFonts w:hint="eastAsia"/>
          <w:sz w:val="22"/>
          <w:szCs w:val="22"/>
        </w:rPr>
        <w:t>Plan</w:t>
      </w:r>
      <w:r>
        <w:rPr>
          <w:sz w:val="22"/>
          <w:szCs w:val="22"/>
        </w:rPr>
        <w:t>”</w:t>
      </w:r>
      <w:r>
        <w:rPr>
          <w:rFonts w:hint="eastAsia"/>
          <w:sz w:val="22"/>
          <w:szCs w:val="22"/>
        </w:rPr>
        <w:t>) which provides eligible directors, officers, employees and consultants of the Company with the opportunity to acquire an ownership interest in the C</w:t>
      </w:r>
      <w:r>
        <w:rPr>
          <w:sz w:val="22"/>
          <w:szCs w:val="22"/>
        </w:rPr>
        <w:t>o</w:t>
      </w:r>
      <w:r>
        <w:rPr>
          <w:rFonts w:hint="eastAsia"/>
          <w:sz w:val="22"/>
          <w:szCs w:val="22"/>
        </w:rPr>
        <w:t xml:space="preserve">mpany and is the basis for </w:t>
      </w:r>
      <w:r>
        <w:rPr>
          <w:sz w:val="22"/>
          <w:szCs w:val="22"/>
        </w:rPr>
        <w:t>the</w:t>
      </w:r>
      <w:r>
        <w:rPr>
          <w:rFonts w:hint="eastAsia"/>
          <w:sz w:val="22"/>
          <w:szCs w:val="22"/>
        </w:rPr>
        <w:t xml:space="preserve"> Company</w:t>
      </w:r>
      <w:r>
        <w:rPr>
          <w:sz w:val="22"/>
          <w:szCs w:val="22"/>
        </w:rPr>
        <w:t>’</w:t>
      </w:r>
      <w:r>
        <w:rPr>
          <w:rFonts w:hint="eastAsia"/>
          <w:sz w:val="22"/>
          <w:szCs w:val="22"/>
        </w:rPr>
        <w:t xml:space="preserve">s long term incentive scheme.  The Plan is administered by the Board, or if appointed, by a special committee of directors appointed from time to time by the Board.  The maximum number of common shares issuable under the Plan shall not exceed 10% of the number of common shares </w:t>
      </w:r>
      <w:r>
        <w:rPr>
          <w:sz w:val="22"/>
          <w:szCs w:val="22"/>
        </w:rPr>
        <w:t>of the</w:t>
      </w:r>
      <w:r>
        <w:rPr>
          <w:rFonts w:hint="eastAsia"/>
          <w:sz w:val="22"/>
          <w:szCs w:val="22"/>
        </w:rPr>
        <w:t xml:space="preserve"> Company issued and </w:t>
      </w:r>
      <w:r>
        <w:rPr>
          <w:sz w:val="22"/>
          <w:szCs w:val="22"/>
        </w:rPr>
        <w:t>outstanding</w:t>
      </w:r>
      <w:r>
        <w:rPr>
          <w:rFonts w:hint="eastAsia"/>
          <w:sz w:val="22"/>
          <w:szCs w:val="22"/>
        </w:rPr>
        <w:t xml:space="preserve"> as of each award date, inclusive of all common shares reserved for issuance pursuant to previously granted stock options. The exercise price of options </w:t>
      </w:r>
      <w:r>
        <w:rPr>
          <w:rFonts w:hint="eastAsia"/>
          <w:sz w:val="22"/>
          <w:szCs w:val="22"/>
        </w:rPr>
        <w:lastRenderedPageBreak/>
        <w:t xml:space="preserve">granted under the Plan will not be less than the </w:t>
      </w:r>
      <w:r>
        <w:rPr>
          <w:sz w:val="22"/>
          <w:szCs w:val="22"/>
        </w:rPr>
        <w:t>closing</w:t>
      </w:r>
      <w:r>
        <w:rPr>
          <w:rFonts w:hint="eastAsia"/>
          <w:sz w:val="22"/>
          <w:szCs w:val="22"/>
        </w:rPr>
        <w:t xml:space="preserve"> market price of the Company</w:t>
      </w:r>
      <w:r>
        <w:rPr>
          <w:sz w:val="22"/>
          <w:szCs w:val="22"/>
        </w:rPr>
        <w:t>’</w:t>
      </w:r>
      <w:r>
        <w:rPr>
          <w:rFonts w:hint="eastAsia"/>
          <w:sz w:val="22"/>
          <w:szCs w:val="22"/>
        </w:rPr>
        <w:t>s common shares on the exchange.  The options have a maximum term of ten years from date of issue, and a maximum term of five years from the date of issue for so long as the C</w:t>
      </w:r>
      <w:r>
        <w:rPr>
          <w:sz w:val="22"/>
          <w:szCs w:val="22"/>
        </w:rPr>
        <w:t>o</w:t>
      </w:r>
      <w:r>
        <w:rPr>
          <w:rFonts w:hint="eastAsia"/>
          <w:sz w:val="22"/>
          <w:szCs w:val="22"/>
        </w:rPr>
        <w:t xml:space="preserve">mpany is a Tier 2 issuer on the TSX Venture Exchange.  </w:t>
      </w:r>
    </w:p>
    <w:p w:rsidR="00AA464F" w:rsidRDefault="00AA464F" w:rsidP="00AA464F">
      <w:pPr>
        <w:ind w:left="540"/>
        <w:jc w:val="both"/>
        <w:rPr>
          <w:sz w:val="22"/>
          <w:szCs w:val="22"/>
        </w:rPr>
      </w:pPr>
    </w:p>
    <w:p w:rsidR="00AA464F" w:rsidRDefault="00AA464F" w:rsidP="00AA464F">
      <w:pPr>
        <w:ind w:left="540"/>
        <w:jc w:val="both"/>
        <w:rPr>
          <w:sz w:val="22"/>
          <w:szCs w:val="22"/>
        </w:rPr>
      </w:pPr>
      <w:r>
        <w:rPr>
          <w:rFonts w:hint="eastAsia"/>
          <w:sz w:val="22"/>
          <w:szCs w:val="22"/>
        </w:rPr>
        <w:t>The following is a summary of the changes in the Company</w:t>
      </w:r>
      <w:r>
        <w:rPr>
          <w:sz w:val="22"/>
          <w:szCs w:val="22"/>
        </w:rPr>
        <w:t>’</w:t>
      </w:r>
      <w:r>
        <w:rPr>
          <w:rFonts w:hint="eastAsia"/>
          <w:sz w:val="22"/>
          <w:szCs w:val="22"/>
        </w:rPr>
        <w:t xml:space="preserve">s stock option plan for the </w:t>
      </w:r>
      <w:r w:rsidR="00AF6042">
        <w:rPr>
          <w:sz w:val="22"/>
          <w:szCs w:val="22"/>
        </w:rPr>
        <w:t xml:space="preserve">nine </w:t>
      </w:r>
      <w:r w:rsidR="00451393">
        <w:rPr>
          <w:sz w:val="22"/>
          <w:szCs w:val="22"/>
        </w:rPr>
        <w:t>month period</w:t>
      </w:r>
      <w:r>
        <w:rPr>
          <w:rFonts w:hint="eastAsia"/>
          <w:sz w:val="22"/>
          <w:szCs w:val="22"/>
        </w:rPr>
        <w:t xml:space="preserve"> ended </w:t>
      </w:r>
      <w:r w:rsidR="00333C76">
        <w:rPr>
          <w:bCs/>
          <w:sz w:val="22"/>
          <w:szCs w:val="22"/>
        </w:rPr>
        <w:t>30</w:t>
      </w:r>
      <w:r w:rsidR="0038276C">
        <w:rPr>
          <w:bCs/>
          <w:sz w:val="22"/>
          <w:szCs w:val="22"/>
        </w:rPr>
        <w:t xml:space="preserve"> </w:t>
      </w:r>
      <w:r w:rsidR="00333C76">
        <w:rPr>
          <w:bCs/>
          <w:sz w:val="22"/>
          <w:szCs w:val="22"/>
        </w:rPr>
        <w:t>April</w:t>
      </w:r>
      <w:r w:rsidR="00AF6042">
        <w:rPr>
          <w:bCs/>
          <w:sz w:val="22"/>
          <w:szCs w:val="22"/>
        </w:rPr>
        <w:t xml:space="preserve"> </w:t>
      </w:r>
      <w:r w:rsidR="00BB7007">
        <w:rPr>
          <w:bCs/>
          <w:sz w:val="22"/>
          <w:szCs w:val="22"/>
        </w:rPr>
        <w:t>2015</w:t>
      </w:r>
      <w:r w:rsidR="0038276C">
        <w:rPr>
          <w:bCs/>
          <w:sz w:val="22"/>
          <w:szCs w:val="22"/>
        </w:rPr>
        <w:t xml:space="preserve"> </w:t>
      </w:r>
      <w:r>
        <w:rPr>
          <w:rFonts w:hint="eastAsia"/>
          <w:sz w:val="22"/>
          <w:szCs w:val="22"/>
        </w:rPr>
        <w:t xml:space="preserve">and </w:t>
      </w:r>
      <w:r w:rsidR="00BB7007">
        <w:rPr>
          <w:sz w:val="22"/>
          <w:szCs w:val="22"/>
        </w:rPr>
        <w:t>year ended 31 January 2015</w:t>
      </w:r>
      <w:r>
        <w:rPr>
          <w:rFonts w:hint="eastAsia"/>
          <w:sz w:val="22"/>
          <w:szCs w:val="22"/>
        </w:rPr>
        <w:t>:</w:t>
      </w:r>
    </w:p>
    <w:p w:rsidR="00AA464F" w:rsidRPr="004B7D2B" w:rsidRDefault="00AA464F" w:rsidP="00AA464F">
      <w:pPr>
        <w:pStyle w:val="BodyTextIndent3"/>
        <w:tabs>
          <w:tab w:val="clear" w:pos="1260"/>
        </w:tabs>
        <w:ind w:left="547"/>
        <w:jc w:val="left"/>
        <w:rPr>
          <w:rFonts w:ascii="Times" w:hAnsi="Times"/>
          <w:sz w:val="22"/>
          <w:szCs w:val="22"/>
        </w:rPr>
      </w:pPr>
    </w:p>
    <w:tbl>
      <w:tblPr>
        <w:tblW w:w="9990" w:type="dxa"/>
        <w:tblInd w:w="558" w:type="dxa"/>
        <w:tblLayout w:type="fixed"/>
        <w:tblLook w:val="0000"/>
      </w:tblPr>
      <w:tblGrid>
        <w:gridCol w:w="3780"/>
        <w:gridCol w:w="236"/>
        <w:gridCol w:w="1204"/>
        <w:gridCol w:w="236"/>
        <w:gridCol w:w="1294"/>
        <w:gridCol w:w="236"/>
        <w:gridCol w:w="1294"/>
        <w:gridCol w:w="236"/>
        <w:gridCol w:w="1474"/>
      </w:tblGrid>
      <w:tr w:rsidR="00451393" w:rsidRPr="00CE4CBC" w:rsidTr="00DA0879">
        <w:tc>
          <w:tcPr>
            <w:tcW w:w="3780" w:type="dxa"/>
          </w:tcPr>
          <w:p w:rsidR="00451393" w:rsidRPr="00CE4CBC" w:rsidRDefault="00451393" w:rsidP="00AA464F">
            <w:pPr>
              <w:widowControl/>
              <w:rPr>
                <w:rFonts w:ascii="Times" w:hAnsi="Times"/>
                <w:b/>
                <w:sz w:val="22"/>
                <w:szCs w:val="22"/>
                <w:lang w:val="en-GB"/>
              </w:rPr>
            </w:pPr>
          </w:p>
        </w:tc>
        <w:tc>
          <w:tcPr>
            <w:tcW w:w="236" w:type="dxa"/>
          </w:tcPr>
          <w:p w:rsidR="00451393" w:rsidRPr="00CE4CBC" w:rsidRDefault="00451393" w:rsidP="00AA464F">
            <w:pPr>
              <w:jc w:val="right"/>
              <w:rPr>
                <w:rFonts w:ascii="Times" w:hAnsi="Times"/>
                <w:b/>
                <w:bCs/>
                <w:sz w:val="22"/>
                <w:szCs w:val="22"/>
              </w:rPr>
            </w:pPr>
          </w:p>
        </w:tc>
        <w:tc>
          <w:tcPr>
            <w:tcW w:w="2734" w:type="dxa"/>
            <w:gridSpan w:val="3"/>
            <w:vAlign w:val="bottom"/>
          </w:tcPr>
          <w:p w:rsidR="00451393" w:rsidRPr="00CE4CBC" w:rsidRDefault="00451393">
            <w:pPr>
              <w:jc w:val="center"/>
              <w:rPr>
                <w:rFonts w:ascii="Times" w:hAnsi="Times"/>
                <w:b/>
                <w:bCs/>
                <w:sz w:val="22"/>
                <w:szCs w:val="22"/>
                <w:lang w:eastAsia="ko-KR"/>
              </w:rPr>
            </w:pPr>
            <w:r>
              <w:rPr>
                <w:rFonts w:ascii="Times" w:hAnsi="Times"/>
                <w:b/>
                <w:bCs/>
                <w:sz w:val="22"/>
                <w:szCs w:val="22"/>
                <w:lang w:eastAsia="ko-KR"/>
              </w:rPr>
              <w:t>Period</w:t>
            </w:r>
            <w:r>
              <w:rPr>
                <w:rFonts w:ascii="Times" w:hAnsi="Times" w:hint="eastAsia"/>
                <w:b/>
                <w:bCs/>
                <w:sz w:val="22"/>
                <w:szCs w:val="22"/>
                <w:lang w:eastAsia="ko-KR"/>
              </w:rPr>
              <w:t xml:space="preserve"> ended </w:t>
            </w:r>
            <w:r w:rsidR="00333C76">
              <w:rPr>
                <w:rFonts w:ascii="Times" w:hAnsi="Times"/>
                <w:b/>
                <w:bCs/>
                <w:sz w:val="22"/>
                <w:szCs w:val="22"/>
                <w:lang w:eastAsia="ko-KR"/>
              </w:rPr>
              <w:t>30</w:t>
            </w:r>
            <w:r w:rsidR="0038276C">
              <w:rPr>
                <w:rFonts w:ascii="Times" w:hAnsi="Times"/>
                <w:b/>
                <w:bCs/>
                <w:sz w:val="22"/>
                <w:szCs w:val="22"/>
                <w:lang w:eastAsia="ko-KR"/>
              </w:rPr>
              <w:t xml:space="preserve"> </w:t>
            </w:r>
            <w:r w:rsidR="00333C76">
              <w:rPr>
                <w:rFonts w:ascii="Times" w:hAnsi="Times"/>
                <w:b/>
                <w:bCs/>
                <w:sz w:val="22"/>
                <w:szCs w:val="22"/>
                <w:lang w:eastAsia="ko-KR"/>
              </w:rPr>
              <w:t>April</w:t>
            </w:r>
            <w:r w:rsidR="00AF6042">
              <w:rPr>
                <w:rFonts w:ascii="Times" w:hAnsi="Times"/>
                <w:b/>
                <w:bCs/>
                <w:sz w:val="22"/>
                <w:szCs w:val="22"/>
                <w:lang w:eastAsia="ko-KR"/>
              </w:rPr>
              <w:t xml:space="preserve"> </w:t>
            </w:r>
            <w:r>
              <w:rPr>
                <w:rFonts w:ascii="Times" w:hAnsi="Times" w:hint="eastAsia"/>
                <w:b/>
                <w:bCs/>
                <w:sz w:val="22"/>
                <w:szCs w:val="22"/>
                <w:lang w:eastAsia="ko-KR"/>
              </w:rPr>
              <w:t>201</w:t>
            </w:r>
            <w:r w:rsidR="003566EF">
              <w:rPr>
                <w:rFonts w:ascii="Times" w:hAnsi="Times"/>
                <w:b/>
                <w:bCs/>
                <w:sz w:val="22"/>
                <w:szCs w:val="22"/>
                <w:lang w:eastAsia="ko-KR"/>
              </w:rPr>
              <w:t>5</w:t>
            </w:r>
          </w:p>
        </w:tc>
        <w:tc>
          <w:tcPr>
            <w:tcW w:w="236" w:type="dxa"/>
          </w:tcPr>
          <w:p w:rsidR="00451393" w:rsidRPr="00CE4CBC" w:rsidRDefault="00451393" w:rsidP="00AA464F">
            <w:pPr>
              <w:jc w:val="right"/>
              <w:rPr>
                <w:rFonts w:ascii="Times" w:hAnsi="Times"/>
                <w:b/>
                <w:bCs/>
                <w:sz w:val="22"/>
                <w:szCs w:val="22"/>
              </w:rPr>
            </w:pPr>
          </w:p>
        </w:tc>
        <w:tc>
          <w:tcPr>
            <w:tcW w:w="3004" w:type="dxa"/>
            <w:gridSpan w:val="3"/>
            <w:vAlign w:val="bottom"/>
          </w:tcPr>
          <w:p w:rsidR="00451393" w:rsidRDefault="00451393" w:rsidP="00AA464F">
            <w:pPr>
              <w:jc w:val="center"/>
              <w:rPr>
                <w:rFonts w:ascii="Times" w:hAnsi="Times"/>
                <w:b/>
                <w:bCs/>
                <w:sz w:val="22"/>
                <w:szCs w:val="22"/>
                <w:lang w:eastAsia="ko-KR"/>
              </w:rPr>
            </w:pPr>
            <w:r>
              <w:rPr>
                <w:rFonts w:ascii="Times" w:hAnsi="Times"/>
                <w:b/>
                <w:bCs/>
                <w:sz w:val="22"/>
                <w:szCs w:val="22"/>
                <w:lang w:eastAsia="ko-KR"/>
              </w:rPr>
              <w:t>Year</w:t>
            </w:r>
            <w:r w:rsidRPr="00CE4CBC">
              <w:rPr>
                <w:rFonts w:ascii="Times" w:hAnsi="Times" w:hint="eastAsia"/>
                <w:b/>
                <w:bCs/>
                <w:sz w:val="22"/>
                <w:szCs w:val="22"/>
                <w:lang w:eastAsia="ko-KR"/>
              </w:rPr>
              <w:t xml:space="preserve"> ended 31 January 201</w:t>
            </w:r>
            <w:r w:rsidR="003566EF">
              <w:rPr>
                <w:rFonts w:ascii="Times" w:hAnsi="Times"/>
                <w:b/>
                <w:bCs/>
                <w:sz w:val="22"/>
                <w:szCs w:val="22"/>
                <w:lang w:eastAsia="ko-KR"/>
              </w:rPr>
              <w:t>5</w:t>
            </w:r>
          </w:p>
          <w:p w:rsidR="00811F71" w:rsidRPr="00CE4CBC" w:rsidRDefault="00811F71" w:rsidP="00AA464F">
            <w:pPr>
              <w:jc w:val="center"/>
              <w:rPr>
                <w:rFonts w:ascii="Times" w:hAnsi="Times"/>
                <w:b/>
                <w:bCs/>
                <w:sz w:val="22"/>
                <w:szCs w:val="22"/>
                <w:lang w:eastAsia="ko-KR"/>
              </w:rPr>
            </w:pPr>
            <w:r>
              <w:rPr>
                <w:rFonts w:ascii="Times" w:hAnsi="Times"/>
                <w:b/>
                <w:bCs/>
                <w:sz w:val="22"/>
                <w:szCs w:val="22"/>
                <w:lang w:eastAsia="ko-KR"/>
              </w:rPr>
              <w:t>(Audited)</w:t>
            </w:r>
          </w:p>
        </w:tc>
      </w:tr>
      <w:tr w:rsidR="00AA464F" w:rsidRPr="00CE4CBC" w:rsidTr="00DA0879">
        <w:tc>
          <w:tcPr>
            <w:tcW w:w="3780" w:type="dxa"/>
          </w:tcPr>
          <w:p w:rsidR="00AA464F" w:rsidRPr="00CE4CBC" w:rsidRDefault="00AA464F" w:rsidP="00AA464F">
            <w:pPr>
              <w:widowControl/>
              <w:rPr>
                <w:rFonts w:ascii="Times" w:hAnsi="Times"/>
                <w:b/>
                <w:sz w:val="22"/>
                <w:szCs w:val="22"/>
                <w:lang w:val="en-GB"/>
              </w:rPr>
            </w:pPr>
          </w:p>
        </w:tc>
        <w:tc>
          <w:tcPr>
            <w:tcW w:w="236" w:type="dxa"/>
          </w:tcPr>
          <w:p w:rsidR="00AA464F" w:rsidRPr="00CE4CBC" w:rsidRDefault="00AA464F" w:rsidP="00AA464F">
            <w:pPr>
              <w:jc w:val="right"/>
              <w:rPr>
                <w:rFonts w:ascii="Times" w:hAnsi="Times"/>
                <w:b/>
                <w:bCs/>
                <w:sz w:val="22"/>
                <w:szCs w:val="22"/>
              </w:rPr>
            </w:pPr>
          </w:p>
        </w:tc>
        <w:tc>
          <w:tcPr>
            <w:tcW w:w="2734" w:type="dxa"/>
            <w:gridSpan w:val="3"/>
            <w:vAlign w:val="bottom"/>
          </w:tcPr>
          <w:p w:rsidR="00AA464F" w:rsidRPr="00CE4CBC" w:rsidRDefault="00AA464F" w:rsidP="00AA464F">
            <w:pPr>
              <w:jc w:val="center"/>
              <w:rPr>
                <w:rFonts w:ascii="Times" w:hAnsi="Times"/>
                <w:b/>
                <w:bCs/>
                <w:sz w:val="22"/>
                <w:szCs w:val="22"/>
                <w:lang w:eastAsia="ko-KR"/>
              </w:rPr>
            </w:pPr>
          </w:p>
        </w:tc>
        <w:tc>
          <w:tcPr>
            <w:tcW w:w="236" w:type="dxa"/>
          </w:tcPr>
          <w:p w:rsidR="00AA464F" w:rsidRPr="00CE4CBC" w:rsidRDefault="00AA464F" w:rsidP="00AA464F">
            <w:pPr>
              <w:jc w:val="right"/>
              <w:rPr>
                <w:rFonts w:ascii="Times" w:hAnsi="Times"/>
                <w:b/>
                <w:bCs/>
                <w:sz w:val="22"/>
                <w:szCs w:val="22"/>
              </w:rPr>
            </w:pPr>
          </w:p>
        </w:tc>
        <w:tc>
          <w:tcPr>
            <w:tcW w:w="3004" w:type="dxa"/>
            <w:gridSpan w:val="3"/>
            <w:vAlign w:val="bottom"/>
          </w:tcPr>
          <w:p w:rsidR="00AA464F" w:rsidRPr="00CE4CBC" w:rsidRDefault="00AA464F" w:rsidP="00AA464F">
            <w:pPr>
              <w:jc w:val="center"/>
              <w:rPr>
                <w:rFonts w:ascii="Times" w:hAnsi="Times"/>
                <w:b/>
                <w:bCs/>
                <w:sz w:val="22"/>
                <w:szCs w:val="22"/>
                <w:lang w:eastAsia="ko-KR"/>
              </w:rPr>
            </w:pPr>
          </w:p>
        </w:tc>
      </w:tr>
      <w:tr w:rsidR="00AA464F" w:rsidRPr="00CE4CBC" w:rsidTr="00DA0879">
        <w:tc>
          <w:tcPr>
            <w:tcW w:w="3780" w:type="dxa"/>
          </w:tcPr>
          <w:p w:rsidR="00AA464F" w:rsidRPr="00CE4CBC" w:rsidRDefault="00AA464F" w:rsidP="00AA464F">
            <w:pPr>
              <w:widowControl/>
              <w:rPr>
                <w:rFonts w:ascii="Times" w:hAnsi="Times"/>
                <w:b/>
                <w:sz w:val="22"/>
                <w:szCs w:val="22"/>
                <w:lang w:val="en-GB" w:eastAsia="ko-KR"/>
              </w:rPr>
            </w:pPr>
          </w:p>
        </w:tc>
        <w:tc>
          <w:tcPr>
            <w:tcW w:w="236" w:type="dxa"/>
          </w:tcPr>
          <w:p w:rsidR="00AA464F" w:rsidRPr="00CE4CBC" w:rsidRDefault="00AA464F" w:rsidP="00AA464F">
            <w:pPr>
              <w:jc w:val="right"/>
              <w:rPr>
                <w:rFonts w:ascii="Times" w:hAnsi="Times"/>
                <w:b/>
                <w:bCs/>
                <w:sz w:val="22"/>
                <w:szCs w:val="22"/>
              </w:rPr>
            </w:pPr>
          </w:p>
        </w:tc>
        <w:tc>
          <w:tcPr>
            <w:tcW w:w="1204" w:type="dxa"/>
            <w:vAlign w:val="bottom"/>
          </w:tcPr>
          <w:p w:rsidR="00AA464F" w:rsidRPr="00CE4CBC" w:rsidRDefault="00AA464F" w:rsidP="00AA464F">
            <w:pPr>
              <w:ind w:left="46"/>
              <w:jc w:val="right"/>
              <w:rPr>
                <w:b/>
                <w:sz w:val="22"/>
                <w:szCs w:val="22"/>
              </w:rPr>
            </w:pPr>
            <w:r w:rsidRPr="00CE4CBC">
              <w:rPr>
                <w:rFonts w:hint="eastAsia"/>
                <w:b/>
                <w:sz w:val="22"/>
                <w:szCs w:val="22"/>
              </w:rPr>
              <w:t>Number of options</w:t>
            </w:r>
          </w:p>
        </w:tc>
        <w:tc>
          <w:tcPr>
            <w:tcW w:w="236" w:type="dxa"/>
          </w:tcPr>
          <w:p w:rsidR="00AA464F" w:rsidRPr="00CE4CBC" w:rsidRDefault="00AA464F" w:rsidP="00AA464F">
            <w:pPr>
              <w:ind w:left="540"/>
              <w:jc w:val="right"/>
              <w:rPr>
                <w:b/>
                <w:sz w:val="22"/>
                <w:szCs w:val="22"/>
              </w:rPr>
            </w:pPr>
          </w:p>
        </w:tc>
        <w:tc>
          <w:tcPr>
            <w:tcW w:w="1294" w:type="dxa"/>
            <w:vAlign w:val="bottom"/>
          </w:tcPr>
          <w:p w:rsidR="00AA464F" w:rsidRPr="00CE4CBC" w:rsidRDefault="00AA464F" w:rsidP="00AA464F">
            <w:pPr>
              <w:ind w:left="106"/>
              <w:jc w:val="right"/>
              <w:rPr>
                <w:b/>
                <w:sz w:val="22"/>
                <w:szCs w:val="22"/>
              </w:rPr>
            </w:pPr>
            <w:r w:rsidRPr="00CE4CBC">
              <w:rPr>
                <w:rFonts w:hint="eastAsia"/>
                <w:b/>
                <w:sz w:val="22"/>
                <w:szCs w:val="22"/>
              </w:rPr>
              <w:t>Weighted average exercise price</w:t>
            </w:r>
          </w:p>
        </w:tc>
        <w:tc>
          <w:tcPr>
            <w:tcW w:w="236" w:type="dxa"/>
          </w:tcPr>
          <w:p w:rsidR="00AA464F" w:rsidRPr="00CE4CBC" w:rsidRDefault="00AA464F" w:rsidP="00AA464F">
            <w:pPr>
              <w:ind w:left="540"/>
              <w:jc w:val="right"/>
              <w:rPr>
                <w:b/>
                <w:sz w:val="22"/>
                <w:szCs w:val="22"/>
              </w:rPr>
            </w:pPr>
          </w:p>
        </w:tc>
        <w:tc>
          <w:tcPr>
            <w:tcW w:w="1294" w:type="dxa"/>
            <w:vAlign w:val="bottom"/>
          </w:tcPr>
          <w:p w:rsidR="00AA464F" w:rsidRPr="00CE4CBC" w:rsidRDefault="00AA464F" w:rsidP="00AA464F">
            <w:pPr>
              <w:ind w:left="106"/>
              <w:jc w:val="right"/>
              <w:rPr>
                <w:b/>
                <w:sz w:val="22"/>
                <w:szCs w:val="22"/>
              </w:rPr>
            </w:pPr>
            <w:r w:rsidRPr="00CE4CBC">
              <w:rPr>
                <w:rFonts w:hint="eastAsia"/>
                <w:b/>
                <w:sz w:val="22"/>
                <w:szCs w:val="22"/>
              </w:rPr>
              <w:t>Number of options</w:t>
            </w:r>
          </w:p>
        </w:tc>
        <w:tc>
          <w:tcPr>
            <w:tcW w:w="236" w:type="dxa"/>
          </w:tcPr>
          <w:p w:rsidR="00AA464F" w:rsidRPr="00CE4CBC" w:rsidRDefault="00AA464F" w:rsidP="00AA464F">
            <w:pPr>
              <w:ind w:left="540"/>
              <w:jc w:val="right"/>
              <w:rPr>
                <w:b/>
                <w:sz w:val="22"/>
                <w:szCs w:val="22"/>
              </w:rPr>
            </w:pPr>
          </w:p>
        </w:tc>
        <w:tc>
          <w:tcPr>
            <w:tcW w:w="1474" w:type="dxa"/>
            <w:vAlign w:val="bottom"/>
          </w:tcPr>
          <w:p w:rsidR="00AA464F" w:rsidRPr="00CE4CBC" w:rsidRDefault="00AA464F" w:rsidP="00AA464F">
            <w:pPr>
              <w:ind w:left="106"/>
              <w:jc w:val="right"/>
              <w:rPr>
                <w:b/>
                <w:sz w:val="22"/>
                <w:szCs w:val="22"/>
              </w:rPr>
            </w:pPr>
            <w:r w:rsidRPr="00CE4CBC">
              <w:rPr>
                <w:rFonts w:hint="eastAsia"/>
                <w:b/>
                <w:sz w:val="22"/>
                <w:szCs w:val="22"/>
              </w:rPr>
              <w:t>Weighted average exercise price</w:t>
            </w:r>
          </w:p>
        </w:tc>
      </w:tr>
      <w:tr w:rsidR="00AA464F" w:rsidRPr="00CE4CBC" w:rsidTr="00DA0879">
        <w:tc>
          <w:tcPr>
            <w:tcW w:w="3780" w:type="dxa"/>
          </w:tcPr>
          <w:p w:rsidR="00AA464F" w:rsidRPr="00CE4CBC" w:rsidRDefault="00AA464F" w:rsidP="00AA464F">
            <w:pPr>
              <w:widowControl/>
              <w:rPr>
                <w:rFonts w:ascii="Times" w:hAnsi="Times"/>
                <w:b/>
                <w:sz w:val="22"/>
                <w:szCs w:val="22"/>
                <w:lang w:val="en-GB"/>
              </w:rPr>
            </w:pPr>
          </w:p>
        </w:tc>
        <w:tc>
          <w:tcPr>
            <w:tcW w:w="236" w:type="dxa"/>
          </w:tcPr>
          <w:p w:rsidR="00AA464F" w:rsidRPr="00CE4CBC" w:rsidRDefault="00AA464F" w:rsidP="00AA464F">
            <w:pPr>
              <w:jc w:val="right"/>
              <w:rPr>
                <w:rFonts w:ascii="Times" w:hAnsi="Times"/>
                <w:b/>
                <w:bCs/>
                <w:sz w:val="22"/>
                <w:szCs w:val="22"/>
                <w:lang w:val="en-GB"/>
              </w:rPr>
            </w:pPr>
          </w:p>
        </w:tc>
        <w:tc>
          <w:tcPr>
            <w:tcW w:w="1204" w:type="dxa"/>
            <w:vAlign w:val="bottom"/>
          </w:tcPr>
          <w:p w:rsidR="00AA464F" w:rsidRPr="00CE4CBC" w:rsidRDefault="00AA464F" w:rsidP="00AA464F">
            <w:pPr>
              <w:jc w:val="right"/>
              <w:rPr>
                <w:rFonts w:ascii="Times" w:hAnsi="Times"/>
                <w:b/>
                <w:bCs/>
                <w:sz w:val="22"/>
                <w:szCs w:val="22"/>
                <w:lang w:val="en-GB"/>
              </w:rPr>
            </w:pPr>
          </w:p>
        </w:tc>
        <w:tc>
          <w:tcPr>
            <w:tcW w:w="236" w:type="dxa"/>
          </w:tcPr>
          <w:p w:rsidR="00AA464F" w:rsidRPr="00CE4CBC" w:rsidRDefault="00AA464F" w:rsidP="00AA464F">
            <w:pPr>
              <w:jc w:val="right"/>
              <w:rPr>
                <w:rFonts w:ascii="Times" w:hAnsi="Times"/>
                <w:b/>
                <w:bCs/>
                <w:sz w:val="22"/>
                <w:szCs w:val="22"/>
                <w:lang w:val="en-GB"/>
              </w:rPr>
            </w:pPr>
          </w:p>
        </w:tc>
        <w:tc>
          <w:tcPr>
            <w:tcW w:w="1294" w:type="dxa"/>
            <w:vAlign w:val="bottom"/>
          </w:tcPr>
          <w:p w:rsidR="00AA464F" w:rsidRPr="00CE4CBC" w:rsidRDefault="00AA464F" w:rsidP="00AA464F">
            <w:pPr>
              <w:jc w:val="right"/>
              <w:rPr>
                <w:rFonts w:ascii="Times" w:hAnsi="Times"/>
                <w:b/>
                <w:bCs/>
                <w:sz w:val="22"/>
                <w:szCs w:val="22"/>
                <w:lang w:val="en-GB"/>
              </w:rPr>
            </w:pPr>
            <w:r w:rsidRPr="00CE4CBC">
              <w:rPr>
                <w:rFonts w:ascii="Times" w:hAnsi="Times"/>
                <w:b/>
                <w:bCs/>
                <w:sz w:val="22"/>
                <w:szCs w:val="22"/>
                <w:lang w:val="en-GB"/>
              </w:rPr>
              <w:t>$</w:t>
            </w:r>
          </w:p>
        </w:tc>
        <w:tc>
          <w:tcPr>
            <w:tcW w:w="236" w:type="dxa"/>
          </w:tcPr>
          <w:p w:rsidR="00AA464F" w:rsidRPr="00CE4CBC" w:rsidRDefault="00AA464F" w:rsidP="00AA464F">
            <w:pPr>
              <w:jc w:val="right"/>
              <w:rPr>
                <w:rFonts w:ascii="Times" w:hAnsi="Times"/>
                <w:b/>
                <w:bCs/>
                <w:sz w:val="22"/>
                <w:szCs w:val="22"/>
                <w:lang w:val="en-GB"/>
              </w:rPr>
            </w:pPr>
          </w:p>
        </w:tc>
        <w:tc>
          <w:tcPr>
            <w:tcW w:w="1294" w:type="dxa"/>
            <w:vAlign w:val="bottom"/>
          </w:tcPr>
          <w:p w:rsidR="00AA464F" w:rsidRPr="00CE4CBC" w:rsidRDefault="00AA464F" w:rsidP="00AA464F">
            <w:pPr>
              <w:jc w:val="right"/>
              <w:rPr>
                <w:rFonts w:ascii="Times" w:hAnsi="Times"/>
                <w:b/>
                <w:bCs/>
                <w:sz w:val="22"/>
                <w:szCs w:val="22"/>
                <w:lang w:val="en-GB"/>
              </w:rPr>
            </w:pPr>
          </w:p>
        </w:tc>
        <w:tc>
          <w:tcPr>
            <w:tcW w:w="236" w:type="dxa"/>
          </w:tcPr>
          <w:p w:rsidR="00AA464F" w:rsidRPr="00CE4CBC" w:rsidRDefault="00AA464F" w:rsidP="00AA464F">
            <w:pPr>
              <w:jc w:val="right"/>
              <w:rPr>
                <w:rFonts w:ascii="Times" w:hAnsi="Times"/>
                <w:b/>
                <w:bCs/>
                <w:sz w:val="22"/>
                <w:szCs w:val="22"/>
                <w:lang w:val="en-GB"/>
              </w:rPr>
            </w:pPr>
          </w:p>
        </w:tc>
        <w:tc>
          <w:tcPr>
            <w:tcW w:w="1474" w:type="dxa"/>
            <w:vAlign w:val="bottom"/>
          </w:tcPr>
          <w:p w:rsidR="00AA464F" w:rsidRPr="00CE4CBC" w:rsidRDefault="00AA464F" w:rsidP="00AA464F">
            <w:pPr>
              <w:jc w:val="right"/>
              <w:rPr>
                <w:rFonts w:ascii="Times" w:hAnsi="Times"/>
                <w:b/>
                <w:bCs/>
                <w:sz w:val="22"/>
                <w:szCs w:val="22"/>
                <w:lang w:val="en-GB"/>
              </w:rPr>
            </w:pPr>
            <w:r w:rsidRPr="00CE4CBC">
              <w:rPr>
                <w:rFonts w:ascii="Times" w:hAnsi="Times"/>
                <w:b/>
                <w:bCs/>
                <w:sz w:val="22"/>
                <w:szCs w:val="22"/>
                <w:lang w:val="en-GB"/>
              </w:rPr>
              <w:t>$</w:t>
            </w:r>
          </w:p>
        </w:tc>
      </w:tr>
      <w:tr w:rsidR="00AA464F" w:rsidRPr="00CE4CBC" w:rsidTr="003566EF">
        <w:tc>
          <w:tcPr>
            <w:tcW w:w="3780" w:type="dxa"/>
          </w:tcPr>
          <w:p w:rsidR="00AA464F" w:rsidRPr="00CE4CBC" w:rsidRDefault="00AA464F" w:rsidP="00AA464F">
            <w:pPr>
              <w:widowControl/>
              <w:rPr>
                <w:rFonts w:ascii="Times" w:hAnsi="Times"/>
                <w:sz w:val="22"/>
                <w:szCs w:val="22"/>
                <w:lang w:val="en-GB"/>
              </w:rPr>
            </w:pPr>
          </w:p>
        </w:tc>
        <w:tc>
          <w:tcPr>
            <w:tcW w:w="236" w:type="dxa"/>
          </w:tcPr>
          <w:p w:rsidR="00AA464F" w:rsidRPr="00CE4CBC" w:rsidRDefault="00AA464F" w:rsidP="00AA464F">
            <w:pPr>
              <w:jc w:val="right"/>
              <w:rPr>
                <w:rFonts w:ascii="Times" w:hAnsi="Times"/>
                <w:sz w:val="22"/>
                <w:szCs w:val="22"/>
                <w:lang w:val="en-GB"/>
              </w:rPr>
            </w:pPr>
          </w:p>
        </w:tc>
        <w:tc>
          <w:tcPr>
            <w:tcW w:w="1204" w:type="dxa"/>
            <w:vAlign w:val="bottom"/>
          </w:tcPr>
          <w:p w:rsidR="00AA464F" w:rsidRPr="00CE4CBC" w:rsidRDefault="00AA464F" w:rsidP="00AA464F">
            <w:pPr>
              <w:jc w:val="right"/>
              <w:rPr>
                <w:rFonts w:ascii="Times" w:hAnsi="Times"/>
                <w:sz w:val="22"/>
                <w:szCs w:val="22"/>
                <w:lang w:val="en-GB"/>
              </w:rPr>
            </w:pPr>
          </w:p>
        </w:tc>
        <w:tc>
          <w:tcPr>
            <w:tcW w:w="236" w:type="dxa"/>
          </w:tcPr>
          <w:p w:rsidR="00AA464F" w:rsidRPr="00CE4CBC" w:rsidRDefault="00AA464F" w:rsidP="00AA464F">
            <w:pPr>
              <w:jc w:val="right"/>
              <w:rPr>
                <w:rFonts w:ascii="Times" w:hAnsi="Times"/>
                <w:sz w:val="22"/>
                <w:szCs w:val="22"/>
                <w:lang w:val="en-GB"/>
              </w:rPr>
            </w:pPr>
          </w:p>
        </w:tc>
        <w:tc>
          <w:tcPr>
            <w:tcW w:w="1294" w:type="dxa"/>
            <w:vAlign w:val="bottom"/>
          </w:tcPr>
          <w:p w:rsidR="00AA464F" w:rsidRPr="00CE4CBC" w:rsidRDefault="00AA464F" w:rsidP="00AA464F">
            <w:pPr>
              <w:jc w:val="right"/>
              <w:rPr>
                <w:rFonts w:ascii="Times" w:hAnsi="Times"/>
                <w:sz w:val="22"/>
                <w:szCs w:val="22"/>
                <w:lang w:val="en-GB"/>
              </w:rPr>
            </w:pPr>
          </w:p>
        </w:tc>
        <w:tc>
          <w:tcPr>
            <w:tcW w:w="236" w:type="dxa"/>
          </w:tcPr>
          <w:p w:rsidR="00AA464F" w:rsidRPr="00CE4CBC" w:rsidRDefault="00AA464F" w:rsidP="00AA464F">
            <w:pPr>
              <w:jc w:val="right"/>
              <w:rPr>
                <w:rFonts w:ascii="Times" w:hAnsi="Times"/>
                <w:sz w:val="22"/>
                <w:szCs w:val="22"/>
                <w:lang w:val="en-GB"/>
              </w:rPr>
            </w:pPr>
          </w:p>
        </w:tc>
        <w:tc>
          <w:tcPr>
            <w:tcW w:w="1294" w:type="dxa"/>
            <w:vAlign w:val="bottom"/>
          </w:tcPr>
          <w:p w:rsidR="00AA464F" w:rsidRPr="00CE4CBC" w:rsidRDefault="00AA464F" w:rsidP="00AA464F">
            <w:pPr>
              <w:jc w:val="right"/>
              <w:rPr>
                <w:rFonts w:ascii="Times" w:hAnsi="Times"/>
                <w:sz w:val="22"/>
                <w:szCs w:val="22"/>
                <w:lang w:val="en-GB"/>
              </w:rPr>
            </w:pPr>
          </w:p>
        </w:tc>
        <w:tc>
          <w:tcPr>
            <w:tcW w:w="236" w:type="dxa"/>
          </w:tcPr>
          <w:p w:rsidR="00AA464F" w:rsidRPr="00CE4CBC" w:rsidRDefault="00AA464F" w:rsidP="00AA464F">
            <w:pPr>
              <w:jc w:val="right"/>
              <w:rPr>
                <w:rFonts w:ascii="Times" w:hAnsi="Times"/>
                <w:sz w:val="22"/>
                <w:szCs w:val="22"/>
                <w:lang w:val="en-GB"/>
              </w:rPr>
            </w:pPr>
          </w:p>
        </w:tc>
        <w:tc>
          <w:tcPr>
            <w:tcW w:w="1474" w:type="dxa"/>
            <w:vAlign w:val="bottom"/>
          </w:tcPr>
          <w:p w:rsidR="00AA464F" w:rsidRPr="00CE4CBC" w:rsidRDefault="00AA464F" w:rsidP="00AA464F">
            <w:pPr>
              <w:jc w:val="right"/>
              <w:rPr>
                <w:rFonts w:ascii="Times" w:hAnsi="Times"/>
                <w:sz w:val="22"/>
                <w:szCs w:val="22"/>
                <w:lang w:val="en-GB"/>
              </w:rPr>
            </w:pPr>
          </w:p>
        </w:tc>
      </w:tr>
      <w:tr w:rsidR="00451393" w:rsidRPr="00CE4CBC" w:rsidTr="003566EF">
        <w:tc>
          <w:tcPr>
            <w:tcW w:w="3780" w:type="dxa"/>
          </w:tcPr>
          <w:p w:rsidR="00451393" w:rsidRPr="00CE4CBC" w:rsidRDefault="00451393" w:rsidP="00451393">
            <w:pPr>
              <w:tabs>
                <w:tab w:val="left" w:pos="162"/>
              </w:tabs>
              <w:rPr>
                <w:rFonts w:ascii="Times" w:hAnsi="Times"/>
                <w:sz w:val="22"/>
                <w:szCs w:val="22"/>
                <w:lang w:eastAsia="ko-KR"/>
              </w:rPr>
            </w:pPr>
            <w:r w:rsidRPr="00CE4CBC">
              <w:rPr>
                <w:rFonts w:ascii="Times" w:hAnsi="Times" w:hint="eastAsia"/>
                <w:sz w:val="22"/>
                <w:szCs w:val="22"/>
                <w:lang w:eastAsia="ko-KR"/>
              </w:rPr>
              <w:t xml:space="preserve">Outstanding, beginning of </w:t>
            </w:r>
            <w:r>
              <w:rPr>
                <w:rFonts w:ascii="Times" w:hAnsi="Times"/>
                <w:sz w:val="22"/>
                <w:szCs w:val="22"/>
                <w:lang w:eastAsia="ko-KR"/>
              </w:rPr>
              <w:t>period (year)</w:t>
            </w:r>
          </w:p>
        </w:tc>
        <w:tc>
          <w:tcPr>
            <w:tcW w:w="236" w:type="dxa"/>
          </w:tcPr>
          <w:p w:rsidR="00451393" w:rsidRPr="00CE4CBC" w:rsidRDefault="00451393" w:rsidP="00AA464F">
            <w:pPr>
              <w:rPr>
                <w:rFonts w:ascii="Times" w:hAnsi="Times"/>
                <w:sz w:val="22"/>
                <w:szCs w:val="22"/>
              </w:rPr>
            </w:pPr>
          </w:p>
        </w:tc>
        <w:tc>
          <w:tcPr>
            <w:tcW w:w="1204" w:type="dxa"/>
            <w:vAlign w:val="bottom"/>
          </w:tcPr>
          <w:p w:rsidR="00451393" w:rsidRPr="00CE4CBC" w:rsidRDefault="00BB7007" w:rsidP="00AA464F">
            <w:pPr>
              <w:ind w:left="-107"/>
              <w:jc w:val="right"/>
              <w:rPr>
                <w:rFonts w:ascii="Times" w:hAnsi="Times"/>
                <w:sz w:val="22"/>
                <w:szCs w:val="22"/>
                <w:lang w:val="en-GB" w:eastAsia="ko-KR"/>
              </w:rPr>
            </w:pPr>
            <w:r>
              <w:rPr>
                <w:rFonts w:ascii="Times" w:hAnsi="Times"/>
                <w:sz w:val="22"/>
                <w:szCs w:val="22"/>
                <w:lang w:val="en-GB" w:eastAsia="ko-KR"/>
              </w:rPr>
              <w:t>1,121,200</w:t>
            </w:r>
          </w:p>
        </w:tc>
        <w:tc>
          <w:tcPr>
            <w:tcW w:w="236" w:type="dxa"/>
          </w:tcPr>
          <w:p w:rsidR="00451393" w:rsidRPr="00CE4CBC" w:rsidRDefault="00451393" w:rsidP="00AA464F">
            <w:pPr>
              <w:rPr>
                <w:rFonts w:ascii="Times" w:hAnsi="Times"/>
                <w:sz w:val="22"/>
                <w:szCs w:val="22"/>
              </w:rPr>
            </w:pPr>
          </w:p>
        </w:tc>
        <w:tc>
          <w:tcPr>
            <w:tcW w:w="1294" w:type="dxa"/>
            <w:vAlign w:val="bottom"/>
          </w:tcPr>
          <w:p w:rsidR="00451393" w:rsidRPr="00CE4CBC" w:rsidRDefault="00BB7007" w:rsidP="00AA464F">
            <w:pPr>
              <w:ind w:left="-107"/>
              <w:jc w:val="right"/>
              <w:rPr>
                <w:rFonts w:ascii="Times" w:hAnsi="Times"/>
                <w:sz w:val="22"/>
                <w:szCs w:val="22"/>
                <w:lang w:val="en-GB" w:eastAsia="ko-KR"/>
              </w:rPr>
            </w:pPr>
            <w:r>
              <w:rPr>
                <w:rFonts w:ascii="Times" w:hAnsi="Times"/>
                <w:sz w:val="22"/>
                <w:szCs w:val="22"/>
                <w:lang w:val="en-GB" w:eastAsia="ko-KR"/>
              </w:rPr>
              <w:t>0.14</w:t>
            </w:r>
          </w:p>
        </w:tc>
        <w:tc>
          <w:tcPr>
            <w:tcW w:w="236" w:type="dxa"/>
          </w:tcPr>
          <w:p w:rsidR="00451393" w:rsidRPr="00CE4CBC" w:rsidRDefault="00451393" w:rsidP="00AA464F">
            <w:pPr>
              <w:rPr>
                <w:rFonts w:ascii="Times" w:hAnsi="Times"/>
                <w:sz w:val="22"/>
                <w:szCs w:val="22"/>
              </w:rPr>
            </w:pPr>
          </w:p>
        </w:tc>
        <w:tc>
          <w:tcPr>
            <w:tcW w:w="1294" w:type="dxa"/>
            <w:vAlign w:val="bottom"/>
          </w:tcPr>
          <w:p w:rsidR="00451393" w:rsidRPr="00CE4CBC" w:rsidRDefault="007F249E" w:rsidP="00451393">
            <w:pPr>
              <w:ind w:left="-107"/>
              <w:jc w:val="right"/>
              <w:rPr>
                <w:rFonts w:ascii="Times" w:hAnsi="Times"/>
                <w:sz w:val="22"/>
                <w:szCs w:val="22"/>
                <w:lang w:val="en-GB" w:eastAsia="ko-KR"/>
              </w:rPr>
            </w:pPr>
            <w:r>
              <w:rPr>
                <w:rFonts w:ascii="Times" w:hAnsi="Times" w:hint="eastAsia"/>
                <w:sz w:val="22"/>
                <w:szCs w:val="22"/>
                <w:lang w:val="en-GB" w:eastAsia="ko-KR"/>
              </w:rPr>
              <w:t>1</w:t>
            </w:r>
            <w:r>
              <w:rPr>
                <w:rFonts w:ascii="Times" w:hAnsi="Times"/>
                <w:sz w:val="22"/>
                <w:szCs w:val="22"/>
                <w:lang w:val="en-GB" w:eastAsia="ko-KR"/>
              </w:rPr>
              <w:t>,</w:t>
            </w:r>
            <w:r>
              <w:rPr>
                <w:rFonts w:ascii="Times" w:hAnsi="Times" w:hint="eastAsia"/>
                <w:sz w:val="22"/>
                <w:szCs w:val="22"/>
                <w:lang w:val="en-GB" w:eastAsia="ko-KR"/>
              </w:rPr>
              <w:t>1</w:t>
            </w:r>
            <w:r>
              <w:rPr>
                <w:rFonts w:ascii="Times" w:hAnsi="Times"/>
                <w:sz w:val="22"/>
                <w:szCs w:val="22"/>
                <w:lang w:val="en-GB" w:eastAsia="ko-KR"/>
              </w:rPr>
              <w:t>21</w:t>
            </w:r>
            <w:r w:rsidR="00451393" w:rsidRPr="00CE4CBC">
              <w:rPr>
                <w:rFonts w:ascii="Times" w:hAnsi="Times" w:hint="eastAsia"/>
                <w:sz w:val="22"/>
                <w:szCs w:val="22"/>
                <w:lang w:val="en-GB" w:eastAsia="ko-KR"/>
              </w:rPr>
              <w:t>,200</w:t>
            </w:r>
          </w:p>
        </w:tc>
        <w:tc>
          <w:tcPr>
            <w:tcW w:w="236" w:type="dxa"/>
          </w:tcPr>
          <w:p w:rsidR="00451393" w:rsidRPr="00CE4CBC" w:rsidRDefault="00451393" w:rsidP="00451393">
            <w:pPr>
              <w:rPr>
                <w:rFonts w:ascii="Times" w:hAnsi="Times"/>
                <w:sz w:val="22"/>
                <w:szCs w:val="22"/>
              </w:rPr>
            </w:pPr>
          </w:p>
        </w:tc>
        <w:tc>
          <w:tcPr>
            <w:tcW w:w="1474" w:type="dxa"/>
            <w:vAlign w:val="bottom"/>
          </w:tcPr>
          <w:p w:rsidR="00451393" w:rsidRPr="00CE4CBC" w:rsidRDefault="00451393" w:rsidP="00451393">
            <w:pPr>
              <w:ind w:left="-107"/>
              <w:jc w:val="right"/>
              <w:rPr>
                <w:rFonts w:ascii="Times" w:hAnsi="Times"/>
                <w:sz w:val="22"/>
                <w:szCs w:val="22"/>
                <w:lang w:val="en-GB" w:eastAsia="ko-KR"/>
              </w:rPr>
            </w:pPr>
            <w:r w:rsidRPr="00CE4CBC">
              <w:rPr>
                <w:rFonts w:ascii="Times" w:hAnsi="Times" w:hint="eastAsia"/>
                <w:sz w:val="22"/>
                <w:szCs w:val="22"/>
                <w:lang w:val="en-GB" w:eastAsia="ko-KR"/>
              </w:rPr>
              <w:t>0.1</w:t>
            </w:r>
            <w:r w:rsidR="007F249E">
              <w:rPr>
                <w:rFonts w:ascii="Times" w:hAnsi="Times" w:hint="eastAsia"/>
                <w:sz w:val="22"/>
                <w:szCs w:val="22"/>
                <w:lang w:val="en-GB" w:eastAsia="ko-KR"/>
              </w:rPr>
              <w:t>4</w:t>
            </w:r>
          </w:p>
        </w:tc>
      </w:tr>
      <w:tr w:rsidR="00451393" w:rsidRPr="00CE4CBC" w:rsidTr="003566EF">
        <w:tc>
          <w:tcPr>
            <w:tcW w:w="3780" w:type="dxa"/>
          </w:tcPr>
          <w:p w:rsidR="00451393" w:rsidRPr="00CE4CBC" w:rsidRDefault="003566EF" w:rsidP="003566EF">
            <w:pPr>
              <w:tabs>
                <w:tab w:val="left" w:pos="2625"/>
              </w:tabs>
              <w:rPr>
                <w:rFonts w:ascii="Times" w:hAnsi="Times"/>
                <w:sz w:val="22"/>
                <w:szCs w:val="22"/>
              </w:rPr>
            </w:pPr>
            <w:r>
              <w:rPr>
                <w:rFonts w:ascii="Times" w:hAnsi="Times"/>
                <w:sz w:val="22"/>
                <w:szCs w:val="22"/>
              </w:rPr>
              <w:tab/>
            </w:r>
          </w:p>
        </w:tc>
        <w:tc>
          <w:tcPr>
            <w:tcW w:w="236" w:type="dxa"/>
          </w:tcPr>
          <w:p w:rsidR="00451393" w:rsidRPr="00CE4CBC" w:rsidRDefault="00451393" w:rsidP="00AA464F">
            <w:pPr>
              <w:rPr>
                <w:rFonts w:ascii="Times" w:hAnsi="Times"/>
                <w:sz w:val="22"/>
                <w:szCs w:val="22"/>
              </w:rPr>
            </w:pPr>
          </w:p>
        </w:tc>
        <w:tc>
          <w:tcPr>
            <w:tcW w:w="1204" w:type="dxa"/>
            <w:tcBorders>
              <w:top w:val="single" w:sz="4" w:space="0" w:color="auto"/>
            </w:tcBorders>
            <w:vAlign w:val="bottom"/>
          </w:tcPr>
          <w:p w:rsidR="00451393" w:rsidRPr="00CE4CBC" w:rsidRDefault="00451393" w:rsidP="00AA464F">
            <w:pPr>
              <w:jc w:val="right"/>
              <w:rPr>
                <w:rFonts w:ascii="Times" w:hAnsi="Times"/>
                <w:sz w:val="22"/>
                <w:szCs w:val="22"/>
                <w:highlight w:val="yellow"/>
              </w:rPr>
            </w:pPr>
          </w:p>
        </w:tc>
        <w:tc>
          <w:tcPr>
            <w:tcW w:w="236" w:type="dxa"/>
          </w:tcPr>
          <w:p w:rsidR="00451393" w:rsidRPr="00CE4CBC" w:rsidRDefault="00451393" w:rsidP="00AA464F">
            <w:pPr>
              <w:rPr>
                <w:rFonts w:ascii="Times" w:hAnsi="Times"/>
                <w:sz w:val="22"/>
                <w:szCs w:val="22"/>
              </w:rPr>
            </w:pPr>
          </w:p>
        </w:tc>
        <w:tc>
          <w:tcPr>
            <w:tcW w:w="1294" w:type="dxa"/>
            <w:tcBorders>
              <w:top w:val="single" w:sz="4" w:space="0" w:color="auto"/>
            </w:tcBorders>
            <w:shd w:val="clear" w:color="auto" w:fill="FFFFFF" w:themeFill="background1"/>
            <w:vAlign w:val="bottom"/>
          </w:tcPr>
          <w:p w:rsidR="00451393" w:rsidRPr="00CE4CBC" w:rsidRDefault="00451393" w:rsidP="00AA464F">
            <w:pPr>
              <w:jc w:val="right"/>
              <w:rPr>
                <w:rFonts w:ascii="Times" w:hAnsi="Times"/>
                <w:sz w:val="22"/>
                <w:szCs w:val="22"/>
              </w:rPr>
            </w:pPr>
          </w:p>
        </w:tc>
        <w:tc>
          <w:tcPr>
            <w:tcW w:w="236" w:type="dxa"/>
            <w:shd w:val="clear" w:color="auto" w:fill="FFFFFF" w:themeFill="background1"/>
          </w:tcPr>
          <w:p w:rsidR="00451393" w:rsidRPr="00CE4CBC" w:rsidRDefault="00451393" w:rsidP="00AA464F">
            <w:pPr>
              <w:rPr>
                <w:rFonts w:ascii="Times" w:hAnsi="Times"/>
                <w:sz w:val="22"/>
                <w:szCs w:val="22"/>
              </w:rPr>
            </w:pPr>
          </w:p>
        </w:tc>
        <w:tc>
          <w:tcPr>
            <w:tcW w:w="1294" w:type="dxa"/>
            <w:tcBorders>
              <w:top w:val="single" w:sz="4" w:space="0" w:color="auto"/>
            </w:tcBorders>
            <w:shd w:val="clear" w:color="auto" w:fill="FFFFFF" w:themeFill="background1"/>
            <w:vAlign w:val="bottom"/>
          </w:tcPr>
          <w:p w:rsidR="00451393" w:rsidRPr="00CE4CBC" w:rsidRDefault="00451393" w:rsidP="00451393">
            <w:pPr>
              <w:jc w:val="right"/>
              <w:rPr>
                <w:rFonts w:ascii="Times" w:hAnsi="Times"/>
                <w:sz w:val="22"/>
                <w:szCs w:val="22"/>
                <w:highlight w:val="yellow"/>
              </w:rPr>
            </w:pPr>
          </w:p>
        </w:tc>
        <w:tc>
          <w:tcPr>
            <w:tcW w:w="236" w:type="dxa"/>
            <w:shd w:val="clear" w:color="auto" w:fill="FFFFFF" w:themeFill="background1"/>
          </w:tcPr>
          <w:p w:rsidR="00451393" w:rsidRPr="00CE4CBC" w:rsidRDefault="00451393" w:rsidP="00451393">
            <w:pPr>
              <w:rPr>
                <w:rFonts w:ascii="Times" w:hAnsi="Times"/>
                <w:sz w:val="22"/>
                <w:szCs w:val="22"/>
              </w:rPr>
            </w:pPr>
          </w:p>
        </w:tc>
        <w:tc>
          <w:tcPr>
            <w:tcW w:w="1474" w:type="dxa"/>
            <w:tcBorders>
              <w:top w:val="single" w:sz="4" w:space="0" w:color="auto"/>
            </w:tcBorders>
            <w:shd w:val="clear" w:color="auto" w:fill="FFFFFF" w:themeFill="background1"/>
            <w:vAlign w:val="bottom"/>
          </w:tcPr>
          <w:p w:rsidR="00451393" w:rsidRPr="00CE4CBC" w:rsidRDefault="00451393" w:rsidP="00451393">
            <w:pPr>
              <w:jc w:val="right"/>
              <w:rPr>
                <w:rFonts w:ascii="Times" w:hAnsi="Times"/>
                <w:sz w:val="22"/>
                <w:szCs w:val="22"/>
              </w:rPr>
            </w:pPr>
          </w:p>
        </w:tc>
      </w:tr>
      <w:tr w:rsidR="00451393" w:rsidRPr="00CE4CBC" w:rsidTr="003566EF">
        <w:tc>
          <w:tcPr>
            <w:tcW w:w="3780" w:type="dxa"/>
          </w:tcPr>
          <w:p w:rsidR="00451393" w:rsidRPr="00CE4CBC" w:rsidRDefault="00451393" w:rsidP="00451393">
            <w:pPr>
              <w:rPr>
                <w:rFonts w:ascii="Times" w:hAnsi="Times"/>
                <w:sz w:val="22"/>
                <w:szCs w:val="22"/>
                <w:lang w:eastAsia="ko-KR"/>
              </w:rPr>
            </w:pPr>
            <w:r w:rsidRPr="00CE4CBC">
              <w:rPr>
                <w:rFonts w:ascii="Times" w:hAnsi="Times" w:hint="eastAsia"/>
                <w:sz w:val="22"/>
                <w:szCs w:val="22"/>
                <w:lang w:eastAsia="ko-KR"/>
              </w:rPr>
              <w:t xml:space="preserve">Outstanding, end of </w:t>
            </w:r>
            <w:r>
              <w:rPr>
                <w:rFonts w:ascii="Times" w:hAnsi="Times"/>
                <w:sz w:val="22"/>
                <w:szCs w:val="22"/>
                <w:lang w:eastAsia="ko-KR"/>
              </w:rPr>
              <w:t>period (year)</w:t>
            </w:r>
          </w:p>
        </w:tc>
        <w:tc>
          <w:tcPr>
            <w:tcW w:w="236" w:type="dxa"/>
          </w:tcPr>
          <w:p w:rsidR="00451393" w:rsidRPr="00CE4CBC" w:rsidRDefault="00451393" w:rsidP="00AA464F">
            <w:pPr>
              <w:rPr>
                <w:rFonts w:ascii="Times" w:hAnsi="Times"/>
                <w:sz w:val="22"/>
                <w:szCs w:val="22"/>
              </w:rPr>
            </w:pPr>
          </w:p>
        </w:tc>
        <w:tc>
          <w:tcPr>
            <w:tcW w:w="1204" w:type="dxa"/>
            <w:tcBorders>
              <w:bottom w:val="single" w:sz="12" w:space="0" w:color="auto"/>
            </w:tcBorders>
            <w:vAlign w:val="bottom"/>
          </w:tcPr>
          <w:p w:rsidR="00451393" w:rsidRPr="00CE4CBC" w:rsidRDefault="003566EF" w:rsidP="00AA464F">
            <w:pPr>
              <w:ind w:left="-107"/>
              <w:jc w:val="right"/>
              <w:rPr>
                <w:rFonts w:ascii="Times" w:hAnsi="Times"/>
                <w:sz w:val="22"/>
                <w:szCs w:val="22"/>
                <w:lang w:val="en-GB" w:eastAsia="ko-KR"/>
              </w:rPr>
            </w:pPr>
            <w:r>
              <w:rPr>
                <w:rFonts w:ascii="Times" w:hAnsi="Times" w:hint="eastAsia"/>
                <w:sz w:val="22"/>
                <w:szCs w:val="22"/>
                <w:lang w:val="en-GB" w:eastAsia="ko-KR"/>
              </w:rPr>
              <w:t>1,121,200</w:t>
            </w:r>
          </w:p>
        </w:tc>
        <w:tc>
          <w:tcPr>
            <w:tcW w:w="236" w:type="dxa"/>
          </w:tcPr>
          <w:p w:rsidR="00451393" w:rsidRPr="00CE4CBC" w:rsidRDefault="00451393" w:rsidP="00AA464F">
            <w:pPr>
              <w:rPr>
                <w:rFonts w:ascii="Times" w:hAnsi="Times"/>
                <w:sz w:val="22"/>
                <w:szCs w:val="22"/>
              </w:rPr>
            </w:pPr>
          </w:p>
        </w:tc>
        <w:tc>
          <w:tcPr>
            <w:tcW w:w="1294" w:type="dxa"/>
            <w:tcBorders>
              <w:bottom w:val="single" w:sz="12" w:space="0" w:color="auto"/>
            </w:tcBorders>
            <w:shd w:val="clear" w:color="auto" w:fill="FFFFFF" w:themeFill="background1"/>
            <w:vAlign w:val="bottom"/>
          </w:tcPr>
          <w:p w:rsidR="00451393" w:rsidRPr="00CE4CBC" w:rsidRDefault="00451393" w:rsidP="00AA464F">
            <w:pPr>
              <w:ind w:left="-107"/>
              <w:jc w:val="right"/>
              <w:rPr>
                <w:rFonts w:ascii="Times" w:hAnsi="Times"/>
                <w:sz w:val="22"/>
                <w:szCs w:val="22"/>
                <w:lang w:val="en-GB" w:eastAsia="ko-KR"/>
              </w:rPr>
            </w:pPr>
            <w:r w:rsidRPr="00CE4CBC">
              <w:rPr>
                <w:rFonts w:ascii="Times" w:hAnsi="Times" w:hint="eastAsia"/>
                <w:sz w:val="22"/>
                <w:szCs w:val="22"/>
                <w:lang w:val="en-GB" w:eastAsia="ko-KR"/>
              </w:rPr>
              <w:t>0.1</w:t>
            </w:r>
            <w:r w:rsidR="003566EF">
              <w:rPr>
                <w:rFonts w:ascii="Times" w:hAnsi="Times" w:hint="eastAsia"/>
                <w:sz w:val="22"/>
                <w:szCs w:val="22"/>
                <w:lang w:val="en-GB" w:eastAsia="ko-KR"/>
              </w:rPr>
              <w:t>4</w:t>
            </w:r>
          </w:p>
        </w:tc>
        <w:tc>
          <w:tcPr>
            <w:tcW w:w="236" w:type="dxa"/>
            <w:shd w:val="clear" w:color="auto" w:fill="FFFFFF" w:themeFill="background1"/>
          </w:tcPr>
          <w:p w:rsidR="00451393" w:rsidRPr="00CE4CBC" w:rsidRDefault="00451393" w:rsidP="00AA464F">
            <w:pPr>
              <w:rPr>
                <w:rFonts w:ascii="Times" w:hAnsi="Times"/>
                <w:sz w:val="22"/>
                <w:szCs w:val="22"/>
              </w:rPr>
            </w:pPr>
          </w:p>
        </w:tc>
        <w:tc>
          <w:tcPr>
            <w:tcW w:w="1294" w:type="dxa"/>
            <w:tcBorders>
              <w:bottom w:val="single" w:sz="12" w:space="0" w:color="auto"/>
            </w:tcBorders>
            <w:shd w:val="clear" w:color="auto" w:fill="FFFFFF" w:themeFill="background1"/>
            <w:vAlign w:val="bottom"/>
          </w:tcPr>
          <w:p w:rsidR="00451393" w:rsidRPr="00CE4CBC" w:rsidRDefault="007F249E" w:rsidP="00451393">
            <w:pPr>
              <w:ind w:left="-107"/>
              <w:jc w:val="right"/>
              <w:rPr>
                <w:rFonts w:ascii="Times" w:hAnsi="Times"/>
                <w:sz w:val="22"/>
                <w:szCs w:val="22"/>
                <w:lang w:val="en-GB" w:eastAsia="ko-KR"/>
              </w:rPr>
            </w:pPr>
            <w:r>
              <w:rPr>
                <w:rFonts w:ascii="Times" w:hAnsi="Times" w:hint="eastAsia"/>
                <w:sz w:val="22"/>
                <w:szCs w:val="22"/>
                <w:lang w:val="en-GB" w:eastAsia="ko-KR"/>
              </w:rPr>
              <w:t>1,121</w:t>
            </w:r>
            <w:r w:rsidR="00451393" w:rsidRPr="00CE4CBC">
              <w:rPr>
                <w:rFonts w:ascii="Times" w:hAnsi="Times" w:hint="eastAsia"/>
                <w:sz w:val="22"/>
                <w:szCs w:val="22"/>
                <w:lang w:val="en-GB" w:eastAsia="ko-KR"/>
              </w:rPr>
              <w:t>,200</w:t>
            </w:r>
          </w:p>
        </w:tc>
        <w:tc>
          <w:tcPr>
            <w:tcW w:w="236" w:type="dxa"/>
            <w:shd w:val="clear" w:color="auto" w:fill="FFFFFF" w:themeFill="background1"/>
          </w:tcPr>
          <w:p w:rsidR="00451393" w:rsidRPr="00CE4CBC" w:rsidRDefault="00451393" w:rsidP="00451393">
            <w:pPr>
              <w:rPr>
                <w:rFonts w:ascii="Times" w:hAnsi="Times"/>
                <w:sz w:val="22"/>
                <w:szCs w:val="22"/>
              </w:rPr>
            </w:pPr>
          </w:p>
        </w:tc>
        <w:tc>
          <w:tcPr>
            <w:tcW w:w="1474" w:type="dxa"/>
            <w:tcBorders>
              <w:bottom w:val="single" w:sz="12" w:space="0" w:color="auto"/>
            </w:tcBorders>
            <w:shd w:val="clear" w:color="auto" w:fill="FFFFFF" w:themeFill="background1"/>
            <w:vAlign w:val="bottom"/>
          </w:tcPr>
          <w:p w:rsidR="00451393" w:rsidRPr="00CE4CBC" w:rsidRDefault="00451393" w:rsidP="00451393">
            <w:pPr>
              <w:ind w:left="-107"/>
              <w:jc w:val="right"/>
              <w:rPr>
                <w:rFonts w:ascii="Times" w:hAnsi="Times"/>
                <w:sz w:val="22"/>
                <w:szCs w:val="22"/>
                <w:lang w:val="en-GB" w:eastAsia="ko-KR"/>
              </w:rPr>
            </w:pPr>
            <w:r w:rsidRPr="00CE4CBC">
              <w:rPr>
                <w:rFonts w:ascii="Times" w:hAnsi="Times" w:hint="eastAsia"/>
                <w:sz w:val="22"/>
                <w:szCs w:val="22"/>
                <w:lang w:val="en-GB" w:eastAsia="ko-KR"/>
              </w:rPr>
              <w:t>0.1</w:t>
            </w:r>
            <w:r w:rsidR="00BB7007">
              <w:rPr>
                <w:rFonts w:ascii="Times" w:hAnsi="Times" w:hint="eastAsia"/>
                <w:sz w:val="22"/>
                <w:szCs w:val="22"/>
                <w:lang w:val="en-GB" w:eastAsia="ko-KR"/>
              </w:rPr>
              <w:t>4</w:t>
            </w:r>
          </w:p>
        </w:tc>
      </w:tr>
      <w:tr w:rsidR="00451393" w:rsidRPr="00CE4CBC" w:rsidTr="00DA0879">
        <w:tc>
          <w:tcPr>
            <w:tcW w:w="3780" w:type="dxa"/>
          </w:tcPr>
          <w:p w:rsidR="00451393" w:rsidRPr="00CE4CBC" w:rsidRDefault="00451393" w:rsidP="00451393">
            <w:pPr>
              <w:rPr>
                <w:rFonts w:ascii="Times" w:hAnsi="Times"/>
                <w:sz w:val="22"/>
                <w:szCs w:val="22"/>
                <w:lang w:eastAsia="ko-KR"/>
              </w:rPr>
            </w:pPr>
          </w:p>
        </w:tc>
        <w:tc>
          <w:tcPr>
            <w:tcW w:w="236" w:type="dxa"/>
          </w:tcPr>
          <w:p w:rsidR="00451393" w:rsidRPr="00CE4CBC" w:rsidRDefault="00451393" w:rsidP="00AA464F">
            <w:pPr>
              <w:rPr>
                <w:rFonts w:ascii="Times" w:hAnsi="Times"/>
                <w:sz w:val="22"/>
                <w:szCs w:val="22"/>
              </w:rPr>
            </w:pPr>
          </w:p>
        </w:tc>
        <w:tc>
          <w:tcPr>
            <w:tcW w:w="1204" w:type="dxa"/>
            <w:tcBorders>
              <w:top w:val="single" w:sz="12" w:space="0" w:color="auto"/>
            </w:tcBorders>
            <w:vAlign w:val="bottom"/>
          </w:tcPr>
          <w:p w:rsidR="00451393" w:rsidRPr="00CE4CBC" w:rsidRDefault="00451393" w:rsidP="00AA464F">
            <w:pPr>
              <w:ind w:left="-107"/>
              <w:jc w:val="right"/>
              <w:rPr>
                <w:rFonts w:ascii="Times" w:hAnsi="Times"/>
                <w:sz w:val="22"/>
                <w:szCs w:val="22"/>
                <w:lang w:val="en-GB" w:eastAsia="ko-KR"/>
              </w:rPr>
            </w:pPr>
          </w:p>
        </w:tc>
        <w:tc>
          <w:tcPr>
            <w:tcW w:w="236" w:type="dxa"/>
          </w:tcPr>
          <w:p w:rsidR="00451393" w:rsidRPr="00CE4CBC" w:rsidRDefault="00451393" w:rsidP="00AA464F">
            <w:pPr>
              <w:rPr>
                <w:rFonts w:ascii="Times" w:hAnsi="Times"/>
                <w:sz w:val="22"/>
                <w:szCs w:val="22"/>
              </w:rPr>
            </w:pPr>
          </w:p>
        </w:tc>
        <w:tc>
          <w:tcPr>
            <w:tcW w:w="1294" w:type="dxa"/>
            <w:tcBorders>
              <w:top w:val="single" w:sz="12" w:space="0" w:color="auto"/>
            </w:tcBorders>
            <w:vAlign w:val="bottom"/>
          </w:tcPr>
          <w:p w:rsidR="00451393" w:rsidRPr="00CE4CBC" w:rsidRDefault="00451393" w:rsidP="00AA464F">
            <w:pPr>
              <w:ind w:left="-107"/>
              <w:jc w:val="right"/>
              <w:rPr>
                <w:rFonts w:ascii="Times" w:hAnsi="Times"/>
                <w:sz w:val="22"/>
                <w:szCs w:val="22"/>
                <w:lang w:val="en-GB"/>
              </w:rPr>
            </w:pPr>
          </w:p>
        </w:tc>
        <w:tc>
          <w:tcPr>
            <w:tcW w:w="236" w:type="dxa"/>
          </w:tcPr>
          <w:p w:rsidR="00451393" w:rsidRPr="00CE4CBC" w:rsidRDefault="00451393" w:rsidP="00AA464F">
            <w:pPr>
              <w:rPr>
                <w:rFonts w:ascii="Times" w:hAnsi="Times"/>
                <w:sz w:val="22"/>
                <w:szCs w:val="22"/>
              </w:rPr>
            </w:pPr>
          </w:p>
        </w:tc>
        <w:tc>
          <w:tcPr>
            <w:tcW w:w="1294" w:type="dxa"/>
            <w:tcBorders>
              <w:top w:val="single" w:sz="12" w:space="0" w:color="auto"/>
            </w:tcBorders>
            <w:vAlign w:val="bottom"/>
          </w:tcPr>
          <w:p w:rsidR="00451393" w:rsidRPr="00CE4CBC" w:rsidRDefault="00451393" w:rsidP="00451393">
            <w:pPr>
              <w:ind w:left="-107"/>
              <w:jc w:val="right"/>
              <w:rPr>
                <w:rFonts w:ascii="Times" w:hAnsi="Times"/>
                <w:sz w:val="22"/>
                <w:szCs w:val="22"/>
                <w:lang w:val="en-GB" w:eastAsia="ko-KR"/>
              </w:rPr>
            </w:pPr>
          </w:p>
        </w:tc>
        <w:tc>
          <w:tcPr>
            <w:tcW w:w="236" w:type="dxa"/>
          </w:tcPr>
          <w:p w:rsidR="00451393" w:rsidRPr="00CE4CBC" w:rsidRDefault="00451393" w:rsidP="00451393">
            <w:pPr>
              <w:rPr>
                <w:rFonts w:ascii="Times" w:hAnsi="Times"/>
                <w:sz w:val="22"/>
                <w:szCs w:val="22"/>
              </w:rPr>
            </w:pPr>
          </w:p>
        </w:tc>
        <w:tc>
          <w:tcPr>
            <w:tcW w:w="1474" w:type="dxa"/>
            <w:tcBorders>
              <w:top w:val="single" w:sz="12" w:space="0" w:color="auto"/>
            </w:tcBorders>
            <w:vAlign w:val="bottom"/>
          </w:tcPr>
          <w:p w:rsidR="00451393" w:rsidRPr="00CE4CBC" w:rsidRDefault="00451393" w:rsidP="00451393">
            <w:pPr>
              <w:ind w:left="-107"/>
              <w:jc w:val="right"/>
              <w:rPr>
                <w:rFonts w:ascii="Times" w:hAnsi="Times"/>
                <w:sz w:val="22"/>
                <w:szCs w:val="22"/>
                <w:lang w:val="en-GB"/>
              </w:rPr>
            </w:pPr>
          </w:p>
        </w:tc>
      </w:tr>
    </w:tbl>
    <w:p w:rsidR="00AA464F" w:rsidRDefault="00AA464F" w:rsidP="00AA464F">
      <w:pPr>
        <w:rPr>
          <w:rFonts w:ascii="Times" w:hAnsi="Times"/>
          <w:sz w:val="22"/>
          <w:szCs w:val="22"/>
        </w:rPr>
      </w:pPr>
    </w:p>
    <w:p w:rsidR="008656A9" w:rsidRDefault="008656A9" w:rsidP="00AA464F">
      <w:pPr>
        <w:rPr>
          <w:rFonts w:ascii="Times" w:hAnsi="Times"/>
          <w:sz w:val="22"/>
          <w:szCs w:val="22"/>
        </w:rPr>
      </w:pPr>
    </w:p>
    <w:p w:rsidR="00AA464F" w:rsidRPr="00E5085C" w:rsidRDefault="00AA464F" w:rsidP="008656A9">
      <w:pPr>
        <w:widowControl/>
        <w:rPr>
          <w:sz w:val="22"/>
          <w:szCs w:val="22"/>
        </w:rPr>
      </w:pPr>
      <w:r w:rsidRPr="001411FF">
        <w:rPr>
          <w:rFonts w:hint="eastAsia"/>
          <w:sz w:val="22"/>
          <w:szCs w:val="22"/>
        </w:rPr>
        <w:t xml:space="preserve">The following table summarizes information regarding stock options outstanding and exercisable as at </w:t>
      </w:r>
      <w:r w:rsidRPr="001411FF">
        <w:rPr>
          <w:sz w:val="22"/>
          <w:szCs w:val="22"/>
        </w:rPr>
        <w:t>3</w:t>
      </w:r>
      <w:r w:rsidR="00333C76" w:rsidRPr="001411FF">
        <w:rPr>
          <w:sz w:val="22"/>
          <w:szCs w:val="22"/>
        </w:rPr>
        <w:t>0</w:t>
      </w:r>
      <w:r w:rsidRPr="001411FF">
        <w:rPr>
          <w:sz w:val="22"/>
          <w:szCs w:val="22"/>
        </w:rPr>
        <w:t xml:space="preserve"> </w:t>
      </w:r>
      <w:r w:rsidR="00333C76" w:rsidRPr="001411FF">
        <w:rPr>
          <w:sz w:val="22"/>
          <w:szCs w:val="22"/>
        </w:rPr>
        <w:t>April</w:t>
      </w:r>
      <w:r w:rsidR="00AF6042" w:rsidRPr="001411FF">
        <w:rPr>
          <w:sz w:val="22"/>
          <w:szCs w:val="22"/>
        </w:rPr>
        <w:t xml:space="preserve"> </w:t>
      </w:r>
      <w:r w:rsidR="00BB7007">
        <w:rPr>
          <w:sz w:val="22"/>
          <w:szCs w:val="22"/>
        </w:rPr>
        <w:t>2015</w:t>
      </w:r>
      <w:r w:rsidRPr="001411FF">
        <w:rPr>
          <w:sz w:val="22"/>
          <w:szCs w:val="22"/>
        </w:rPr>
        <w:t>:</w:t>
      </w:r>
    </w:p>
    <w:p w:rsidR="00AA464F" w:rsidRPr="00E5085C" w:rsidRDefault="00AA464F" w:rsidP="00AA464F">
      <w:pPr>
        <w:ind w:left="540"/>
        <w:jc w:val="both"/>
        <w:rPr>
          <w:sz w:val="22"/>
          <w:szCs w:val="22"/>
        </w:rPr>
      </w:pPr>
    </w:p>
    <w:tbl>
      <w:tblPr>
        <w:tblStyle w:val="TableGrid"/>
        <w:tblW w:w="8966"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1436"/>
        <w:gridCol w:w="236"/>
        <w:gridCol w:w="1424"/>
        <w:gridCol w:w="276"/>
        <w:gridCol w:w="1364"/>
      </w:tblGrid>
      <w:tr w:rsidR="00AA464F" w:rsidRPr="00E5085C" w:rsidTr="008E1D55">
        <w:tc>
          <w:tcPr>
            <w:tcW w:w="4230" w:type="dxa"/>
            <w:vAlign w:val="bottom"/>
          </w:tcPr>
          <w:p w:rsidR="00AA464F" w:rsidRPr="00333C76" w:rsidRDefault="00AA464F" w:rsidP="00AA464F">
            <w:pPr>
              <w:rPr>
                <w:rFonts w:ascii="Times New Roman" w:hAnsi="Times New Roman"/>
                <w:b/>
              </w:rPr>
            </w:pPr>
            <w:r w:rsidRPr="00333C76">
              <w:rPr>
                <w:rFonts w:ascii="Times New Roman" w:hAnsi="Times New Roman"/>
                <w:b/>
              </w:rPr>
              <w:t>Exercise price</w:t>
            </w:r>
          </w:p>
        </w:tc>
        <w:tc>
          <w:tcPr>
            <w:tcW w:w="1436" w:type="dxa"/>
            <w:vAlign w:val="bottom"/>
          </w:tcPr>
          <w:p w:rsidR="00AA464F" w:rsidRPr="00333C76" w:rsidRDefault="00AA464F" w:rsidP="00AA464F">
            <w:pPr>
              <w:jc w:val="right"/>
              <w:rPr>
                <w:rFonts w:ascii="Times New Roman" w:hAnsi="Times New Roman"/>
                <w:b/>
              </w:rPr>
            </w:pPr>
            <w:r w:rsidRPr="00333C76">
              <w:rPr>
                <w:rFonts w:ascii="Times New Roman" w:hAnsi="Times New Roman"/>
                <w:b/>
              </w:rPr>
              <w:t>Number of options outstanding</w:t>
            </w:r>
          </w:p>
        </w:tc>
        <w:tc>
          <w:tcPr>
            <w:tcW w:w="236" w:type="dxa"/>
          </w:tcPr>
          <w:p w:rsidR="00AA464F" w:rsidRPr="00333C76" w:rsidRDefault="00AA464F" w:rsidP="00AA464F">
            <w:pPr>
              <w:jc w:val="right"/>
              <w:rPr>
                <w:rFonts w:ascii="Times New Roman" w:hAnsi="Times New Roman"/>
                <w:b/>
              </w:rPr>
            </w:pPr>
          </w:p>
        </w:tc>
        <w:tc>
          <w:tcPr>
            <w:tcW w:w="1424" w:type="dxa"/>
            <w:vAlign w:val="bottom"/>
          </w:tcPr>
          <w:p w:rsidR="00AA464F" w:rsidRPr="00333C76" w:rsidRDefault="00AA464F" w:rsidP="00AA464F">
            <w:pPr>
              <w:jc w:val="right"/>
              <w:rPr>
                <w:rFonts w:ascii="Times New Roman" w:hAnsi="Times New Roman"/>
                <w:b/>
              </w:rPr>
            </w:pPr>
            <w:r w:rsidRPr="00333C76">
              <w:rPr>
                <w:rFonts w:ascii="Times New Roman" w:hAnsi="Times New Roman"/>
                <w:b/>
              </w:rPr>
              <w:t>Weighted-average remaining contractual life</w:t>
            </w:r>
          </w:p>
          <w:p w:rsidR="00AA464F" w:rsidRPr="00333C76" w:rsidRDefault="00AA464F" w:rsidP="00AA464F">
            <w:pPr>
              <w:jc w:val="right"/>
              <w:rPr>
                <w:rFonts w:ascii="Times New Roman" w:hAnsi="Times New Roman"/>
                <w:b/>
              </w:rPr>
            </w:pPr>
            <w:r w:rsidRPr="00333C76">
              <w:rPr>
                <w:rFonts w:ascii="Times New Roman" w:hAnsi="Times New Roman"/>
                <w:b/>
              </w:rPr>
              <w:t>(years)</w:t>
            </w:r>
          </w:p>
        </w:tc>
        <w:tc>
          <w:tcPr>
            <w:tcW w:w="276" w:type="dxa"/>
          </w:tcPr>
          <w:p w:rsidR="00AA464F" w:rsidRPr="00333C76" w:rsidRDefault="00AA464F" w:rsidP="00AA464F">
            <w:pPr>
              <w:jc w:val="right"/>
              <w:rPr>
                <w:rFonts w:ascii="Times New Roman" w:hAnsi="Times New Roman"/>
                <w:b/>
              </w:rPr>
            </w:pPr>
          </w:p>
        </w:tc>
        <w:tc>
          <w:tcPr>
            <w:tcW w:w="1364" w:type="dxa"/>
            <w:vAlign w:val="bottom"/>
          </w:tcPr>
          <w:p w:rsidR="00AA464F" w:rsidRPr="00333C76" w:rsidRDefault="00AA464F" w:rsidP="00AA464F">
            <w:pPr>
              <w:jc w:val="right"/>
              <w:rPr>
                <w:rFonts w:ascii="Times New Roman" w:hAnsi="Times New Roman"/>
                <w:b/>
              </w:rPr>
            </w:pPr>
            <w:r w:rsidRPr="00333C76">
              <w:rPr>
                <w:rFonts w:ascii="Times New Roman" w:hAnsi="Times New Roman"/>
                <w:b/>
              </w:rPr>
              <w:t xml:space="preserve">Weighted average exercise </w:t>
            </w:r>
          </w:p>
          <w:p w:rsidR="00AA464F" w:rsidRPr="00333C76" w:rsidRDefault="00AA464F" w:rsidP="00AA464F">
            <w:pPr>
              <w:jc w:val="right"/>
              <w:rPr>
                <w:rFonts w:ascii="Times New Roman" w:hAnsi="Times New Roman"/>
                <w:b/>
              </w:rPr>
            </w:pPr>
            <w:r w:rsidRPr="00333C76">
              <w:rPr>
                <w:rFonts w:ascii="Times New Roman" w:hAnsi="Times New Roman"/>
                <w:b/>
              </w:rPr>
              <w:t>Price</w:t>
            </w:r>
          </w:p>
          <w:p w:rsidR="00AA464F" w:rsidRPr="00333C76" w:rsidRDefault="00AA464F" w:rsidP="00AA464F">
            <w:pPr>
              <w:jc w:val="right"/>
              <w:rPr>
                <w:rFonts w:ascii="Times New Roman" w:hAnsi="Times New Roman"/>
                <w:b/>
              </w:rPr>
            </w:pPr>
            <w:r w:rsidRPr="00333C76">
              <w:rPr>
                <w:rFonts w:ascii="Times New Roman" w:hAnsi="Times New Roman"/>
                <w:b/>
              </w:rPr>
              <w:t>$</w:t>
            </w:r>
          </w:p>
        </w:tc>
      </w:tr>
      <w:tr w:rsidR="00AA464F" w:rsidRPr="00E5085C" w:rsidTr="008E1D55">
        <w:tc>
          <w:tcPr>
            <w:tcW w:w="4230" w:type="dxa"/>
          </w:tcPr>
          <w:p w:rsidR="00AA464F" w:rsidRPr="008E1D55" w:rsidRDefault="00AA464F" w:rsidP="00AA464F">
            <w:pPr>
              <w:jc w:val="both"/>
              <w:rPr>
                <w:rFonts w:ascii="Times New Roman" w:hAnsi="Times New Roman"/>
              </w:rPr>
            </w:pPr>
          </w:p>
        </w:tc>
        <w:tc>
          <w:tcPr>
            <w:tcW w:w="1436" w:type="dxa"/>
            <w:shd w:val="clear" w:color="auto" w:fill="auto"/>
            <w:vAlign w:val="bottom"/>
          </w:tcPr>
          <w:p w:rsidR="00AA464F" w:rsidRPr="008E1D55" w:rsidRDefault="00AA464F" w:rsidP="00AA464F">
            <w:pPr>
              <w:jc w:val="right"/>
              <w:rPr>
                <w:rFonts w:ascii="Times New Roman" w:hAnsi="Times New Roman"/>
              </w:rPr>
            </w:pPr>
          </w:p>
        </w:tc>
        <w:tc>
          <w:tcPr>
            <w:tcW w:w="236" w:type="dxa"/>
          </w:tcPr>
          <w:p w:rsidR="00AA464F" w:rsidRPr="008E1D55" w:rsidRDefault="00AA464F" w:rsidP="00AA464F">
            <w:pPr>
              <w:jc w:val="right"/>
              <w:rPr>
                <w:rFonts w:ascii="Times New Roman" w:hAnsi="Times New Roman"/>
              </w:rPr>
            </w:pPr>
          </w:p>
        </w:tc>
        <w:tc>
          <w:tcPr>
            <w:tcW w:w="1424" w:type="dxa"/>
            <w:shd w:val="clear" w:color="auto" w:fill="auto"/>
            <w:vAlign w:val="bottom"/>
          </w:tcPr>
          <w:p w:rsidR="00AA464F" w:rsidRPr="008E1D55" w:rsidRDefault="00AA464F" w:rsidP="00AA464F">
            <w:pPr>
              <w:jc w:val="right"/>
              <w:rPr>
                <w:rFonts w:ascii="Times New Roman" w:hAnsi="Times New Roman"/>
              </w:rPr>
            </w:pPr>
          </w:p>
        </w:tc>
        <w:tc>
          <w:tcPr>
            <w:tcW w:w="276" w:type="dxa"/>
          </w:tcPr>
          <w:p w:rsidR="00AA464F" w:rsidRPr="008E1D55" w:rsidRDefault="00AA464F" w:rsidP="00AA464F">
            <w:pPr>
              <w:jc w:val="right"/>
              <w:rPr>
                <w:rFonts w:ascii="Times New Roman" w:hAnsi="Times New Roman"/>
              </w:rPr>
            </w:pPr>
          </w:p>
        </w:tc>
        <w:tc>
          <w:tcPr>
            <w:tcW w:w="1364" w:type="dxa"/>
            <w:shd w:val="clear" w:color="auto" w:fill="auto"/>
            <w:vAlign w:val="bottom"/>
          </w:tcPr>
          <w:p w:rsidR="00AA464F" w:rsidRPr="008E1D55" w:rsidRDefault="00AA464F" w:rsidP="00AA464F">
            <w:pPr>
              <w:jc w:val="right"/>
              <w:rPr>
                <w:rFonts w:ascii="Times New Roman" w:hAnsi="Times New Roman"/>
              </w:rPr>
            </w:pPr>
          </w:p>
        </w:tc>
      </w:tr>
      <w:tr w:rsidR="00AA464F" w:rsidRPr="00E5085C" w:rsidTr="00BB7007">
        <w:tc>
          <w:tcPr>
            <w:tcW w:w="4230" w:type="dxa"/>
          </w:tcPr>
          <w:p w:rsidR="00AA464F" w:rsidRPr="00333C76" w:rsidRDefault="00AA464F" w:rsidP="008E1D55">
            <w:pPr>
              <w:rPr>
                <w:rFonts w:ascii="Times New Roman" w:hAnsi="Times New Roman"/>
              </w:rPr>
            </w:pPr>
            <w:r w:rsidRPr="00333C76">
              <w:rPr>
                <w:rFonts w:ascii="Times New Roman" w:hAnsi="Times New Roman"/>
              </w:rPr>
              <w:t>Options outstanding</w:t>
            </w:r>
            <w:r w:rsidR="00BB4397" w:rsidRPr="00333C76">
              <w:rPr>
                <w:rFonts w:ascii="Times New Roman" w:hAnsi="Times New Roman"/>
              </w:rPr>
              <w:t xml:space="preserve"> and exercisable</w:t>
            </w:r>
          </w:p>
        </w:tc>
        <w:tc>
          <w:tcPr>
            <w:tcW w:w="1436" w:type="dxa"/>
            <w:shd w:val="clear" w:color="auto" w:fill="auto"/>
            <w:vAlign w:val="bottom"/>
          </w:tcPr>
          <w:p w:rsidR="00AA464F" w:rsidRPr="00333C76" w:rsidRDefault="00AA464F" w:rsidP="00AA464F">
            <w:pPr>
              <w:jc w:val="right"/>
              <w:rPr>
                <w:rFonts w:ascii="Times New Roman" w:hAnsi="Times New Roman"/>
              </w:rPr>
            </w:pPr>
          </w:p>
        </w:tc>
        <w:tc>
          <w:tcPr>
            <w:tcW w:w="236" w:type="dxa"/>
          </w:tcPr>
          <w:p w:rsidR="00AA464F" w:rsidRPr="00333C76" w:rsidRDefault="00AA464F" w:rsidP="00AA464F">
            <w:pPr>
              <w:jc w:val="right"/>
              <w:rPr>
                <w:rFonts w:ascii="Times New Roman" w:hAnsi="Times New Roman"/>
              </w:rPr>
            </w:pPr>
          </w:p>
        </w:tc>
        <w:tc>
          <w:tcPr>
            <w:tcW w:w="1424" w:type="dxa"/>
            <w:shd w:val="clear" w:color="auto" w:fill="auto"/>
            <w:vAlign w:val="bottom"/>
          </w:tcPr>
          <w:p w:rsidR="00AA464F" w:rsidRPr="00333C76" w:rsidRDefault="00AA464F" w:rsidP="00AA464F">
            <w:pPr>
              <w:jc w:val="right"/>
              <w:rPr>
                <w:rFonts w:ascii="Times New Roman" w:hAnsi="Times New Roman"/>
              </w:rPr>
            </w:pPr>
          </w:p>
        </w:tc>
        <w:tc>
          <w:tcPr>
            <w:tcW w:w="276" w:type="dxa"/>
          </w:tcPr>
          <w:p w:rsidR="00AA464F" w:rsidRPr="00333C76" w:rsidRDefault="00AA464F" w:rsidP="00AA464F">
            <w:pPr>
              <w:jc w:val="right"/>
              <w:rPr>
                <w:rFonts w:ascii="Times New Roman" w:hAnsi="Times New Roman"/>
              </w:rPr>
            </w:pPr>
          </w:p>
        </w:tc>
        <w:tc>
          <w:tcPr>
            <w:tcW w:w="1364" w:type="dxa"/>
            <w:shd w:val="clear" w:color="auto" w:fill="auto"/>
            <w:vAlign w:val="bottom"/>
          </w:tcPr>
          <w:p w:rsidR="00AA464F" w:rsidRPr="00333C76" w:rsidRDefault="00AA464F" w:rsidP="00AA464F">
            <w:pPr>
              <w:jc w:val="right"/>
              <w:rPr>
                <w:rFonts w:ascii="Times New Roman" w:hAnsi="Times New Roman"/>
              </w:rPr>
            </w:pPr>
          </w:p>
        </w:tc>
      </w:tr>
      <w:tr w:rsidR="00AA464F" w:rsidRPr="00E5085C" w:rsidTr="00BB7007">
        <w:tc>
          <w:tcPr>
            <w:tcW w:w="4230" w:type="dxa"/>
          </w:tcPr>
          <w:p w:rsidR="00AA464F" w:rsidRPr="00333C76" w:rsidRDefault="00AA464F" w:rsidP="00AA464F">
            <w:pPr>
              <w:jc w:val="both"/>
              <w:rPr>
                <w:rFonts w:ascii="Times New Roman" w:hAnsi="Times New Roman"/>
              </w:rPr>
            </w:pPr>
            <w:r w:rsidRPr="00333C76">
              <w:rPr>
                <w:rFonts w:ascii="Times New Roman" w:hAnsi="Times New Roman"/>
              </w:rPr>
              <w:t>$0.1</w:t>
            </w:r>
            <w:r w:rsidR="00BB7007">
              <w:rPr>
                <w:rFonts w:ascii="Times New Roman" w:hAnsi="Times New Roman"/>
              </w:rPr>
              <w:t>5</w:t>
            </w:r>
          </w:p>
        </w:tc>
        <w:tc>
          <w:tcPr>
            <w:tcW w:w="1436" w:type="dxa"/>
            <w:shd w:val="clear" w:color="auto" w:fill="auto"/>
            <w:vAlign w:val="bottom"/>
          </w:tcPr>
          <w:p w:rsidR="00AA464F" w:rsidRPr="00333C76" w:rsidRDefault="00BB7007" w:rsidP="00AA464F">
            <w:pPr>
              <w:jc w:val="right"/>
              <w:rPr>
                <w:rFonts w:ascii="Times New Roman" w:hAnsi="Times New Roman"/>
              </w:rPr>
            </w:pPr>
            <w:r>
              <w:rPr>
                <w:rFonts w:ascii="Times New Roman" w:hAnsi="Times New Roman"/>
              </w:rPr>
              <w:t>781,200</w:t>
            </w:r>
          </w:p>
        </w:tc>
        <w:tc>
          <w:tcPr>
            <w:tcW w:w="236" w:type="dxa"/>
          </w:tcPr>
          <w:p w:rsidR="00AA464F" w:rsidRPr="00333C76" w:rsidRDefault="00AA464F" w:rsidP="00AA464F">
            <w:pPr>
              <w:jc w:val="right"/>
              <w:rPr>
                <w:rFonts w:ascii="Times New Roman" w:hAnsi="Times New Roman"/>
              </w:rPr>
            </w:pPr>
          </w:p>
        </w:tc>
        <w:tc>
          <w:tcPr>
            <w:tcW w:w="1424" w:type="dxa"/>
            <w:shd w:val="clear" w:color="auto" w:fill="auto"/>
            <w:vAlign w:val="bottom"/>
          </w:tcPr>
          <w:p w:rsidR="00AA464F" w:rsidRPr="00333C76" w:rsidRDefault="001C74DA" w:rsidP="00831D8A">
            <w:pPr>
              <w:jc w:val="right"/>
              <w:rPr>
                <w:rFonts w:ascii="Times New Roman" w:hAnsi="Times New Roman"/>
              </w:rPr>
            </w:pPr>
            <w:r>
              <w:rPr>
                <w:rFonts w:ascii="Times New Roman" w:hAnsi="Times New Roman"/>
              </w:rPr>
              <w:t>1.72</w:t>
            </w:r>
          </w:p>
        </w:tc>
        <w:tc>
          <w:tcPr>
            <w:tcW w:w="276" w:type="dxa"/>
          </w:tcPr>
          <w:p w:rsidR="00AA464F" w:rsidRPr="00333C76" w:rsidRDefault="00AA464F" w:rsidP="00AA464F">
            <w:pPr>
              <w:jc w:val="right"/>
              <w:rPr>
                <w:rFonts w:ascii="Times New Roman" w:hAnsi="Times New Roman"/>
              </w:rPr>
            </w:pPr>
          </w:p>
        </w:tc>
        <w:tc>
          <w:tcPr>
            <w:tcW w:w="1364" w:type="dxa"/>
            <w:shd w:val="clear" w:color="auto" w:fill="auto"/>
            <w:vAlign w:val="bottom"/>
          </w:tcPr>
          <w:p w:rsidR="00AA464F" w:rsidRPr="00333C76" w:rsidRDefault="00BB7007" w:rsidP="00AA464F">
            <w:pPr>
              <w:jc w:val="right"/>
              <w:rPr>
                <w:rFonts w:ascii="Times New Roman" w:hAnsi="Times New Roman"/>
              </w:rPr>
            </w:pPr>
            <w:r>
              <w:rPr>
                <w:rFonts w:ascii="Times New Roman" w:hAnsi="Times New Roman"/>
              </w:rPr>
              <w:t>0.15</w:t>
            </w:r>
          </w:p>
        </w:tc>
      </w:tr>
      <w:tr w:rsidR="00BB7007" w:rsidRPr="00E5085C" w:rsidTr="00BB7007">
        <w:tc>
          <w:tcPr>
            <w:tcW w:w="4230" w:type="dxa"/>
          </w:tcPr>
          <w:p w:rsidR="00BB7007" w:rsidRPr="00333C76" w:rsidRDefault="00BB7007" w:rsidP="00BB7007">
            <w:pPr>
              <w:jc w:val="both"/>
            </w:pPr>
            <w:r w:rsidRPr="00333C76">
              <w:rPr>
                <w:rFonts w:ascii="Times New Roman" w:hAnsi="Times New Roman"/>
              </w:rPr>
              <w:t>$0.1</w:t>
            </w:r>
            <w:r>
              <w:rPr>
                <w:rFonts w:ascii="Times New Roman" w:hAnsi="Times New Roman"/>
              </w:rPr>
              <w:t>0</w:t>
            </w:r>
          </w:p>
        </w:tc>
        <w:tc>
          <w:tcPr>
            <w:tcW w:w="1436" w:type="dxa"/>
            <w:tcBorders>
              <w:bottom w:val="single" w:sz="4" w:space="0" w:color="auto"/>
            </w:tcBorders>
            <w:shd w:val="clear" w:color="auto" w:fill="auto"/>
            <w:vAlign w:val="bottom"/>
          </w:tcPr>
          <w:p w:rsidR="00BB7007" w:rsidRPr="00333C76" w:rsidRDefault="00BB7007" w:rsidP="00BB7007">
            <w:pPr>
              <w:jc w:val="right"/>
              <w:rPr>
                <w:rFonts w:ascii="Times New Roman" w:hAnsi="Times New Roman"/>
              </w:rPr>
            </w:pPr>
            <w:r>
              <w:rPr>
                <w:rFonts w:ascii="Times New Roman" w:hAnsi="Times New Roman"/>
              </w:rPr>
              <w:t>340,000</w:t>
            </w:r>
          </w:p>
        </w:tc>
        <w:tc>
          <w:tcPr>
            <w:tcW w:w="236" w:type="dxa"/>
          </w:tcPr>
          <w:p w:rsidR="00BB7007" w:rsidRPr="00333C76" w:rsidRDefault="00BB7007" w:rsidP="00BB7007">
            <w:pPr>
              <w:jc w:val="right"/>
              <w:rPr>
                <w:rFonts w:ascii="Times New Roman" w:hAnsi="Times New Roman"/>
              </w:rPr>
            </w:pPr>
          </w:p>
        </w:tc>
        <w:tc>
          <w:tcPr>
            <w:tcW w:w="1424" w:type="dxa"/>
            <w:tcBorders>
              <w:bottom w:val="single" w:sz="4" w:space="0" w:color="auto"/>
            </w:tcBorders>
            <w:shd w:val="clear" w:color="auto" w:fill="auto"/>
            <w:vAlign w:val="bottom"/>
          </w:tcPr>
          <w:p w:rsidR="00BB7007" w:rsidRPr="00333C76" w:rsidRDefault="001C74DA" w:rsidP="00BB7007">
            <w:pPr>
              <w:jc w:val="right"/>
              <w:rPr>
                <w:rFonts w:ascii="Times New Roman" w:hAnsi="Times New Roman"/>
              </w:rPr>
            </w:pPr>
            <w:r>
              <w:rPr>
                <w:rFonts w:ascii="Times New Roman" w:hAnsi="Times New Roman"/>
              </w:rPr>
              <w:t>4.47</w:t>
            </w:r>
          </w:p>
        </w:tc>
        <w:tc>
          <w:tcPr>
            <w:tcW w:w="276" w:type="dxa"/>
          </w:tcPr>
          <w:p w:rsidR="00BB7007" w:rsidRPr="00333C76" w:rsidRDefault="00BB7007" w:rsidP="00BB7007">
            <w:pPr>
              <w:jc w:val="right"/>
              <w:rPr>
                <w:rFonts w:ascii="Times New Roman" w:hAnsi="Times New Roman"/>
              </w:rPr>
            </w:pPr>
          </w:p>
        </w:tc>
        <w:tc>
          <w:tcPr>
            <w:tcW w:w="1364" w:type="dxa"/>
            <w:tcBorders>
              <w:bottom w:val="single" w:sz="4" w:space="0" w:color="auto"/>
            </w:tcBorders>
            <w:shd w:val="clear" w:color="auto" w:fill="auto"/>
            <w:vAlign w:val="bottom"/>
          </w:tcPr>
          <w:p w:rsidR="00BB7007" w:rsidRPr="00333C76" w:rsidRDefault="00BB7007" w:rsidP="00BB7007">
            <w:pPr>
              <w:jc w:val="right"/>
              <w:rPr>
                <w:rFonts w:ascii="Times New Roman" w:hAnsi="Times New Roman"/>
              </w:rPr>
            </w:pPr>
            <w:r>
              <w:rPr>
                <w:rFonts w:ascii="Times New Roman" w:hAnsi="Times New Roman"/>
              </w:rPr>
              <w:t>0.10</w:t>
            </w:r>
          </w:p>
        </w:tc>
      </w:tr>
      <w:tr w:rsidR="00BB7007" w:rsidRPr="00E5085C" w:rsidTr="008E1D55">
        <w:tc>
          <w:tcPr>
            <w:tcW w:w="4230" w:type="dxa"/>
          </w:tcPr>
          <w:p w:rsidR="00BB7007" w:rsidRPr="00333C76" w:rsidRDefault="00BB7007" w:rsidP="00BB7007">
            <w:pPr>
              <w:jc w:val="both"/>
              <w:rPr>
                <w:rFonts w:ascii="Times New Roman" w:hAnsi="Times New Roman"/>
              </w:rPr>
            </w:pPr>
          </w:p>
        </w:tc>
        <w:tc>
          <w:tcPr>
            <w:tcW w:w="1436" w:type="dxa"/>
            <w:tcBorders>
              <w:top w:val="single" w:sz="4" w:space="0" w:color="auto"/>
            </w:tcBorders>
            <w:shd w:val="clear" w:color="auto" w:fill="auto"/>
            <w:vAlign w:val="bottom"/>
          </w:tcPr>
          <w:p w:rsidR="00BB7007" w:rsidRPr="00333C76" w:rsidRDefault="00BB7007" w:rsidP="00BB7007">
            <w:pPr>
              <w:jc w:val="right"/>
              <w:rPr>
                <w:rFonts w:ascii="Times New Roman" w:hAnsi="Times New Roman"/>
              </w:rPr>
            </w:pPr>
          </w:p>
        </w:tc>
        <w:tc>
          <w:tcPr>
            <w:tcW w:w="236" w:type="dxa"/>
          </w:tcPr>
          <w:p w:rsidR="00BB7007" w:rsidRPr="00333C76" w:rsidRDefault="00BB7007" w:rsidP="00BB7007">
            <w:pPr>
              <w:jc w:val="right"/>
              <w:rPr>
                <w:rFonts w:ascii="Times New Roman" w:hAnsi="Times New Roman"/>
              </w:rPr>
            </w:pPr>
          </w:p>
        </w:tc>
        <w:tc>
          <w:tcPr>
            <w:tcW w:w="1424" w:type="dxa"/>
            <w:tcBorders>
              <w:top w:val="single" w:sz="4" w:space="0" w:color="auto"/>
            </w:tcBorders>
            <w:shd w:val="clear" w:color="auto" w:fill="auto"/>
            <w:vAlign w:val="bottom"/>
          </w:tcPr>
          <w:p w:rsidR="00BB7007" w:rsidRPr="00333C76" w:rsidRDefault="00BB7007" w:rsidP="00BB7007">
            <w:pPr>
              <w:jc w:val="right"/>
              <w:rPr>
                <w:rFonts w:ascii="Times New Roman" w:hAnsi="Times New Roman"/>
              </w:rPr>
            </w:pPr>
          </w:p>
        </w:tc>
        <w:tc>
          <w:tcPr>
            <w:tcW w:w="276" w:type="dxa"/>
          </w:tcPr>
          <w:p w:rsidR="00BB7007" w:rsidRPr="00333C76" w:rsidRDefault="00BB7007" w:rsidP="00BB7007">
            <w:pPr>
              <w:jc w:val="right"/>
              <w:rPr>
                <w:rFonts w:ascii="Times New Roman" w:hAnsi="Times New Roman"/>
              </w:rPr>
            </w:pPr>
          </w:p>
        </w:tc>
        <w:tc>
          <w:tcPr>
            <w:tcW w:w="1364" w:type="dxa"/>
            <w:tcBorders>
              <w:top w:val="single" w:sz="4" w:space="0" w:color="auto"/>
            </w:tcBorders>
            <w:shd w:val="clear" w:color="auto" w:fill="auto"/>
            <w:vAlign w:val="bottom"/>
          </w:tcPr>
          <w:p w:rsidR="00BB7007" w:rsidRPr="00333C76" w:rsidRDefault="00BB7007" w:rsidP="00BB7007">
            <w:pPr>
              <w:jc w:val="right"/>
              <w:rPr>
                <w:rFonts w:ascii="Times New Roman" w:hAnsi="Times New Roman"/>
              </w:rPr>
            </w:pPr>
          </w:p>
        </w:tc>
      </w:tr>
      <w:tr w:rsidR="00BB7007" w:rsidRPr="00E5085C" w:rsidTr="008E1D55">
        <w:tc>
          <w:tcPr>
            <w:tcW w:w="4230" w:type="dxa"/>
          </w:tcPr>
          <w:p w:rsidR="00BB7007" w:rsidRPr="00333C76" w:rsidRDefault="00BB7007" w:rsidP="00BB7007">
            <w:pPr>
              <w:rPr>
                <w:rFonts w:ascii="Times New Roman" w:hAnsi="Times New Roman"/>
              </w:rPr>
            </w:pPr>
            <w:r w:rsidRPr="00333C76">
              <w:rPr>
                <w:rFonts w:ascii="Times New Roman" w:hAnsi="Times New Roman"/>
              </w:rPr>
              <w:t>Total options outstanding and exercisable</w:t>
            </w:r>
          </w:p>
        </w:tc>
        <w:tc>
          <w:tcPr>
            <w:tcW w:w="1436" w:type="dxa"/>
            <w:tcBorders>
              <w:bottom w:val="single" w:sz="12" w:space="0" w:color="auto"/>
            </w:tcBorders>
            <w:shd w:val="clear" w:color="auto" w:fill="auto"/>
            <w:vAlign w:val="bottom"/>
          </w:tcPr>
          <w:p w:rsidR="00BB7007" w:rsidRPr="00333C76" w:rsidRDefault="00BB7007" w:rsidP="00BB7007">
            <w:pPr>
              <w:jc w:val="right"/>
              <w:rPr>
                <w:rFonts w:ascii="Times New Roman" w:hAnsi="Times New Roman"/>
              </w:rPr>
            </w:pPr>
            <w:r>
              <w:rPr>
                <w:rFonts w:ascii="Times New Roman" w:hAnsi="Times New Roman"/>
              </w:rPr>
              <w:t>1,121,200</w:t>
            </w:r>
          </w:p>
        </w:tc>
        <w:tc>
          <w:tcPr>
            <w:tcW w:w="236" w:type="dxa"/>
          </w:tcPr>
          <w:p w:rsidR="00BB7007" w:rsidRPr="00333C76" w:rsidRDefault="00BB7007" w:rsidP="00BB7007">
            <w:pPr>
              <w:jc w:val="right"/>
              <w:rPr>
                <w:rFonts w:ascii="Times New Roman" w:hAnsi="Times New Roman"/>
              </w:rPr>
            </w:pPr>
          </w:p>
        </w:tc>
        <w:tc>
          <w:tcPr>
            <w:tcW w:w="1424" w:type="dxa"/>
            <w:tcBorders>
              <w:bottom w:val="single" w:sz="12" w:space="0" w:color="auto"/>
            </w:tcBorders>
            <w:shd w:val="clear" w:color="auto" w:fill="auto"/>
            <w:vAlign w:val="bottom"/>
          </w:tcPr>
          <w:p w:rsidR="00BB7007" w:rsidRPr="00333C76" w:rsidRDefault="001C74DA" w:rsidP="00BB7007">
            <w:pPr>
              <w:jc w:val="right"/>
              <w:rPr>
                <w:rFonts w:ascii="Times New Roman" w:hAnsi="Times New Roman"/>
              </w:rPr>
            </w:pPr>
            <w:r>
              <w:rPr>
                <w:rFonts w:ascii="Times New Roman" w:hAnsi="Times New Roman"/>
              </w:rPr>
              <w:t>2.55</w:t>
            </w:r>
          </w:p>
        </w:tc>
        <w:tc>
          <w:tcPr>
            <w:tcW w:w="276" w:type="dxa"/>
          </w:tcPr>
          <w:p w:rsidR="00BB7007" w:rsidRPr="00333C76" w:rsidRDefault="00BB7007" w:rsidP="00BB7007">
            <w:pPr>
              <w:jc w:val="right"/>
              <w:rPr>
                <w:rFonts w:ascii="Times New Roman" w:hAnsi="Times New Roman"/>
              </w:rPr>
            </w:pPr>
          </w:p>
        </w:tc>
        <w:tc>
          <w:tcPr>
            <w:tcW w:w="1364" w:type="dxa"/>
            <w:tcBorders>
              <w:bottom w:val="single" w:sz="12" w:space="0" w:color="auto"/>
            </w:tcBorders>
            <w:shd w:val="clear" w:color="auto" w:fill="auto"/>
            <w:vAlign w:val="bottom"/>
          </w:tcPr>
          <w:p w:rsidR="00BB7007" w:rsidRPr="00333C76" w:rsidRDefault="00BB7007" w:rsidP="00BB7007">
            <w:pPr>
              <w:jc w:val="right"/>
              <w:rPr>
                <w:rFonts w:ascii="Times New Roman" w:hAnsi="Times New Roman"/>
              </w:rPr>
            </w:pPr>
            <w:r>
              <w:rPr>
                <w:rFonts w:ascii="Times New Roman" w:hAnsi="Times New Roman"/>
              </w:rPr>
              <w:t>0.14</w:t>
            </w:r>
          </w:p>
        </w:tc>
      </w:tr>
    </w:tbl>
    <w:p w:rsidR="00AA464F" w:rsidRPr="00E5085C" w:rsidRDefault="00AA464F" w:rsidP="008E1D55">
      <w:pPr>
        <w:jc w:val="both"/>
        <w:rPr>
          <w:sz w:val="22"/>
          <w:szCs w:val="22"/>
        </w:rPr>
      </w:pPr>
    </w:p>
    <w:p w:rsidR="00AA464F" w:rsidRPr="00913F44" w:rsidRDefault="00AF4B0D" w:rsidP="00AA464F">
      <w:pPr>
        <w:ind w:left="540"/>
        <w:jc w:val="both"/>
        <w:rPr>
          <w:sz w:val="22"/>
          <w:szCs w:val="22"/>
        </w:rPr>
      </w:pPr>
      <w:r>
        <w:rPr>
          <w:sz w:val="22"/>
          <w:szCs w:val="22"/>
        </w:rPr>
        <w:t xml:space="preserve">As at </w:t>
      </w:r>
      <w:r w:rsidR="001411FF">
        <w:rPr>
          <w:sz w:val="22"/>
          <w:szCs w:val="22"/>
        </w:rPr>
        <w:t>30</w:t>
      </w:r>
      <w:r w:rsidR="00394A88">
        <w:rPr>
          <w:sz w:val="22"/>
          <w:szCs w:val="22"/>
        </w:rPr>
        <w:t xml:space="preserve"> </w:t>
      </w:r>
      <w:r w:rsidR="001411FF">
        <w:rPr>
          <w:sz w:val="22"/>
          <w:szCs w:val="22"/>
        </w:rPr>
        <w:t>April</w:t>
      </w:r>
      <w:r w:rsidR="00AF6042">
        <w:rPr>
          <w:sz w:val="22"/>
          <w:szCs w:val="22"/>
        </w:rPr>
        <w:t xml:space="preserve"> </w:t>
      </w:r>
      <w:r w:rsidR="00BB7007">
        <w:rPr>
          <w:sz w:val="22"/>
          <w:szCs w:val="22"/>
        </w:rPr>
        <w:t>2015</w:t>
      </w:r>
      <w:r w:rsidR="00AA464F" w:rsidRPr="00913F44">
        <w:rPr>
          <w:sz w:val="22"/>
          <w:szCs w:val="22"/>
        </w:rPr>
        <w:t xml:space="preserve">, the Company had </w:t>
      </w:r>
      <w:r w:rsidR="00AA464F">
        <w:rPr>
          <w:sz w:val="22"/>
          <w:szCs w:val="22"/>
        </w:rPr>
        <w:t>stock options</w:t>
      </w:r>
      <w:r w:rsidR="00AA464F" w:rsidRPr="00913F44">
        <w:rPr>
          <w:sz w:val="22"/>
          <w:szCs w:val="22"/>
        </w:rPr>
        <w:t xml:space="preserve"> issued as follows:</w:t>
      </w:r>
    </w:p>
    <w:tbl>
      <w:tblPr>
        <w:tblW w:w="7290" w:type="dxa"/>
        <w:tblInd w:w="1368" w:type="dxa"/>
        <w:tblLayout w:type="fixed"/>
        <w:tblLook w:val="0000"/>
      </w:tblPr>
      <w:tblGrid>
        <w:gridCol w:w="2520"/>
        <w:gridCol w:w="270"/>
        <w:gridCol w:w="2160"/>
        <w:gridCol w:w="270"/>
        <w:gridCol w:w="2070"/>
      </w:tblGrid>
      <w:tr w:rsidR="00AA464F" w:rsidRPr="00CE4CBC" w:rsidTr="00AA464F">
        <w:tc>
          <w:tcPr>
            <w:tcW w:w="2520" w:type="dxa"/>
            <w:tcBorders>
              <w:bottom w:val="single" w:sz="4" w:space="0" w:color="auto"/>
            </w:tcBorders>
            <w:vAlign w:val="bottom"/>
          </w:tcPr>
          <w:p w:rsidR="00AA464F" w:rsidRPr="00913F44" w:rsidRDefault="00AA464F" w:rsidP="00AA464F">
            <w:pPr>
              <w:jc w:val="right"/>
              <w:rPr>
                <w:b/>
                <w:sz w:val="22"/>
                <w:szCs w:val="22"/>
              </w:rPr>
            </w:pPr>
          </w:p>
          <w:p w:rsidR="00AA464F" w:rsidRPr="00913F44" w:rsidRDefault="00AA464F" w:rsidP="00AA464F">
            <w:pPr>
              <w:jc w:val="right"/>
              <w:rPr>
                <w:b/>
                <w:sz w:val="22"/>
                <w:szCs w:val="22"/>
              </w:rPr>
            </w:pPr>
            <w:r w:rsidRPr="00913F44">
              <w:rPr>
                <w:b/>
                <w:sz w:val="22"/>
                <w:szCs w:val="22"/>
              </w:rPr>
              <w:t xml:space="preserve">Number of </w:t>
            </w:r>
            <w:r>
              <w:rPr>
                <w:b/>
                <w:sz w:val="22"/>
                <w:szCs w:val="22"/>
              </w:rPr>
              <w:t>stock options</w:t>
            </w:r>
          </w:p>
        </w:tc>
        <w:tc>
          <w:tcPr>
            <w:tcW w:w="270" w:type="dxa"/>
            <w:tcBorders>
              <w:bottom w:val="single" w:sz="4" w:space="0" w:color="auto"/>
            </w:tcBorders>
            <w:vAlign w:val="bottom"/>
          </w:tcPr>
          <w:p w:rsidR="00AA464F" w:rsidRPr="00CE4CBC" w:rsidRDefault="00AA464F" w:rsidP="00AA464F">
            <w:pPr>
              <w:jc w:val="right"/>
              <w:rPr>
                <w:rFonts w:ascii="Times" w:hAnsi="Times"/>
                <w:b/>
                <w:bCs/>
                <w:sz w:val="22"/>
                <w:szCs w:val="22"/>
              </w:rPr>
            </w:pPr>
          </w:p>
        </w:tc>
        <w:tc>
          <w:tcPr>
            <w:tcW w:w="2160" w:type="dxa"/>
            <w:tcBorders>
              <w:bottom w:val="single" w:sz="4" w:space="0" w:color="auto"/>
            </w:tcBorders>
            <w:vAlign w:val="bottom"/>
          </w:tcPr>
          <w:p w:rsidR="00AA464F" w:rsidRPr="00CE4CBC" w:rsidRDefault="00AA464F" w:rsidP="00AA464F">
            <w:pPr>
              <w:jc w:val="right"/>
              <w:rPr>
                <w:b/>
                <w:sz w:val="22"/>
                <w:szCs w:val="22"/>
              </w:rPr>
            </w:pPr>
            <w:r>
              <w:rPr>
                <w:b/>
                <w:sz w:val="22"/>
                <w:szCs w:val="22"/>
              </w:rPr>
              <w:t>Exercise Price ($)</w:t>
            </w:r>
          </w:p>
        </w:tc>
        <w:tc>
          <w:tcPr>
            <w:tcW w:w="270" w:type="dxa"/>
            <w:tcBorders>
              <w:bottom w:val="single" w:sz="4" w:space="0" w:color="auto"/>
            </w:tcBorders>
            <w:vAlign w:val="bottom"/>
          </w:tcPr>
          <w:p w:rsidR="00AA464F" w:rsidRPr="00CE4CBC" w:rsidRDefault="00AA464F" w:rsidP="00AA464F">
            <w:pPr>
              <w:jc w:val="right"/>
              <w:rPr>
                <w:b/>
                <w:sz w:val="22"/>
                <w:szCs w:val="22"/>
              </w:rPr>
            </w:pPr>
          </w:p>
        </w:tc>
        <w:tc>
          <w:tcPr>
            <w:tcW w:w="2070" w:type="dxa"/>
            <w:tcBorders>
              <w:bottom w:val="single" w:sz="4" w:space="0" w:color="auto"/>
            </w:tcBorders>
            <w:vAlign w:val="bottom"/>
          </w:tcPr>
          <w:p w:rsidR="00AA464F" w:rsidRPr="00CE4CBC" w:rsidRDefault="00AA464F" w:rsidP="00AA464F">
            <w:pPr>
              <w:jc w:val="right"/>
              <w:rPr>
                <w:b/>
                <w:sz w:val="22"/>
                <w:szCs w:val="22"/>
              </w:rPr>
            </w:pPr>
            <w:r>
              <w:rPr>
                <w:b/>
                <w:sz w:val="22"/>
                <w:szCs w:val="22"/>
              </w:rPr>
              <w:t>Expiry</w:t>
            </w:r>
          </w:p>
        </w:tc>
      </w:tr>
      <w:tr w:rsidR="00AA464F" w:rsidRPr="00CE4CBC" w:rsidTr="00AA464F">
        <w:tc>
          <w:tcPr>
            <w:tcW w:w="2520" w:type="dxa"/>
            <w:tcBorders>
              <w:top w:val="single" w:sz="4" w:space="0" w:color="auto"/>
            </w:tcBorders>
          </w:tcPr>
          <w:p w:rsidR="00AA464F" w:rsidRPr="00CE4CBC" w:rsidRDefault="00AA464F" w:rsidP="00AA464F">
            <w:pPr>
              <w:widowControl/>
              <w:jc w:val="right"/>
              <w:rPr>
                <w:rFonts w:ascii="Times" w:hAnsi="Times"/>
                <w:b/>
                <w:sz w:val="22"/>
                <w:szCs w:val="22"/>
                <w:lang w:val="en-GB"/>
              </w:rPr>
            </w:pPr>
          </w:p>
        </w:tc>
        <w:tc>
          <w:tcPr>
            <w:tcW w:w="270" w:type="dxa"/>
            <w:tcBorders>
              <w:top w:val="single" w:sz="4" w:space="0" w:color="auto"/>
            </w:tcBorders>
          </w:tcPr>
          <w:p w:rsidR="00AA464F" w:rsidRPr="00CE4CBC" w:rsidRDefault="00AA464F" w:rsidP="00AA464F">
            <w:pPr>
              <w:jc w:val="right"/>
              <w:rPr>
                <w:rFonts w:ascii="Times" w:hAnsi="Times"/>
                <w:b/>
                <w:bCs/>
                <w:sz w:val="22"/>
                <w:szCs w:val="22"/>
                <w:lang w:val="en-GB"/>
              </w:rPr>
            </w:pPr>
          </w:p>
        </w:tc>
        <w:tc>
          <w:tcPr>
            <w:tcW w:w="2160" w:type="dxa"/>
            <w:tcBorders>
              <w:top w:val="single" w:sz="4" w:space="0" w:color="auto"/>
            </w:tcBorders>
            <w:vAlign w:val="bottom"/>
          </w:tcPr>
          <w:p w:rsidR="00AA464F" w:rsidRPr="00CE4CBC" w:rsidRDefault="00AA464F" w:rsidP="00AA464F">
            <w:pPr>
              <w:jc w:val="right"/>
              <w:rPr>
                <w:rFonts w:ascii="Times" w:hAnsi="Times"/>
                <w:b/>
                <w:bCs/>
                <w:sz w:val="22"/>
                <w:szCs w:val="22"/>
                <w:lang w:val="en-GB"/>
              </w:rPr>
            </w:pPr>
          </w:p>
        </w:tc>
        <w:tc>
          <w:tcPr>
            <w:tcW w:w="270" w:type="dxa"/>
            <w:tcBorders>
              <w:top w:val="single" w:sz="4" w:space="0" w:color="auto"/>
            </w:tcBorders>
          </w:tcPr>
          <w:p w:rsidR="00AA464F" w:rsidRPr="00CE4CBC" w:rsidRDefault="00AA464F" w:rsidP="00AA464F">
            <w:pPr>
              <w:jc w:val="right"/>
              <w:rPr>
                <w:rFonts w:ascii="Times" w:hAnsi="Times"/>
                <w:b/>
                <w:bCs/>
                <w:sz w:val="22"/>
                <w:szCs w:val="22"/>
                <w:lang w:val="en-GB"/>
              </w:rPr>
            </w:pPr>
          </w:p>
        </w:tc>
        <w:tc>
          <w:tcPr>
            <w:tcW w:w="2070" w:type="dxa"/>
            <w:tcBorders>
              <w:top w:val="single" w:sz="4" w:space="0" w:color="auto"/>
            </w:tcBorders>
            <w:vAlign w:val="bottom"/>
          </w:tcPr>
          <w:p w:rsidR="00AA464F" w:rsidRPr="00CE4CBC" w:rsidRDefault="00AA464F" w:rsidP="00AA464F">
            <w:pPr>
              <w:jc w:val="right"/>
              <w:rPr>
                <w:rFonts w:ascii="Times" w:hAnsi="Times"/>
                <w:b/>
                <w:bCs/>
                <w:sz w:val="22"/>
                <w:szCs w:val="22"/>
                <w:lang w:val="en-GB"/>
              </w:rPr>
            </w:pPr>
          </w:p>
        </w:tc>
      </w:tr>
      <w:tr w:rsidR="00AA464F" w:rsidRPr="00CE4CBC" w:rsidTr="00AA464F">
        <w:tc>
          <w:tcPr>
            <w:tcW w:w="2520" w:type="dxa"/>
            <w:vAlign w:val="bottom"/>
          </w:tcPr>
          <w:p w:rsidR="00AA464F" w:rsidRDefault="00BB7007" w:rsidP="00AA464F">
            <w:pPr>
              <w:ind w:left="-107"/>
              <w:jc w:val="right"/>
              <w:rPr>
                <w:rFonts w:ascii="Times" w:hAnsi="Times"/>
                <w:sz w:val="22"/>
                <w:szCs w:val="22"/>
                <w:lang w:val="en-GB" w:eastAsia="ko-KR"/>
              </w:rPr>
            </w:pPr>
            <w:r>
              <w:rPr>
                <w:rFonts w:ascii="Times" w:hAnsi="Times"/>
                <w:sz w:val="22"/>
                <w:szCs w:val="22"/>
                <w:lang w:val="en-GB" w:eastAsia="ko-KR"/>
              </w:rPr>
              <w:t>781,200</w:t>
            </w:r>
          </w:p>
          <w:p w:rsidR="00BB7007" w:rsidRPr="00CE4CBC" w:rsidRDefault="00BB7007" w:rsidP="00AA464F">
            <w:pPr>
              <w:ind w:left="-107"/>
              <w:jc w:val="right"/>
              <w:rPr>
                <w:rFonts w:ascii="Times" w:hAnsi="Times"/>
                <w:sz w:val="22"/>
                <w:szCs w:val="22"/>
                <w:lang w:val="en-GB" w:eastAsia="ko-KR"/>
              </w:rPr>
            </w:pPr>
            <w:r>
              <w:rPr>
                <w:rFonts w:ascii="Times" w:hAnsi="Times"/>
                <w:sz w:val="22"/>
                <w:szCs w:val="22"/>
                <w:lang w:val="en-GB" w:eastAsia="ko-KR"/>
              </w:rPr>
              <w:t>340,000</w:t>
            </w:r>
          </w:p>
        </w:tc>
        <w:tc>
          <w:tcPr>
            <w:tcW w:w="270" w:type="dxa"/>
          </w:tcPr>
          <w:p w:rsidR="00AA464F" w:rsidRPr="00913F44" w:rsidRDefault="00AA464F" w:rsidP="00AA464F">
            <w:pPr>
              <w:jc w:val="right"/>
              <w:rPr>
                <w:rFonts w:ascii="Times" w:hAnsi="Times"/>
                <w:bCs/>
                <w:sz w:val="22"/>
                <w:szCs w:val="22"/>
                <w:lang w:val="en-GB"/>
              </w:rPr>
            </w:pPr>
          </w:p>
        </w:tc>
        <w:tc>
          <w:tcPr>
            <w:tcW w:w="2160" w:type="dxa"/>
            <w:vAlign w:val="bottom"/>
          </w:tcPr>
          <w:p w:rsidR="00AA464F" w:rsidRDefault="00BB7007" w:rsidP="00AA464F">
            <w:pPr>
              <w:jc w:val="right"/>
              <w:rPr>
                <w:rFonts w:ascii="Times" w:hAnsi="Times"/>
                <w:bCs/>
                <w:sz w:val="22"/>
                <w:szCs w:val="22"/>
                <w:lang w:val="en-GB"/>
              </w:rPr>
            </w:pPr>
            <w:r>
              <w:rPr>
                <w:rFonts w:ascii="Times" w:hAnsi="Times"/>
                <w:bCs/>
                <w:sz w:val="22"/>
                <w:szCs w:val="22"/>
                <w:lang w:val="en-GB"/>
              </w:rPr>
              <w:t>0.15</w:t>
            </w:r>
          </w:p>
          <w:p w:rsidR="00BB7007" w:rsidRPr="00913F44" w:rsidRDefault="00BB7007" w:rsidP="00AA464F">
            <w:pPr>
              <w:jc w:val="right"/>
              <w:rPr>
                <w:rFonts w:ascii="Times" w:hAnsi="Times"/>
                <w:bCs/>
                <w:sz w:val="22"/>
                <w:szCs w:val="22"/>
                <w:lang w:val="en-GB"/>
              </w:rPr>
            </w:pPr>
            <w:r>
              <w:rPr>
                <w:rFonts w:ascii="Times" w:hAnsi="Times"/>
                <w:bCs/>
                <w:sz w:val="22"/>
                <w:szCs w:val="22"/>
                <w:lang w:val="en-GB"/>
              </w:rPr>
              <w:t>0.10</w:t>
            </w:r>
          </w:p>
        </w:tc>
        <w:tc>
          <w:tcPr>
            <w:tcW w:w="270" w:type="dxa"/>
          </w:tcPr>
          <w:p w:rsidR="00AA464F" w:rsidRPr="00913F44" w:rsidRDefault="00AA464F" w:rsidP="00AA464F">
            <w:pPr>
              <w:jc w:val="right"/>
              <w:rPr>
                <w:rFonts w:ascii="Times" w:hAnsi="Times"/>
                <w:bCs/>
                <w:sz w:val="22"/>
                <w:szCs w:val="22"/>
                <w:lang w:val="en-GB"/>
              </w:rPr>
            </w:pPr>
          </w:p>
        </w:tc>
        <w:tc>
          <w:tcPr>
            <w:tcW w:w="2070" w:type="dxa"/>
            <w:vAlign w:val="bottom"/>
          </w:tcPr>
          <w:p w:rsidR="00AA464F" w:rsidRDefault="00AA464F" w:rsidP="00AA464F">
            <w:pPr>
              <w:jc w:val="right"/>
              <w:rPr>
                <w:rFonts w:ascii="Times" w:hAnsi="Times"/>
                <w:bCs/>
                <w:sz w:val="22"/>
                <w:szCs w:val="22"/>
                <w:lang w:val="en-GB"/>
              </w:rPr>
            </w:pPr>
            <w:r>
              <w:rPr>
                <w:rFonts w:ascii="Times" w:hAnsi="Times"/>
                <w:bCs/>
                <w:sz w:val="22"/>
                <w:szCs w:val="22"/>
                <w:lang w:val="en-GB"/>
              </w:rPr>
              <w:t>18</w:t>
            </w:r>
            <w:r w:rsidRPr="00913F44">
              <w:rPr>
                <w:rFonts w:ascii="Times" w:hAnsi="Times"/>
                <w:bCs/>
                <w:sz w:val="22"/>
                <w:szCs w:val="22"/>
                <w:lang w:val="en-GB"/>
              </w:rPr>
              <w:t xml:space="preserve"> </w:t>
            </w:r>
            <w:r>
              <w:rPr>
                <w:rFonts w:ascii="Times" w:hAnsi="Times"/>
                <w:bCs/>
                <w:sz w:val="22"/>
                <w:szCs w:val="22"/>
                <w:lang w:val="en-GB"/>
              </w:rPr>
              <w:t>January</w:t>
            </w:r>
            <w:r w:rsidRPr="00913F44">
              <w:rPr>
                <w:rFonts w:ascii="Times" w:hAnsi="Times"/>
                <w:bCs/>
                <w:sz w:val="22"/>
                <w:szCs w:val="22"/>
                <w:lang w:val="en-GB"/>
              </w:rPr>
              <w:t xml:space="preserve"> 201</w:t>
            </w:r>
            <w:r>
              <w:rPr>
                <w:rFonts w:ascii="Times" w:hAnsi="Times"/>
                <w:bCs/>
                <w:sz w:val="22"/>
                <w:szCs w:val="22"/>
                <w:lang w:val="en-GB"/>
              </w:rPr>
              <w:t>7</w:t>
            </w:r>
          </w:p>
          <w:p w:rsidR="00BB7007" w:rsidRPr="00913F44" w:rsidRDefault="00BB7007" w:rsidP="00AA464F">
            <w:pPr>
              <w:jc w:val="right"/>
              <w:rPr>
                <w:rFonts w:ascii="Times" w:hAnsi="Times"/>
                <w:bCs/>
                <w:sz w:val="22"/>
                <w:szCs w:val="22"/>
                <w:lang w:val="en-GB"/>
              </w:rPr>
            </w:pPr>
            <w:r>
              <w:rPr>
                <w:rFonts w:ascii="Times" w:hAnsi="Times"/>
                <w:bCs/>
                <w:sz w:val="22"/>
                <w:szCs w:val="22"/>
                <w:lang w:val="en-GB"/>
              </w:rPr>
              <w:t>20 October 2019</w:t>
            </w:r>
          </w:p>
        </w:tc>
      </w:tr>
    </w:tbl>
    <w:p w:rsidR="00451393" w:rsidRDefault="00451393" w:rsidP="00451393">
      <w:pPr>
        <w:ind w:left="540"/>
        <w:jc w:val="both"/>
        <w:rPr>
          <w:b/>
          <w:sz w:val="22"/>
          <w:szCs w:val="24"/>
          <w:lang w:eastAsia="ko-KR"/>
        </w:rPr>
      </w:pPr>
    </w:p>
    <w:p w:rsidR="008656A9" w:rsidRDefault="008656A9" w:rsidP="00451393">
      <w:pPr>
        <w:ind w:left="540"/>
        <w:jc w:val="both"/>
        <w:rPr>
          <w:b/>
          <w:sz w:val="22"/>
          <w:szCs w:val="24"/>
          <w:lang w:eastAsia="ko-KR"/>
        </w:rPr>
      </w:pPr>
    </w:p>
    <w:p w:rsidR="007A71F2" w:rsidRDefault="007A71F2" w:rsidP="00CF5D47">
      <w:pPr>
        <w:numPr>
          <w:ilvl w:val="0"/>
          <w:numId w:val="2"/>
        </w:numPr>
        <w:rPr>
          <w:b/>
          <w:bCs/>
          <w:sz w:val="22"/>
          <w:szCs w:val="22"/>
        </w:rPr>
      </w:pPr>
      <w:bookmarkStart w:id="9" w:name="NoteIncomeTaxes"/>
      <w:bookmarkStart w:id="10" w:name="_Ref120415381"/>
      <w:r>
        <w:rPr>
          <w:b/>
          <w:bCs/>
          <w:sz w:val="22"/>
          <w:szCs w:val="22"/>
        </w:rPr>
        <w:lastRenderedPageBreak/>
        <w:t>Related Party Transactions</w:t>
      </w:r>
    </w:p>
    <w:p w:rsidR="003B34A0" w:rsidRDefault="003B34A0" w:rsidP="007A71F2">
      <w:pPr>
        <w:ind w:left="547"/>
        <w:rPr>
          <w:b/>
          <w:bCs/>
          <w:sz w:val="22"/>
          <w:szCs w:val="22"/>
          <w:highlight w:val="yellow"/>
        </w:rPr>
      </w:pPr>
    </w:p>
    <w:p w:rsidR="00B07842" w:rsidRPr="00B07842" w:rsidRDefault="00B07842" w:rsidP="007A71F2">
      <w:pPr>
        <w:ind w:left="547"/>
        <w:rPr>
          <w:b/>
          <w:bCs/>
          <w:sz w:val="22"/>
          <w:szCs w:val="22"/>
        </w:rPr>
      </w:pPr>
      <w:r w:rsidRPr="003B34A0">
        <w:rPr>
          <w:b/>
          <w:bCs/>
          <w:sz w:val="22"/>
          <w:szCs w:val="22"/>
        </w:rPr>
        <w:t>Key management personnel compensation</w:t>
      </w:r>
    </w:p>
    <w:p w:rsidR="001C74DA" w:rsidRDefault="001C74DA" w:rsidP="007A71F2">
      <w:pPr>
        <w:ind w:left="547"/>
        <w:rPr>
          <w:bCs/>
          <w:sz w:val="22"/>
          <w:szCs w:val="22"/>
        </w:rPr>
      </w:pPr>
    </w:p>
    <w:tbl>
      <w:tblPr>
        <w:tblpPr w:leftFromText="180" w:rightFromText="180" w:vertAnchor="text" w:tblpY="1"/>
        <w:tblOverlap w:val="never"/>
        <w:tblW w:w="8460" w:type="dxa"/>
        <w:tblLayout w:type="fixed"/>
        <w:tblLook w:val="0000"/>
      </w:tblPr>
      <w:tblGrid>
        <w:gridCol w:w="4590"/>
        <w:gridCol w:w="238"/>
        <w:gridCol w:w="1652"/>
        <w:gridCol w:w="238"/>
        <w:gridCol w:w="1742"/>
      </w:tblGrid>
      <w:tr w:rsidR="003B34A0" w:rsidRPr="00CE4CBC" w:rsidTr="00133A7D">
        <w:tc>
          <w:tcPr>
            <w:tcW w:w="4590" w:type="dxa"/>
          </w:tcPr>
          <w:p w:rsidR="003B34A0" w:rsidRPr="00CE4CBC" w:rsidRDefault="003B34A0" w:rsidP="00133A7D">
            <w:pPr>
              <w:widowControl/>
              <w:spacing w:after="200" w:line="276" w:lineRule="auto"/>
              <w:rPr>
                <w:rFonts w:ascii="Times" w:hAnsi="Times"/>
                <w:b/>
                <w:sz w:val="22"/>
                <w:szCs w:val="22"/>
                <w:lang w:val="en-GB"/>
              </w:rPr>
            </w:pPr>
          </w:p>
        </w:tc>
        <w:tc>
          <w:tcPr>
            <w:tcW w:w="238" w:type="dxa"/>
          </w:tcPr>
          <w:p w:rsidR="003B34A0" w:rsidRPr="00CE4CBC" w:rsidRDefault="003B34A0" w:rsidP="00133A7D">
            <w:pPr>
              <w:jc w:val="right"/>
              <w:rPr>
                <w:rFonts w:ascii="Times" w:hAnsi="Times"/>
                <w:b/>
                <w:bCs/>
                <w:sz w:val="22"/>
                <w:szCs w:val="22"/>
              </w:rPr>
            </w:pPr>
          </w:p>
        </w:tc>
        <w:tc>
          <w:tcPr>
            <w:tcW w:w="1652" w:type="dxa"/>
            <w:vAlign w:val="bottom"/>
          </w:tcPr>
          <w:p w:rsidR="003B34A0" w:rsidRDefault="003B34A0" w:rsidP="00133A7D">
            <w:pPr>
              <w:jc w:val="right"/>
              <w:rPr>
                <w:b/>
                <w:sz w:val="22"/>
                <w:szCs w:val="22"/>
                <w:lang w:eastAsia="ko-KR"/>
              </w:rPr>
            </w:pPr>
            <w:r>
              <w:rPr>
                <w:b/>
                <w:sz w:val="22"/>
                <w:szCs w:val="22"/>
                <w:lang w:eastAsia="ko-KR"/>
              </w:rPr>
              <w:t xml:space="preserve">For the three month period ended 30 </w:t>
            </w:r>
          </w:p>
          <w:p w:rsidR="003B34A0" w:rsidRPr="00CE4CBC" w:rsidRDefault="003B34A0" w:rsidP="00133A7D">
            <w:pPr>
              <w:jc w:val="right"/>
              <w:rPr>
                <w:b/>
                <w:sz w:val="22"/>
                <w:szCs w:val="22"/>
              </w:rPr>
            </w:pPr>
            <w:r>
              <w:rPr>
                <w:b/>
                <w:sz w:val="22"/>
                <w:szCs w:val="22"/>
                <w:lang w:eastAsia="ko-KR"/>
              </w:rPr>
              <w:t>April 201</w:t>
            </w:r>
            <w:r w:rsidR="001C74DA">
              <w:rPr>
                <w:b/>
                <w:sz w:val="22"/>
                <w:szCs w:val="22"/>
                <w:lang w:eastAsia="ko-KR"/>
              </w:rPr>
              <w:t>5</w:t>
            </w:r>
          </w:p>
        </w:tc>
        <w:tc>
          <w:tcPr>
            <w:tcW w:w="238" w:type="dxa"/>
          </w:tcPr>
          <w:p w:rsidR="003B34A0" w:rsidRPr="00CE4CBC" w:rsidRDefault="003B34A0" w:rsidP="00133A7D">
            <w:pPr>
              <w:jc w:val="right"/>
              <w:rPr>
                <w:b/>
                <w:sz w:val="22"/>
                <w:szCs w:val="22"/>
              </w:rPr>
            </w:pPr>
          </w:p>
        </w:tc>
        <w:tc>
          <w:tcPr>
            <w:tcW w:w="1742" w:type="dxa"/>
            <w:vAlign w:val="bottom"/>
          </w:tcPr>
          <w:p w:rsidR="003B34A0" w:rsidRDefault="003B34A0" w:rsidP="00133A7D">
            <w:pPr>
              <w:jc w:val="right"/>
              <w:rPr>
                <w:b/>
                <w:sz w:val="22"/>
                <w:szCs w:val="22"/>
                <w:lang w:eastAsia="ko-KR"/>
              </w:rPr>
            </w:pPr>
            <w:r>
              <w:rPr>
                <w:b/>
                <w:sz w:val="22"/>
                <w:szCs w:val="22"/>
                <w:lang w:eastAsia="ko-KR"/>
              </w:rPr>
              <w:t xml:space="preserve">For the three month period ended 30 </w:t>
            </w:r>
          </w:p>
          <w:p w:rsidR="003B34A0" w:rsidRPr="00CE4CBC" w:rsidRDefault="003B34A0" w:rsidP="00133A7D">
            <w:pPr>
              <w:jc w:val="right"/>
              <w:rPr>
                <w:b/>
                <w:sz w:val="22"/>
                <w:szCs w:val="22"/>
              </w:rPr>
            </w:pPr>
            <w:r>
              <w:rPr>
                <w:b/>
                <w:sz w:val="22"/>
                <w:szCs w:val="22"/>
                <w:lang w:eastAsia="ko-KR"/>
              </w:rPr>
              <w:t>April 201</w:t>
            </w:r>
            <w:r w:rsidR="001C74DA">
              <w:rPr>
                <w:b/>
                <w:sz w:val="22"/>
                <w:szCs w:val="22"/>
                <w:lang w:eastAsia="ko-KR"/>
              </w:rPr>
              <w:t>4</w:t>
            </w:r>
          </w:p>
        </w:tc>
      </w:tr>
      <w:tr w:rsidR="003B34A0" w:rsidRPr="00CE4CBC" w:rsidTr="00133A7D">
        <w:tc>
          <w:tcPr>
            <w:tcW w:w="4590" w:type="dxa"/>
          </w:tcPr>
          <w:p w:rsidR="003B34A0" w:rsidRPr="00CE4CBC" w:rsidRDefault="003B34A0" w:rsidP="00133A7D">
            <w:pPr>
              <w:widowControl/>
              <w:rPr>
                <w:rFonts w:ascii="Times" w:hAnsi="Times"/>
                <w:b/>
                <w:sz w:val="22"/>
                <w:szCs w:val="22"/>
                <w:lang w:val="en-GB"/>
              </w:rPr>
            </w:pPr>
          </w:p>
        </w:tc>
        <w:tc>
          <w:tcPr>
            <w:tcW w:w="238" w:type="dxa"/>
          </w:tcPr>
          <w:p w:rsidR="003B34A0" w:rsidRPr="00CE4CBC" w:rsidRDefault="003B34A0" w:rsidP="00133A7D">
            <w:pPr>
              <w:jc w:val="right"/>
              <w:rPr>
                <w:rFonts w:ascii="Times" w:hAnsi="Times"/>
                <w:b/>
                <w:bCs/>
                <w:sz w:val="22"/>
                <w:szCs w:val="22"/>
                <w:lang w:val="en-GB"/>
              </w:rPr>
            </w:pPr>
          </w:p>
        </w:tc>
        <w:tc>
          <w:tcPr>
            <w:tcW w:w="1652" w:type="dxa"/>
            <w:vAlign w:val="bottom"/>
          </w:tcPr>
          <w:p w:rsidR="003B34A0" w:rsidRPr="00CE4CBC" w:rsidRDefault="003B34A0" w:rsidP="00133A7D">
            <w:pPr>
              <w:jc w:val="right"/>
              <w:rPr>
                <w:rFonts w:ascii="Times" w:hAnsi="Times"/>
                <w:b/>
                <w:bCs/>
                <w:sz w:val="22"/>
                <w:szCs w:val="22"/>
                <w:lang w:val="en-GB"/>
              </w:rPr>
            </w:pPr>
          </w:p>
        </w:tc>
        <w:tc>
          <w:tcPr>
            <w:tcW w:w="238" w:type="dxa"/>
          </w:tcPr>
          <w:p w:rsidR="003B34A0" w:rsidRPr="00CE4CBC" w:rsidRDefault="003B34A0" w:rsidP="00133A7D">
            <w:pPr>
              <w:jc w:val="right"/>
              <w:rPr>
                <w:rFonts w:ascii="Times" w:hAnsi="Times"/>
                <w:b/>
                <w:bCs/>
                <w:sz w:val="22"/>
                <w:szCs w:val="22"/>
                <w:lang w:val="en-GB"/>
              </w:rPr>
            </w:pPr>
          </w:p>
        </w:tc>
        <w:tc>
          <w:tcPr>
            <w:tcW w:w="1742" w:type="dxa"/>
            <w:vAlign w:val="bottom"/>
          </w:tcPr>
          <w:p w:rsidR="003B34A0" w:rsidRPr="00CE4CBC" w:rsidRDefault="003B34A0" w:rsidP="00133A7D">
            <w:pPr>
              <w:jc w:val="right"/>
              <w:rPr>
                <w:rFonts w:ascii="Times" w:hAnsi="Times"/>
                <w:b/>
                <w:bCs/>
                <w:sz w:val="22"/>
                <w:szCs w:val="22"/>
                <w:lang w:val="en-GB"/>
              </w:rPr>
            </w:pPr>
          </w:p>
        </w:tc>
      </w:tr>
      <w:tr w:rsidR="003B34A0" w:rsidRPr="00CE4CBC" w:rsidTr="00133A7D">
        <w:tc>
          <w:tcPr>
            <w:tcW w:w="4590" w:type="dxa"/>
          </w:tcPr>
          <w:p w:rsidR="003B34A0" w:rsidRDefault="003B34A0" w:rsidP="00133A7D">
            <w:pPr>
              <w:jc w:val="both"/>
              <w:rPr>
                <w:sz w:val="22"/>
                <w:szCs w:val="22"/>
              </w:rPr>
            </w:pPr>
            <w:r>
              <w:rPr>
                <w:sz w:val="22"/>
                <w:szCs w:val="22"/>
              </w:rPr>
              <w:t>Short-term benefits - Management and other fees</w:t>
            </w:r>
          </w:p>
        </w:tc>
        <w:tc>
          <w:tcPr>
            <w:tcW w:w="238" w:type="dxa"/>
          </w:tcPr>
          <w:p w:rsidR="003B34A0" w:rsidRPr="00CE4CBC" w:rsidRDefault="003B34A0" w:rsidP="00133A7D">
            <w:pPr>
              <w:jc w:val="right"/>
              <w:rPr>
                <w:rFonts w:ascii="Times" w:hAnsi="Times"/>
                <w:sz w:val="22"/>
                <w:szCs w:val="22"/>
                <w:lang w:val="en-GB"/>
              </w:rPr>
            </w:pPr>
          </w:p>
        </w:tc>
        <w:tc>
          <w:tcPr>
            <w:tcW w:w="1652" w:type="dxa"/>
            <w:vAlign w:val="bottom"/>
          </w:tcPr>
          <w:p w:rsidR="003B34A0" w:rsidRDefault="003B34A0" w:rsidP="00133A7D">
            <w:pPr>
              <w:jc w:val="right"/>
              <w:rPr>
                <w:rFonts w:ascii="Times" w:hAnsi="Times"/>
                <w:sz w:val="22"/>
                <w:szCs w:val="22"/>
                <w:lang w:val="en-GB" w:eastAsia="ko-KR"/>
              </w:rPr>
            </w:pPr>
            <w:r>
              <w:rPr>
                <w:rFonts w:ascii="Times" w:hAnsi="Times"/>
                <w:sz w:val="22"/>
                <w:szCs w:val="22"/>
                <w:lang w:val="en-GB" w:eastAsia="ko-KR"/>
              </w:rPr>
              <w:t>15,000</w:t>
            </w:r>
          </w:p>
        </w:tc>
        <w:tc>
          <w:tcPr>
            <w:tcW w:w="238" w:type="dxa"/>
          </w:tcPr>
          <w:p w:rsidR="003B34A0" w:rsidRPr="00CE4CBC" w:rsidRDefault="003B34A0" w:rsidP="00133A7D">
            <w:pPr>
              <w:jc w:val="right"/>
              <w:rPr>
                <w:rFonts w:ascii="Times" w:hAnsi="Times"/>
                <w:sz w:val="22"/>
                <w:szCs w:val="22"/>
                <w:lang w:val="en-GB"/>
              </w:rPr>
            </w:pPr>
          </w:p>
        </w:tc>
        <w:tc>
          <w:tcPr>
            <w:tcW w:w="1742" w:type="dxa"/>
            <w:vAlign w:val="bottom"/>
          </w:tcPr>
          <w:p w:rsidR="003B34A0" w:rsidRDefault="003B34A0" w:rsidP="00133A7D">
            <w:pPr>
              <w:jc w:val="right"/>
              <w:rPr>
                <w:rFonts w:ascii="Times" w:hAnsi="Times"/>
                <w:sz w:val="22"/>
                <w:szCs w:val="22"/>
                <w:lang w:val="en-GB" w:eastAsia="ko-KR"/>
              </w:rPr>
            </w:pPr>
            <w:r>
              <w:rPr>
                <w:rFonts w:ascii="Times" w:hAnsi="Times"/>
                <w:sz w:val="22"/>
                <w:szCs w:val="22"/>
                <w:lang w:val="en-GB" w:eastAsia="ko-KR"/>
              </w:rPr>
              <w:t>15,000</w:t>
            </w:r>
          </w:p>
        </w:tc>
      </w:tr>
      <w:tr w:rsidR="003B34A0" w:rsidRPr="00CE4CBC" w:rsidTr="00133A7D">
        <w:tc>
          <w:tcPr>
            <w:tcW w:w="4590" w:type="dxa"/>
          </w:tcPr>
          <w:p w:rsidR="003B34A0" w:rsidRDefault="003B34A0" w:rsidP="00133A7D">
            <w:pPr>
              <w:jc w:val="both"/>
              <w:rPr>
                <w:sz w:val="22"/>
                <w:szCs w:val="22"/>
              </w:rPr>
            </w:pPr>
          </w:p>
        </w:tc>
        <w:tc>
          <w:tcPr>
            <w:tcW w:w="238" w:type="dxa"/>
          </w:tcPr>
          <w:p w:rsidR="003B34A0" w:rsidRPr="00CE4CBC" w:rsidRDefault="003B34A0" w:rsidP="00133A7D">
            <w:pPr>
              <w:jc w:val="right"/>
              <w:rPr>
                <w:rFonts w:ascii="Times" w:hAnsi="Times"/>
                <w:sz w:val="22"/>
                <w:szCs w:val="22"/>
                <w:lang w:val="en-GB"/>
              </w:rPr>
            </w:pPr>
          </w:p>
        </w:tc>
        <w:tc>
          <w:tcPr>
            <w:tcW w:w="1652" w:type="dxa"/>
            <w:tcBorders>
              <w:top w:val="single" w:sz="4" w:space="0" w:color="auto"/>
            </w:tcBorders>
            <w:vAlign w:val="bottom"/>
          </w:tcPr>
          <w:p w:rsidR="003B34A0" w:rsidRDefault="003B34A0" w:rsidP="00133A7D">
            <w:pPr>
              <w:jc w:val="right"/>
              <w:rPr>
                <w:rFonts w:ascii="Times" w:hAnsi="Times"/>
                <w:sz w:val="22"/>
                <w:szCs w:val="22"/>
                <w:lang w:val="en-GB" w:eastAsia="ko-KR"/>
              </w:rPr>
            </w:pPr>
          </w:p>
        </w:tc>
        <w:tc>
          <w:tcPr>
            <w:tcW w:w="238" w:type="dxa"/>
          </w:tcPr>
          <w:p w:rsidR="003B34A0" w:rsidRPr="00CE4CBC" w:rsidRDefault="003B34A0" w:rsidP="00133A7D">
            <w:pPr>
              <w:jc w:val="right"/>
              <w:rPr>
                <w:rFonts w:ascii="Times" w:hAnsi="Times"/>
                <w:sz w:val="22"/>
                <w:szCs w:val="22"/>
                <w:lang w:val="en-GB"/>
              </w:rPr>
            </w:pPr>
          </w:p>
        </w:tc>
        <w:tc>
          <w:tcPr>
            <w:tcW w:w="1742" w:type="dxa"/>
            <w:tcBorders>
              <w:top w:val="single" w:sz="4" w:space="0" w:color="auto"/>
            </w:tcBorders>
            <w:vAlign w:val="bottom"/>
          </w:tcPr>
          <w:p w:rsidR="003B34A0" w:rsidRDefault="003B34A0" w:rsidP="00133A7D">
            <w:pPr>
              <w:jc w:val="right"/>
              <w:rPr>
                <w:rFonts w:ascii="Times" w:hAnsi="Times"/>
                <w:sz w:val="22"/>
                <w:szCs w:val="22"/>
                <w:lang w:val="en-GB" w:eastAsia="ko-KR"/>
              </w:rPr>
            </w:pPr>
          </w:p>
        </w:tc>
      </w:tr>
      <w:tr w:rsidR="003B34A0" w:rsidRPr="00CE4CBC" w:rsidTr="00133A7D">
        <w:tc>
          <w:tcPr>
            <w:tcW w:w="4590" w:type="dxa"/>
          </w:tcPr>
          <w:p w:rsidR="003B34A0" w:rsidRDefault="003B34A0" w:rsidP="00133A7D">
            <w:pPr>
              <w:jc w:val="both"/>
              <w:rPr>
                <w:sz w:val="22"/>
                <w:szCs w:val="22"/>
              </w:rPr>
            </w:pPr>
          </w:p>
        </w:tc>
        <w:tc>
          <w:tcPr>
            <w:tcW w:w="238" w:type="dxa"/>
          </w:tcPr>
          <w:p w:rsidR="003B34A0" w:rsidRPr="00CE4CBC" w:rsidRDefault="003B34A0" w:rsidP="00133A7D">
            <w:pPr>
              <w:jc w:val="right"/>
              <w:rPr>
                <w:rFonts w:ascii="Times" w:hAnsi="Times"/>
                <w:sz w:val="22"/>
                <w:szCs w:val="22"/>
                <w:lang w:val="en-GB"/>
              </w:rPr>
            </w:pPr>
          </w:p>
        </w:tc>
        <w:tc>
          <w:tcPr>
            <w:tcW w:w="1652" w:type="dxa"/>
            <w:tcBorders>
              <w:bottom w:val="single" w:sz="12" w:space="0" w:color="auto"/>
            </w:tcBorders>
            <w:vAlign w:val="bottom"/>
          </w:tcPr>
          <w:p w:rsidR="003B34A0" w:rsidRDefault="003B34A0" w:rsidP="00133A7D">
            <w:pPr>
              <w:jc w:val="right"/>
              <w:rPr>
                <w:rFonts w:ascii="Times" w:hAnsi="Times"/>
                <w:sz w:val="22"/>
                <w:szCs w:val="22"/>
                <w:lang w:val="en-GB" w:eastAsia="ko-KR"/>
              </w:rPr>
            </w:pPr>
            <w:r>
              <w:rPr>
                <w:rFonts w:ascii="Times" w:hAnsi="Times"/>
                <w:sz w:val="22"/>
                <w:szCs w:val="22"/>
                <w:lang w:val="en-GB" w:eastAsia="ko-KR"/>
              </w:rPr>
              <w:t>15,000</w:t>
            </w:r>
          </w:p>
        </w:tc>
        <w:tc>
          <w:tcPr>
            <w:tcW w:w="238" w:type="dxa"/>
          </w:tcPr>
          <w:p w:rsidR="003B34A0" w:rsidRPr="00CE4CBC" w:rsidRDefault="003B34A0" w:rsidP="00133A7D">
            <w:pPr>
              <w:jc w:val="right"/>
              <w:rPr>
                <w:rFonts w:ascii="Times" w:hAnsi="Times"/>
                <w:sz w:val="22"/>
                <w:szCs w:val="22"/>
                <w:lang w:val="en-GB"/>
              </w:rPr>
            </w:pPr>
          </w:p>
        </w:tc>
        <w:tc>
          <w:tcPr>
            <w:tcW w:w="1742" w:type="dxa"/>
            <w:tcBorders>
              <w:bottom w:val="single" w:sz="12" w:space="0" w:color="auto"/>
            </w:tcBorders>
            <w:vAlign w:val="bottom"/>
          </w:tcPr>
          <w:p w:rsidR="003B34A0" w:rsidRPr="00CE4CBC" w:rsidRDefault="001C74DA" w:rsidP="00133A7D">
            <w:pPr>
              <w:jc w:val="right"/>
              <w:rPr>
                <w:rFonts w:ascii="Times" w:hAnsi="Times"/>
                <w:sz w:val="22"/>
                <w:szCs w:val="22"/>
                <w:lang w:val="en-GB" w:eastAsia="ko-KR"/>
              </w:rPr>
            </w:pPr>
            <w:r>
              <w:rPr>
                <w:rFonts w:ascii="Times" w:hAnsi="Times"/>
                <w:sz w:val="22"/>
                <w:szCs w:val="22"/>
                <w:lang w:val="en-GB" w:eastAsia="ko-KR"/>
              </w:rPr>
              <w:t>15,000</w:t>
            </w:r>
          </w:p>
        </w:tc>
      </w:tr>
    </w:tbl>
    <w:p w:rsidR="003B34A0" w:rsidRDefault="00291F09" w:rsidP="004F3F54">
      <w:pPr>
        <w:ind w:left="547"/>
        <w:rPr>
          <w:bCs/>
          <w:sz w:val="22"/>
          <w:szCs w:val="22"/>
        </w:rPr>
      </w:pPr>
      <w:r>
        <w:rPr>
          <w:bCs/>
          <w:sz w:val="22"/>
          <w:szCs w:val="22"/>
        </w:rPr>
        <w:br w:type="textWrapping" w:clear="all"/>
      </w:r>
    </w:p>
    <w:p w:rsidR="004F3F54" w:rsidRDefault="004F3F54" w:rsidP="001F0E21">
      <w:pPr>
        <w:rPr>
          <w:bCs/>
          <w:sz w:val="22"/>
          <w:szCs w:val="22"/>
        </w:rPr>
      </w:pPr>
      <w:r>
        <w:rPr>
          <w:bCs/>
          <w:sz w:val="22"/>
          <w:szCs w:val="22"/>
        </w:rPr>
        <w:t xml:space="preserve">These transactions are in the normal course of operations and are measured at the exchange amount, which is the amount of consideration established and agreed to by the related parties. </w:t>
      </w:r>
    </w:p>
    <w:p w:rsidR="0041084B" w:rsidRDefault="0041084B" w:rsidP="004F3F54">
      <w:pPr>
        <w:ind w:left="547"/>
        <w:rPr>
          <w:bCs/>
          <w:sz w:val="22"/>
          <w:szCs w:val="22"/>
        </w:rPr>
      </w:pPr>
    </w:p>
    <w:p w:rsidR="004F3F54" w:rsidRPr="004F73DB" w:rsidRDefault="004F3F54" w:rsidP="001F0E21">
      <w:pPr>
        <w:jc w:val="both"/>
        <w:rPr>
          <w:b/>
          <w:sz w:val="22"/>
          <w:szCs w:val="22"/>
        </w:rPr>
      </w:pPr>
      <w:r w:rsidRPr="004F73DB">
        <w:rPr>
          <w:rFonts w:hint="eastAsia"/>
          <w:b/>
          <w:sz w:val="22"/>
          <w:szCs w:val="22"/>
        </w:rPr>
        <w:t>Due from/to related parties</w:t>
      </w:r>
    </w:p>
    <w:p w:rsidR="004F3F54" w:rsidRPr="004F73DB" w:rsidRDefault="004F3F54" w:rsidP="004F3F54">
      <w:pPr>
        <w:ind w:left="533"/>
        <w:jc w:val="both"/>
        <w:rPr>
          <w:sz w:val="22"/>
          <w:szCs w:val="22"/>
        </w:rPr>
      </w:pPr>
      <w:r w:rsidRPr="004F73DB">
        <w:rPr>
          <w:rFonts w:hint="eastAsia"/>
          <w:sz w:val="22"/>
          <w:szCs w:val="22"/>
        </w:rPr>
        <w:tab/>
      </w:r>
    </w:p>
    <w:p w:rsidR="004F3F54" w:rsidRPr="004F73DB" w:rsidRDefault="004F3F54" w:rsidP="001F0E21">
      <w:pPr>
        <w:jc w:val="both"/>
        <w:rPr>
          <w:sz w:val="22"/>
          <w:szCs w:val="22"/>
        </w:rPr>
      </w:pPr>
      <w:r w:rsidRPr="004F73DB">
        <w:rPr>
          <w:rFonts w:hint="eastAsia"/>
          <w:sz w:val="22"/>
          <w:szCs w:val="22"/>
        </w:rPr>
        <w:t>The assets of the Company include the following amounts due from related parties</w:t>
      </w:r>
      <w:r>
        <w:rPr>
          <w:sz w:val="22"/>
          <w:szCs w:val="22"/>
        </w:rPr>
        <w:t xml:space="preserve"> (Note 5)</w:t>
      </w:r>
      <w:r w:rsidRPr="004F73DB">
        <w:rPr>
          <w:rFonts w:hint="eastAsia"/>
          <w:sz w:val="22"/>
          <w:szCs w:val="22"/>
        </w:rPr>
        <w:t>:</w:t>
      </w:r>
    </w:p>
    <w:p w:rsidR="004F3F54" w:rsidRPr="00913F44" w:rsidRDefault="004F3F54" w:rsidP="004F3F54">
      <w:pPr>
        <w:ind w:left="720"/>
        <w:jc w:val="both"/>
        <w:rPr>
          <w:sz w:val="22"/>
          <w:szCs w:val="22"/>
        </w:rPr>
      </w:pP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1710"/>
        <w:gridCol w:w="236"/>
        <w:gridCol w:w="1654"/>
      </w:tblGrid>
      <w:tr w:rsidR="004F3F54" w:rsidRPr="00913F44" w:rsidTr="008E1D55">
        <w:tc>
          <w:tcPr>
            <w:tcW w:w="5220" w:type="dxa"/>
          </w:tcPr>
          <w:p w:rsidR="004F3F54" w:rsidRPr="008E1D55" w:rsidRDefault="004F3F54" w:rsidP="004F3F54">
            <w:pPr>
              <w:ind w:left="-108"/>
              <w:jc w:val="both"/>
              <w:rPr>
                <w:rFonts w:ascii="Times New Roman" w:hAnsi="Times New Roman"/>
              </w:rPr>
            </w:pPr>
          </w:p>
        </w:tc>
        <w:tc>
          <w:tcPr>
            <w:tcW w:w="1710" w:type="dxa"/>
            <w:vAlign w:val="bottom"/>
          </w:tcPr>
          <w:p w:rsidR="004F3F54" w:rsidRPr="00141554" w:rsidRDefault="004F3F54" w:rsidP="004F3F54">
            <w:pPr>
              <w:ind w:left="-108"/>
              <w:jc w:val="right"/>
              <w:rPr>
                <w:rFonts w:ascii="Times New Roman" w:hAnsi="Times New Roman"/>
                <w:b/>
              </w:rPr>
            </w:pPr>
            <w:r w:rsidRPr="00141554">
              <w:rPr>
                <w:rFonts w:ascii="Times New Roman" w:hAnsi="Times New Roman"/>
                <w:b/>
              </w:rPr>
              <w:t xml:space="preserve">As at </w:t>
            </w:r>
            <w:r w:rsidR="00141554">
              <w:rPr>
                <w:rFonts w:ascii="Times New Roman" w:hAnsi="Times New Roman"/>
                <w:b/>
              </w:rPr>
              <w:t>30</w:t>
            </w:r>
            <w:r w:rsidRPr="00141554">
              <w:rPr>
                <w:rFonts w:ascii="Times New Roman" w:hAnsi="Times New Roman"/>
                <w:b/>
              </w:rPr>
              <w:t xml:space="preserve"> </w:t>
            </w:r>
          </w:p>
          <w:p w:rsidR="004F3F54" w:rsidRPr="00141554" w:rsidRDefault="00141554" w:rsidP="004F3F54">
            <w:pPr>
              <w:ind w:left="-108"/>
              <w:jc w:val="right"/>
              <w:rPr>
                <w:rFonts w:ascii="Times New Roman" w:hAnsi="Times New Roman"/>
                <w:b/>
              </w:rPr>
            </w:pPr>
            <w:r>
              <w:rPr>
                <w:rFonts w:ascii="Times New Roman" w:hAnsi="Times New Roman"/>
                <w:b/>
              </w:rPr>
              <w:t>April</w:t>
            </w:r>
            <w:r w:rsidR="00E6076B" w:rsidRPr="00141554">
              <w:rPr>
                <w:rFonts w:ascii="Times New Roman" w:hAnsi="Times New Roman"/>
                <w:b/>
              </w:rPr>
              <w:t xml:space="preserve"> </w:t>
            </w:r>
            <w:r w:rsidR="007F249E">
              <w:rPr>
                <w:rFonts w:ascii="Times New Roman" w:hAnsi="Times New Roman"/>
                <w:b/>
              </w:rPr>
              <w:t>2015</w:t>
            </w:r>
          </w:p>
          <w:p w:rsidR="004F3F54" w:rsidRPr="00141554" w:rsidRDefault="004F3F54" w:rsidP="004F3F54">
            <w:pPr>
              <w:ind w:left="-108"/>
              <w:jc w:val="right"/>
              <w:rPr>
                <w:rFonts w:ascii="Times New Roman" w:hAnsi="Times New Roman"/>
                <w:b/>
              </w:rPr>
            </w:pPr>
            <w:r w:rsidRPr="00141554">
              <w:rPr>
                <w:rFonts w:ascii="Times New Roman" w:hAnsi="Times New Roman"/>
                <w:b/>
              </w:rPr>
              <w:t>$</w:t>
            </w:r>
          </w:p>
        </w:tc>
        <w:tc>
          <w:tcPr>
            <w:tcW w:w="236" w:type="dxa"/>
          </w:tcPr>
          <w:p w:rsidR="004F3F54" w:rsidRPr="008E1D55" w:rsidRDefault="004F3F54" w:rsidP="004F3F54">
            <w:pPr>
              <w:ind w:left="-108"/>
              <w:jc w:val="right"/>
              <w:rPr>
                <w:rFonts w:ascii="Times New Roman" w:hAnsi="Times New Roman"/>
                <w:b/>
              </w:rPr>
            </w:pPr>
          </w:p>
        </w:tc>
        <w:tc>
          <w:tcPr>
            <w:tcW w:w="1654" w:type="dxa"/>
            <w:vAlign w:val="bottom"/>
          </w:tcPr>
          <w:p w:rsidR="004F3F54" w:rsidRPr="00141554" w:rsidRDefault="001C74DA" w:rsidP="004F3F54">
            <w:pPr>
              <w:ind w:left="-108"/>
              <w:jc w:val="right"/>
              <w:rPr>
                <w:rFonts w:ascii="Times New Roman" w:hAnsi="Times New Roman"/>
                <w:b/>
              </w:rPr>
            </w:pPr>
            <w:r>
              <w:rPr>
                <w:rFonts w:ascii="Times New Roman" w:hAnsi="Times New Roman"/>
                <w:b/>
              </w:rPr>
              <w:t>As at 31</w:t>
            </w:r>
            <w:r w:rsidR="004F3F54" w:rsidRPr="00141554">
              <w:rPr>
                <w:rFonts w:ascii="Times New Roman" w:hAnsi="Times New Roman"/>
                <w:b/>
              </w:rPr>
              <w:t xml:space="preserve"> </w:t>
            </w:r>
          </w:p>
          <w:p w:rsidR="004F3F54" w:rsidRPr="00141554" w:rsidRDefault="001C74DA" w:rsidP="004F3F54">
            <w:pPr>
              <w:ind w:left="-108"/>
              <w:jc w:val="right"/>
              <w:rPr>
                <w:rFonts w:ascii="Times New Roman" w:hAnsi="Times New Roman"/>
                <w:b/>
              </w:rPr>
            </w:pPr>
            <w:r>
              <w:rPr>
                <w:rFonts w:ascii="Times New Roman" w:hAnsi="Times New Roman"/>
                <w:b/>
              </w:rPr>
              <w:t>January 2015</w:t>
            </w:r>
          </w:p>
          <w:p w:rsidR="00811F71" w:rsidRPr="00141554" w:rsidRDefault="00811F71" w:rsidP="004F3F54">
            <w:pPr>
              <w:ind w:left="-108"/>
              <w:jc w:val="right"/>
              <w:rPr>
                <w:rFonts w:ascii="Times New Roman" w:hAnsi="Times New Roman"/>
                <w:b/>
              </w:rPr>
            </w:pPr>
            <w:r w:rsidRPr="00141554">
              <w:rPr>
                <w:rFonts w:ascii="Times New Roman" w:hAnsi="Times New Roman"/>
                <w:b/>
              </w:rPr>
              <w:t>(Audited)</w:t>
            </w:r>
          </w:p>
          <w:p w:rsidR="004F3F54" w:rsidRPr="00141554" w:rsidRDefault="004F3F54" w:rsidP="004F3F54">
            <w:pPr>
              <w:ind w:left="-108"/>
              <w:jc w:val="right"/>
              <w:rPr>
                <w:rFonts w:ascii="Times New Roman" w:hAnsi="Times New Roman"/>
                <w:b/>
              </w:rPr>
            </w:pPr>
            <w:r w:rsidRPr="00141554">
              <w:rPr>
                <w:rFonts w:ascii="Times New Roman" w:hAnsi="Times New Roman"/>
                <w:b/>
              </w:rPr>
              <w:t>$</w:t>
            </w:r>
          </w:p>
        </w:tc>
      </w:tr>
      <w:tr w:rsidR="004F3F54" w:rsidRPr="00913F44" w:rsidTr="008E1D55">
        <w:tc>
          <w:tcPr>
            <w:tcW w:w="5220" w:type="dxa"/>
          </w:tcPr>
          <w:p w:rsidR="004F3F54" w:rsidRPr="008E1D55" w:rsidRDefault="004F3F54" w:rsidP="004F3F54">
            <w:pPr>
              <w:ind w:left="-108"/>
              <w:jc w:val="both"/>
              <w:rPr>
                <w:rFonts w:ascii="Times New Roman" w:hAnsi="Times New Roman"/>
              </w:rPr>
            </w:pPr>
          </w:p>
        </w:tc>
        <w:tc>
          <w:tcPr>
            <w:tcW w:w="1710" w:type="dxa"/>
            <w:shd w:val="clear" w:color="auto" w:fill="auto"/>
            <w:vAlign w:val="bottom"/>
          </w:tcPr>
          <w:p w:rsidR="004F3F54" w:rsidRPr="008E1D55" w:rsidRDefault="004F3F54" w:rsidP="004F3F54">
            <w:pPr>
              <w:tabs>
                <w:tab w:val="decimal" w:pos="1224"/>
              </w:tabs>
              <w:ind w:left="-108"/>
              <w:rPr>
                <w:rFonts w:ascii="Times New Roman" w:hAnsi="Times New Roman"/>
              </w:rPr>
            </w:pPr>
          </w:p>
        </w:tc>
        <w:tc>
          <w:tcPr>
            <w:tcW w:w="236" w:type="dxa"/>
          </w:tcPr>
          <w:p w:rsidR="004F3F54" w:rsidRPr="008E1D55" w:rsidRDefault="004F3F54" w:rsidP="004F3F54">
            <w:pPr>
              <w:tabs>
                <w:tab w:val="decimal" w:pos="1224"/>
              </w:tabs>
              <w:ind w:left="-108"/>
              <w:rPr>
                <w:rFonts w:ascii="Times New Roman" w:hAnsi="Times New Roman"/>
              </w:rPr>
            </w:pPr>
          </w:p>
        </w:tc>
        <w:tc>
          <w:tcPr>
            <w:tcW w:w="1654" w:type="dxa"/>
            <w:vAlign w:val="bottom"/>
          </w:tcPr>
          <w:p w:rsidR="004F3F54" w:rsidRPr="008E1D55" w:rsidRDefault="004F3F54" w:rsidP="004F3F54">
            <w:pPr>
              <w:tabs>
                <w:tab w:val="decimal" w:pos="1224"/>
              </w:tabs>
              <w:ind w:left="-108"/>
              <w:rPr>
                <w:rFonts w:ascii="Times New Roman" w:hAnsi="Times New Roman"/>
              </w:rPr>
            </w:pPr>
          </w:p>
        </w:tc>
      </w:tr>
      <w:tr w:rsidR="004F3F54" w:rsidRPr="00141554" w:rsidTr="004F3F54">
        <w:tc>
          <w:tcPr>
            <w:tcW w:w="5220" w:type="dxa"/>
          </w:tcPr>
          <w:p w:rsidR="004F3F54" w:rsidRDefault="004F3F54" w:rsidP="004F3F54">
            <w:pPr>
              <w:ind w:left="-108"/>
              <w:jc w:val="both"/>
              <w:rPr>
                <w:rFonts w:ascii="Times New Roman" w:hAnsi="Times New Roman"/>
              </w:rPr>
            </w:pPr>
            <w:r w:rsidRPr="00141554">
              <w:rPr>
                <w:rFonts w:ascii="Times New Roman" w:hAnsi="Times New Roman"/>
              </w:rPr>
              <w:t>An officer of the Company</w:t>
            </w:r>
          </w:p>
          <w:p w:rsidR="001C74DA" w:rsidRPr="00141554" w:rsidRDefault="001C74DA" w:rsidP="004F3F54">
            <w:pPr>
              <w:ind w:left="-108"/>
              <w:jc w:val="both"/>
              <w:rPr>
                <w:rFonts w:ascii="Times New Roman" w:hAnsi="Times New Roman"/>
              </w:rPr>
            </w:pPr>
            <w:r>
              <w:rPr>
                <w:rFonts w:ascii="Times New Roman" w:hAnsi="Times New Roman"/>
              </w:rPr>
              <w:t>A director of the Company</w:t>
            </w:r>
          </w:p>
        </w:tc>
        <w:tc>
          <w:tcPr>
            <w:tcW w:w="1710" w:type="dxa"/>
            <w:tcBorders>
              <w:bottom w:val="single" w:sz="4" w:space="0" w:color="auto"/>
            </w:tcBorders>
            <w:shd w:val="clear" w:color="auto" w:fill="auto"/>
            <w:vAlign w:val="bottom"/>
          </w:tcPr>
          <w:p w:rsidR="004F3F54" w:rsidRPr="001C74DA" w:rsidRDefault="007F249E" w:rsidP="004F3F54">
            <w:pPr>
              <w:tabs>
                <w:tab w:val="right" w:pos="1224"/>
              </w:tabs>
              <w:ind w:left="-108"/>
              <w:jc w:val="right"/>
              <w:rPr>
                <w:rFonts w:ascii="Times New Roman" w:hAnsi="Times New Roman"/>
                <w:highlight w:val="yellow"/>
              </w:rPr>
            </w:pPr>
            <w:r>
              <w:rPr>
                <w:rFonts w:ascii="Times New Roman" w:hAnsi="Times New Roman"/>
              </w:rPr>
              <w:t>33,484</w:t>
            </w:r>
          </w:p>
          <w:p w:rsidR="001C74DA" w:rsidRPr="00141554" w:rsidRDefault="007F249E" w:rsidP="004F3F54">
            <w:pPr>
              <w:tabs>
                <w:tab w:val="right" w:pos="1224"/>
              </w:tabs>
              <w:ind w:left="-108"/>
              <w:jc w:val="right"/>
              <w:rPr>
                <w:rFonts w:ascii="Times New Roman" w:hAnsi="Times New Roman"/>
              </w:rPr>
            </w:pPr>
            <w:r w:rsidRPr="007F249E">
              <w:rPr>
                <w:rFonts w:ascii="Times New Roman" w:hAnsi="Times New Roman"/>
              </w:rPr>
              <w:t>(4,</w:t>
            </w:r>
            <w:r w:rsidR="001C74DA">
              <w:rPr>
                <w:rFonts w:ascii="Times New Roman" w:hAnsi="Times New Roman"/>
              </w:rPr>
              <w:t>054)</w:t>
            </w:r>
          </w:p>
        </w:tc>
        <w:tc>
          <w:tcPr>
            <w:tcW w:w="236" w:type="dxa"/>
          </w:tcPr>
          <w:p w:rsidR="004F3F54" w:rsidRPr="00141554" w:rsidRDefault="004F3F54" w:rsidP="004F3F54">
            <w:pPr>
              <w:tabs>
                <w:tab w:val="right" w:pos="1224"/>
              </w:tabs>
              <w:ind w:left="-108"/>
              <w:jc w:val="right"/>
              <w:rPr>
                <w:rFonts w:ascii="Times New Roman" w:hAnsi="Times New Roman"/>
              </w:rPr>
            </w:pPr>
          </w:p>
        </w:tc>
        <w:tc>
          <w:tcPr>
            <w:tcW w:w="1654" w:type="dxa"/>
            <w:tcBorders>
              <w:bottom w:val="single" w:sz="4" w:space="0" w:color="auto"/>
            </w:tcBorders>
            <w:vAlign w:val="bottom"/>
          </w:tcPr>
          <w:p w:rsidR="004F3F54" w:rsidRDefault="001C74DA" w:rsidP="004F3F54">
            <w:pPr>
              <w:tabs>
                <w:tab w:val="right" w:pos="1224"/>
              </w:tabs>
              <w:ind w:left="-108"/>
              <w:jc w:val="right"/>
              <w:rPr>
                <w:rFonts w:ascii="Times New Roman" w:hAnsi="Times New Roman"/>
              </w:rPr>
            </w:pPr>
            <w:r>
              <w:rPr>
                <w:rFonts w:ascii="Times New Roman" w:hAnsi="Times New Roman"/>
              </w:rPr>
              <w:t>29,457</w:t>
            </w:r>
          </w:p>
          <w:p w:rsidR="001C74DA" w:rsidRPr="00141554" w:rsidRDefault="001C74DA" w:rsidP="004F3F54">
            <w:pPr>
              <w:tabs>
                <w:tab w:val="right" w:pos="1224"/>
              </w:tabs>
              <w:ind w:left="-108"/>
              <w:jc w:val="right"/>
              <w:rPr>
                <w:rFonts w:ascii="Times New Roman" w:hAnsi="Times New Roman"/>
              </w:rPr>
            </w:pPr>
            <w:r>
              <w:rPr>
                <w:rFonts w:ascii="Times New Roman" w:hAnsi="Times New Roman"/>
              </w:rPr>
              <w:t>(4,054)</w:t>
            </w:r>
          </w:p>
        </w:tc>
      </w:tr>
      <w:tr w:rsidR="004F3F54" w:rsidRPr="00141554" w:rsidTr="004F3F54">
        <w:tc>
          <w:tcPr>
            <w:tcW w:w="5220" w:type="dxa"/>
          </w:tcPr>
          <w:p w:rsidR="004F3F54" w:rsidRPr="00141554" w:rsidRDefault="004F3F54" w:rsidP="004F3F54">
            <w:pPr>
              <w:ind w:left="-108"/>
              <w:jc w:val="both"/>
              <w:rPr>
                <w:rFonts w:ascii="Times New Roman" w:hAnsi="Times New Roman"/>
              </w:rPr>
            </w:pPr>
          </w:p>
        </w:tc>
        <w:tc>
          <w:tcPr>
            <w:tcW w:w="1710" w:type="dxa"/>
            <w:tcBorders>
              <w:top w:val="single" w:sz="4" w:space="0" w:color="auto"/>
            </w:tcBorders>
            <w:shd w:val="clear" w:color="auto" w:fill="auto"/>
            <w:vAlign w:val="bottom"/>
          </w:tcPr>
          <w:p w:rsidR="004F3F54" w:rsidRPr="00141554" w:rsidRDefault="004F3F54" w:rsidP="004F3F54">
            <w:pPr>
              <w:tabs>
                <w:tab w:val="decimal" w:pos="1224"/>
              </w:tabs>
              <w:ind w:left="-108"/>
              <w:rPr>
                <w:rFonts w:ascii="Times New Roman" w:hAnsi="Times New Roman"/>
              </w:rPr>
            </w:pPr>
          </w:p>
        </w:tc>
        <w:tc>
          <w:tcPr>
            <w:tcW w:w="236" w:type="dxa"/>
          </w:tcPr>
          <w:p w:rsidR="004F3F54" w:rsidRPr="00141554" w:rsidRDefault="004F3F54" w:rsidP="004F3F54">
            <w:pPr>
              <w:tabs>
                <w:tab w:val="decimal" w:pos="1224"/>
              </w:tabs>
              <w:ind w:left="-108"/>
              <w:rPr>
                <w:rFonts w:ascii="Times New Roman" w:hAnsi="Times New Roman"/>
              </w:rPr>
            </w:pPr>
          </w:p>
        </w:tc>
        <w:tc>
          <w:tcPr>
            <w:tcW w:w="1654" w:type="dxa"/>
            <w:tcBorders>
              <w:top w:val="single" w:sz="4" w:space="0" w:color="auto"/>
            </w:tcBorders>
            <w:vAlign w:val="bottom"/>
          </w:tcPr>
          <w:p w:rsidR="004F3F54" w:rsidRPr="00141554" w:rsidRDefault="004F3F54" w:rsidP="004F3F54">
            <w:pPr>
              <w:tabs>
                <w:tab w:val="decimal" w:pos="1224"/>
              </w:tabs>
              <w:ind w:left="-108"/>
              <w:rPr>
                <w:rFonts w:ascii="Times New Roman" w:hAnsi="Times New Roman"/>
              </w:rPr>
            </w:pPr>
          </w:p>
        </w:tc>
      </w:tr>
      <w:tr w:rsidR="004F3F54" w:rsidRPr="00141554" w:rsidTr="004F3F54">
        <w:tc>
          <w:tcPr>
            <w:tcW w:w="5220" w:type="dxa"/>
          </w:tcPr>
          <w:p w:rsidR="004F3F54" w:rsidRPr="00141554" w:rsidRDefault="004F3F54" w:rsidP="004F3F54">
            <w:pPr>
              <w:ind w:left="-108"/>
              <w:jc w:val="both"/>
              <w:rPr>
                <w:rFonts w:ascii="Times New Roman" w:hAnsi="Times New Roman"/>
              </w:rPr>
            </w:pPr>
            <w:r w:rsidRPr="00141554">
              <w:rPr>
                <w:rFonts w:ascii="Times New Roman" w:hAnsi="Times New Roman"/>
              </w:rPr>
              <w:t>Total amount due from related parties</w:t>
            </w:r>
          </w:p>
        </w:tc>
        <w:tc>
          <w:tcPr>
            <w:tcW w:w="1710" w:type="dxa"/>
            <w:tcBorders>
              <w:bottom w:val="single" w:sz="12" w:space="0" w:color="auto"/>
            </w:tcBorders>
            <w:shd w:val="clear" w:color="auto" w:fill="auto"/>
            <w:vAlign w:val="bottom"/>
          </w:tcPr>
          <w:p w:rsidR="004F3F54" w:rsidRPr="00141554" w:rsidRDefault="007F249E" w:rsidP="007F249E">
            <w:pPr>
              <w:tabs>
                <w:tab w:val="right" w:pos="1224"/>
              </w:tabs>
              <w:ind w:left="-108"/>
              <w:jc w:val="right"/>
              <w:rPr>
                <w:rFonts w:ascii="Times New Roman" w:hAnsi="Times New Roman"/>
              </w:rPr>
            </w:pPr>
            <w:r>
              <w:rPr>
                <w:rFonts w:ascii="Times New Roman" w:hAnsi="Times New Roman"/>
              </w:rPr>
              <w:t>29,430</w:t>
            </w:r>
          </w:p>
        </w:tc>
        <w:tc>
          <w:tcPr>
            <w:tcW w:w="236" w:type="dxa"/>
          </w:tcPr>
          <w:p w:rsidR="004F3F54" w:rsidRPr="00141554" w:rsidRDefault="004F3F54" w:rsidP="004F3F54">
            <w:pPr>
              <w:tabs>
                <w:tab w:val="decimal" w:pos="1224"/>
              </w:tabs>
              <w:ind w:left="-108"/>
              <w:rPr>
                <w:rFonts w:ascii="Times New Roman" w:hAnsi="Times New Roman"/>
              </w:rPr>
            </w:pPr>
          </w:p>
        </w:tc>
        <w:tc>
          <w:tcPr>
            <w:tcW w:w="1654" w:type="dxa"/>
            <w:tcBorders>
              <w:bottom w:val="single" w:sz="12" w:space="0" w:color="auto"/>
            </w:tcBorders>
            <w:vAlign w:val="bottom"/>
          </w:tcPr>
          <w:p w:rsidR="004F3F54" w:rsidRPr="00141554" w:rsidRDefault="001C74DA" w:rsidP="004F3F54">
            <w:pPr>
              <w:tabs>
                <w:tab w:val="right" w:pos="1224"/>
              </w:tabs>
              <w:ind w:left="-108"/>
              <w:jc w:val="right"/>
              <w:rPr>
                <w:rFonts w:ascii="Times New Roman" w:hAnsi="Times New Roman"/>
              </w:rPr>
            </w:pPr>
            <w:r>
              <w:rPr>
                <w:rFonts w:ascii="Times New Roman" w:hAnsi="Times New Roman"/>
              </w:rPr>
              <w:t>25,403</w:t>
            </w:r>
          </w:p>
        </w:tc>
      </w:tr>
    </w:tbl>
    <w:p w:rsidR="004F3F54" w:rsidRDefault="004F3F54" w:rsidP="00921702">
      <w:pPr>
        <w:ind w:left="540"/>
        <w:jc w:val="both"/>
        <w:rPr>
          <w:sz w:val="22"/>
          <w:szCs w:val="22"/>
        </w:rPr>
      </w:pPr>
    </w:p>
    <w:p w:rsidR="001F0E21" w:rsidRPr="001F0E21" w:rsidRDefault="001F0E21" w:rsidP="001F0E21">
      <w:pPr>
        <w:jc w:val="both"/>
        <w:rPr>
          <w:sz w:val="22"/>
          <w:szCs w:val="22"/>
        </w:rPr>
      </w:pPr>
      <w:r w:rsidRPr="001F0E21">
        <w:rPr>
          <w:bCs/>
          <w:sz w:val="22"/>
          <w:szCs w:val="22"/>
        </w:rPr>
        <w:t xml:space="preserve">The balance due from an officer of the Company as at 30 April 2015 relates to the employee portion of </w:t>
      </w:r>
      <w:proofErr w:type="spellStart"/>
      <w:r w:rsidRPr="001F0E21">
        <w:rPr>
          <w:bCs/>
          <w:sz w:val="22"/>
          <w:szCs w:val="22"/>
        </w:rPr>
        <w:t>statuatory</w:t>
      </w:r>
      <w:proofErr w:type="spellEnd"/>
      <w:r w:rsidRPr="001F0E21">
        <w:rPr>
          <w:bCs/>
          <w:sz w:val="22"/>
          <w:szCs w:val="22"/>
        </w:rPr>
        <w:t xml:space="preserve"> withholding amounts associated with changing the method of remuneration of the officer to an employee from a contractor. This amount was repaid to the Company by the officer o</w:t>
      </w:r>
      <w:r w:rsidRPr="001F0E21">
        <w:rPr>
          <w:sz w:val="22"/>
          <w:szCs w:val="22"/>
        </w:rPr>
        <w:t>n 1 June 2015.</w:t>
      </w:r>
    </w:p>
    <w:p w:rsidR="008656A9" w:rsidRDefault="008656A9" w:rsidP="00921702">
      <w:pPr>
        <w:ind w:left="540"/>
        <w:jc w:val="both"/>
        <w:rPr>
          <w:sz w:val="22"/>
          <w:szCs w:val="22"/>
        </w:rPr>
      </w:pPr>
    </w:p>
    <w:bookmarkEnd w:id="9"/>
    <w:bookmarkEnd w:id="10"/>
    <w:p w:rsidR="00FD623E" w:rsidRPr="002E32C9" w:rsidRDefault="00FD623E" w:rsidP="002E32C9">
      <w:pPr>
        <w:pStyle w:val="Par1"/>
        <w:keepNext w:val="0"/>
        <w:numPr>
          <w:ilvl w:val="0"/>
          <w:numId w:val="2"/>
        </w:numPr>
        <w:spacing w:after="0"/>
        <w:outlineLvl w:val="9"/>
        <w:rPr>
          <w:bCs/>
          <w:sz w:val="22"/>
          <w:szCs w:val="22"/>
        </w:rPr>
      </w:pPr>
      <w:r w:rsidRPr="002E32C9">
        <w:rPr>
          <w:bCs/>
          <w:sz w:val="22"/>
          <w:szCs w:val="22"/>
        </w:rPr>
        <w:t>Capital Management</w:t>
      </w:r>
    </w:p>
    <w:p w:rsidR="00FD623E" w:rsidRDefault="00FD623E" w:rsidP="00FD623E">
      <w:pPr>
        <w:ind w:left="540"/>
        <w:rPr>
          <w:rFonts w:ascii="Times" w:hAnsi="Times"/>
          <w:sz w:val="22"/>
          <w:szCs w:val="22"/>
          <w:lang w:val="en-CA"/>
        </w:rPr>
      </w:pPr>
    </w:p>
    <w:p w:rsidR="00FD623E" w:rsidRDefault="00FD623E" w:rsidP="00FD623E">
      <w:pPr>
        <w:pStyle w:val="BodyText2"/>
        <w:tabs>
          <w:tab w:val="left" w:pos="720"/>
        </w:tabs>
        <w:ind w:left="540"/>
        <w:jc w:val="both"/>
        <w:rPr>
          <w:sz w:val="22"/>
          <w:szCs w:val="22"/>
        </w:rPr>
      </w:pPr>
      <w:r>
        <w:rPr>
          <w:sz w:val="22"/>
          <w:szCs w:val="22"/>
        </w:rPr>
        <w:t xml:space="preserve">Capital under management is considered to be the Company’s shareholders’ equity and any debt that it may issue. As at </w:t>
      </w:r>
      <w:r w:rsidR="006272E3">
        <w:rPr>
          <w:sz w:val="22"/>
          <w:szCs w:val="22"/>
        </w:rPr>
        <w:t>30</w:t>
      </w:r>
      <w:r w:rsidR="0024416F">
        <w:rPr>
          <w:sz w:val="22"/>
          <w:szCs w:val="22"/>
        </w:rPr>
        <w:t xml:space="preserve"> </w:t>
      </w:r>
      <w:r w:rsidR="006272E3">
        <w:rPr>
          <w:sz w:val="22"/>
          <w:szCs w:val="22"/>
        </w:rPr>
        <w:t>April</w:t>
      </w:r>
      <w:r w:rsidR="0024416F">
        <w:rPr>
          <w:sz w:val="22"/>
          <w:szCs w:val="22"/>
        </w:rPr>
        <w:t xml:space="preserve"> </w:t>
      </w:r>
      <w:r w:rsidR="00E357E8">
        <w:rPr>
          <w:sz w:val="22"/>
          <w:szCs w:val="22"/>
        </w:rPr>
        <w:t>201</w:t>
      </w:r>
      <w:r w:rsidR="001C74DA">
        <w:rPr>
          <w:sz w:val="22"/>
          <w:szCs w:val="22"/>
        </w:rPr>
        <w:t>5</w:t>
      </w:r>
      <w:r>
        <w:rPr>
          <w:sz w:val="22"/>
          <w:szCs w:val="22"/>
        </w:rPr>
        <w:t xml:space="preserve">, the Company’s shareholders’ equity </w:t>
      </w:r>
      <w:r w:rsidR="007F249E">
        <w:rPr>
          <w:sz w:val="22"/>
          <w:szCs w:val="22"/>
        </w:rPr>
        <w:t>deficit of</w:t>
      </w:r>
      <w:r>
        <w:rPr>
          <w:sz w:val="22"/>
          <w:szCs w:val="22"/>
        </w:rPr>
        <w:t xml:space="preserve"> $</w:t>
      </w:r>
      <w:r w:rsidR="007F249E" w:rsidRPr="007F249E">
        <w:rPr>
          <w:sz w:val="22"/>
          <w:szCs w:val="22"/>
        </w:rPr>
        <w:t>24</w:t>
      </w:r>
      <w:r w:rsidR="007F249E">
        <w:rPr>
          <w:sz w:val="22"/>
          <w:szCs w:val="22"/>
        </w:rPr>
        <w:t>,817</w:t>
      </w:r>
      <w:r w:rsidR="00AD69C5">
        <w:rPr>
          <w:sz w:val="22"/>
          <w:szCs w:val="22"/>
        </w:rPr>
        <w:t xml:space="preserve"> </w:t>
      </w:r>
      <w:r>
        <w:rPr>
          <w:sz w:val="22"/>
          <w:szCs w:val="22"/>
        </w:rPr>
        <w:t>and it had no long-term debt. The Company’s objectives when managing capital are to maintain financial strength and to protect its ability to meet its on-going liabilities, to continue as a going concern, to maintain creditworthiness and to maximize returns for shareholders over the long term. Protecting the ability to pay current and future liabilities includes maintaining capital above minimum regulatory levels, current financial strength rating requirements and internally determined capital guidelines and calculated risk management levels. The capital for expansion was mostly from proceeds from the issuance of common shares.</w:t>
      </w:r>
      <w:r w:rsidR="00410EB1">
        <w:rPr>
          <w:sz w:val="22"/>
          <w:szCs w:val="22"/>
        </w:rPr>
        <w:t xml:space="preserve"> </w:t>
      </w:r>
      <w:r w:rsidR="00410EB1" w:rsidRPr="00780F8D">
        <w:rPr>
          <w:sz w:val="22"/>
          <w:szCs w:val="22"/>
        </w:rPr>
        <w:t>This strate</w:t>
      </w:r>
      <w:r w:rsidR="00410EB1">
        <w:rPr>
          <w:sz w:val="22"/>
          <w:szCs w:val="22"/>
        </w:rPr>
        <w:t>gy is unchanged from fiscal 201</w:t>
      </w:r>
      <w:r w:rsidR="001C74DA">
        <w:rPr>
          <w:sz w:val="22"/>
          <w:szCs w:val="22"/>
        </w:rPr>
        <w:t>5</w:t>
      </w:r>
      <w:r w:rsidR="00410EB1">
        <w:rPr>
          <w:sz w:val="22"/>
          <w:szCs w:val="22"/>
        </w:rPr>
        <w:t>.</w:t>
      </w:r>
    </w:p>
    <w:p w:rsidR="00FD623E" w:rsidRDefault="00FD623E" w:rsidP="00FD623E">
      <w:pPr>
        <w:pStyle w:val="BodyText2"/>
        <w:tabs>
          <w:tab w:val="left" w:pos="720"/>
        </w:tabs>
        <w:ind w:left="540"/>
        <w:jc w:val="both"/>
        <w:rPr>
          <w:sz w:val="22"/>
          <w:szCs w:val="22"/>
        </w:rPr>
      </w:pPr>
    </w:p>
    <w:p w:rsidR="00FD623E" w:rsidRDefault="00FD623E" w:rsidP="00FD623E">
      <w:pPr>
        <w:tabs>
          <w:tab w:val="left" w:pos="450"/>
          <w:tab w:val="left" w:pos="540"/>
        </w:tabs>
        <w:ind w:left="540"/>
        <w:jc w:val="both"/>
        <w:rPr>
          <w:sz w:val="22"/>
          <w:szCs w:val="22"/>
        </w:rPr>
      </w:pPr>
      <w:r>
        <w:rPr>
          <w:sz w:val="22"/>
          <w:szCs w:val="22"/>
        </w:rPr>
        <w:t>The Company is not subject to externally imposed capital requirements.</w:t>
      </w:r>
    </w:p>
    <w:p w:rsidR="00974956" w:rsidRDefault="00974956" w:rsidP="00974956">
      <w:pPr>
        <w:pStyle w:val="Par1"/>
        <w:keepNext w:val="0"/>
        <w:numPr>
          <w:ilvl w:val="0"/>
          <w:numId w:val="0"/>
        </w:numPr>
        <w:spacing w:after="0"/>
        <w:ind w:left="547"/>
        <w:outlineLvl w:val="9"/>
        <w:rPr>
          <w:sz w:val="22"/>
          <w:szCs w:val="22"/>
        </w:rPr>
      </w:pPr>
    </w:p>
    <w:p w:rsidR="006272E3" w:rsidRDefault="006272E3" w:rsidP="006272E3">
      <w:pPr>
        <w:pStyle w:val="Par1"/>
        <w:keepNext w:val="0"/>
        <w:numPr>
          <w:ilvl w:val="0"/>
          <w:numId w:val="2"/>
        </w:numPr>
        <w:spacing w:after="0"/>
        <w:outlineLvl w:val="9"/>
        <w:rPr>
          <w:bCs/>
          <w:sz w:val="22"/>
          <w:szCs w:val="22"/>
        </w:rPr>
      </w:pPr>
      <w:r w:rsidRPr="002534D1">
        <w:rPr>
          <w:bCs/>
          <w:sz w:val="22"/>
          <w:szCs w:val="22"/>
        </w:rPr>
        <w:t xml:space="preserve">Commitment </w:t>
      </w:r>
    </w:p>
    <w:p w:rsidR="006272E3" w:rsidRPr="002534D1" w:rsidRDefault="006272E3" w:rsidP="006272E3">
      <w:pPr>
        <w:rPr>
          <w:lang w:val="en-CA"/>
        </w:rPr>
      </w:pPr>
    </w:p>
    <w:p w:rsidR="006272E3" w:rsidRDefault="006272E3" w:rsidP="006272E3">
      <w:pPr>
        <w:ind w:left="533"/>
        <w:jc w:val="both"/>
        <w:rPr>
          <w:sz w:val="22"/>
          <w:szCs w:val="22"/>
        </w:rPr>
      </w:pPr>
      <w:r w:rsidRPr="00947061">
        <w:rPr>
          <w:sz w:val="22"/>
          <w:szCs w:val="22"/>
        </w:rPr>
        <w:t>The Company has certain obligations related to its exploration and evaluation properties (Note 7).</w:t>
      </w:r>
    </w:p>
    <w:p w:rsidR="006272E3" w:rsidRPr="00947061" w:rsidRDefault="006272E3" w:rsidP="006272E3">
      <w:pPr>
        <w:ind w:left="533"/>
        <w:jc w:val="both"/>
        <w:rPr>
          <w:sz w:val="22"/>
          <w:szCs w:val="22"/>
        </w:rPr>
      </w:pPr>
    </w:p>
    <w:p w:rsidR="00FD623E" w:rsidRPr="009E64E7" w:rsidRDefault="00FD623E" w:rsidP="00186B72">
      <w:pPr>
        <w:pStyle w:val="Par1"/>
        <w:keepNext w:val="0"/>
        <w:numPr>
          <w:ilvl w:val="0"/>
          <w:numId w:val="2"/>
        </w:numPr>
        <w:spacing w:after="0"/>
        <w:outlineLvl w:val="9"/>
        <w:rPr>
          <w:sz w:val="22"/>
          <w:szCs w:val="22"/>
        </w:rPr>
      </w:pPr>
      <w:r w:rsidRPr="009E64E7">
        <w:rPr>
          <w:bCs/>
          <w:sz w:val="22"/>
          <w:szCs w:val="22"/>
        </w:rPr>
        <w:t>Subsequent Events</w:t>
      </w:r>
    </w:p>
    <w:p w:rsidR="00FD623E" w:rsidRPr="009E64E7" w:rsidRDefault="00FD623E" w:rsidP="00FD623E">
      <w:pPr>
        <w:ind w:left="540"/>
        <w:rPr>
          <w:sz w:val="22"/>
          <w:szCs w:val="22"/>
        </w:rPr>
      </w:pPr>
    </w:p>
    <w:p w:rsidR="00FD623E" w:rsidRDefault="0024416F" w:rsidP="00FD623E">
      <w:pPr>
        <w:widowControl/>
        <w:ind w:left="540"/>
        <w:jc w:val="both"/>
        <w:rPr>
          <w:rFonts w:ascii="Times" w:hAnsi="Times" w:cs="Times"/>
          <w:snapToGrid/>
          <w:sz w:val="22"/>
          <w:szCs w:val="22"/>
          <w:lang w:eastAsia="ko-KR"/>
        </w:rPr>
      </w:pPr>
      <w:r w:rsidRPr="00DA0879">
        <w:rPr>
          <w:rFonts w:ascii="Times" w:hAnsi="Times"/>
          <w:snapToGrid/>
          <w:sz w:val="22"/>
          <w:szCs w:val="22"/>
        </w:rPr>
        <w:t>Th</w:t>
      </w:r>
      <w:r w:rsidR="00617B6F">
        <w:rPr>
          <w:rFonts w:ascii="Times" w:hAnsi="Times"/>
          <w:snapToGrid/>
          <w:sz w:val="22"/>
          <w:szCs w:val="22"/>
        </w:rPr>
        <w:t xml:space="preserve">e following subsequent events </w:t>
      </w:r>
      <w:proofErr w:type="spellStart"/>
      <w:r w:rsidR="00617B6F">
        <w:rPr>
          <w:rFonts w:ascii="Times" w:hAnsi="Times"/>
          <w:snapToGrid/>
          <w:sz w:val="22"/>
          <w:szCs w:val="22"/>
        </w:rPr>
        <w:t>occured</w:t>
      </w:r>
      <w:proofErr w:type="spellEnd"/>
      <w:r w:rsidR="00FD623E" w:rsidRPr="00DA0879">
        <w:rPr>
          <w:rFonts w:ascii="Times" w:hAnsi="Times"/>
          <w:snapToGrid/>
          <w:sz w:val="22"/>
          <w:szCs w:val="22"/>
        </w:rPr>
        <w:t xml:space="preserve"> from the </w:t>
      </w:r>
      <w:r w:rsidR="00617B6F">
        <w:rPr>
          <w:rFonts w:ascii="Times" w:hAnsi="Times"/>
          <w:snapToGrid/>
          <w:sz w:val="22"/>
          <w:szCs w:val="22"/>
        </w:rPr>
        <w:t>two</w:t>
      </w:r>
      <w:r w:rsidR="006272E3">
        <w:rPr>
          <w:rFonts w:ascii="Times" w:hAnsi="Times"/>
          <w:snapToGrid/>
          <w:sz w:val="22"/>
          <w:szCs w:val="22"/>
        </w:rPr>
        <w:t xml:space="preserve"> month period ended 30</w:t>
      </w:r>
      <w:r w:rsidR="00A463DF">
        <w:rPr>
          <w:rFonts w:ascii="Times" w:hAnsi="Times"/>
          <w:snapToGrid/>
          <w:sz w:val="22"/>
          <w:szCs w:val="22"/>
        </w:rPr>
        <w:t xml:space="preserve"> </w:t>
      </w:r>
      <w:r w:rsidR="006272E3">
        <w:rPr>
          <w:rFonts w:ascii="Times" w:hAnsi="Times"/>
          <w:snapToGrid/>
          <w:sz w:val="22"/>
          <w:szCs w:val="22"/>
        </w:rPr>
        <w:t>April</w:t>
      </w:r>
      <w:r w:rsidR="00C11BAB">
        <w:rPr>
          <w:rFonts w:ascii="Times" w:hAnsi="Times"/>
          <w:snapToGrid/>
          <w:sz w:val="22"/>
          <w:szCs w:val="22"/>
        </w:rPr>
        <w:t xml:space="preserve"> </w:t>
      </w:r>
      <w:r w:rsidR="00B926B0">
        <w:rPr>
          <w:rFonts w:ascii="Times" w:hAnsi="Times"/>
          <w:snapToGrid/>
          <w:sz w:val="22"/>
          <w:szCs w:val="22"/>
        </w:rPr>
        <w:t>2015</w:t>
      </w:r>
      <w:r w:rsidR="00A463DF">
        <w:rPr>
          <w:rFonts w:ascii="Times" w:hAnsi="Times"/>
          <w:snapToGrid/>
          <w:sz w:val="22"/>
          <w:szCs w:val="22"/>
        </w:rPr>
        <w:t xml:space="preserve"> to the date the condensed interim financial statements were authorized by the Board of Directors on </w:t>
      </w:r>
      <w:r w:rsidR="00617B6F">
        <w:rPr>
          <w:rFonts w:ascii="Times" w:hAnsi="Times"/>
          <w:snapToGrid/>
          <w:sz w:val="22"/>
          <w:szCs w:val="22"/>
        </w:rPr>
        <w:t>29</w:t>
      </w:r>
      <w:r w:rsidR="000B1148" w:rsidRPr="00120C0F">
        <w:rPr>
          <w:rFonts w:ascii="Times" w:hAnsi="Times"/>
          <w:snapToGrid/>
          <w:sz w:val="22"/>
          <w:szCs w:val="22"/>
        </w:rPr>
        <w:t xml:space="preserve"> </w:t>
      </w:r>
      <w:r w:rsidR="006272E3">
        <w:rPr>
          <w:rFonts w:ascii="Times" w:hAnsi="Times"/>
          <w:snapToGrid/>
          <w:sz w:val="22"/>
          <w:szCs w:val="22"/>
        </w:rPr>
        <w:t>June</w:t>
      </w:r>
      <w:r w:rsidR="00B926B0">
        <w:rPr>
          <w:rFonts w:ascii="Times" w:hAnsi="Times" w:cs="Times"/>
          <w:snapToGrid/>
          <w:sz w:val="22"/>
          <w:szCs w:val="22"/>
          <w:lang w:eastAsia="ko-KR"/>
        </w:rPr>
        <w:t xml:space="preserve"> 2015</w:t>
      </w:r>
      <w:r w:rsidR="00617B6F">
        <w:rPr>
          <w:rFonts w:ascii="Times" w:hAnsi="Times" w:cs="Times"/>
          <w:snapToGrid/>
          <w:sz w:val="22"/>
          <w:szCs w:val="22"/>
          <w:lang w:eastAsia="ko-KR"/>
        </w:rPr>
        <w:t>:</w:t>
      </w:r>
    </w:p>
    <w:p w:rsidR="00617B6F" w:rsidRDefault="00617B6F" w:rsidP="00FD623E">
      <w:pPr>
        <w:widowControl/>
        <w:ind w:left="540"/>
        <w:jc w:val="both"/>
        <w:rPr>
          <w:rFonts w:ascii="Times" w:hAnsi="Times" w:cs="Times"/>
          <w:snapToGrid/>
          <w:sz w:val="22"/>
          <w:szCs w:val="22"/>
          <w:lang w:eastAsia="ko-KR"/>
        </w:rPr>
      </w:pPr>
    </w:p>
    <w:p w:rsidR="00617B6F" w:rsidRPr="004979FE" w:rsidRDefault="00617B6F" w:rsidP="00617B6F">
      <w:pPr>
        <w:tabs>
          <w:tab w:val="left" w:pos="10065"/>
        </w:tabs>
        <w:ind w:left="540"/>
        <w:jc w:val="both"/>
        <w:rPr>
          <w:snapToGrid/>
          <w:sz w:val="22"/>
          <w:szCs w:val="22"/>
          <w:lang w:eastAsia="zh-CN"/>
        </w:rPr>
      </w:pPr>
      <w:r w:rsidRPr="004979FE">
        <w:rPr>
          <w:snapToGrid/>
          <w:sz w:val="22"/>
          <w:szCs w:val="22"/>
          <w:lang w:eastAsia="en-CA"/>
        </w:rPr>
        <w:t>On May 11, 2015 the Company closed a non</w:t>
      </w:r>
      <w:r w:rsidRPr="004979FE">
        <w:rPr>
          <w:rFonts w:ascii="Calibri" w:hAnsi="Calibri"/>
          <w:snapToGrid/>
          <w:sz w:val="22"/>
          <w:szCs w:val="22"/>
          <w:lang w:eastAsia="en-CA"/>
        </w:rPr>
        <w:t>‐</w:t>
      </w:r>
      <w:r w:rsidRPr="004979FE">
        <w:rPr>
          <w:snapToGrid/>
          <w:sz w:val="22"/>
          <w:szCs w:val="22"/>
          <w:lang w:eastAsia="en-CA"/>
        </w:rPr>
        <w:t>brokered private placement equity financing. Under the financing, the Company issued 2,000,000 units at a price of $0.05 per unit for gross proceeds of</w:t>
      </w:r>
      <w:r w:rsidRPr="004979FE">
        <w:rPr>
          <w:sz w:val="22"/>
          <w:szCs w:val="22"/>
          <w:lang w:val="en-GB"/>
        </w:rPr>
        <w:t xml:space="preserve"> </w:t>
      </w:r>
      <w:r w:rsidRPr="004979FE">
        <w:rPr>
          <w:snapToGrid/>
          <w:sz w:val="22"/>
          <w:szCs w:val="22"/>
          <w:lang w:eastAsia="en-CA"/>
        </w:rPr>
        <w:t>$100,000. Each unit is comprised of one common share of the Company and one common share</w:t>
      </w:r>
      <w:r w:rsidRPr="004979FE">
        <w:rPr>
          <w:sz w:val="22"/>
          <w:szCs w:val="22"/>
          <w:lang w:val="en-GB"/>
        </w:rPr>
        <w:t xml:space="preserve"> </w:t>
      </w:r>
      <w:r w:rsidRPr="004979FE">
        <w:rPr>
          <w:snapToGrid/>
          <w:sz w:val="22"/>
          <w:szCs w:val="22"/>
          <w:lang w:eastAsia="en-CA"/>
        </w:rPr>
        <w:t>purchase warrant exercisable for two years for an additional share at a price of $0.10. As of April 30,</w:t>
      </w:r>
      <w:r w:rsidRPr="004979FE">
        <w:rPr>
          <w:sz w:val="22"/>
          <w:szCs w:val="22"/>
          <w:lang w:val="en-GB"/>
        </w:rPr>
        <w:t xml:space="preserve"> </w:t>
      </w:r>
      <w:r w:rsidRPr="004979FE">
        <w:rPr>
          <w:snapToGrid/>
          <w:sz w:val="22"/>
          <w:szCs w:val="22"/>
          <w:lang w:eastAsia="en-CA"/>
        </w:rPr>
        <w:t>2015 th</w:t>
      </w:r>
      <w:r>
        <w:rPr>
          <w:snapToGrid/>
          <w:sz w:val="22"/>
          <w:szCs w:val="22"/>
          <w:lang w:eastAsia="en-CA"/>
        </w:rPr>
        <w:t>e Company had a total of</w:t>
      </w:r>
      <w:r w:rsidRPr="004979FE">
        <w:rPr>
          <w:snapToGrid/>
          <w:sz w:val="22"/>
          <w:szCs w:val="22"/>
          <w:lang w:eastAsia="en-CA"/>
        </w:rPr>
        <w:t xml:space="preserve"> 11,296</w:t>
      </w:r>
      <w:r>
        <w:rPr>
          <w:snapToGrid/>
          <w:sz w:val="22"/>
          <w:szCs w:val="22"/>
          <w:lang w:eastAsia="en-CA"/>
        </w:rPr>
        <w:t>,260 common shares outstanding and a</w:t>
      </w:r>
      <w:r w:rsidRPr="004979FE">
        <w:rPr>
          <w:snapToGrid/>
          <w:sz w:val="22"/>
          <w:szCs w:val="22"/>
          <w:lang w:eastAsia="en-CA"/>
        </w:rPr>
        <w:t>s of June 29, 2015, the Company had a total of 13,296,260 common shares outstanding.</w:t>
      </w:r>
    </w:p>
    <w:p w:rsidR="00617B6F" w:rsidRDefault="00617B6F" w:rsidP="00617B6F">
      <w:pPr>
        <w:ind w:left="540"/>
        <w:jc w:val="both"/>
        <w:rPr>
          <w:sz w:val="22"/>
          <w:szCs w:val="22"/>
        </w:rPr>
      </w:pPr>
    </w:p>
    <w:p w:rsidR="00617B6F" w:rsidRPr="008656A9" w:rsidRDefault="00617B6F" w:rsidP="00617B6F">
      <w:pPr>
        <w:ind w:left="540"/>
        <w:jc w:val="both"/>
        <w:rPr>
          <w:sz w:val="22"/>
          <w:szCs w:val="22"/>
        </w:rPr>
      </w:pPr>
      <w:r w:rsidRPr="008656A9">
        <w:rPr>
          <w:sz w:val="22"/>
          <w:szCs w:val="22"/>
        </w:rPr>
        <w:t>On June</w:t>
      </w:r>
      <w:r>
        <w:rPr>
          <w:sz w:val="22"/>
          <w:szCs w:val="22"/>
        </w:rPr>
        <w:t xml:space="preserve"> 1,</w:t>
      </w:r>
      <w:r w:rsidRPr="008656A9">
        <w:rPr>
          <w:sz w:val="22"/>
          <w:szCs w:val="22"/>
        </w:rPr>
        <w:t xml:space="preserve"> 2015 an officer of the Company paid the Company $</w:t>
      </w:r>
      <w:r w:rsidRPr="008656A9">
        <w:rPr>
          <w:color w:val="000000"/>
          <w:sz w:val="22"/>
          <w:szCs w:val="22"/>
        </w:rPr>
        <w:t xml:space="preserve">29,458 to clear the amount due to the Company from the Officer. </w:t>
      </w:r>
    </w:p>
    <w:p w:rsidR="00617B6F" w:rsidRDefault="00617B6F" w:rsidP="00FD623E">
      <w:pPr>
        <w:widowControl/>
        <w:ind w:left="540"/>
        <w:jc w:val="both"/>
        <w:rPr>
          <w:rFonts w:ascii="Times" w:hAnsi="Times"/>
          <w:snapToGrid/>
          <w:sz w:val="22"/>
          <w:szCs w:val="22"/>
        </w:rPr>
      </w:pPr>
    </w:p>
    <w:p w:rsidR="00232D6E" w:rsidRPr="002E32C9" w:rsidRDefault="00232D6E" w:rsidP="008E1D55">
      <w:pPr>
        <w:tabs>
          <w:tab w:val="left" w:pos="1080"/>
          <w:tab w:val="left" w:pos="1260"/>
        </w:tabs>
        <w:jc w:val="both"/>
        <w:rPr>
          <w:sz w:val="22"/>
          <w:szCs w:val="22"/>
          <w:lang w:val="en-CA"/>
        </w:rPr>
      </w:pPr>
    </w:p>
    <w:sectPr w:rsidR="00232D6E" w:rsidRPr="002E32C9" w:rsidSect="008E1D55">
      <w:headerReference w:type="even" r:id="rId29"/>
      <w:headerReference w:type="default" r:id="rId30"/>
      <w:footerReference w:type="even" r:id="rId31"/>
      <w:footerReference w:type="default" r:id="rId32"/>
      <w:headerReference w:type="first" r:id="rId33"/>
      <w:footerReference w:type="first" r:id="rId34"/>
      <w:endnotePr>
        <w:numFmt w:val="decimal"/>
      </w:endnotePr>
      <w:pgSz w:w="12240" w:h="15840"/>
      <w:pgMar w:top="994" w:right="1080" w:bottom="360" w:left="1080" w:header="1080" w:footer="403" w:gutter="0"/>
      <w:pgNumType w:start="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18" w:rsidRDefault="003E6A18">
      <w:r>
        <w:separator/>
      </w:r>
    </w:p>
  </w:endnote>
  <w:endnote w:type="continuationSeparator" w:id="0">
    <w:p w:rsidR="003E6A18" w:rsidRDefault="003E6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Pr="00AD5023" w:rsidRDefault="004979FE" w:rsidP="00794128">
    <w:pPr>
      <w:pStyle w:val="Footer"/>
      <w:jc w:val="center"/>
      <w:rPr>
        <w:b w:val="0"/>
        <w:sz w:val="18"/>
        <w:szCs w:val="18"/>
      </w:rPr>
    </w:pPr>
    <w:r w:rsidRPr="00AD5023">
      <w:rPr>
        <w:b w:val="0"/>
        <w:sz w:val="18"/>
        <w:szCs w:val="18"/>
      </w:rPr>
      <w:t xml:space="preserve">The accompanying notes are an integral part of these </w:t>
    </w:r>
    <w:r>
      <w:rPr>
        <w:b w:val="0"/>
        <w:sz w:val="18"/>
        <w:szCs w:val="18"/>
      </w:rPr>
      <w:t xml:space="preserve">condensed interim </w:t>
    </w:r>
    <w:r w:rsidRPr="00AD5023">
      <w:rPr>
        <w:b w:val="0"/>
        <w:sz w:val="18"/>
        <w:szCs w:val="18"/>
      </w:rPr>
      <w:t>financial statements.</w:t>
    </w:r>
  </w:p>
  <w:p w:rsidR="004979FE" w:rsidRPr="009F02D3" w:rsidRDefault="004979FE" w:rsidP="00794128">
    <w:pPr>
      <w:jc w:val="right"/>
      <w:rPr>
        <w:b/>
        <w:bCs/>
        <w:sz w:val="20"/>
        <w:lang w:val="en-GB"/>
      </w:rPr>
    </w:pPr>
    <w:r w:rsidRPr="009F02D3">
      <w:rPr>
        <w:rStyle w:val="PageNumber"/>
        <w:snapToGrid/>
        <w:sz w:val="20"/>
      </w:rPr>
      <w:t>(</w:t>
    </w:r>
    <w:r>
      <w:rPr>
        <w:rStyle w:val="PageNumber"/>
        <w:snapToGrid/>
        <w:sz w:val="20"/>
      </w:rPr>
      <w:t>7</w:t>
    </w:r>
    <w:r w:rsidRPr="009F02D3">
      <w:rPr>
        <w:rStyle w:val="PageNumber"/>
        <w:snapToGrid/>
        <w:sz w:val="20"/>
      </w:rPr>
      <w:t>)</w:t>
    </w:r>
  </w:p>
  <w:p w:rsidR="004979FE" w:rsidRDefault="004979F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Pr="008E1D55" w:rsidRDefault="004979FE" w:rsidP="00E17A84">
    <w:pPr>
      <w:pStyle w:val="Footer"/>
      <w:jc w:val="center"/>
      <w:rPr>
        <w:b w:val="0"/>
        <w:sz w:val="20"/>
      </w:rPr>
    </w:pPr>
    <w:r w:rsidRPr="008E1D55">
      <w:rPr>
        <w:b w:val="0"/>
        <w:sz w:val="20"/>
      </w:rPr>
      <w:t>The accompanying notes are an integral part of these condensed interim financial statements.</w:t>
    </w:r>
  </w:p>
  <w:sdt>
    <w:sdtPr>
      <w:rPr>
        <w:b w:val="0"/>
        <w:sz w:val="20"/>
      </w:rPr>
      <w:id w:val="-904685283"/>
      <w:docPartObj>
        <w:docPartGallery w:val="Page Numbers (Bottom of Page)"/>
        <w:docPartUnique/>
      </w:docPartObj>
    </w:sdtPr>
    <w:sdtEndPr>
      <w:rPr>
        <w:noProof/>
      </w:rPr>
    </w:sdtEndPr>
    <w:sdtContent>
      <w:p w:rsidR="004979FE" w:rsidRPr="008E1D55" w:rsidRDefault="004979FE">
        <w:pPr>
          <w:pStyle w:val="Footer"/>
          <w:jc w:val="right"/>
          <w:rPr>
            <w:b w:val="0"/>
            <w:sz w:val="20"/>
          </w:rPr>
        </w:pPr>
        <w:r>
          <w:rPr>
            <w:b w:val="0"/>
            <w:sz w:val="20"/>
          </w:rPr>
          <w:t>(</w:t>
        </w:r>
        <w:r w:rsidR="00194664" w:rsidRPr="008E1D55">
          <w:rPr>
            <w:b w:val="0"/>
            <w:sz w:val="20"/>
          </w:rPr>
          <w:fldChar w:fldCharType="begin"/>
        </w:r>
        <w:r w:rsidRPr="008E1D55">
          <w:rPr>
            <w:b w:val="0"/>
            <w:sz w:val="20"/>
          </w:rPr>
          <w:instrText xml:space="preserve"> PAGE   \* MERGEFORMAT </w:instrText>
        </w:r>
        <w:r w:rsidR="00194664" w:rsidRPr="008E1D55">
          <w:rPr>
            <w:b w:val="0"/>
            <w:sz w:val="20"/>
          </w:rPr>
          <w:fldChar w:fldCharType="separate"/>
        </w:r>
        <w:r w:rsidR="007618C2">
          <w:rPr>
            <w:b w:val="0"/>
            <w:noProof/>
            <w:sz w:val="20"/>
          </w:rPr>
          <w:t>0</w:t>
        </w:r>
        <w:r w:rsidR="00194664" w:rsidRPr="008E1D55">
          <w:rPr>
            <w:b w:val="0"/>
            <w:noProof/>
            <w:sz w:val="20"/>
          </w:rPr>
          <w:fldChar w:fldCharType="end"/>
        </w:r>
        <w:r>
          <w:rPr>
            <w:b w:val="0"/>
            <w:noProof/>
            <w:sz w:val="20"/>
          </w:rPr>
          <w:t>)</w:t>
        </w:r>
      </w:p>
    </w:sdtContent>
  </w:sdt>
  <w:p w:rsidR="004979FE" w:rsidRDefault="004979FE" w:rsidP="008E1D55">
    <w:pPr>
      <w:ind w:left="720" w:firstLine="720"/>
      <w:jc w:val="right"/>
      <w:rPr>
        <w:lang w:val="en-GB"/>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Pr="009F02D3" w:rsidRDefault="004979FE" w:rsidP="00794128">
    <w:pPr>
      <w:jc w:val="right"/>
      <w:rPr>
        <w:b/>
        <w:bCs/>
        <w:sz w:val="20"/>
        <w:lang w:val="en-GB"/>
      </w:rPr>
    </w:pPr>
    <w:r w:rsidRPr="009F02D3">
      <w:rPr>
        <w:rStyle w:val="PageNumber"/>
        <w:snapToGrid/>
        <w:sz w:val="20"/>
      </w:rPr>
      <w:t xml:space="preserve"> (</w:t>
    </w:r>
    <w:r>
      <w:rPr>
        <w:rStyle w:val="PageNumber"/>
        <w:snapToGrid/>
        <w:sz w:val="20"/>
      </w:rPr>
      <w:t>9</w:t>
    </w:r>
    <w:r w:rsidRPr="009F02D3">
      <w:rPr>
        <w:rStyle w:val="PageNumber"/>
        <w:snapToGrid/>
        <w:sz w:val="20"/>
      </w:rPr>
      <w:t>)</w:t>
    </w:r>
  </w:p>
  <w:p w:rsidR="004979FE" w:rsidRDefault="004979F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05168"/>
      <w:docPartObj>
        <w:docPartGallery w:val="Page Numbers (Bottom of Page)"/>
        <w:docPartUnique/>
      </w:docPartObj>
    </w:sdtPr>
    <w:sdtEndPr>
      <w:rPr>
        <w:b w:val="0"/>
        <w:noProof/>
        <w:sz w:val="20"/>
      </w:rPr>
    </w:sdtEndPr>
    <w:sdtContent>
      <w:p w:rsidR="004979FE" w:rsidRPr="008E1D55" w:rsidRDefault="004979FE">
        <w:pPr>
          <w:pStyle w:val="Footer"/>
          <w:jc w:val="right"/>
          <w:rPr>
            <w:b w:val="0"/>
            <w:sz w:val="20"/>
          </w:rPr>
        </w:pPr>
        <w:r w:rsidRPr="008E1D55">
          <w:rPr>
            <w:b w:val="0"/>
            <w:sz w:val="20"/>
          </w:rPr>
          <w:t>(</w:t>
        </w:r>
        <w:r w:rsidR="00194664" w:rsidRPr="008E1D55">
          <w:rPr>
            <w:b w:val="0"/>
            <w:sz w:val="20"/>
          </w:rPr>
          <w:fldChar w:fldCharType="begin"/>
        </w:r>
        <w:r w:rsidRPr="008E1D55">
          <w:rPr>
            <w:b w:val="0"/>
            <w:sz w:val="20"/>
          </w:rPr>
          <w:instrText xml:space="preserve"> PAGE   \* MERGEFORMAT </w:instrText>
        </w:r>
        <w:r w:rsidR="00194664" w:rsidRPr="008E1D55">
          <w:rPr>
            <w:b w:val="0"/>
            <w:sz w:val="20"/>
          </w:rPr>
          <w:fldChar w:fldCharType="separate"/>
        </w:r>
        <w:r w:rsidR="001F0E21">
          <w:rPr>
            <w:b w:val="0"/>
            <w:noProof/>
            <w:sz w:val="20"/>
          </w:rPr>
          <w:t>8</w:t>
        </w:r>
        <w:r w:rsidR="00194664" w:rsidRPr="008E1D55">
          <w:rPr>
            <w:b w:val="0"/>
            <w:noProof/>
            <w:sz w:val="20"/>
          </w:rPr>
          <w:fldChar w:fldCharType="end"/>
        </w:r>
        <w:r w:rsidRPr="00E17A84">
          <w:rPr>
            <w:b w:val="0"/>
            <w:noProof/>
            <w:sz w:val="20"/>
          </w:rPr>
          <w:t>)</w:t>
        </w:r>
      </w:p>
    </w:sdtContent>
  </w:sdt>
  <w:p w:rsidR="004979FE" w:rsidRDefault="004979FE" w:rsidP="008E1D55">
    <w:pPr>
      <w:ind w:left="720" w:firstLine="720"/>
      <w:jc w:val="right"/>
      <w:rPr>
        <w:lang w:val="en-GB"/>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371671"/>
      <w:docPartObj>
        <w:docPartGallery w:val="Page Numbers (Bottom of Page)"/>
        <w:docPartUnique/>
      </w:docPartObj>
    </w:sdtPr>
    <w:sdtEndPr>
      <w:rPr>
        <w:noProof/>
      </w:rPr>
    </w:sdtEndPr>
    <w:sdtContent>
      <w:p w:rsidR="004979FE" w:rsidRDefault="00194664">
        <w:pPr>
          <w:pStyle w:val="Footer"/>
          <w:jc w:val="right"/>
        </w:pPr>
        <w:fldSimple w:instr=" PAGE   \* MERGEFORMAT ">
          <w:r w:rsidR="004979FE">
            <w:rPr>
              <w:noProof/>
            </w:rPr>
            <w:t>5</w:t>
          </w:r>
        </w:fldSimple>
      </w:p>
    </w:sdtContent>
  </w:sdt>
  <w:p w:rsidR="004979FE" w:rsidRPr="008E1D55" w:rsidRDefault="004979FE" w:rsidP="008E1D55">
    <w:pPr>
      <w:jc w:val="right"/>
      <w:rPr>
        <w:bCs/>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rsidP="007471A3">
    <w:pPr>
      <w:rPr>
        <w:rStyle w:val="PageNumber"/>
        <w:snapToGrid/>
      </w:rPr>
    </w:pPr>
  </w:p>
  <w:p w:rsidR="004979FE" w:rsidRDefault="004979FE">
    <w:pPr>
      <w:jc w:val="right"/>
      <w:rPr>
        <w:b/>
        <w:bCs/>
        <w:sz w:val="22"/>
        <w:lang w:val="en-GB"/>
      </w:rPr>
    </w:pPr>
    <w:r>
      <w:rPr>
        <w:rStyle w:val="PageNumber"/>
        <w:snapToGrid/>
      </w:rPr>
      <w:t>(</w:t>
    </w:r>
    <w:r w:rsidR="00194664">
      <w:rPr>
        <w:rStyle w:val="PageNumber"/>
        <w:snapToGrid/>
      </w:rPr>
      <w:fldChar w:fldCharType="begin"/>
    </w:r>
    <w:r>
      <w:rPr>
        <w:rStyle w:val="PageNumber"/>
        <w:snapToGrid/>
      </w:rPr>
      <w:instrText xml:space="preserve"> PAGE </w:instrText>
    </w:r>
    <w:r w:rsidR="00194664">
      <w:rPr>
        <w:rStyle w:val="PageNumber"/>
        <w:snapToGrid/>
      </w:rPr>
      <w:fldChar w:fldCharType="separate"/>
    </w:r>
    <w:r>
      <w:rPr>
        <w:rStyle w:val="PageNumber"/>
        <w:noProof/>
        <w:snapToGrid/>
      </w:rPr>
      <w:t>1</w:t>
    </w:r>
    <w:r w:rsidR="00194664">
      <w:rPr>
        <w:rStyle w:val="PageNumber"/>
        <w:snapToGrid/>
      </w:rPr>
      <w:fldChar w:fldCharType="end"/>
    </w:r>
    <w:r>
      <w:rPr>
        <w:rStyle w:val="PageNumber"/>
        <w:snapToGrid/>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Pr="00AD5023" w:rsidRDefault="004979FE" w:rsidP="009537C7">
    <w:pPr>
      <w:pStyle w:val="Footer"/>
      <w:jc w:val="center"/>
      <w:rPr>
        <w:b w:val="0"/>
        <w:sz w:val="18"/>
        <w:szCs w:val="18"/>
      </w:rPr>
    </w:pPr>
  </w:p>
  <w:p w:rsidR="004979FE" w:rsidRDefault="004979FE" w:rsidP="008E1D55">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jc w:val="center"/>
      <w:rPr>
        <w:b/>
        <w:bCs/>
        <w:sz w:val="22"/>
        <w:lang w:val="en-GB"/>
      </w:rPr>
    </w:pPr>
  </w:p>
  <w:p w:rsidR="004979FE" w:rsidRDefault="004979FE">
    <w:pPr>
      <w:jc w:val="center"/>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rsidP="008E1D55">
    <w:pPr>
      <w:ind w:left="720" w:firstLine="720"/>
      <w:jc w:val="right"/>
      <w:rPr>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Pr="008E1D55" w:rsidRDefault="004979FE" w:rsidP="00E17A84">
    <w:pPr>
      <w:pStyle w:val="Footer"/>
      <w:jc w:val="center"/>
      <w:rPr>
        <w:b w:val="0"/>
        <w:sz w:val="20"/>
      </w:rPr>
    </w:pPr>
    <w:r w:rsidRPr="008E1D55">
      <w:rPr>
        <w:b w:val="0"/>
        <w:sz w:val="20"/>
      </w:rPr>
      <w:t>The accompanying notes are an integral part of these condensed interim financial statements.</w:t>
    </w:r>
  </w:p>
  <w:p w:rsidR="004979FE" w:rsidRPr="008E1D55" w:rsidRDefault="00194664">
    <w:pPr>
      <w:pStyle w:val="Footer"/>
      <w:jc w:val="right"/>
      <w:rPr>
        <w:b w:val="0"/>
        <w:sz w:val="18"/>
        <w:szCs w:val="18"/>
      </w:rPr>
    </w:pPr>
    <w:sdt>
      <w:sdtPr>
        <w:rPr>
          <w:sz w:val="20"/>
        </w:rPr>
        <w:id w:val="-213666263"/>
        <w:docPartObj>
          <w:docPartGallery w:val="Page Numbers (Bottom of Page)"/>
          <w:docPartUnique/>
        </w:docPartObj>
      </w:sdtPr>
      <w:sdtEndPr>
        <w:rPr>
          <w:b w:val="0"/>
          <w:noProof/>
        </w:rPr>
      </w:sdtEndPr>
      <w:sdtContent>
        <w:r w:rsidR="004979FE" w:rsidRPr="008E1D55">
          <w:rPr>
            <w:sz w:val="20"/>
          </w:rPr>
          <w:t>(</w:t>
        </w:r>
        <w:r w:rsidRPr="008E1D55">
          <w:rPr>
            <w:b w:val="0"/>
            <w:sz w:val="20"/>
          </w:rPr>
          <w:fldChar w:fldCharType="begin"/>
        </w:r>
        <w:r w:rsidR="004979FE" w:rsidRPr="008E1D55">
          <w:rPr>
            <w:b w:val="0"/>
            <w:sz w:val="20"/>
          </w:rPr>
          <w:instrText xml:space="preserve"> PAGE   \* MERGEFORMAT </w:instrText>
        </w:r>
        <w:r w:rsidRPr="008E1D55">
          <w:rPr>
            <w:b w:val="0"/>
            <w:sz w:val="20"/>
          </w:rPr>
          <w:fldChar w:fldCharType="separate"/>
        </w:r>
        <w:r w:rsidR="007618C2">
          <w:rPr>
            <w:b w:val="0"/>
            <w:noProof/>
            <w:sz w:val="20"/>
          </w:rPr>
          <w:t>1</w:t>
        </w:r>
        <w:r w:rsidRPr="008E1D55">
          <w:rPr>
            <w:b w:val="0"/>
            <w:noProof/>
            <w:sz w:val="20"/>
          </w:rPr>
          <w:fldChar w:fldCharType="end"/>
        </w:r>
      </w:sdtContent>
    </w:sdt>
    <w:r w:rsidR="004979FE" w:rsidRPr="008E1D55">
      <w:rPr>
        <w:b w:val="0"/>
        <w:noProof/>
        <w:sz w:val="20"/>
      </w:rPr>
      <w:t>)</w:t>
    </w:r>
  </w:p>
  <w:p w:rsidR="004979FE" w:rsidRPr="008E1D55" w:rsidRDefault="004979FE" w:rsidP="008E1D55">
    <w:pPr>
      <w:jc w:val="right"/>
      <w:rPr>
        <w:bCs/>
        <w:sz w:val="20"/>
        <w:lang w:val="en-GB"/>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Pr="00AD5023" w:rsidRDefault="004979FE" w:rsidP="00794128">
    <w:pPr>
      <w:pStyle w:val="Footer"/>
      <w:jc w:val="center"/>
      <w:rPr>
        <w:b w:val="0"/>
        <w:sz w:val="18"/>
        <w:szCs w:val="18"/>
      </w:rPr>
    </w:pPr>
    <w:r w:rsidRPr="00AD5023">
      <w:rPr>
        <w:b w:val="0"/>
        <w:sz w:val="18"/>
        <w:szCs w:val="18"/>
      </w:rPr>
      <w:t xml:space="preserve">The accompanying notes are an integral part of these </w:t>
    </w:r>
    <w:r>
      <w:rPr>
        <w:b w:val="0"/>
        <w:sz w:val="18"/>
        <w:szCs w:val="18"/>
      </w:rPr>
      <w:t xml:space="preserve">condensed interim </w:t>
    </w:r>
    <w:r w:rsidRPr="00AD5023">
      <w:rPr>
        <w:b w:val="0"/>
        <w:sz w:val="18"/>
        <w:szCs w:val="18"/>
      </w:rPr>
      <w:t>financial statements.</w:t>
    </w:r>
  </w:p>
  <w:p w:rsidR="004979FE" w:rsidRPr="009F02D3" w:rsidRDefault="004979FE" w:rsidP="00794128">
    <w:pPr>
      <w:jc w:val="right"/>
      <w:rPr>
        <w:b/>
        <w:bCs/>
        <w:sz w:val="20"/>
        <w:lang w:val="en-GB"/>
      </w:rPr>
    </w:pPr>
    <w:r w:rsidRPr="009F02D3">
      <w:rPr>
        <w:rStyle w:val="PageNumber"/>
        <w:snapToGrid/>
        <w:sz w:val="20"/>
      </w:rPr>
      <w:t>(</w:t>
    </w:r>
    <w:r>
      <w:rPr>
        <w:rStyle w:val="PageNumber"/>
        <w:snapToGrid/>
        <w:sz w:val="20"/>
      </w:rPr>
      <w:t>3</w:t>
    </w:r>
    <w:r w:rsidRPr="009F02D3">
      <w:rPr>
        <w:rStyle w:val="PageNumber"/>
        <w:snapToGrid/>
        <w:sz w:val="20"/>
      </w:rPr>
      <w:t>)</w:t>
    </w:r>
  </w:p>
  <w:p w:rsidR="004979FE" w:rsidRDefault="004979F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Pr="008E1D55" w:rsidRDefault="004979FE" w:rsidP="00E17A84">
    <w:pPr>
      <w:pStyle w:val="Footer"/>
      <w:jc w:val="center"/>
      <w:rPr>
        <w:b w:val="0"/>
        <w:sz w:val="20"/>
      </w:rPr>
    </w:pPr>
    <w:r w:rsidRPr="008E1D55">
      <w:rPr>
        <w:b w:val="0"/>
        <w:sz w:val="20"/>
      </w:rPr>
      <w:t>The accompanying notes are an integral part of these condensed interim financial statements.</w:t>
    </w:r>
  </w:p>
  <w:sdt>
    <w:sdtPr>
      <w:rPr>
        <w:b w:val="0"/>
        <w:sz w:val="20"/>
      </w:rPr>
      <w:id w:val="1891312345"/>
      <w:docPartObj>
        <w:docPartGallery w:val="Page Numbers (Bottom of Page)"/>
        <w:docPartUnique/>
      </w:docPartObj>
    </w:sdtPr>
    <w:sdtEndPr>
      <w:rPr>
        <w:noProof/>
      </w:rPr>
    </w:sdtEndPr>
    <w:sdtContent>
      <w:p w:rsidR="004979FE" w:rsidRPr="008E1D55" w:rsidRDefault="004979FE">
        <w:pPr>
          <w:pStyle w:val="Footer"/>
          <w:jc w:val="right"/>
          <w:rPr>
            <w:b w:val="0"/>
            <w:sz w:val="20"/>
          </w:rPr>
        </w:pPr>
        <w:r>
          <w:rPr>
            <w:b w:val="0"/>
            <w:sz w:val="20"/>
          </w:rPr>
          <w:t>(</w:t>
        </w:r>
        <w:r w:rsidR="00194664" w:rsidRPr="008E1D55">
          <w:rPr>
            <w:b w:val="0"/>
            <w:sz w:val="20"/>
          </w:rPr>
          <w:fldChar w:fldCharType="begin"/>
        </w:r>
        <w:r w:rsidRPr="008E1D55">
          <w:rPr>
            <w:b w:val="0"/>
            <w:sz w:val="20"/>
          </w:rPr>
          <w:instrText xml:space="preserve"> PAGE   \* MERGEFORMAT </w:instrText>
        </w:r>
        <w:r w:rsidR="00194664" w:rsidRPr="008E1D55">
          <w:rPr>
            <w:b w:val="0"/>
            <w:sz w:val="20"/>
          </w:rPr>
          <w:fldChar w:fldCharType="separate"/>
        </w:r>
        <w:r w:rsidR="007618C2">
          <w:rPr>
            <w:b w:val="0"/>
            <w:noProof/>
            <w:sz w:val="20"/>
          </w:rPr>
          <w:t>1</w:t>
        </w:r>
        <w:r w:rsidR="00194664" w:rsidRPr="008E1D55">
          <w:rPr>
            <w:b w:val="0"/>
            <w:noProof/>
            <w:sz w:val="20"/>
          </w:rPr>
          <w:fldChar w:fldCharType="end"/>
        </w:r>
        <w:r>
          <w:rPr>
            <w:b w:val="0"/>
            <w:noProof/>
            <w:sz w:val="20"/>
          </w:rPr>
          <w:t>)</w:t>
        </w:r>
      </w:p>
    </w:sdtContent>
  </w:sdt>
  <w:p w:rsidR="004979FE" w:rsidRDefault="004979FE">
    <w:pPr>
      <w:ind w:left="720" w:firstLine="720"/>
      <w:jc w:val="center"/>
      <w:rPr>
        <w:lang w:val="en-GB"/>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Pr="008E1D55" w:rsidRDefault="004979FE" w:rsidP="00E17A84">
    <w:pPr>
      <w:pStyle w:val="Footer"/>
      <w:jc w:val="center"/>
      <w:rPr>
        <w:b w:val="0"/>
        <w:sz w:val="20"/>
      </w:rPr>
    </w:pPr>
    <w:r w:rsidRPr="008E1D55">
      <w:rPr>
        <w:b w:val="0"/>
        <w:sz w:val="20"/>
      </w:rPr>
      <w:t>The accompanying notes are an integral part of these condensed interim financial statements.</w:t>
    </w:r>
  </w:p>
  <w:p w:rsidR="004979FE" w:rsidRPr="008E1D55" w:rsidRDefault="00194664">
    <w:pPr>
      <w:pStyle w:val="Footer"/>
      <w:jc w:val="right"/>
      <w:rPr>
        <w:b w:val="0"/>
        <w:sz w:val="20"/>
      </w:rPr>
    </w:pPr>
    <w:sdt>
      <w:sdtPr>
        <w:rPr>
          <w:sz w:val="20"/>
        </w:rPr>
        <w:id w:val="1116490053"/>
        <w:docPartObj>
          <w:docPartGallery w:val="Page Numbers (Bottom of Page)"/>
          <w:docPartUnique/>
        </w:docPartObj>
      </w:sdtPr>
      <w:sdtEndPr>
        <w:rPr>
          <w:b w:val="0"/>
          <w:noProof/>
        </w:rPr>
      </w:sdtEndPr>
      <w:sdtContent>
        <w:r w:rsidR="004979FE" w:rsidRPr="008E1D55">
          <w:rPr>
            <w:sz w:val="20"/>
          </w:rPr>
          <w:t>(</w:t>
        </w:r>
        <w:r w:rsidRPr="008E1D55">
          <w:rPr>
            <w:b w:val="0"/>
            <w:sz w:val="20"/>
          </w:rPr>
          <w:fldChar w:fldCharType="begin"/>
        </w:r>
        <w:r w:rsidR="004979FE" w:rsidRPr="008E1D55">
          <w:rPr>
            <w:b w:val="0"/>
            <w:sz w:val="20"/>
          </w:rPr>
          <w:instrText xml:space="preserve"> PAGE   \* MERGEFORMAT </w:instrText>
        </w:r>
        <w:r w:rsidRPr="008E1D55">
          <w:rPr>
            <w:b w:val="0"/>
            <w:sz w:val="20"/>
          </w:rPr>
          <w:fldChar w:fldCharType="separate"/>
        </w:r>
        <w:r w:rsidR="007618C2">
          <w:rPr>
            <w:b w:val="0"/>
            <w:noProof/>
            <w:sz w:val="20"/>
          </w:rPr>
          <w:t>0</w:t>
        </w:r>
        <w:r w:rsidRPr="008E1D55">
          <w:rPr>
            <w:b w:val="0"/>
            <w:noProof/>
            <w:sz w:val="20"/>
          </w:rPr>
          <w:fldChar w:fldCharType="end"/>
        </w:r>
      </w:sdtContent>
    </w:sdt>
    <w:r w:rsidR="004979FE" w:rsidRPr="008E1D55">
      <w:rPr>
        <w:b w:val="0"/>
        <w:noProof/>
        <w:sz w:val="20"/>
      </w:rPr>
      <w:t>)</w:t>
    </w:r>
  </w:p>
  <w:p w:rsidR="004979FE" w:rsidRPr="008E1D55" w:rsidRDefault="004979FE" w:rsidP="008E1D55">
    <w:pPr>
      <w:jc w:val="right"/>
      <w:rPr>
        <w:bCs/>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18" w:rsidRDefault="003E6A18">
      <w:r>
        <w:separator/>
      </w:r>
    </w:p>
  </w:footnote>
  <w:footnote w:type="continuationSeparator" w:id="0">
    <w:p w:rsidR="003E6A18" w:rsidRDefault="003E6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jc w:val="both"/>
      <w:rPr>
        <w:b/>
        <w:sz w:val="28"/>
        <w:lang w:val="en-GB"/>
      </w:rPr>
    </w:pPr>
    <w:r>
      <w:rPr>
        <w:b/>
        <w:sz w:val="28"/>
        <w:lang w:val="en-GB"/>
      </w:rPr>
      <w:t>Rheingold Exploration Corp.</w:t>
    </w:r>
  </w:p>
  <w:p w:rsidR="004979FE" w:rsidRDefault="004979FE">
    <w:r>
      <w:t>Notes to Financial Statements</w:t>
    </w:r>
  </w:p>
  <w:p w:rsidR="004979FE" w:rsidRDefault="004979FE">
    <w:r>
      <w:t>(Expressed in Canadian Dollars)</w:t>
    </w:r>
  </w:p>
  <w:p w:rsidR="004979FE" w:rsidRDefault="004979FE">
    <w:r>
      <w:t>(Unaudited – Prepared by Management)</w:t>
    </w:r>
  </w:p>
  <w:p w:rsidR="004979FE" w:rsidRDefault="004979FE">
    <w:pPr>
      <w:pStyle w:val="Header"/>
      <w:tabs>
        <w:tab w:val="clear" w:pos="4320"/>
        <w:tab w:val="clear" w:pos="8640"/>
        <w:tab w:val="right" w:pos="10080"/>
      </w:tabs>
      <w:rPr>
        <w:b/>
        <w:u w:val="single"/>
      </w:rPr>
    </w:pPr>
    <w:r>
      <w:rPr>
        <w:b/>
        <w:u w:val="single"/>
      </w:rPr>
      <w:t xml:space="preserve">30 April 2012 </w:t>
    </w:r>
    <w:r>
      <w:rPr>
        <w:b/>
        <w:u w:val="single"/>
      </w:rPr>
      <w:tab/>
      <w:t xml:space="preserve"> </w:t>
    </w:r>
  </w:p>
  <w:p w:rsidR="004979FE" w:rsidRDefault="004979FE">
    <w:pPr>
      <w:pStyle w:val="Header"/>
      <w:tabs>
        <w:tab w:val="clear" w:pos="4320"/>
        <w:tab w:val="clear" w:pos="8640"/>
      </w:tabs>
      <w:rPr>
        <w:b/>
        <w:sz w:val="22"/>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tabs>
        <w:tab w:val="clear" w:pos="4320"/>
        <w:tab w:val="clear" w:pos="8640"/>
      </w:tabs>
      <w:rPr>
        <w:b/>
        <w:sz w:val="22"/>
        <w:u w:val="singl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rsidP="007112B3">
    <w:pPr>
      <w:jc w:val="both"/>
      <w:rPr>
        <w:b/>
        <w:sz w:val="28"/>
        <w:lang w:val="en-GB"/>
      </w:rPr>
    </w:pPr>
    <w:r>
      <w:rPr>
        <w:b/>
        <w:sz w:val="28"/>
        <w:lang w:val="en-GB"/>
      </w:rPr>
      <w:t>Rheingold Exploration Corp.</w:t>
    </w:r>
  </w:p>
  <w:p w:rsidR="004979FE" w:rsidRDefault="004979FE" w:rsidP="007112B3">
    <w:r>
      <w:t>Notes to Condensed Interim Financial Statements</w:t>
    </w:r>
  </w:p>
  <w:p w:rsidR="004979FE" w:rsidRDefault="004979FE" w:rsidP="007112B3">
    <w:r>
      <w:t>(Expressed in Canadian Dollars)</w:t>
    </w:r>
  </w:p>
  <w:p w:rsidR="004979FE" w:rsidRDefault="004979FE" w:rsidP="007112B3">
    <w:r>
      <w:t>(Unaudited – Prepared by Management)</w:t>
    </w:r>
  </w:p>
  <w:p w:rsidR="004979FE" w:rsidRDefault="004979FE" w:rsidP="007112B3">
    <w:pPr>
      <w:pStyle w:val="Header"/>
      <w:tabs>
        <w:tab w:val="clear" w:pos="4320"/>
        <w:tab w:val="clear" w:pos="8640"/>
        <w:tab w:val="right" w:pos="10080"/>
      </w:tabs>
      <w:rPr>
        <w:b/>
        <w:u w:val="single"/>
      </w:rPr>
    </w:pPr>
    <w:r>
      <w:rPr>
        <w:b/>
        <w:u w:val="single"/>
      </w:rPr>
      <w:t xml:space="preserve">30 April 2015 </w:t>
    </w:r>
    <w:r>
      <w:rPr>
        <w:b/>
        <w:u w:val="single"/>
      </w:rPr>
      <w:tab/>
      <w:t xml:space="preserve"> </w:t>
    </w:r>
  </w:p>
  <w:p w:rsidR="004979FE" w:rsidRDefault="004979FE">
    <w:pPr>
      <w:pStyle w:val="Header"/>
      <w:tabs>
        <w:tab w:val="clear" w:pos="4320"/>
        <w:tab w:val="clear" w:pos="8640"/>
      </w:tabs>
      <w:rPr>
        <w:b/>
        <w:sz w:val="22"/>
        <w:u w:val="single"/>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tabs>
        <w:tab w:val="clear" w:pos="4320"/>
        <w:tab w:val="clear" w:pos="8640"/>
      </w:tabs>
      <w:rPr>
        <w:b/>
        <w:sz w:val="22"/>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tabs>
        <w:tab w:val="left" w:pos="360"/>
        <w:tab w:val="left" w:pos="7459"/>
        <w:tab w:val="decimal" w:pos="8467"/>
        <w:tab w:val="left" w:pos="8726"/>
        <w:tab w:val="decimal" w:pos="9720"/>
      </w:tabs>
      <w:jc w:val="both"/>
      <w:rPr>
        <w:b/>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FE" w:rsidRDefault="00497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86D"/>
    <w:multiLevelType w:val="hybridMultilevel"/>
    <w:tmpl w:val="5ED0C0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96037"/>
    <w:multiLevelType w:val="singleLevel"/>
    <w:tmpl w:val="88EC6B84"/>
    <w:lvl w:ilvl="0">
      <w:start w:val="1"/>
      <w:numFmt w:val="bullet"/>
      <w:lvlText w:val=""/>
      <w:lvlJc w:val="left"/>
      <w:pPr>
        <w:tabs>
          <w:tab w:val="num" w:pos="360"/>
        </w:tabs>
        <w:ind w:left="360" w:hanging="360"/>
      </w:pPr>
      <w:rPr>
        <w:rFonts w:ascii="Symbol" w:hAnsi="Symbol" w:hint="default"/>
      </w:rPr>
    </w:lvl>
  </w:abstractNum>
  <w:abstractNum w:abstractNumId="2">
    <w:nsid w:val="18285F8C"/>
    <w:multiLevelType w:val="hybridMultilevel"/>
    <w:tmpl w:val="7E10B57C"/>
    <w:lvl w:ilvl="0" w:tplc="0409000F">
      <w:start w:val="1"/>
      <w:numFmt w:val="decimal"/>
      <w:lvlText w:val="%1."/>
      <w:lvlJc w:val="left"/>
      <w:pPr>
        <w:tabs>
          <w:tab w:val="num" w:pos="1620"/>
        </w:tabs>
        <w:ind w:left="1620" w:hanging="360"/>
      </w:pPr>
    </w:lvl>
    <w:lvl w:ilvl="1" w:tplc="10090019" w:tentative="1">
      <w:start w:val="1"/>
      <w:numFmt w:val="lowerLetter"/>
      <w:lvlText w:val="%2."/>
      <w:lvlJc w:val="left"/>
      <w:pPr>
        <w:tabs>
          <w:tab w:val="num" w:pos="2340"/>
        </w:tabs>
        <w:ind w:left="2340" w:hanging="360"/>
      </w:pPr>
    </w:lvl>
    <w:lvl w:ilvl="2" w:tplc="1009001B" w:tentative="1">
      <w:start w:val="1"/>
      <w:numFmt w:val="lowerRoman"/>
      <w:lvlText w:val="%3."/>
      <w:lvlJc w:val="right"/>
      <w:pPr>
        <w:tabs>
          <w:tab w:val="num" w:pos="3060"/>
        </w:tabs>
        <w:ind w:left="3060" w:hanging="180"/>
      </w:pPr>
    </w:lvl>
    <w:lvl w:ilvl="3" w:tplc="1009000F" w:tentative="1">
      <w:start w:val="1"/>
      <w:numFmt w:val="decimal"/>
      <w:lvlText w:val="%4."/>
      <w:lvlJc w:val="left"/>
      <w:pPr>
        <w:tabs>
          <w:tab w:val="num" w:pos="3780"/>
        </w:tabs>
        <w:ind w:left="3780" w:hanging="360"/>
      </w:pPr>
    </w:lvl>
    <w:lvl w:ilvl="4" w:tplc="10090019" w:tentative="1">
      <w:start w:val="1"/>
      <w:numFmt w:val="lowerLetter"/>
      <w:lvlText w:val="%5."/>
      <w:lvlJc w:val="left"/>
      <w:pPr>
        <w:tabs>
          <w:tab w:val="num" w:pos="4500"/>
        </w:tabs>
        <w:ind w:left="4500" w:hanging="360"/>
      </w:pPr>
    </w:lvl>
    <w:lvl w:ilvl="5" w:tplc="1009001B" w:tentative="1">
      <w:start w:val="1"/>
      <w:numFmt w:val="lowerRoman"/>
      <w:lvlText w:val="%6."/>
      <w:lvlJc w:val="right"/>
      <w:pPr>
        <w:tabs>
          <w:tab w:val="num" w:pos="5220"/>
        </w:tabs>
        <w:ind w:left="5220" w:hanging="180"/>
      </w:pPr>
    </w:lvl>
    <w:lvl w:ilvl="6" w:tplc="1009000F" w:tentative="1">
      <w:start w:val="1"/>
      <w:numFmt w:val="decimal"/>
      <w:lvlText w:val="%7."/>
      <w:lvlJc w:val="left"/>
      <w:pPr>
        <w:tabs>
          <w:tab w:val="num" w:pos="5940"/>
        </w:tabs>
        <w:ind w:left="5940" w:hanging="360"/>
      </w:pPr>
    </w:lvl>
    <w:lvl w:ilvl="7" w:tplc="10090019" w:tentative="1">
      <w:start w:val="1"/>
      <w:numFmt w:val="lowerLetter"/>
      <w:lvlText w:val="%8."/>
      <w:lvlJc w:val="left"/>
      <w:pPr>
        <w:tabs>
          <w:tab w:val="num" w:pos="6660"/>
        </w:tabs>
        <w:ind w:left="6660" w:hanging="360"/>
      </w:pPr>
    </w:lvl>
    <w:lvl w:ilvl="8" w:tplc="1009001B" w:tentative="1">
      <w:start w:val="1"/>
      <w:numFmt w:val="lowerRoman"/>
      <w:lvlText w:val="%9."/>
      <w:lvlJc w:val="right"/>
      <w:pPr>
        <w:tabs>
          <w:tab w:val="num" w:pos="7380"/>
        </w:tabs>
        <w:ind w:left="7380" w:hanging="180"/>
      </w:pPr>
    </w:lvl>
  </w:abstractNum>
  <w:abstractNum w:abstractNumId="3">
    <w:nsid w:val="1BA377F5"/>
    <w:multiLevelType w:val="hybridMultilevel"/>
    <w:tmpl w:val="843EB766"/>
    <w:lvl w:ilvl="0" w:tplc="E9DC2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978E2"/>
    <w:multiLevelType w:val="hybridMultilevel"/>
    <w:tmpl w:val="AB7E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324EC"/>
    <w:multiLevelType w:val="hybridMultilevel"/>
    <w:tmpl w:val="6786F8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402C09"/>
    <w:multiLevelType w:val="hybridMultilevel"/>
    <w:tmpl w:val="3580D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713449"/>
    <w:multiLevelType w:val="hybridMultilevel"/>
    <w:tmpl w:val="377E5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51359E"/>
    <w:multiLevelType w:val="hybridMultilevel"/>
    <w:tmpl w:val="431E2D12"/>
    <w:lvl w:ilvl="0" w:tplc="10090001">
      <w:start w:val="1"/>
      <w:numFmt w:val="bullet"/>
      <w:lvlText w:val=""/>
      <w:lvlJc w:val="left"/>
      <w:pPr>
        <w:ind w:left="1267" w:hanging="360"/>
      </w:pPr>
      <w:rPr>
        <w:rFonts w:ascii="Symbol" w:hAnsi="Symbol" w:hint="default"/>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9">
    <w:nsid w:val="3B55668E"/>
    <w:multiLevelType w:val="hybridMultilevel"/>
    <w:tmpl w:val="E5FA4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43B6A"/>
    <w:multiLevelType w:val="hybridMultilevel"/>
    <w:tmpl w:val="6CC648CA"/>
    <w:lvl w:ilvl="0" w:tplc="07DA94F2">
      <w:start w:val="1"/>
      <w:numFmt w:val="decimal"/>
      <w:lvlText w:val="%1."/>
      <w:lvlJc w:val="left"/>
      <w:pPr>
        <w:tabs>
          <w:tab w:val="num" w:pos="547"/>
        </w:tabs>
        <w:ind w:left="547" w:hanging="547"/>
      </w:pPr>
      <w:rPr>
        <w:rFonts w:ascii="Times New Roman" w:hAnsi="Times New Roman" w:hint="default"/>
        <w:b/>
        <w:i w:val="0"/>
        <w:sz w:val="22"/>
      </w:rPr>
    </w:lvl>
    <w:lvl w:ilvl="1" w:tplc="F08E41F2">
      <w:start w:val="1"/>
      <w:numFmt w:val="lowerRoman"/>
      <w:lvlText w:val="%2."/>
      <w:lvlJc w:val="left"/>
      <w:pPr>
        <w:tabs>
          <w:tab w:val="num" w:pos="1800"/>
        </w:tabs>
        <w:ind w:left="1612" w:hanging="532"/>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75C9"/>
    <w:multiLevelType w:val="hybridMultilevel"/>
    <w:tmpl w:val="E5FA4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A5424"/>
    <w:multiLevelType w:val="multilevel"/>
    <w:tmpl w:val="661CC530"/>
    <w:lvl w:ilvl="0">
      <w:start w:val="1"/>
      <w:numFmt w:val="decimal"/>
      <w:pStyle w:val="Par1"/>
      <w:lvlText w:val="%1"/>
      <w:lvlJc w:val="left"/>
      <w:pPr>
        <w:tabs>
          <w:tab w:val="num" w:pos="360"/>
        </w:tabs>
        <w:ind w:left="0" w:firstLine="0"/>
      </w:pPr>
    </w:lvl>
    <w:lvl w:ilvl="1">
      <w:start w:val="1"/>
      <w:numFmt w:val="lowerLetter"/>
      <w:pStyle w:val="Par2"/>
      <w:lvlText w:val="%2)"/>
      <w:lvlJc w:val="left"/>
      <w:pPr>
        <w:tabs>
          <w:tab w:val="num" w:pos="792"/>
        </w:tabs>
        <w:ind w:left="432" w:firstLine="0"/>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629B1846"/>
    <w:multiLevelType w:val="hybridMultilevel"/>
    <w:tmpl w:val="CAA0DD10"/>
    <w:lvl w:ilvl="0" w:tplc="04090017">
      <w:start w:val="1"/>
      <w:numFmt w:val="lowerLetter"/>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4">
    <w:nsid w:val="7F663E38"/>
    <w:multiLevelType w:val="hybridMultilevel"/>
    <w:tmpl w:val="3CCE0AC6"/>
    <w:lvl w:ilvl="0" w:tplc="0409000F">
      <w:start w:val="1"/>
      <w:numFmt w:val="decimal"/>
      <w:lvlText w:val="%1."/>
      <w:lvlJc w:val="left"/>
      <w:pPr>
        <w:tabs>
          <w:tab w:val="num" w:pos="1980"/>
        </w:tabs>
        <w:ind w:left="1980" w:hanging="360"/>
      </w:pPr>
    </w:lvl>
    <w:lvl w:ilvl="1" w:tplc="10090019" w:tentative="1">
      <w:start w:val="1"/>
      <w:numFmt w:val="lowerLetter"/>
      <w:lvlText w:val="%2."/>
      <w:lvlJc w:val="left"/>
      <w:pPr>
        <w:tabs>
          <w:tab w:val="num" w:pos="2700"/>
        </w:tabs>
        <w:ind w:left="2700" w:hanging="360"/>
      </w:pPr>
    </w:lvl>
    <w:lvl w:ilvl="2" w:tplc="1009001B" w:tentative="1">
      <w:start w:val="1"/>
      <w:numFmt w:val="lowerRoman"/>
      <w:lvlText w:val="%3."/>
      <w:lvlJc w:val="right"/>
      <w:pPr>
        <w:tabs>
          <w:tab w:val="num" w:pos="3420"/>
        </w:tabs>
        <w:ind w:left="3420" w:hanging="180"/>
      </w:pPr>
    </w:lvl>
    <w:lvl w:ilvl="3" w:tplc="1009000F" w:tentative="1">
      <w:start w:val="1"/>
      <w:numFmt w:val="decimal"/>
      <w:lvlText w:val="%4."/>
      <w:lvlJc w:val="left"/>
      <w:pPr>
        <w:tabs>
          <w:tab w:val="num" w:pos="4140"/>
        </w:tabs>
        <w:ind w:left="4140" w:hanging="360"/>
      </w:pPr>
    </w:lvl>
    <w:lvl w:ilvl="4" w:tplc="10090019" w:tentative="1">
      <w:start w:val="1"/>
      <w:numFmt w:val="lowerLetter"/>
      <w:lvlText w:val="%5."/>
      <w:lvlJc w:val="left"/>
      <w:pPr>
        <w:tabs>
          <w:tab w:val="num" w:pos="4860"/>
        </w:tabs>
        <w:ind w:left="4860" w:hanging="360"/>
      </w:pPr>
    </w:lvl>
    <w:lvl w:ilvl="5" w:tplc="1009001B" w:tentative="1">
      <w:start w:val="1"/>
      <w:numFmt w:val="lowerRoman"/>
      <w:lvlText w:val="%6."/>
      <w:lvlJc w:val="right"/>
      <w:pPr>
        <w:tabs>
          <w:tab w:val="num" w:pos="5580"/>
        </w:tabs>
        <w:ind w:left="5580" w:hanging="180"/>
      </w:pPr>
    </w:lvl>
    <w:lvl w:ilvl="6" w:tplc="1009000F" w:tentative="1">
      <w:start w:val="1"/>
      <w:numFmt w:val="decimal"/>
      <w:lvlText w:val="%7."/>
      <w:lvlJc w:val="left"/>
      <w:pPr>
        <w:tabs>
          <w:tab w:val="num" w:pos="6300"/>
        </w:tabs>
        <w:ind w:left="6300" w:hanging="360"/>
      </w:pPr>
    </w:lvl>
    <w:lvl w:ilvl="7" w:tplc="10090019" w:tentative="1">
      <w:start w:val="1"/>
      <w:numFmt w:val="lowerLetter"/>
      <w:lvlText w:val="%8."/>
      <w:lvlJc w:val="left"/>
      <w:pPr>
        <w:tabs>
          <w:tab w:val="num" w:pos="7020"/>
        </w:tabs>
        <w:ind w:left="7020" w:hanging="360"/>
      </w:pPr>
    </w:lvl>
    <w:lvl w:ilvl="8" w:tplc="1009001B" w:tentative="1">
      <w:start w:val="1"/>
      <w:numFmt w:val="lowerRoman"/>
      <w:lvlText w:val="%9."/>
      <w:lvlJc w:val="right"/>
      <w:pPr>
        <w:tabs>
          <w:tab w:val="num" w:pos="7740"/>
        </w:tabs>
        <w:ind w:left="7740" w:hanging="180"/>
      </w:pPr>
    </w:lvl>
  </w:abstractNum>
  <w:num w:numId="1">
    <w:abstractNumId w:val="12"/>
  </w:num>
  <w:num w:numId="2">
    <w:abstractNumId w:val="10"/>
  </w:num>
  <w:num w:numId="3">
    <w:abstractNumId w:val="11"/>
  </w:num>
  <w:num w:numId="4">
    <w:abstractNumId w:val="1"/>
  </w:num>
  <w:num w:numId="5">
    <w:abstractNumId w:val="9"/>
  </w:num>
  <w:num w:numId="6">
    <w:abstractNumId w:val="0"/>
  </w:num>
  <w:num w:numId="7">
    <w:abstractNumId w:val="5"/>
  </w:num>
  <w:num w:numId="8">
    <w:abstractNumId w:val="6"/>
  </w:num>
  <w:num w:numId="9">
    <w:abstractNumId w:val="2"/>
  </w:num>
  <w:num w:numId="10">
    <w:abstractNumId w:val="14"/>
  </w:num>
  <w:num w:numId="11">
    <w:abstractNumId w:val="13"/>
  </w:num>
  <w:num w:numId="12">
    <w:abstractNumId w:val="3"/>
  </w:num>
  <w:num w:numId="13">
    <w:abstractNumId w:val="12"/>
  </w:num>
  <w:num w:numId="14">
    <w:abstractNumId w:val="4"/>
  </w:num>
  <w:num w:numId="15">
    <w:abstractNumId w:val="7"/>
  </w:num>
  <w:num w:numId="16">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bordersDoNotSurroundHeader/>
  <w:bordersDoNotSurroundFooter/>
  <w:hideSpellingErrors/>
  <w:hideGrammaticalErrors/>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numFmt w:val="decimal"/>
    <w:endnote w:id="-1"/>
    <w:endnote w:id="0"/>
  </w:endnotePr>
  <w:compat>
    <w:useFELayout/>
  </w:compat>
  <w:rsids>
    <w:rsidRoot w:val="00BF1D96"/>
    <w:rsid w:val="00013965"/>
    <w:rsid w:val="00017FFB"/>
    <w:rsid w:val="00023F82"/>
    <w:rsid w:val="00034106"/>
    <w:rsid w:val="00035B51"/>
    <w:rsid w:val="000411D9"/>
    <w:rsid w:val="00042380"/>
    <w:rsid w:val="00042A59"/>
    <w:rsid w:val="00047E16"/>
    <w:rsid w:val="00050537"/>
    <w:rsid w:val="0005281F"/>
    <w:rsid w:val="000566C1"/>
    <w:rsid w:val="000577C2"/>
    <w:rsid w:val="00064192"/>
    <w:rsid w:val="00064D4C"/>
    <w:rsid w:val="00064D76"/>
    <w:rsid w:val="00064EAD"/>
    <w:rsid w:val="00065265"/>
    <w:rsid w:val="00066A7D"/>
    <w:rsid w:val="00070A13"/>
    <w:rsid w:val="00072412"/>
    <w:rsid w:val="00075BF9"/>
    <w:rsid w:val="00076C1A"/>
    <w:rsid w:val="00081518"/>
    <w:rsid w:val="0008504D"/>
    <w:rsid w:val="00085882"/>
    <w:rsid w:val="00090429"/>
    <w:rsid w:val="00091850"/>
    <w:rsid w:val="00095282"/>
    <w:rsid w:val="000953B4"/>
    <w:rsid w:val="000953FC"/>
    <w:rsid w:val="000A2A52"/>
    <w:rsid w:val="000A420C"/>
    <w:rsid w:val="000A4DE1"/>
    <w:rsid w:val="000A6C4E"/>
    <w:rsid w:val="000B1148"/>
    <w:rsid w:val="000B2794"/>
    <w:rsid w:val="000B7ACF"/>
    <w:rsid w:val="000C051D"/>
    <w:rsid w:val="000C0651"/>
    <w:rsid w:val="000C4272"/>
    <w:rsid w:val="000C61B8"/>
    <w:rsid w:val="000D3449"/>
    <w:rsid w:val="000D4664"/>
    <w:rsid w:val="000E4AA0"/>
    <w:rsid w:val="000E6766"/>
    <w:rsid w:val="000F645C"/>
    <w:rsid w:val="000F7BA8"/>
    <w:rsid w:val="00100B98"/>
    <w:rsid w:val="00100C31"/>
    <w:rsid w:val="0010193F"/>
    <w:rsid w:val="00102C15"/>
    <w:rsid w:val="00116C37"/>
    <w:rsid w:val="001202B4"/>
    <w:rsid w:val="00120C0F"/>
    <w:rsid w:val="00124B2D"/>
    <w:rsid w:val="0012745D"/>
    <w:rsid w:val="00130E72"/>
    <w:rsid w:val="00133A7D"/>
    <w:rsid w:val="0013739D"/>
    <w:rsid w:val="001375F1"/>
    <w:rsid w:val="00137639"/>
    <w:rsid w:val="001404F0"/>
    <w:rsid w:val="001407E5"/>
    <w:rsid w:val="001411FF"/>
    <w:rsid w:val="0014131D"/>
    <w:rsid w:val="00141554"/>
    <w:rsid w:val="00141F1D"/>
    <w:rsid w:val="00143B94"/>
    <w:rsid w:val="00146975"/>
    <w:rsid w:val="00156FA0"/>
    <w:rsid w:val="0016104D"/>
    <w:rsid w:val="00163426"/>
    <w:rsid w:val="00170457"/>
    <w:rsid w:val="001762E6"/>
    <w:rsid w:val="00177476"/>
    <w:rsid w:val="00180385"/>
    <w:rsid w:val="00180F40"/>
    <w:rsid w:val="0018446D"/>
    <w:rsid w:val="00184E0D"/>
    <w:rsid w:val="00186B72"/>
    <w:rsid w:val="001918CD"/>
    <w:rsid w:val="00192020"/>
    <w:rsid w:val="0019205F"/>
    <w:rsid w:val="00193DA2"/>
    <w:rsid w:val="00194664"/>
    <w:rsid w:val="001961E4"/>
    <w:rsid w:val="001979C3"/>
    <w:rsid w:val="001A25EC"/>
    <w:rsid w:val="001A2EF0"/>
    <w:rsid w:val="001A304A"/>
    <w:rsid w:val="001A3483"/>
    <w:rsid w:val="001B433C"/>
    <w:rsid w:val="001B66DF"/>
    <w:rsid w:val="001B7C83"/>
    <w:rsid w:val="001B7D97"/>
    <w:rsid w:val="001C6D4F"/>
    <w:rsid w:val="001C74DA"/>
    <w:rsid w:val="001D536D"/>
    <w:rsid w:val="001D66E6"/>
    <w:rsid w:val="001D6B74"/>
    <w:rsid w:val="001D7212"/>
    <w:rsid w:val="001D725F"/>
    <w:rsid w:val="001D7FB5"/>
    <w:rsid w:val="001E00BF"/>
    <w:rsid w:val="001E7F5F"/>
    <w:rsid w:val="001F0A70"/>
    <w:rsid w:val="001F0E21"/>
    <w:rsid w:val="001F17C5"/>
    <w:rsid w:val="001F3630"/>
    <w:rsid w:val="00201BE1"/>
    <w:rsid w:val="0020765D"/>
    <w:rsid w:val="00215920"/>
    <w:rsid w:val="002228C6"/>
    <w:rsid w:val="00225364"/>
    <w:rsid w:val="00231054"/>
    <w:rsid w:val="00232D6E"/>
    <w:rsid w:val="0024359B"/>
    <w:rsid w:val="0024416F"/>
    <w:rsid w:val="00247080"/>
    <w:rsid w:val="002478BF"/>
    <w:rsid w:val="00253E88"/>
    <w:rsid w:val="00254498"/>
    <w:rsid w:val="0025522F"/>
    <w:rsid w:val="00263E43"/>
    <w:rsid w:val="00266560"/>
    <w:rsid w:val="002702E9"/>
    <w:rsid w:val="002708BD"/>
    <w:rsid w:val="00270D1F"/>
    <w:rsid w:val="00270D37"/>
    <w:rsid w:val="0027411A"/>
    <w:rsid w:val="0027682B"/>
    <w:rsid w:val="0027736F"/>
    <w:rsid w:val="002853DD"/>
    <w:rsid w:val="00285D7A"/>
    <w:rsid w:val="00286656"/>
    <w:rsid w:val="00290626"/>
    <w:rsid w:val="00290F5B"/>
    <w:rsid w:val="00291F09"/>
    <w:rsid w:val="002A2239"/>
    <w:rsid w:val="002A5FE7"/>
    <w:rsid w:val="002A6045"/>
    <w:rsid w:val="002B6FA8"/>
    <w:rsid w:val="002B7C3A"/>
    <w:rsid w:val="002B7F7B"/>
    <w:rsid w:val="002C04BA"/>
    <w:rsid w:val="002C29FA"/>
    <w:rsid w:val="002C6C39"/>
    <w:rsid w:val="002D21F2"/>
    <w:rsid w:val="002D43CB"/>
    <w:rsid w:val="002D5137"/>
    <w:rsid w:val="002D75FD"/>
    <w:rsid w:val="002E32C9"/>
    <w:rsid w:val="002E4E73"/>
    <w:rsid w:val="002F2504"/>
    <w:rsid w:val="002F287E"/>
    <w:rsid w:val="002F3C96"/>
    <w:rsid w:val="002F4790"/>
    <w:rsid w:val="002F5FCD"/>
    <w:rsid w:val="002F742D"/>
    <w:rsid w:val="002F7E6B"/>
    <w:rsid w:val="0030559F"/>
    <w:rsid w:val="00307B3E"/>
    <w:rsid w:val="00311FB5"/>
    <w:rsid w:val="00312F53"/>
    <w:rsid w:val="0031317A"/>
    <w:rsid w:val="00313921"/>
    <w:rsid w:val="003148E4"/>
    <w:rsid w:val="00317DB3"/>
    <w:rsid w:val="00321D27"/>
    <w:rsid w:val="00323305"/>
    <w:rsid w:val="00325AF6"/>
    <w:rsid w:val="00331948"/>
    <w:rsid w:val="00333C76"/>
    <w:rsid w:val="0034153B"/>
    <w:rsid w:val="003461A4"/>
    <w:rsid w:val="00353B56"/>
    <w:rsid w:val="00355270"/>
    <w:rsid w:val="003566EF"/>
    <w:rsid w:val="0035758D"/>
    <w:rsid w:val="003576F4"/>
    <w:rsid w:val="00360E32"/>
    <w:rsid w:val="003610E8"/>
    <w:rsid w:val="00364D90"/>
    <w:rsid w:val="0037482B"/>
    <w:rsid w:val="00380899"/>
    <w:rsid w:val="00382036"/>
    <w:rsid w:val="0038276C"/>
    <w:rsid w:val="003915B5"/>
    <w:rsid w:val="00391AFF"/>
    <w:rsid w:val="00391D1B"/>
    <w:rsid w:val="00392719"/>
    <w:rsid w:val="003932E5"/>
    <w:rsid w:val="00394A88"/>
    <w:rsid w:val="00396AE8"/>
    <w:rsid w:val="0039722D"/>
    <w:rsid w:val="003A4532"/>
    <w:rsid w:val="003A4BD5"/>
    <w:rsid w:val="003B08ED"/>
    <w:rsid w:val="003B34A0"/>
    <w:rsid w:val="003B5DB7"/>
    <w:rsid w:val="003B67A0"/>
    <w:rsid w:val="003D0C69"/>
    <w:rsid w:val="003E4AC1"/>
    <w:rsid w:val="003E6A18"/>
    <w:rsid w:val="003E7BBF"/>
    <w:rsid w:val="003E7CC6"/>
    <w:rsid w:val="003F2D6C"/>
    <w:rsid w:val="003F6BE2"/>
    <w:rsid w:val="00402899"/>
    <w:rsid w:val="0040596A"/>
    <w:rsid w:val="00406EE7"/>
    <w:rsid w:val="0040754C"/>
    <w:rsid w:val="0041084B"/>
    <w:rsid w:val="00410EB1"/>
    <w:rsid w:val="00412DE1"/>
    <w:rsid w:val="00417434"/>
    <w:rsid w:val="00425ACD"/>
    <w:rsid w:val="00425B84"/>
    <w:rsid w:val="00426615"/>
    <w:rsid w:val="0042745E"/>
    <w:rsid w:val="00431A86"/>
    <w:rsid w:val="004326AF"/>
    <w:rsid w:val="00435DE4"/>
    <w:rsid w:val="00444653"/>
    <w:rsid w:val="0044732B"/>
    <w:rsid w:val="00451393"/>
    <w:rsid w:val="004517B1"/>
    <w:rsid w:val="004526CF"/>
    <w:rsid w:val="00452B18"/>
    <w:rsid w:val="00455A12"/>
    <w:rsid w:val="00456178"/>
    <w:rsid w:val="0045678D"/>
    <w:rsid w:val="00457829"/>
    <w:rsid w:val="00466840"/>
    <w:rsid w:val="00467377"/>
    <w:rsid w:val="00470CE1"/>
    <w:rsid w:val="004737BA"/>
    <w:rsid w:val="00474845"/>
    <w:rsid w:val="00477D76"/>
    <w:rsid w:val="00491DA5"/>
    <w:rsid w:val="004926A3"/>
    <w:rsid w:val="0049451E"/>
    <w:rsid w:val="004979FE"/>
    <w:rsid w:val="00497CDD"/>
    <w:rsid w:val="004A7B46"/>
    <w:rsid w:val="004B0AA1"/>
    <w:rsid w:val="004B1065"/>
    <w:rsid w:val="004B3CC0"/>
    <w:rsid w:val="004B72AF"/>
    <w:rsid w:val="004C546D"/>
    <w:rsid w:val="004C6082"/>
    <w:rsid w:val="004C6DA8"/>
    <w:rsid w:val="004C6FEC"/>
    <w:rsid w:val="004C7473"/>
    <w:rsid w:val="004E0168"/>
    <w:rsid w:val="004E74B5"/>
    <w:rsid w:val="004F36E2"/>
    <w:rsid w:val="004F3F54"/>
    <w:rsid w:val="004F4F43"/>
    <w:rsid w:val="004F641E"/>
    <w:rsid w:val="00500D84"/>
    <w:rsid w:val="00510107"/>
    <w:rsid w:val="0051155D"/>
    <w:rsid w:val="00511869"/>
    <w:rsid w:val="00516A7D"/>
    <w:rsid w:val="005176C6"/>
    <w:rsid w:val="005362E2"/>
    <w:rsid w:val="00542F34"/>
    <w:rsid w:val="00543861"/>
    <w:rsid w:val="00545BC4"/>
    <w:rsid w:val="00557685"/>
    <w:rsid w:val="0056769B"/>
    <w:rsid w:val="005679E2"/>
    <w:rsid w:val="00570CAE"/>
    <w:rsid w:val="00572ED9"/>
    <w:rsid w:val="005801FD"/>
    <w:rsid w:val="00583B36"/>
    <w:rsid w:val="005906A8"/>
    <w:rsid w:val="00591538"/>
    <w:rsid w:val="005959BB"/>
    <w:rsid w:val="00596A93"/>
    <w:rsid w:val="00597D38"/>
    <w:rsid w:val="005A06FB"/>
    <w:rsid w:val="005B1B24"/>
    <w:rsid w:val="005B4AAE"/>
    <w:rsid w:val="005C44CA"/>
    <w:rsid w:val="005C44CF"/>
    <w:rsid w:val="005C6C7E"/>
    <w:rsid w:val="005C7DD7"/>
    <w:rsid w:val="005D05FA"/>
    <w:rsid w:val="005D4503"/>
    <w:rsid w:val="005E0E4E"/>
    <w:rsid w:val="005E4B93"/>
    <w:rsid w:val="005E4CB0"/>
    <w:rsid w:val="005F18DD"/>
    <w:rsid w:val="005F2B36"/>
    <w:rsid w:val="005F70CE"/>
    <w:rsid w:val="005F75EE"/>
    <w:rsid w:val="006018EF"/>
    <w:rsid w:val="00602732"/>
    <w:rsid w:val="00603F8D"/>
    <w:rsid w:val="00607694"/>
    <w:rsid w:val="00613D25"/>
    <w:rsid w:val="00617B6F"/>
    <w:rsid w:val="00622A20"/>
    <w:rsid w:val="006272E3"/>
    <w:rsid w:val="006306B8"/>
    <w:rsid w:val="00633C67"/>
    <w:rsid w:val="006363C0"/>
    <w:rsid w:val="006423AB"/>
    <w:rsid w:val="006468AD"/>
    <w:rsid w:val="0065086C"/>
    <w:rsid w:val="00651F0D"/>
    <w:rsid w:val="00653ECE"/>
    <w:rsid w:val="00655A35"/>
    <w:rsid w:val="006639F0"/>
    <w:rsid w:val="00671354"/>
    <w:rsid w:val="00672E0D"/>
    <w:rsid w:val="006744CF"/>
    <w:rsid w:val="00675ECB"/>
    <w:rsid w:val="00676DC2"/>
    <w:rsid w:val="00677E38"/>
    <w:rsid w:val="006830B6"/>
    <w:rsid w:val="00686790"/>
    <w:rsid w:val="006903C5"/>
    <w:rsid w:val="00693DF8"/>
    <w:rsid w:val="0069465E"/>
    <w:rsid w:val="006A017E"/>
    <w:rsid w:val="006A7991"/>
    <w:rsid w:val="006B05A0"/>
    <w:rsid w:val="006B0B2E"/>
    <w:rsid w:val="006B31C7"/>
    <w:rsid w:val="006B340F"/>
    <w:rsid w:val="006B3478"/>
    <w:rsid w:val="006B602C"/>
    <w:rsid w:val="006B63DD"/>
    <w:rsid w:val="006B68CC"/>
    <w:rsid w:val="006B6CE3"/>
    <w:rsid w:val="006C1EBE"/>
    <w:rsid w:val="006C3B06"/>
    <w:rsid w:val="006C47B3"/>
    <w:rsid w:val="006C6F50"/>
    <w:rsid w:val="006D0062"/>
    <w:rsid w:val="006D7499"/>
    <w:rsid w:val="006E0ABB"/>
    <w:rsid w:val="006E17B8"/>
    <w:rsid w:val="006E2FDA"/>
    <w:rsid w:val="006E3DE9"/>
    <w:rsid w:val="006E7438"/>
    <w:rsid w:val="006F776B"/>
    <w:rsid w:val="007007C4"/>
    <w:rsid w:val="00701502"/>
    <w:rsid w:val="00702CCE"/>
    <w:rsid w:val="00703894"/>
    <w:rsid w:val="00705E26"/>
    <w:rsid w:val="007065D5"/>
    <w:rsid w:val="00707DDE"/>
    <w:rsid w:val="007112B3"/>
    <w:rsid w:val="00712857"/>
    <w:rsid w:val="00715056"/>
    <w:rsid w:val="00715F1B"/>
    <w:rsid w:val="007205F4"/>
    <w:rsid w:val="007248CD"/>
    <w:rsid w:val="00726CED"/>
    <w:rsid w:val="00730ABF"/>
    <w:rsid w:val="007376A8"/>
    <w:rsid w:val="00737D85"/>
    <w:rsid w:val="00741320"/>
    <w:rsid w:val="00741808"/>
    <w:rsid w:val="007471A3"/>
    <w:rsid w:val="00747F5F"/>
    <w:rsid w:val="00752C1F"/>
    <w:rsid w:val="007535AE"/>
    <w:rsid w:val="00753C0B"/>
    <w:rsid w:val="007567E6"/>
    <w:rsid w:val="007618C2"/>
    <w:rsid w:val="00763969"/>
    <w:rsid w:val="00766AEA"/>
    <w:rsid w:val="007744D8"/>
    <w:rsid w:val="007747A0"/>
    <w:rsid w:val="00783212"/>
    <w:rsid w:val="00783C31"/>
    <w:rsid w:val="00784CBE"/>
    <w:rsid w:val="00787621"/>
    <w:rsid w:val="0078769F"/>
    <w:rsid w:val="007876B2"/>
    <w:rsid w:val="00787726"/>
    <w:rsid w:val="0079249D"/>
    <w:rsid w:val="007924D7"/>
    <w:rsid w:val="00792E9F"/>
    <w:rsid w:val="00794128"/>
    <w:rsid w:val="00794E7C"/>
    <w:rsid w:val="00795393"/>
    <w:rsid w:val="00796901"/>
    <w:rsid w:val="007A129D"/>
    <w:rsid w:val="007A5773"/>
    <w:rsid w:val="007A71F2"/>
    <w:rsid w:val="007B0856"/>
    <w:rsid w:val="007B0A0A"/>
    <w:rsid w:val="007B568C"/>
    <w:rsid w:val="007C25AE"/>
    <w:rsid w:val="007C3020"/>
    <w:rsid w:val="007C37C4"/>
    <w:rsid w:val="007C695E"/>
    <w:rsid w:val="007C6F0E"/>
    <w:rsid w:val="007D4F4E"/>
    <w:rsid w:val="007D5ED1"/>
    <w:rsid w:val="007D7DC6"/>
    <w:rsid w:val="007E16C9"/>
    <w:rsid w:val="007E1988"/>
    <w:rsid w:val="007E2CBE"/>
    <w:rsid w:val="007E4B12"/>
    <w:rsid w:val="007E734E"/>
    <w:rsid w:val="007F249E"/>
    <w:rsid w:val="007F2E02"/>
    <w:rsid w:val="007F4772"/>
    <w:rsid w:val="007F619C"/>
    <w:rsid w:val="008003E9"/>
    <w:rsid w:val="00805B3E"/>
    <w:rsid w:val="00806504"/>
    <w:rsid w:val="00811F71"/>
    <w:rsid w:val="0082230E"/>
    <w:rsid w:val="00824617"/>
    <w:rsid w:val="00831D8A"/>
    <w:rsid w:val="00832B06"/>
    <w:rsid w:val="0083712F"/>
    <w:rsid w:val="00837958"/>
    <w:rsid w:val="0084001C"/>
    <w:rsid w:val="00842E80"/>
    <w:rsid w:val="008461D2"/>
    <w:rsid w:val="008470E7"/>
    <w:rsid w:val="008521BA"/>
    <w:rsid w:val="00853AA4"/>
    <w:rsid w:val="008547C2"/>
    <w:rsid w:val="008605E2"/>
    <w:rsid w:val="00860F06"/>
    <w:rsid w:val="00861343"/>
    <w:rsid w:val="00861C4B"/>
    <w:rsid w:val="008656A9"/>
    <w:rsid w:val="0087145C"/>
    <w:rsid w:val="00876B29"/>
    <w:rsid w:val="008771A1"/>
    <w:rsid w:val="00877FD3"/>
    <w:rsid w:val="00881B34"/>
    <w:rsid w:val="00882981"/>
    <w:rsid w:val="008849F6"/>
    <w:rsid w:val="0088578E"/>
    <w:rsid w:val="00891ABD"/>
    <w:rsid w:val="00892302"/>
    <w:rsid w:val="00892D5D"/>
    <w:rsid w:val="008932C5"/>
    <w:rsid w:val="00893E76"/>
    <w:rsid w:val="008965C2"/>
    <w:rsid w:val="00897FA7"/>
    <w:rsid w:val="008A2709"/>
    <w:rsid w:val="008B20A8"/>
    <w:rsid w:val="008B63E7"/>
    <w:rsid w:val="008C18F7"/>
    <w:rsid w:val="008C27E9"/>
    <w:rsid w:val="008C7A76"/>
    <w:rsid w:val="008D072E"/>
    <w:rsid w:val="008D60D4"/>
    <w:rsid w:val="008D6281"/>
    <w:rsid w:val="008E1A51"/>
    <w:rsid w:val="008E1D55"/>
    <w:rsid w:val="008E2267"/>
    <w:rsid w:val="008E3158"/>
    <w:rsid w:val="008E3308"/>
    <w:rsid w:val="008F205D"/>
    <w:rsid w:val="008F4EED"/>
    <w:rsid w:val="008F57AD"/>
    <w:rsid w:val="008F637E"/>
    <w:rsid w:val="009014E1"/>
    <w:rsid w:val="009016A4"/>
    <w:rsid w:val="00902ED9"/>
    <w:rsid w:val="00903E5E"/>
    <w:rsid w:val="00906E24"/>
    <w:rsid w:val="009077B5"/>
    <w:rsid w:val="009113E9"/>
    <w:rsid w:val="00912792"/>
    <w:rsid w:val="00921676"/>
    <w:rsid w:val="00921702"/>
    <w:rsid w:val="00927C4C"/>
    <w:rsid w:val="00930958"/>
    <w:rsid w:val="009348D1"/>
    <w:rsid w:val="00936498"/>
    <w:rsid w:val="00936D73"/>
    <w:rsid w:val="00943E12"/>
    <w:rsid w:val="009445DF"/>
    <w:rsid w:val="009463BA"/>
    <w:rsid w:val="00950A3D"/>
    <w:rsid w:val="00952227"/>
    <w:rsid w:val="009528DF"/>
    <w:rsid w:val="009537C7"/>
    <w:rsid w:val="0095409B"/>
    <w:rsid w:val="00954534"/>
    <w:rsid w:val="00954FBA"/>
    <w:rsid w:val="0095605F"/>
    <w:rsid w:val="0095623E"/>
    <w:rsid w:val="00957701"/>
    <w:rsid w:val="00970EC4"/>
    <w:rsid w:val="00974956"/>
    <w:rsid w:val="0097714E"/>
    <w:rsid w:val="009775A4"/>
    <w:rsid w:val="00980204"/>
    <w:rsid w:val="00983945"/>
    <w:rsid w:val="00990B67"/>
    <w:rsid w:val="009928B2"/>
    <w:rsid w:val="00994079"/>
    <w:rsid w:val="00997E23"/>
    <w:rsid w:val="009A2FFB"/>
    <w:rsid w:val="009A3942"/>
    <w:rsid w:val="009B100B"/>
    <w:rsid w:val="009B2A26"/>
    <w:rsid w:val="009B428F"/>
    <w:rsid w:val="009B65A5"/>
    <w:rsid w:val="009C4AB9"/>
    <w:rsid w:val="009C5917"/>
    <w:rsid w:val="009C595D"/>
    <w:rsid w:val="009C674A"/>
    <w:rsid w:val="009D3A63"/>
    <w:rsid w:val="009E26FF"/>
    <w:rsid w:val="009E331F"/>
    <w:rsid w:val="009E64E7"/>
    <w:rsid w:val="009F421D"/>
    <w:rsid w:val="009F6336"/>
    <w:rsid w:val="00A06378"/>
    <w:rsid w:val="00A065C1"/>
    <w:rsid w:val="00A10AA4"/>
    <w:rsid w:val="00A10DB0"/>
    <w:rsid w:val="00A15271"/>
    <w:rsid w:val="00A214E2"/>
    <w:rsid w:val="00A21B7C"/>
    <w:rsid w:val="00A276AF"/>
    <w:rsid w:val="00A31B4E"/>
    <w:rsid w:val="00A37A8A"/>
    <w:rsid w:val="00A402F6"/>
    <w:rsid w:val="00A44C77"/>
    <w:rsid w:val="00A463DF"/>
    <w:rsid w:val="00A46A95"/>
    <w:rsid w:val="00A500B3"/>
    <w:rsid w:val="00A52542"/>
    <w:rsid w:val="00A54156"/>
    <w:rsid w:val="00A66E78"/>
    <w:rsid w:val="00A73A52"/>
    <w:rsid w:val="00A74C75"/>
    <w:rsid w:val="00A74E83"/>
    <w:rsid w:val="00A768D9"/>
    <w:rsid w:val="00A80B05"/>
    <w:rsid w:val="00A82875"/>
    <w:rsid w:val="00A8335F"/>
    <w:rsid w:val="00A84CB6"/>
    <w:rsid w:val="00A87181"/>
    <w:rsid w:val="00A921D0"/>
    <w:rsid w:val="00A944C2"/>
    <w:rsid w:val="00AA0267"/>
    <w:rsid w:val="00AA2611"/>
    <w:rsid w:val="00AA464F"/>
    <w:rsid w:val="00AA4DB4"/>
    <w:rsid w:val="00AA749B"/>
    <w:rsid w:val="00AA751C"/>
    <w:rsid w:val="00AB2003"/>
    <w:rsid w:val="00AB5674"/>
    <w:rsid w:val="00AC0219"/>
    <w:rsid w:val="00AC33CE"/>
    <w:rsid w:val="00AC3D5C"/>
    <w:rsid w:val="00AC7AAB"/>
    <w:rsid w:val="00AC7BEF"/>
    <w:rsid w:val="00AC7DAF"/>
    <w:rsid w:val="00AD2B5D"/>
    <w:rsid w:val="00AD322A"/>
    <w:rsid w:val="00AD37E0"/>
    <w:rsid w:val="00AD3B70"/>
    <w:rsid w:val="00AD3CD9"/>
    <w:rsid w:val="00AD43DF"/>
    <w:rsid w:val="00AD4F80"/>
    <w:rsid w:val="00AD5023"/>
    <w:rsid w:val="00AD69C5"/>
    <w:rsid w:val="00AE1B96"/>
    <w:rsid w:val="00AE3022"/>
    <w:rsid w:val="00AE4A18"/>
    <w:rsid w:val="00AE7428"/>
    <w:rsid w:val="00AF350D"/>
    <w:rsid w:val="00AF3FD6"/>
    <w:rsid w:val="00AF4355"/>
    <w:rsid w:val="00AF4B0D"/>
    <w:rsid w:val="00AF6042"/>
    <w:rsid w:val="00B02D18"/>
    <w:rsid w:val="00B04B0C"/>
    <w:rsid w:val="00B04C90"/>
    <w:rsid w:val="00B04F28"/>
    <w:rsid w:val="00B07842"/>
    <w:rsid w:val="00B10073"/>
    <w:rsid w:val="00B10DE7"/>
    <w:rsid w:val="00B16610"/>
    <w:rsid w:val="00B20123"/>
    <w:rsid w:val="00B22F3F"/>
    <w:rsid w:val="00B26DAC"/>
    <w:rsid w:val="00B30419"/>
    <w:rsid w:val="00B3102F"/>
    <w:rsid w:val="00B31E2E"/>
    <w:rsid w:val="00B334F1"/>
    <w:rsid w:val="00B37D8D"/>
    <w:rsid w:val="00B45DE0"/>
    <w:rsid w:val="00B51841"/>
    <w:rsid w:val="00B54A80"/>
    <w:rsid w:val="00B60BC7"/>
    <w:rsid w:val="00B62D00"/>
    <w:rsid w:val="00B6502A"/>
    <w:rsid w:val="00B74576"/>
    <w:rsid w:val="00B75D28"/>
    <w:rsid w:val="00B769ED"/>
    <w:rsid w:val="00B77C8D"/>
    <w:rsid w:val="00B840D1"/>
    <w:rsid w:val="00B84352"/>
    <w:rsid w:val="00B926B0"/>
    <w:rsid w:val="00BA0DA8"/>
    <w:rsid w:val="00BA1EDF"/>
    <w:rsid w:val="00BB34FB"/>
    <w:rsid w:val="00BB3ADC"/>
    <w:rsid w:val="00BB3E11"/>
    <w:rsid w:val="00BB3EBC"/>
    <w:rsid w:val="00BB41D0"/>
    <w:rsid w:val="00BB4397"/>
    <w:rsid w:val="00BB7007"/>
    <w:rsid w:val="00BB7255"/>
    <w:rsid w:val="00BC0F4B"/>
    <w:rsid w:val="00BC7042"/>
    <w:rsid w:val="00BC75DC"/>
    <w:rsid w:val="00BC7A08"/>
    <w:rsid w:val="00BD48A3"/>
    <w:rsid w:val="00BD4C2E"/>
    <w:rsid w:val="00BD5422"/>
    <w:rsid w:val="00BE0221"/>
    <w:rsid w:val="00BE047F"/>
    <w:rsid w:val="00BE399B"/>
    <w:rsid w:val="00BE3AA7"/>
    <w:rsid w:val="00BE679E"/>
    <w:rsid w:val="00BE6A39"/>
    <w:rsid w:val="00BE6ED3"/>
    <w:rsid w:val="00BF09BE"/>
    <w:rsid w:val="00BF1D96"/>
    <w:rsid w:val="00C013C4"/>
    <w:rsid w:val="00C04295"/>
    <w:rsid w:val="00C045A1"/>
    <w:rsid w:val="00C11BAB"/>
    <w:rsid w:val="00C15594"/>
    <w:rsid w:val="00C243A7"/>
    <w:rsid w:val="00C315C4"/>
    <w:rsid w:val="00C401D7"/>
    <w:rsid w:val="00C46CC7"/>
    <w:rsid w:val="00C4793F"/>
    <w:rsid w:val="00C54337"/>
    <w:rsid w:val="00C54CED"/>
    <w:rsid w:val="00C57B37"/>
    <w:rsid w:val="00C60E65"/>
    <w:rsid w:val="00C637FF"/>
    <w:rsid w:val="00C64422"/>
    <w:rsid w:val="00C64459"/>
    <w:rsid w:val="00C70A21"/>
    <w:rsid w:val="00C74950"/>
    <w:rsid w:val="00C7571A"/>
    <w:rsid w:val="00C83E77"/>
    <w:rsid w:val="00C85EC5"/>
    <w:rsid w:val="00C8669B"/>
    <w:rsid w:val="00C929F5"/>
    <w:rsid w:val="00C9416A"/>
    <w:rsid w:val="00C94778"/>
    <w:rsid w:val="00C9575D"/>
    <w:rsid w:val="00C95B80"/>
    <w:rsid w:val="00C96287"/>
    <w:rsid w:val="00C97E98"/>
    <w:rsid w:val="00CA054E"/>
    <w:rsid w:val="00CA5530"/>
    <w:rsid w:val="00CA6907"/>
    <w:rsid w:val="00CA7794"/>
    <w:rsid w:val="00CB05A4"/>
    <w:rsid w:val="00CB3829"/>
    <w:rsid w:val="00CC03DF"/>
    <w:rsid w:val="00CC3745"/>
    <w:rsid w:val="00CC4E43"/>
    <w:rsid w:val="00CC5651"/>
    <w:rsid w:val="00CD1BD3"/>
    <w:rsid w:val="00CD6589"/>
    <w:rsid w:val="00CE397B"/>
    <w:rsid w:val="00CE3B32"/>
    <w:rsid w:val="00CE4CBC"/>
    <w:rsid w:val="00CE4FAC"/>
    <w:rsid w:val="00CF136F"/>
    <w:rsid w:val="00CF2166"/>
    <w:rsid w:val="00CF27A9"/>
    <w:rsid w:val="00CF2A11"/>
    <w:rsid w:val="00CF4768"/>
    <w:rsid w:val="00CF4BF0"/>
    <w:rsid w:val="00CF5D47"/>
    <w:rsid w:val="00CF70E0"/>
    <w:rsid w:val="00D01675"/>
    <w:rsid w:val="00D01897"/>
    <w:rsid w:val="00D126C4"/>
    <w:rsid w:val="00D21CBE"/>
    <w:rsid w:val="00D27899"/>
    <w:rsid w:val="00D27D49"/>
    <w:rsid w:val="00D33002"/>
    <w:rsid w:val="00D35ABB"/>
    <w:rsid w:val="00D36A55"/>
    <w:rsid w:val="00D37B1D"/>
    <w:rsid w:val="00D4062A"/>
    <w:rsid w:val="00D43362"/>
    <w:rsid w:val="00D438EF"/>
    <w:rsid w:val="00D451D3"/>
    <w:rsid w:val="00D4594D"/>
    <w:rsid w:val="00D47F31"/>
    <w:rsid w:val="00D516DB"/>
    <w:rsid w:val="00D532B4"/>
    <w:rsid w:val="00D543F6"/>
    <w:rsid w:val="00D55423"/>
    <w:rsid w:val="00D55472"/>
    <w:rsid w:val="00D55ECD"/>
    <w:rsid w:val="00D57EEC"/>
    <w:rsid w:val="00D616A6"/>
    <w:rsid w:val="00D63104"/>
    <w:rsid w:val="00D63DFF"/>
    <w:rsid w:val="00D6553D"/>
    <w:rsid w:val="00D66897"/>
    <w:rsid w:val="00D719BA"/>
    <w:rsid w:val="00D731F6"/>
    <w:rsid w:val="00D753F3"/>
    <w:rsid w:val="00D755B1"/>
    <w:rsid w:val="00D8039E"/>
    <w:rsid w:val="00D80AB9"/>
    <w:rsid w:val="00D94A9B"/>
    <w:rsid w:val="00D94D3A"/>
    <w:rsid w:val="00DA0879"/>
    <w:rsid w:val="00DA44A0"/>
    <w:rsid w:val="00DA46AC"/>
    <w:rsid w:val="00DA682E"/>
    <w:rsid w:val="00DA6A5A"/>
    <w:rsid w:val="00DA74D2"/>
    <w:rsid w:val="00DA7F1F"/>
    <w:rsid w:val="00DB07E9"/>
    <w:rsid w:val="00DB241C"/>
    <w:rsid w:val="00DC4B5F"/>
    <w:rsid w:val="00DC4C33"/>
    <w:rsid w:val="00DD253B"/>
    <w:rsid w:val="00DD4FD0"/>
    <w:rsid w:val="00DE2221"/>
    <w:rsid w:val="00DE44E8"/>
    <w:rsid w:val="00DE4746"/>
    <w:rsid w:val="00DE4F82"/>
    <w:rsid w:val="00DE5B0C"/>
    <w:rsid w:val="00DF0833"/>
    <w:rsid w:val="00DF1BCD"/>
    <w:rsid w:val="00DF4C8F"/>
    <w:rsid w:val="00DF773A"/>
    <w:rsid w:val="00E01723"/>
    <w:rsid w:val="00E03888"/>
    <w:rsid w:val="00E059FF"/>
    <w:rsid w:val="00E10C91"/>
    <w:rsid w:val="00E1690C"/>
    <w:rsid w:val="00E17A84"/>
    <w:rsid w:val="00E244E4"/>
    <w:rsid w:val="00E2681A"/>
    <w:rsid w:val="00E273AC"/>
    <w:rsid w:val="00E357E8"/>
    <w:rsid w:val="00E36DE6"/>
    <w:rsid w:val="00E41956"/>
    <w:rsid w:val="00E42489"/>
    <w:rsid w:val="00E438A0"/>
    <w:rsid w:val="00E43BB2"/>
    <w:rsid w:val="00E448A8"/>
    <w:rsid w:val="00E44A51"/>
    <w:rsid w:val="00E45E39"/>
    <w:rsid w:val="00E50DDE"/>
    <w:rsid w:val="00E563F8"/>
    <w:rsid w:val="00E6040F"/>
    <w:rsid w:val="00E6076B"/>
    <w:rsid w:val="00E61502"/>
    <w:rsid w:val="00E6260D"/>
    <w:rsid w:val="00E65008"/>
    <w:rsid w:val="00E65841"/>
    <w:rsid w:val="00E661F2"/>
    <w:rsid w:val="00E67F37"/>
    <w:rsid w:val="00E73DE4"/>
    <w:rsid w:val="00E743A3"/>
    <w:rsid w:val="00E75133"/>
    <w:rsid w:val="00E822C4"/>
    <w:rsid w:val="00E82608"/>
    <w:rsid w:val="00E86DA8"/>
    <w:rsid w:val="00E91798"/>
    <w:rsid w:val="00E95B53"/>
    <w:rsid w:val="00E96FA5"/>
    <w:rsid w:val="00EB0810"/>
    <w:rsid w:val="00EB12A3"/>
    <w:rsid w:val="00EB3B29"/>
    <w:rsid w:val="00EB6E30"/>
    <w:rsid w:val="00EC2335"/>
    <w:rsid w:val="00EC39C4"/>
    <w:rsid w:val="00EC5EB7"/>
    <w:rsid w:val="00ED30CA"/>
    <w:rsid w:val="00EE1CF0"/>
    <w:rsid w:val="00EE65E5"/>
    <w:rsid w:val="00EE7641"/>
    <w:rsid w:val="00EF30A7"/>
    <w:rsid w:val="00EF6255"/>
    <w:rsid w:val="00F02AFF"/>
    <w:rsid w:val="00F03430"/>
    <w:rsid w:val="00F0519C"/>
    <w:rsid w:val="00F05B2A"/>
    <w:rsid w:val="00F05B85"/>
    <w:rsid w:val="00F05D9D"/>
    <w:rsid w:val="00F074DA"/>
    <w:rsid w:val="00F077DA"/>
    <w:rsid w:val="00F109C7"/>
    <w:rsid w:val="00F1147B"/>
    <w:rsid w:val="00F12732"/>
    <w:rsid w:val="00F12D94"/>
    <w:rsid w:val="00F12FCE"/>
    <w:rsid w:val="00F15011"/>
    <w:rsid w:val="00F20ACF"/>
    <w:rsid w:val="00F23A00"/>
    <w:rsid w:val="00F25102"/>
    <w:rsid w:val="00F2560E"/>
    <w:rsid w:val="00F306ED"/>
    <w:rsid w:val="00F32A22"/>
    <w:rsid w:val="00F35082"/>
    <w:rsid w:val="00F3526F"/>
    <w:rsid w:val="00F355EA"/>
    <w:rsid w:val="00F3604F"/>
    <w:rsid w:val="00F37399"/>
    <w:rsid w:val="00F4107E"/>
    <w:rsid w:val="00F44968"/>
    <w:rsid w:val="00F452CC"/>
    <w:rsid w:val="00F45D11"/>
    <w:rsid w:val="00F46111"/>
    <w:rsid w:val="00F55B51"/>
    <w:rsid w:val="00F64E99"/>
    <w:rsid w:val="00F65396"/>
    <w:rsid w:val="00F72BDB"/>
    <w:rsid w:val="00F739A1"/>
    <w:rsid w:val="00F81B33"/>
    <w:rsid w:val="00F85D0E"/>
    <w:rsid w:val="00F87430"/>
    <w:rsid w:val="00F9348F"/>
    <w:rsid w:val="00FA1A99"/>
    <w:rsid w:val="00FA2B7F"/>
    <w:rsid w:val="00FA783D"/>
    <w:rsid w:val="00FB2823"/>
    <w:rsid w:val="00FB39D7"/>
    <w:rsid w:val="00FB46C4"/>
    <w:rsid w:val="00FC0023"/>
    <w:rsid w:val="00FC38B3"/>
    <w:rsid w:val="00FD1B4B"/>
    <w:rsid w:val="00FD1DE5"/>
    <w:rsid w:val="00FD623E"/>
    <w:rsid w:val="00FD7923"/>
    <w:rsid w:val="00FE0EC5"/>
    <w:rsid w:val="00FE151A"/>
    <w:rsid w:val="00FF7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58"/>
    <w:pPr>
      <w:widowControl w:val="0"/>
    </w:pPr>
    <w:rPr>
      <w:snapToGrid w:val="0"/>
      <w:sz w:val="24"/>
      <w:lang w:val="en-US" w:eastAsia="en-US"/>
    </w:rPr>
  </w:style>
  <w:style w:type="paragraph" w:styleId="Heading1">
    <w:name w:val="heading 1"/>
    <w:basedOn w:val="Normal"/>
    <w:next w:val="Normal"/>
    <w:qFormat/>
    <w:rsid w:val="00DD253B"/>
    <w:pPr>
      <w:keepNext/>
      <w:tabs>
        <w:tab w:val="left" w:pos="360"/>
        <w:tab w:val="left" w:pos="7459"/>
        <w:tab w:val="decimal" w:pos="8467"/>
        <w:tab w:val="left" w:pos="8726"/>
        <w:tab w:val="decimal" w:pos="9720"/>
      </w:tabs>
      <w:jc w:val="both"/>
      <w:outlineLvl w:val="0"/>
    </w:pPr>
    <w:rPr>
      <w:b/>
      <w:bCs/>
      <w:lang w:val="en-GB"/>
    </w:rPr>
  </w:style>
  <w:style w:type="paragraph" w:styleId="Heading2">
    <w:name w:val="heading 2"/>
    <w:basedOn w:val="Normal"/>
    <w:next w:val="Normal"/>
    <w:qFormat/>
    <w:rsid w:val="00DD253B"/>
    <w:pPr>
      <w:keepNext/>
      <w:tabs>
        <w:tab w:val="left" w:pos="360"/>
        <w:tab w:val="left" w:pos="7459"/>
        <w:tab w:val="decimal" w:pos="8467"/>
        <w:tab w:val="left" w:pos="8726"/>
        <w:tab w:val="decimal" w:pos="9720"/>
      </w:tabs>
      <w:jc w:val="both"/>
      <w:outlineLvl w:val="1"/>
    </w:pPr>
    <w:rPr>
      <w:b/>
      <w:bCs/>
      <w:sz w:val="22"/>
      <w:lang w:val="en-GB"/>
    </w:rPr>
  </w:style>
  <w:style w:type="paragraph" w:styleId="Heading3">
    <w:name w:val="heading 3"/>
    <w:basedOn w:val="Normal"/>
    <w:next w:val="Normal"/>
    <w:qFormat/>
    <w:rsid w:val="00DD253B"/>
    <w:pPr>
      <w:keepNext/>
      <w:outlineLvl w:val="2"/>
    </w:pPr>
    <w:rPr>
      <w:b/>
      <w:bCs/>
      <w:sz w:val="22"/>
      <w:lang w:val="en-GB"/>
    </w:rPr>
  </w:style>
  <w:style w:type="paragraph" w:styleId="Heading4">
    <w:name w:val="heading 4"/>
    <w:basedOn w:val="Normal"/>
    <w:next w:val="Normal"/>
    <w:qFormat/>
    <w:rsid w:val="00DD253B"/>
    <w:pPr>
      <w:keepNext/>
      <w:tabs>
        <w:tab w:val="left" w:pos="360"/>
        <w:tab w:val="left" w:pos="7459"/>
        <w:tab w:val="decimal" w:pos="8467"/>
        <w:tab w:val="left" w:pos="8726"/>
        <w:tab w:val="decimal" w:pos="9720"/>
      </w:tabs>
      <w:jc w:val="both"/>
      <w:outlineLvl w:val="3"/>
    </w:pPr>
    <w:rPr>
      <w:sz w:val="22"/>
      <w:u w:val="double"/>
      <w:lang w:val="en-GB"/>
    </w:rPr>
  </w:style>
  <w:style w:type="paragraph" w:styleId="Heading5">
    <w:name w:val="heading 5"/>
    <w:basedOn w:val="Normal"/>
    <w:next w:val="Normal"/>
    <w:qFormat/>
    <w:rsid w:val="00DD253B"/>
    <w:pPr>
      <w:keepNext/>
      <w:tabs>
        <w:tab w:val="center" w:pos="5040"/>
        <w:tab w:val="left" w:pos="7459"/>
        <w:tab w:val="decimal" w:pos="8467"/>
        <w:tab w:val="left" w:pos="8726"/>
        <w:tab w:val="decimal" w:pos="9720"/>
      </w:tabs>
      <w:jc w:val="center"/>
      <w:outlineLvl w:val="4"/>
    </w:pPr>
    <w:rPr>
      <w:bCs/>
      <w:snapToGrid/>
      <w:sz w:val="28"/>
      <w:lang w:val="en-GB"/>
    </w:rPr>
  </w:style>
  <w:style w:type="paragraph" w:styleId="Heading6">
    <w:name w:val="heading 6"/>
    <w:basedOn w:val="Normal"/>
    <w:next w:val="Normal"/>
    <w:qFormat/>
    <w:rsid w:val="00DD253B"/>
    <w:pPr>
      <w:keepNext/>
      <w:tabs>
        <w:tab w:val="left" w:pos="360"/>
        <w:tab w:val="left" w:pos="7459"/>
        <w:tab w:val="decimal" w:pos="8467"/>
        <w:tab w:val="left" w:pos="8726"/>
        <w:tab w:val="decimal" w:pos="9720"/>
      </w:tabs>
      <w:jc w:val="right"/>
      <w:outlineLvl w:val="5"/>
    </w:pPr>
    <w:rPr>
      <w:b/>
      <w:bCs/>
      <w:snapToGrid/>
      <w:sz w:val="20"/>
      <w:lang w:val="en-GB"/>
    </w:rPr>
  </w:style>
  <w:style w:type="paragraph" w:styleId="Heading7">
    <w:name w:val="heading 7"/>
    <w:basedOn w:val="Normal"/>
    <w:next w:val="Normal"/>
    <w:qFormat/>
    <w:rsid w:val="00DD253B"/>
    <w:pPr>
      <w:keepNext/>
      <w:tabs>
        <w:tab w:val="left" w:pos="301"/>
        <w:tab w:val="center" w:pos="6120"/>
        <w:tab w:val="center" w:pos="7110"/>
        <w:tab w:val="center" w:pos="8100"/>
        <w:tab w:val="center" w:pos="8910"/>
        <w:tab w:val="right" w:pos="9720"/>
      </w:tabs>
      <w:ind w:left="90" w:firstLine="90"/>
      <w:outlineLvl w:val="6"/>
    </w:pPr>
    <w:rPr>
      <w:sz w:val="17"/>
      <w:u w:val="single"/>
      <w:lang w:val="en-GB"/>
    </w:rPr>
  </w:style>
  <w:style w:type="paragraph" w:styleId="Heading8">
    <w:name w:val="heading 8"/>
    <w:basedOn w:val="Normal"/>
    <w:next w:val="Normal"/>
    <w:qFormat/>
    <w:rsid w:val="00DD253B"/>
    <w:pPr>
      <w:keepNext/>
      <w:tabs>
        <w:tab w:val="left" w:pos="630"/>
        <w:tab w:val="left" w:pos="900"/>
        <w:tab w:val="left" w:pos="1170"/>
        <w:tab w:val="right" w:pos="10080"/>
      </w:tabs>
      <w:ind w:firstLine="603"/>
      <w:jc w:val="both"/>
      <w:outlineLvl w:val="7"/>
    </w:pPr>
    <w:rPr>
      <w:b/>
      <w:sz w:val="22"/>
      <w:lang w:val="en-GB"/>
    </w:rPr>
  </w:style>
  <w:style w:type="paragraph" w:styleId="Heading9">
    <w:name w:val="heading 9"/>
    <w:basedOn w:val="Normal"/>
    <w:next w:val="Normal"/>
    <w:qFormat/>
    <w:rsid w:val="00DD253B"/>
    <w:pPr>
      <w:keepNext/>
      <w:widowControl/>
      <w:tabs>
        <w:tab w:val="center" w:pos="7200"/>
        <w:tab w:val="center" w:pos="8100"/>
        <w:tab w:val="right" w:pos="9000"/>
      </w:tabs>
      <w:ind w:left="720"/>
      <w:outlineLvl w:val="8"/>
    </w:pPr>
    <w:rPr>
      <w:b/>
      <w:bCs/>
      <w:snapToGri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253B"/>
  </w:style>
  <w:style w:type="paragraph" w:styleId="Footer">
    <w:name w:val="footer"/>
    <w:basedOn w:val="Normal"/>
    <w:link w:val="FooterChar"/>
    <w:uiPriority w:val="99"/>
    <w:rsid w:val="00DD253B"/>
    <w:pPr>
      <w:widowControl/>
      <w:tabs>
        <w:tab w:val="center" w:pos="4320"/>
        <w:tab w:val="right" w:pos="8640"/>
      </w:tabs>
    </w:pPr>
    <w:rPr>
      <w:b/>
      <w:snapToGrid/>
    </w:rPr>
  </w:style>
  <w:style w:type="paragraph" w:styleId="BodyText">
    <w:name w:val="Body Text"/>
    <w:basedOn w:val="Normal"/>
    <w:rsid w:val="00DD253B"/>
    <w:pPr>
      <w:tabs>
        <w:tab w:val="left" w:pos="360"/>
        <w:tab w:val="center" w:pos="8100"/>
        <w:tab w:val="center" w:pos="9360"/>
      </w:tabs>
      <w:jc w:val="both"/>
    </w:pPr>
    <w:rPr>
      <w:sz w:val="22"/>
      <w:u w:val="single"/>
      <w:lang w:val="en-GB"/>
    </w:rPr>
  </w:style>
  <w:style w:type="paragraph" w:styleId="BodyTextIndent">
    <w:name w:val="Body Text Indent"/>
    <w:basedOn w:val="Normal"/>
    <w:rsid w:val="00DD253B"/>
    <w:pPr>
      <w:ind w:left="720"/>
    </w:pPr>
    <w:rPr>
      <w:sz w:val="22"/>
      <w:lang w:val="en-GB"/>
    </w:rPr>
  </w:style>
  <w:style w:type="paragraph" w:styleId="BodyTextIndent2">
    <w:name w:val="Body Text Indent 2"/>
    <w:basedOn w:val="Normal"/>
    <w:rsid w:val="00DD253B"/>
    <w:pPr>
      <w:widowControl/>
      <w:ind w:left="720" w:hanging="720"/>
    </w:pPr>
    <w:rPr>
      <w:snapToGrid/>
      <w:sz w:val="22"/>
      <w:szCs w:val="24"/>
      <w:lang w:val="en-GB"/>
    </w:rPr>
  </w:style>
  <w:style w:type="paragraph" w:styleId="BodyTextIndent3">
    <w:name w:val="Body Text Indent 3"/>
    <w:basedOn w:val="Normal"/>
    <w:rsid w:val="00DD253B"/>
    <w:pPr>
      <w:tabs>
        <w:tab w:val="left" w:pos="1260"/>
      </w:tabs>
      <w:ind w:left="1260"/>
      <w:jc w:val="both"/>
    </w:pPr>
    <w:rPr>
      <w:snapToGrid/>
      <w:sz w:val="20"/>
      <w:lang w:val="en-GB"/>
    </w:rPr>
  </w:style>
  <w:style w:type="paragraph" w:styleId="BodyText3">
    <w:name w:val="Body Text 3"/>
    <w:basedOn w:val="Normal"/>
    <w:rsid w:val="00DD253B"/>
    <w:pPr>
      <w:tabs>
        <w:tab w:val="left" w:pos="3060"/>
        <w:tab w:val="decimal" w:pos="3780"/>
        <w:tab w:val="left" w:pos="4230"/>
        <w:tab w:val="decimal" w:pos="5040"/>
        <w:tab w:val="left" w:pos="5580"/>
        <w:tab w:val="decimal" w:pos="6390"/>
        <w:tab w:val="left" w:pos="6750"/>
        <w:tab w:val="decimal" w:pos="7560"/>
        <w:tab w:val="left" w:pos="8010"/>
        <w:tab w:val="decimal" w:pos="8820"/>
        <w:tab w:val="left" w:pos="9180"/>
        <w:tab w:val="decimal" w:pos="9990"/>
      </w:tabs>
    </w:pPr>
    <w:rPr>
      <w:sz w:val="22"/>
      <w:lang w:val="en-GB"/>
    </w:rPr>
  </w:style>
  <w:style w:type="paragraph" w:styleId="Header">
    <w:name w:val="header"/>
    <w:basedOn w:val="Normal"/>
    <w:link w:val="HeaderChar"/>
    <w:uiPriority w:val="99"/>
    <w:rsid w:val="00DD253B"/>
    <w:pPr>
      <w:tabs>
        <w:tab w:val="center" w:pos="4320"/>
        <w:tab w:val="right" w:pos="8640"/>
      </w:tabs>
    </w:pPr>
  </w:style>
  <w:style w:type="paragraph" w:styleId="BodyText2">
    <w:name w:val="Body Text 2"/>
    <w:basedOn w:val="Normal"/>
    <w:rsid w:val="00DD253B"/>
    <w:pPr>
      <w:tabs>
        <w:tab w:val="decimal" w:pos="942"/>
        <w:tab w:val="left" w:pos="7459"/>
        <w:tab w:val="decimal" w:pos="8467"/>
        <w:tab w:val="left" w:pos="8726"/>
        <w:tab w:val="decimal" w:pos="9734"/>
      </w:tabs>
      <w:jc w:val="right"/>
    </w:pPr>
    <w:rPr>
      <w:sz w:val="16"/>
      <w:lang w:val="en-GB"/>
    </w:rPr>
  </w:style>
  <w:style w:type="paragraph" w:styleId="NormalWeb">
    <w:name w:val="Normal (Web)"/>
    <w:basedOn w:val="Normal"/>
    <w:rsid w:val="00DD253B"/>
    <w:pPr>
      <w:widowControl/>
      <w:spacing w:before="100" w:beforeAutospacing="1" w:after="100" w:afterAutospacing="1"/>
    </w:pPr>
    <w:rPr>
      <w:snapToGrid/>
      <w:color w:val="000000"/>
      <w:szCs w:val="24"/>
    </w:rPr>
  </w:style>
  <w:style w:type="paragraph" w:customStyle="1" w:styleId="Disclaimer">
    <w:name w:val="Disclaimer"/>
    <w:basedOn w:val="Normal"/>
    <w:rsid w:val="00DD253B"/>
    <w:pPr>
      <w:widowControl/>
      <w:spacing w:line="200" w:lineRule="exact"/>
    </w:pPr>
    <w:rPr>
      <w:snapToGrid/>
      <w:sz w:val="16"/>
      <w:lang w:val="en-CA"/>
    </w:rPr>
  </w:style>
  <w:style w:type="paragraph" w:customStyle="1" w:styleId="Address">
    <w:name w:val="Address"/>
    <w:basedOn w:val="Normal"/>
    <w:rsid w:val="00DD253B"/>
    <w:pPr>
      <w:widowControl/>
      <w:pBdr>
        <w:left w:val="single" w:sz="4" w:space="6" w:color="auto"/>
      </w:pBdr>
      <w:spacing w:line="200" w:lineRule="exact"/>
    </w:pPr>
    <w:rPr>
      <w:snapToGrid/>
      <w:sz w:val="16"/>
      <w:lang w:val="en-CA"/>
    </w:rPr>
  </w:style>
  <w:style w:type="paragraph" w:customStyle="1" w:styleId="Par1">
    <w:name w:val="Par. # 1"/>
    <w:basedOn w:val="Normal"/>
    <w:next w:val="Normal"/>
    <w:rsid w:val="00DD253B"/>
    <w:pPr>
      <w:keepNext/>
      <w:widowControl/>
      <w:numPr>
        <w:numId w:val="1"/>
      </w:numPr>
      <w:spacing w:after="220"/>
      <w:outlineLvl w:val="0"/>
    </w:pPr>
    <w:rPr>
      <w:b/>
      <w:snapToGrid/>
      <w:lang w:val="en-CA"/>
    </w:rPr>
  </w:style>
  <w:style w:type="paragraph" w:customStyle="1" w:styleId="Par3">
    <w:name w:val="Par. # 3"/>
    <w:basedOn w:val="Normal"/>
    <w:next w:val="Normal"/>
    <w:rsid w:val="00DD253B"/>
    <w:pPr>
      <w:keepNext/>
      <w:widowControl/>
      <w:tabs>
        <w:tab w:val="num" w:pos="1584"/>
      </w:tabs>
      <w:spacing w:after="220"/>
      <w:ind w:left="1296" w:hanging="432"/>
      <w:outlineLvl w:val="2"/>
    </w:pPr>
    <w:rPr>
      <w:snapToGrid/>
      <w:sz w:val="22"/>
      <w:lang w:val="en-CA"/>
    </w:rPr>
  </w:style>
  <w:style w:type="paragraph" w:customStyle="1" w:styleId="DraftNote">
    <w:name w:val="Draft Note"/>
    <w:basedOn w:val="Normal"/>
    <w:rsid w:val="00DD253B"/>
    <w:pPr>
      <w:widowControl/>
      <w:jc w:val="center"/>
    </w:pPr>
    <w:rPr>
      <w:b/>
      <w:caps/>
      <w:snapToGrid/>
      <w:sz w:val="22"/>
      <w:lang w:val="en-CA"/>
    </w:rPr>
  </w:style>
  <w:style w:type="paragraph" w:customStyle="1" w:styleId="bn2">
    <w:name w:val="bn2"/>
    <w:basedOn w:val="Normal"/>
    <w:rsid w:val="00DD253B"/>
    <w:pPr>
      <w:widowControl/>
      <w:overflowPunct w:val="0"/>
      <w:autoSpaceDE w:val="0"/>
      <w:autoSpaceDN w:val="0"/>
      <w:adjustRightInd w:val="0"/>
      <w:spacing w:before="240" w:line="280" w:lineRule="atLeast"/>
      <w:ind w:left="900"/>
      <w:jc w:val="both"/>
      <w:textAlignment w:val="baseline"/>
    </w:pPr>
    <w:rPr>
      <w:rFonts w:ascii="Arial" w:hAnsi="Arial"/>
      <w:snapToGrid/>
      <w:sz w:val="20"/>
    </w:rPr>
  </w:style>
  <w:style w:type="paragraph" w:customStyle="1" w:styleId="Indent1">
    <w:name w:val="Indent 1"/>
    <w:basedOn w:val="Normal"/>
    <w:rsid w:val="00DD253B"/>
    <w:pPr>
      <w:widowControl/>
      <w:ind w:left="432"/>
    </w:pPr>
    <w:rPr>
      <w:snapToGrid/>
      <w:sz w:val="22"/>
      <w:lang w:val="en-CA"/>
    </w:rPr>
  </w:style>
  <w:style w:type="paragraph" w:customStyle="1" w:styleId="Par2">
    <w:name w:val="Par. # 2"/>
    <w:basedOn w:val="Par1"/>
    <w:next w:val="Normal"/>
    <w:rsid w:val="00DD253B"/>
    <w:pPr>
      <w:numPr>
        <w:ilvl w:val="1"/>
      </w:numPr>
      <w:tabs>
        <w:tab w:val="clear" w:pos="792"/>
        <w:tab w:val="num" w:pos="360"/>
        <w:tab w:val="num" w:pos="1440"/>
      </w:tabs>
      <w:ind w:left="1440" w:hanging="360"/>
      <w:outlineLvl w:val="1"/>
    </w:pPr>
    <w:rPr>
      <w:b w:val="0"/>
      <w:sz w:val="22"/>
    </w:rPr>
  </w:style>
  <w:style w:type="paragraph" w:customStyle="1" w:styleId="Ne2">
    <w:name w:val="Ne2"/>
    <w:basedOn w:val="Normal"/>
    <w:rsid w:val="00DD253B"/>
    <w:pPr>
      <w:widowControl/>
      <w:overflowPunct w:val="0"/>
      <w:autoSpaceDE w:val="0"/>
      <w:autoSpaceDN w:val="0"/>
      <w:adjustRightInd w:val="0"/>
      <w:spacing w:before="120" w:line="280" w:lineRule="atLeast"/>
      <w:ind w:left="360"/>
      <w:jc w:val="both"/>
      <w:textAlignment w:val="baseline"/>
    </w:pPr>
    <w:rPr>
      <w:rFonts w:ascii="Helvetica" w:hAnsi="Helvetica"/>
      <w:snapToGrid/>
      <w:sz w:val="20"/>
    </w:rPr>
  </w:style>
  <w:style w:type="paragraph" w:customStyle="1" w:styleId="Bullet1">
    <w:name w:val="Bullet 1"/>
    <w:basedOn w:val="Normal"/>
    <w:rsid w:val="00DD253B"/>
    <w:pPr>
      <w:widowControl/>
      <w:tabs>
        <w:tab w:val="num" w:pos="360"/>
      </w:tabs>
    </w:pPr>
    <w:rPr>
      <w:snapToGrid/>
      <w:sz w:val="22"/>
      <w:lang w:val="en-CA"/>
    </w:rPr>
  </w:style>
  <w:style w:type="character" w:styleId="Hyperlink">
    <w:name w:val="Hyperlink"/>
    <w:rsid w:val="00DD253B"/>
    <w:rPr>
      <w:color w:val="0000FF"/>
      <w:u w:val="single"/>
    </w:rPr>
  </w:style>
  <w:style w:type="character" w:styleId="FollowedHyperlink">
    <w:name w:val="FollowedHyperlink"/>
    <w:rsid w:val="00DD253B"/>
    <w:rPr>
      <w:color w:val="800080"/>
      <w:u w:val="single"/>
    </w:rPr>
  </w:style>
  <w:style w:type="character" w:styleId="PageNumber">
    <w:name w:val="page number"/>
    <w:basedOn w:val="DefaultParagraphFont"/>
    <w:rsid w:val="00DD253B"/>
  </w:style>
  <w:style w:type="paragraph" w:styleId="BalloonText">
    <w:name w:val="Balloon Text"/>
    <w:basedOn w:val="Normal"/>
    <w:link w:val="BalloonTextChar"/>
    <w:rsid w:val="000E4AA0"/>
    <w:rPr>
      <w:rFonts w:ascii="Tahoma" w:hAnsi="Tahoma" w:cs="Tahoma"/>
      <w:sz w:val="16"/>
      <w:szCs w:val="16"/>
    </w:rPr>
  </w:style>
  <w:style w:type="character" w:customStyle="1" w:styleId="BalloonTextChar">
    <w:name w:val="Balloon Text Char"/>
    <w:link w:val="BalloonText"/>
    <w:rsid w:val="000E4AA0"/>
    <w:rPr>
      <w:rFonts w:ascii="Tahoma" w:hAnsi="Tahoma" w:cs="Tahoma"/>
      <w:snapToGrid w:val="0"/>
      <w:sz w:val="16"/>
      <w:szCs w:val="16"/>
    </w:rPr>
  </w:style>
  <w:style w:type="table" w:styleId="TableGrid">
    <w:name w:val="Table Grid"/>
    <w:basedOn w:val="TableNormal"/>
    <w:uiPriority w:val="59"/>
    <w:rsid w:val="001B43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956"/>
    <w:pPr>
      <w:widowControl/>
      <w:spacing w:after="200" w:line="276" w:lineRule="auto"/>
      <w:ind w:left="720"/>
      <w:contextualSpacing/>
    </w:pPr>
    <w:rPr>
      <w:rFonts w:ascii="Calibri" w:hAnsi="Calibri"/>
      <w:snapToGrid/>
      <w:sz w:val="22"/>
      <w:szCs w:val="22"/>
      <w:lang w:eastAsia="ko-KR"/>
    </w:rPr>
  </w:style>
  <w:style w:type="character" w:customStyle="1" w:styleId="FooterChar">
    <w:name w:val="Footer Char"/>
    <w:link w:val="Footer"/>
    <w:uiPriority w:val="99"/>
    <w:rsid w:val="00AD5023"/>
    <w:rPr>
      <w:b/>
      <w:sz w:val="24"/>
    </w:rPr>
  </w:style>
  <w:style w:type="character" w:customStyle="1" w:styleId="HeaderChar">
    <w:name w:val="Header Char"/>
    <w:basedOn w:val="DefaultParagraphFont"/>
    <w:link w:val="Header"/>
    <w:uiPriority w:val="99"/>
    <w:locked/>
    <w:rsid w:val="007E2CBE"/>
    <w:rPr>
      <w:snapToGrid w:val="0"/>
      <w:sz w:val="24"/>
      <w:lang w:val="en-US" w:eastAsia="en-US"/>
    </w:rPr>
  </w:style>
  <w:style w:type="character" w:customStyle="1" w:styleId="site-address">
    <w:name w:val="site-address"/>
    <w:basedOn w:val="DefaultParagraphFont"/>
    <w:rsid w:val="004979FE"/>
  </w:style>
</w:styles>
</file>

<file path=word/webSettings.xml><?xml version="1.0" encoding="utf-8"?>
<w:webSettings xmlns:r="http://schemas.openxmlformats.org/officeDocument/2006/relationships" xmlns:w="http://schemas.openxmlformats.org/wordprocessingml/2006/main">
  <w:divs>
    <w:div w:id="32073575">
      <w:bodyDiv w:val="1"/>
      <w:marLeft w:val="0"/>
      <w:marRight w:val="0"/>
      <w:marTop w:val="0"/>
      <w:marBottom w:val="0"/>
      <w:divBdr>
        <w:top w:val="none" w:sz="0" w:space="0" w:color="auto"/>
        <w:left w:val="none" w:sz="0" w:space="0" w:color="auto"/>
        <w:bottom w:val="none" w:sz="0" w:space="0" w:color="auto"/>
        <w:right w:val="none" w:sz="0" w:space="0" w:color="auto"/>
      </w:divBdr>
    </w:div>
    <w:div w:id="497307704">
      <w:bodyDiv w:val="1"/>
      <w:marLeft w:val="0"/>
      <w:marRight w:val="0"/>
      <w:marTop w:val="0"/>
      <w:marBottom w:val="0"/>
      <w:divBdr>
        <w:top w:val="none" w:sz="0" w:space="0" w:color="auto"/>
        <w:left w:val="none" w:sz="0" w:space="0" w:color="auto"/>
        <w:bottom w:val="none" w:sz="0" w:space="0" w:color="auto"/>
        <w:right w:val="none" w:sz="0" w:space="0" w:color="auto"/>
      </w:divBdr>
    </w:div>
    <w:div w:id="547571379">
      <w:bodyDiv w:val="1"/>
      <w:marLeft w:val="0"/>
      <w:marRight w:val="0"/>
      <w:marTop w:val="0"/>
      <w:marBottom w:val="0"/>
      <w:divBdr>
        <w:top w:val="none" w:sz="0" w:space="0" w:color="auto"/>
        <w:left w:val="none" w:sz="0" w:space="0" w:color="auto"/>
        <w:bottom w:val="none" w:sz="0" w:space="0" w:color="auto"/>
        <w:right w:val="none" w:sz="0" w:space="0" w:color="auto"/>
      </w:divBdr>
    </w:div>
    <w:div w:id="658921268">
      <w:bodyDiv w:val="1"/>
      <w:marLeft w:val="0"/>
      <w:marRight w:val="0"/>
      <w:marTop w:val="0"/>
      <w:marBottom w:val="0"/>
      <w:divBdr>
        <w:top w:val="none" w:sz="0" w:space="0" w:color="auto"/>
        <w:left w:val="none" w:sz="0" w:space="0" w:color="auto"/>
        <w:bottom w:val="none" w:sz="0" w:space="0" w:color="auto"/>
        <w:right w:val="none" w:sz="0" w:space="0" w:color="auto"/>
      </w:divBdr>
    </w:div>
    <w:div w:id="764763719">
      <w:bodyDiv w:val="1"/>
      <w:marLeft w:val="0"/>
      <w:marRight w:val="0"/>
      <w:marTop w:val="0"/>
      <w:marBottom w:val="0"/>
      <w:divBdr>
        <w:top w:val="none" w:sz="0" w:space="0" w:color="auto"/>
        <w:left w:val="none" w:sz="0" w:space="0" w:color="auto"/>
        <w:bottom w:val="none" w:sz="0" w:space="0" w:color="auto"/>
        <w:right w:val="none" w:sz="0" w:space="0" w:color="auto"/>
      </w:divBdr>
    </w:div>
    <w:div w:id="801461381">
      <w:bodyDiv w:val="1"/>
      <w:marLeft w:val="0"/>
      <w:marRight w:val="0"/>
      <w:marTop w:val="0"/>
      <w:marBottom w:val="0"/>
      <w:divBdr>
        <w:top w:val="none" w:sz="0" w:space="0" w:color="auto"/>
        <w:left w:val="none" w:sz="0" w:space="0" w:color="auto"/>
        <w:bottom w:val="none" w:sz="0" w:space="0" w:color="auto"/>
        <w:right w:val="none" w:sz="0" w:space="0" w:color="auto"/>
      </w:divBdr>
    </w:div>
    <w:div w:id="878132182">
      <w:bodyDiv w:val="1"/>
      <w:marLeft w:val="0"/>
      <w:marRight w:val="0"/>
      <w:marTop w:val="0"/>
      <w:marBottom w:val="0"/>
      <w:divBdr>
        <w:top w:val="none" w:sz="0" w:space="0" w:color="auto"/>
        <w:left w:val="none" w:sz="0" w:space="0" w:color="auto"/>
        <w:bottom w:val="none" w:sz="0" w:space="0" w:color="auto"/>
        <w:right w:val="none" w:sz="0" w:space="0" w:color="auto"/>
      </w:divBdr>
    </w:div>
    <w:div w:id="879174508">
      <w:bodyDiv w:val="1"/>
      <w:marLeft w:val="0"/>
      <w:marRight w:val="0"/>
      <w:marTop w:val="0"/>
      <w:marBottom w:val="0"/>
      <w:divBdr>
        <w:top w:val="none" w:sz="0" w:space="0" w:color="auto"/>
        <w:left w:val="none" w:sz="0" w:space="0" w:color="auto"/>
        <w:bottom w:val="none" w:sz="0" w:space="0" w:color="auto"/>
        <w:right w:val="none" w:sz="0" w:space="0" w:color="auto"/>
      </w:divBdr>
    </w:div>
    <w:div w:id="923342599">
      <w:bodyDiv w:val="1"/>
      <w:marLeft w:val="0"/>
      <w:marRight w:val="0"/>
      <w:marTop w:val="0"/>
      <w:marBottom w:val="0"/>
      <w:divBdr>
        <w:top w:val="none" w:sz="0" w:space="0" w:color="auto"/>
        <w:left w:val="none" w:sz="0" w:space="0" w:color="auto"/>
        <w:bottom w:val="none" w:sz="0" w:space="0" w:color="auto"/>
        <w:right w:val="none" w:sz="0" w:space="0" w:color="auto"/>
      </w:divBdr>
    </w:div>
    <w:div w:id="1108500867">
      <w:bodyDiv w:val="1"/>
      <w:marLeft w:val="0"/>
      <w:marRight w:val="0"/>
      <w:marTop w:val="0"/>
      <w:marBottom w:val="0"/>
      <w:divBdr>
        <w:top w:val="none" w:sz="0" w:space="0" w:color="auto"/>
        <w:left w:val="none" w:sz="0" w:space="0" w:color="auto"/>
        <w:bottom w:val="none" w:sz="0" w:space="0" w:color="auto"/>
        <w:right w:val="none" w:sz="0" w:space="0" w:color="auto"/>
      </w:divBdr>
    </w:div>
    <w:div w:id="1146161392">
      <w:bodyDiv w:val="1"/>
      <w:marLeft w:val="0"/>
      <w:marRight w:val="0"/>
      <w:marTop w:val="0"/>
      <w:marBottom w:val="0"/>
      <w:divBdr>
        <w:top w:val="none" w:sz="0" w:space="0" w:color="auto"/>
        <w:left w:val="none" w:sz="0" w:space="0" w:color="auto"/>
        <w:bottom w:val="none" w:sz="0" w:space="0" w:color="auto"/>
        <w:right w:val="none" w:sz="0" w:space="0" w:color="auto"/>
      </w:divBdr>
      <w:divsChild>
        <w:div w:id="1227645467">
          <w:marLeft w:val="0"/>
          <w:marRight w:val="0"/>
          <w:marTop w:val="0"/>
          <w:marBottom w:val="0"/>
          <w:divBdr>
            <w:top w:val="none" w:sz="0" w:space="0" w:color="auto"/>
            <w:left w:val="none" w:sz="0" w:space="0" w:color="auto"/>
            <w:bottom w:val="none" w:sz="0" w:space="0" w:color="auto"/>
            <w:right w:val="none" w:sz="0" w:space="0" w:color="auto"/>
          </w:divBdr>
        </w:div>
        <w:div w:id="1290623941">
          <w:marLeft w:val="0"/>
          <w:marRight w:val="0"/>
          <w:marTop w:val="0"/>
          <w:marBottom w:val="0"/>
          <w:divBdr>
            <w:top w:val="none" w:sz="0" w:space="0" w:color="auto"/>
            <w:left w:val="none" w:sz="0" w:space="0" w:color="auto"/>
            <w:bottom w:val="none" w:sz="0" w:space="0" w:color="auto"/>
            <w:right w:val="none" w:sz="0" w:space="0" w:color="auto"/>
          </w:divBdr>
        </w:div>
        <w:div w:id="747843638">
          <w:marLeft w:val="0"/>
          <w:marRight w:val="0"/>
          <w:marTop w:val="0"/>
          <w:marBottom w:val="0"/>
          <w:divBdr>
            <w:top w:val="none" w:sz="0" w:space="0" w:color="auto"/>
            <w:left w:val="none" w:sz="0" w:space="0" w:color="auto"/>
            <w:bottom w:val="none" w:sz="0" w:space="0" w:color="auto"/>
            <w:right w:val="none" w:sz="0" w:space="0" w:color="auto"/>
          </w:divBdr>
        </w:div>
        <w:div w:id="252975998">
          <w:marLeft w:val="0"/>
          <w:marRight w:val="0"/>
          <w:marTop w:val="0"/>
          <w:marBottom w:val="0"/>
          <w:divBdr>
            <w:top w:val="none" w:sz="0" w:space="0" w:color="auto"/>
            <w:left w:val="none" w:sz="0" w:space="0" w:color="auto"/>
            <w:bottom w:val="none" w:sz="0" w:space="0" w:color="auto"/>
            <w:right w:val="none" w:sz="0" w:space="0" w:color="auto"/>
          </w:divBdr>
        </w:div>
        <w:div w:id="1089699206">
          <w:marLeft w:val="0"/>
          <w:marRight w:val="0"/>
          <w:marTop w:val="0"/>
          <w:marBottom w:val="0"/>
          <w:divBdr>
            <w:top w:val="none" w:sz="0" w:space="0" w:color="auto"/>
            <w:left w:val="none" w:sz="0" w:space="0" w:color="auto"/>
            <w:bottom w:val="none" w:sz="0" w:space="0" w:color="auto"/>
            <w:right w:val="none" w:sz="0" w:space="0" w:color="auto"/>
          </w:divBdr>
        </w:div>
        <w:div w:id="981539788">
          <w:marLeft w:val="0"/>
          <w:marRight w:val="0"/>
          <w:marTop w:val="0"/>
          <w:marBottom w:val="0"/>
          <w:divBdr>
            <w:top w:val="none" w:sz="0" w:space="0" w:color="auto"/>
            <w:left w:val="none" w:sz="0" w:space="0" w:color="auto"/>
            <w:bottom w:val="none" w:sz="0" w:space="0" w:color="auto"/>
            <w:right w:val="none" w:sz="0" w:space="0" w:color="auto"/>
          </w:divBdr>
        </w:div>
        <w:div w:id="1997957830">
          <w:marLeft w:val="0"/>
          <w:marRight w:val="0"/>
          <w:marTop w:val="0"/>
          <w:marBottom w:val="0"/>
          <w:divBdr>
            <w:top w:val="none" w:sz="0" w:space="0" w:color="auto"/>
            <w:left w:val="none" w:sz="0" w:space="0" w:color="auto"/>
            <w:bottom w:val="none" w:sz="0" w:space="0" w:color="auto"/>
            <w:right w:val="none" w:sz="0" w:space="0" w:color="auto"/>
          </w:divBdr>
        </w:div>
        <w:div w:id="1567691225">
          <w:marLeft w:val="0"/>
          <w:marRight w:val="0"/>
          <w:marTop w:val="0"/>
          <w:marBottom w:val="0"/>
          <w:divBdr>
            <w:top w:val="none" w:sz="0" w:space="0" w:color="auto"/>
            <w:left w:val="none" w:sz="0" w:space="0" w:color="auto"/>
            <w:bottom w:val="none" w:sz="0" w:space="0" w:color="auto"/>
            <w:right w:val="none" w:sz="0" w:space="0" w:color="auto"/>
          </w:divBdr>
        </w:div>
      </w:divsChild>
    </w:div>
    <w:div w:id="1252154990">
      <w:bodyDiv w:val="1"/>
      <w:marLeft w:val="0"/>
      <w:marRight w:val="0"/>
      <w:marTop w:val="0"/>
      <w:marBottom w:val="0"/>
      <w:divBdr>
        <w:top w:val="none" w:sz="0" w:space="0" w:color="auto"/>
        <w:left w:val="none" w:sz="0" w:space="0" w:color="auto"/>
        <w:bottom w:val="none" w:sz="0" w:space="0" w:color="auto"/>
        <w:right w:val="none" w:sz="0" w:space="0" w:color="auto"/>
      </w:divBdr>
    </w:div>
    <w:div w:id="1395354799">
      <w:bodyDiv w:val="1"/>
      <w:marLeft w:val="0"/>
      <w:marRight w:val="0"/>
      <w:marTop w:val="0"/>
      <w:marBottom w:val="0"/>
      <w:divBdr>
        <w:top w:val="none" w:sz="0" w:space="0" w:color="auto"/>
        <w:left w:val="none" w:sz="0" w:space="0" w:color="auto"/>
        <w:bottom w:val="none" w:sz="0" w:space="0" w:color="auto"/>
        <w:right w:val="none" w:sz="0" w:space="0" w:color="auto"/>
      </w:divBdr>
    </w:div>
    <w:div w:id="1427311976">
      <w:bodyDiv w:val="1"/>
      <w:marLeft w:val="0"/>
      <w:marRight w:val="0"/>
      <w:marTop w:val="0"/>
      <w:marBottom w:val="0"/>
      <w:divBdr>
        <w:top w:val="none" w:sz="0" w:space="0" w:color="auto"/>
        <w:left w:val="none" w:sz="0" w:space="0" w:color="auto"/>
        <w:bottom w:val="none" w:sz="0" w:space="0" w:color="auto"/>
        <w:right w:val="none" w:sz="0" w:space="0" w:color="auto"/>
      </w:divBdr>
    </w:div>
    <w:div w:id="1492407560">
      <w:bodyDiv w:val="1"/>
      <w:marLeft w:val="0"/>
      <w:marRight w:val="0"/>
      <w:marTop w:val="0"/>
      <w:marBottom w:val="0"/>
      <w:divBdr>
        <w:top w:val="none" w:sz="0" w:space="0" w:color="auto"/>
        <w:left w:val="none" w:sz="0" w:space="0" w:color="auto"/>
        <w:bottom w:val="none" w:sz="0" w:space="0" w:color="auto"/>
        <w:right w:val="none" w:sz="0" w:space="0" w:color="auto"/>
      </w:divBdr>
    </w:div>
    <w:div w:id="1688942103">
      <w:bodyDiv w:val="1"/>
      <w:marLeft w:val="0"/>
      <w:marRight w:val="0"/>
      <w:marTop w:val="0"/>
      <w:marBottom w:val="0"/>
      <w:divBdr>
        <w:top w:val="none" w:sz="0" w:space="0" w:color="auto"/>
        <w:left w:val="none" w:sz="0" w:space="0" w:color="auto"/>
        <w:bottom w:val="none" w:sz="0" w:space="0" w:color="auto"/>
        <w:right w:val="none" w:sz="0" w:space="0" w:color="auto"/>
      </w:divBdr>
    </w:div>
    <w:div w:id="1707869894">
      <w:bodyDiv w:val="1"/>
      <w:marLeft w:val="0"/>
      <w:marRight w:val="0"/>
      <w:marTop w:val="0"/>
      <w:marBottom w:val="0"/>
      <w:divBdr>
        <w:top w:val="none" w:sz="0" w:space="0" w:color="auto"/>
        <w:left w:val="none" w:sz="0" w:space="0" w:color="auto"/>
        <w:bottom w:val="none" w:sz="0" w:space="0" w:color="auto"/>
        <w:right w:val="none" w:sz="0" w:space="0" w:color="auto"/>
      </w:divBdr>
    </w:div>
    <w:div w:id="1777287971">
      <w:bodyDiv w:val="1"/>
      <w:marLeft w:val="0"/>
      <w:marRight w:val="0"/>
      <w:marTop w:val="0"/>
      <w:marBottom w:val="0"/>
      <w:divBdr>
        <w:top w:val="none" w:sz="0" w:space="0" w:color="auto"/>
        <w:left w:val="none" w:sz="0" w:space="0" w:color="auto"/>
        <w:bottom w:val="none" w:sz="0" w:space="0" w:color="auto"/>
        <w:right w:val="none" w:sz="0" w:space="0" w:color="auto"/>
      </w:divBdr>
    </w:div>
    <w:div w:id="1808811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01%20-%20Audit\fs.Audit%20Financial%20Statements%20(C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D9B3-860D-4CF2-9B9F-7896AD7F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fs.Audit Financial Statements (CAN).dot</Template>
  <TotalTime>14</TotalTime>
  <Pages>17</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Rheingold</dc:creator>
  <cp:lastModifiedBy>Paul</cp:lastModifiedBy>
  <cp:revision>6</cp:revision>
  <cp:lastPrinted>2015-06-29T22:39:00Z</cp:lastPrinted>
  <dcterms:created xsi:type="dcterms:W3CDTF">2015-06-29T23:05:00Z</dcterms:created>
  <dcterms:modified xsi:type="dcterms:W3CDTF">2015-06-30T00:32:00Z</dcterms:modified>
</cp:coreProperties>
</file>