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FF455" w14:textId="77777777" w:rsidR="008A68A0" w:rsidRDefault="000B1EC1">
      <w:pPr>
        <w:jc w:val="center"/>
      </w:pPr>
      <w:r>
        <w:rPr>
          <w:rFonts w:ascii="Helvetica" w:hAnsi="Helvetica" w:cs="Helvetica"/>
          <w:b/>
          <w:sz w:val="28"/>
        </w:rPr>
        <w:t>FORM 7</w:t>
      </w:r>
      <w:r>
        <w:rPr>
          <w:rFonts w:ascii="Helvetica" w:hAnsi="Helvetica" w:cs="Helvetica"/>
          <w:b/>
          <w:sz w:val="28"/>
        </w:rPr>
        <w:br/>
      </w:r>
      <w:r>
        <w:rPr>
          <w:rFonts w:ascii="Helvetica" w:hAnsi="Helvetica" w:cs="Helvetica"/>
          <w:b/>
          <w:sz w:val="28"/>
        </w:rPr>
        <w:br/>
      </w:r>
      <w:r>
        <w:rPr>
          <w:rFonts w:ascii="Helvetica" w:hAnsi="Helvetica" w:cs="Helvetica"/>
          <w:b/>
          <w:sz w:val="28"/>
          <w:u w:val="single"/>
        </w:rPr>
        <w:t>MONTHLY PROGRESS REPORT</w:t>
      </w:r>
    </w:p>
    <w:p w14:paraId="034D4C7B" w14:textId="77777777" w:rsidR="008A68A0" w:rsidRDefault="000B1EC1">
      <w:pPr>
        <w:spacing w:before="240"/>
      </w:pPr>
      <w:r>
        <w:rPr>
          <w:rFonts w:ascii="Helvetica" w:hAnsi="Helvetica" w:cs="Helvetica"/>
        </w:rPr>
        <w:t xml:space="preserve">Name of CNSX Issuer: </w:t>
      </w:r>
      <w:r>
        <w:rPr>
          <w:rFonts w:ascii="Helvetica" w:hAnsi="Helvetica" w:cs="Helvetica"/>
          <w:u w:val="single"/>
        </w:rPr>
        <w:tab/>
      </w:r>
      <w:r>
        <w:rPr>
          <w:rFonts w:ascii="Helvetica" w:hAnsi="Helvetica" w:cs="Helvetica"/>
          <w:u w:val="single"/>
        </w:rPr>
        <w:tab/>
        <w:t>Asia Bio-Chem Group</w:t>
      </w:r>
      <w:r>
        <w:rPr>
          <w:rFonts w:ascii="Helvetica" w:hAnsi="Helvetica" w:cs="Helvetica"/>
          <w:u w:val="single"/>
        </w:rPr>
        <w:tab/>
      </w:r>
      <w:r>
        <w:rPr>
          <w:rFonts w:ascii="Helvetica" w:hAnsi="Helvetica" w:cs="Helvetica"/>
          <w:u w:val="single"/>
        </w:rPr>
        <w:tab/>
      </w:r>
      <w:r>
        <w:rPr>
          <w:rFonts w:ascii="Helvetica" w:hAnsi="Helvetica" w:cs="Helvetica"/>
        </w:rPr>
        <w:t>(the “Issuer”).</w:t>
      </w:r>
    </w:p>
    <w:p w14:paraId="477BB7DD" w14:textId="77777777" w:rsidR="008A68A0" w:rsidRDefault="000B1EC1">
      <w:pPr>
        <w:spacing w:before="240"/>
      </w:pPr>
      <w:r>
        <w:rPr>
          <w:rFonts w:ascii="Helvetica" w:hAnsi="Helvetica" w:cs="Helvetica"/>
        </w:rPr>
        <w:t>Trading Symbol</w:t>
      </w:r>
      <w:proofErr w:type="gramStart"/>
      <w:r>
        <w:rPr>
          <w:rFonts w:ascii="Helvetica" w:hAnsi="Helvetica" w:cs="Helvetica"/>
          <w:u w:val="single"/>
        </w:rPr>
        <w:t>:                    ABC</w:t>
      </w:r>
      <w:proofErr w:type="gramEnd"/>
      <w:r>
        <w:rPr>
          <w:rFonts w:ascii="Helvetica" w:hAnsi="Helvetica" w:cs="Helvetica"/>
          <w:u w:val="single"/>
        </w:rPr>
        <w:tab/>
      </w:r>
      <w:r>
        <w:rPr>
          <w:rFonts w:ascii="Helvetica" w:hAnsi="Helvetica" w:cs="Helvetica"/>
          <w:u w:val="single"/>
        </w:rPr>
        <w:tab/>
      </w:r>
    </w:p>
    <w:p w14:paraId="7049876E" w14:textId="77777777" w:rsidR="008A68A0" w:rsidRDefault="000B1EC1">
      <w:pPr>
        <w:spacing w:before="240"/>
      </w:pPr>
      <w:r>
        <w:rPr>
          <w:rFonts w:ascii="Helvetica" w:hAnsi="Helvetica" w:cs="Helvetica"/>
        </w:rPr>
        <w:t>Number of Outstanding Listed Securities</w:t>
      </w:r>
      <w:proofErr w:type="gramStart"/>
      <w:r>
        <w:rPr>
          <w:rFonts w:ascii="Helvetica" w:hAnsi="Helvetica" w:cs="Helvetica"/>
          <w:u w:val="single"/>
        </w:rPr>
        <w:t>:                 85,306,258</w:t>
      </w:r>
      <w:proofErr w:type="gramEnd"/>
      <w:r>
        <w:rPr>
          <w:rFonts w:ascii="Helvetica" w:hAnsi="Helvetica" w:cs="Helvetica"/>
          <w:u w:val="single"/>
        </w:rPr>
        <w:tab/>
      </w:r>
      <w:r>
        <w:rPr>
          <w:rFonts w:ascii="Helvetica" w:hAnsi="Helvetica" w:cs="Helvetica"/>
          <w:u w:val="single"/>
        </w:rPr>
        <w:tab/>
      </w:r>
    </w:p>
    <w:p w14:paraId="4FDD7840" w14:textId="29DADEED" w:rsidR="008A68A0" w:rsidRDefault="000B1EC1">
      <w:pPr>
        <w:spacing w:before="240"/>
      </w:pPr>
      <w:r>
        <w:rPr>
          <w:rFonts w:ascii="Helvetica" w:hAnsi="Helvetica" w:cs="Helvetica"/>
        </w:rPr>
        <w:t>Date</w:t>
      </w:r>
      <w:r>
        <w:rPr>
          <w:rFonts w:ascii="Helvetica" w:hAnsi="Helvetica" w:cs="Helvetica"/>
          <w:u w:val="single"/>
        </w:rPr>
        <w:t xml:space="preserve">:                           </w:t>
      </w:r>
      <w:r w:rsidR="009E3746">
        <w:rPr>
          <w:rFonts w:ascii="Helvetica" w:hAnsi="Helvetica" w:cs="Helvetica"/>
          <w:u w:val="single"/>
        </w:rPr>
        <w:t>April 7</w:t>
      </w:r>
      <w:r w:rsidR="006C6A11">
        <w:rPr>
          <w:rFonts w:ascii="Helvetica" w:hAnsi="Helvetica" w:cs="Helvetica"/>
          <w:u w:val="single"/>
        </w:rPr>
        <w:t>, 2015</w:t>
      </w:r>
      <w:r>
        <w:rPr>
          <w:rFonts w:ascii="Helvetica" w:hAnsi="Helvetica" w:cs="Helvetica"/>
          <w:u w:val="single"/>
        </w:rPr>
        <w:tab/>
      </w:r>
      <w:r>
        <w:rPr>
          <w:rFonts w:ascii="Helvetica" w:hAnsi="Helvetica" w:cs="Helvetica"/>
          <w:u w:val="single"/>
        </w:rPr>
        <w:tab/>
      </w:r>
    </w:p>
    <w:p w14:paraId="7E5B21A9" w14:textId="77777777" w:rsidR="008A68A0" w:rsidRDefault="000B1EC1">
      <w:pPr>
        <w:spacing w:before="120"/>
      </w:pPr>
      <w:r>
        <w:rPr>
          <w:rFonts w:ascii="Helvetica" w:hAnsi="Helvetica" w:cs="Helvetica"/>
          <w:b/>
        </w:rPr>
        <w:t>Report on Business</w:t>
      </w:r>
    </w:p>
    <w:p w14:paraId="09275E9D" w14:textId="77777777" w:rsidR="008A68A0" w:rsidRDefault="000B1EC1">
      <w:pPr>
        <w:spacing w:before="120"/>
        <w:ind w:left="720"/>
        <w:jc w:val="both"/>
      </w:pPr>
      <w:r>
        <w:rPr>
          <w:rFonts w:ascii="Helvetica" w:hAnsi="Helvetica" w:cs="Helvetica"/>
        </w:rPr>
        <w:t>Provide a general overview and discussion of the development of the Issuer’s business and operations over the previous month.  Where the Issuer was inactive disclose this fact.</w:t>
      </w:r>
    </w:p>
    <w:p w14:paraId="46655738" w14:textId="77777777" w:rsidR="008A68A0" w:rsidRDefault="000B1EC1">
      <w:pPr>
        <w:spacing w:before="120"/>
        <w:ind w:left="720"/>
        <w:jc w:val="both"/>
      </w:pPr>
      <w:r>
        <w:rPr>
          <w:rFonts w:ascii="Helvetica" w:hAnsi="Helvetica" w:cs="Helvetica"/>
          <w:b/>
        </w:rPr>
        <w:t xml:space="preserve">Other than disclosed in the </w:t>
      </w:r>
      <w:r w:rsidR="00BC5D3B">
        <w:rPr>
          <w:rFonts w:ascii="Helvetica" w:hAnsi="Helvetica" w:cs="Helvetica"/>
          <w:b/>
        </w:rPr>
        <w:t>third</w:t>
      </w:r>
      <w:r>
        <w:rPr>
          <w:rFonts w:ascii="Helvetica" w:hAnsi="Helvetica" w:cs="Helvetica"/>
          <w:b/>
        </w:rPr>
        <w:t xml:space="preserve"> quarter financial statements and MD&amp;A released on </w:t>
      </w:r>
      <w:r w:rsidR="00BC5D3B">
        <w:rPr>
          <w:rFonts w:ascii="Helvetica" w:hAnsi="Helvetica" w:cs="Helvetica"/>
          <w:b/>
        </w:rPr>
        <w:t>November</w:t>
      </w:r>
      <w:r>
        <w:rPr>
          <w:rFonts w:ascii="Helvetica" w:hAnsi="Helvetica" w:cs="Helvetica"/>
          <w:b/>
        </w:rPr>
        <w:t xml:space="preserve"> 21, there were no significant new developments in the business during the preceding month.</w:t>
      </w:r>
    </w:p>
    <w:p w14:paraId="38CFE34D" w14:textId="77777777" w:rsidR="008A68A0" w:rsidRDefault="000B1EC1">
      <w:pPr>
        <w:spacing w:before="120"/>
        <w:ind w:left="720"/>
        <w:jc w:val="both"/>
      </w:pPr>
      <w:r>
        <w:rPr>
          <w:rFonts w:ascii="Helvetica" w:hAnsi="Helvetica" w:cs="Helvetica"/>
        </w:rPr>
        <w:t>Provide a general overview and discussion of the activities of management.</w:t>
      </w:r>
    </w:p>
    <w:p w14:paraId="1A4FC04A" w14:textId="77777777" w:rsidR="008A68A0" w:rsidRDefault="000B1EC1">
      <w:pPr>
        <w:spacing w:before="120"/>
        <w:ind w:left="720"/>
        <w:jc w:val="both"/>
      </w:pPr>
      <w:r>
        <w:rPr>
          <w:rFonts w:ascii="Helvetica" w:hAnsi="Helvetica" w:cs="Helvetica"/>
          <w:b/>
        </w:rPr>
        <w:t>There were no significant activities of management outside the normal course of business during the preceding month.</w:t>
      </w:r>
    </w:p>
    <w:p w14:paraId="00909D05" w14:textId="77777777" w:rsidR="008A68A0" w:rsidRDefault="000B1EC1">
      <w:pPr>
        <w:spacing w:before="120"/>
        <w:ind w:left="720"/>
        <w:jc w:val="both"/>
      </w:pPr>
      <w:r>
        <w:rPr>
          <w:rFonts w:ascii="Helvetica" w:hAnsi="Helvetica" w:cs="Helvetica"/>
        </w:rPr>
        <w:t xml:space="preserve">Describe and provide details of any new products or services developed or offered. </w:t>
      </w:r>
    </w:p>
    <w:p w14:paraId="46E47CE4" w14:textId="77777777" w:rsidR="008A68A0" w:rsidRDefault="000B1EC1">
      <w:pPr>
        <w:spacing w:before="120"/>
        <w:ind w:left="720"/>
        <w:jc w:val="both"/>
      </w:pPr>
      <w:r>
        <w:rPr>
          <w:rFonts w:ascii="Helvetica" w:hAnsi="Helvetica" w:cs="Helvetica"/>
          <w:b/>
        </w:rPr>
        <w:t>There were no new products or services developed or offered during the preceding month.</w:t>
      </w:r>
    </w:p>
    <w:p w14:paraId="469819E2" w14:textId="77777777" w:rsidR="008A68A0" w:rsidRDefault="000B1EC1">
      <w:pPr>
        <w:spacing w:before="120"/>
        <w:ind w:left="720"/>
        <w:jc w:val="both"/>
      </w:pPr>
      <w:r>
        <w:rPr>
          <w:rFonts w:ascii="Helvetica" w:hAnsi="Helvetica" w:cs="Helvetica"/>
        </w:rPr>
        <w:t xml:space="preserve">Describe and provide details of any products or services that were discontinued. </w:t>
      </w:r>
    </w:p>
    <w:p w14:paraId="5425DD59" w14:textId="77777777" w:rsidR="008A68A0" w:rsidRDefault="000B1EC1">
      <w:pPr>
        <w:spacing w:before="120"/>
        <w:ind w:left="720"/>
        <w:jc w:val="both"/>
      </w:pPr>
      <w:r>
        <w:rPr>
          <w:rFonts w:ascii="Helvetica" w:hAnsi="Helvetica" w:cs="Helvetica"/>
          <w:b/>
        </w:rPr>
        <w:t>There were no products or services that were discontinued during the preceding month.</w:t>
      </w:r>
    </w:p>
    <w:p w14:paraId="4BA98EE6" w14:textId="77777777" w:rsidR="008A68A0" w:rsidRDefault="000B1EC1">
      <w:pPr>
        <w:spacing w:before="120"/>
        <w:ind w:left="720"/>
        <w:jc w:val="both"/>
      </w:pPr>
      <w:r>
        <w:rPr>
          <w:rFonts w:ascii="Helvetica" w:hAnsi="Helvetica" w:cs="Helvetica"/>
        </w:rPr>
        <w:t>Describe any new business relationships entered into between the Issuer, the Issuer’s affiliates or third parties.</w:t>
      </w:r>
    </w:p>
    <w:p w14:paraId="42DBF927" w14:textId="77777777" w:rsidR="008A68A0" w:rsidRDefault="000B1EC1">
      <w:pPr>
        <w:spacing w:before="120"/>
        <w:ind w:left="720"/>
        <w:jc w:val="both"/>
      </w:pPr>
      <w:r>
        <w:rPr>
          <w:rFonts w:ascii="Helvetica" w:hAnsi="Helvetica" w:cs="Helvetica"/>
          <w:b/>
        </w:rPr>
        <w:t xml:space="preserve">As described in the press release of August 21, 2014, there </w:t>
      </w:r>
      <w:proofErr w:type="gramStart"/>
      <w:r>
        <w:rPr>
          <w:rFonts w:ascii="Helvetica" w:hAnsi="Helvetica" w:cs="Helvetica"/>
          <w:b/>
        </w:rPr>
        <w:t>was</w:t>
      </w:r>
      <w:proofErr w:type="gramEnd"/>
      <w:r>
        <w:rPr>
          <w:rFonts w:ascii="Helvetica" w:hAnsi="Helvetica" w:cs="Helvetica"/>
          <w:b/>
        </w:rPr>
        <w:t xml:space="preserve"> some changes to the structure of the pending strategic transaction with </w:t>
      </w:r>
      <w:proofErr w:type="spellStart"/>
      <w:r>
        <w:rPr>
          <w:rFonts w:ascii="Helvetica" w:hAnsi="Helvetica" w:cs="Helvetica"/>
          <w:b/>
        </w:rPr>
        <w:t>Beidahuang</w:t>
      </w:r>
      <w:proofErr w:type="spellEnd"/>
      <w:r>
        <w:rPr>
          <w:rFonts w:ascii="Helvetica" w:hAnsi="Helvetica" w:cs="Helvetica"/>
          <w:b/>
        </w:rPr>
        <w:t xml:space="preserve"> Group.  Other than this, there </w:t>
      </w:r>
      <w:proofErr w:type="gramStart"/>
      <w:r>
        <w:rPr>
          <w:rFonts w:ascii="Helvetica" w:hAnsi="Helvetica" w:cs="Helvetica"/>
          <w:b/>
        </w:rPr>
        <w:t>were no material</w:t>
      </w:r>
      <w:proofErr w:type="gramEnd"/>
      <w:r>
        <w:rPr>
          <w:rFonts w:ascii="Helvetica" w:hAnsi="Helvetica" w:cs="Helvetica"/>
          <w:b/>
        </w:rPr>
        <w:t xml:space="preserve"> new business relationships entered into during the preceding month.</w:t>
      </w:r>
    </w:p>
    <w:p w14:paraId="0BF220B7" w14:textId="77777777" w:rsidR="008A68A0" w:rsidRDefault="000B1EC1">
      <w:pPr>
        <w:spacing w:before="120"/>
        <w:ind w:left="720"/>
        <w:jc w:val="both"/>
      </w:pPr>
      <w:r>
        <w:rPr>
          <w:rFonts w:ascii="Helvetica" w:hAnsi="Helvetica" w:cs="Helvetica"/>
        </w:rPr>
        <w:t>Describe the expiry or termination of any contracts or agreements between the Issuer, the Issuer’s affiliates or third parties or cancellation of any financing arrangements that have been previously announced.</w:t>
      </w:r>
    </w:p>
    <w:p w14:paraId="62DDD443" w14:textId="7D64871D" w:rsidR="000B1EC1" w:rsidRDefault="000B1EC1">
      <w:pPr>
        <w:spacing w:before="120"/>
        <w:ind w:left="720"/>
        <w:jc w:val="both"/>
        <w:rPr>
          <w:rFonts w:ascii="Helvetica" w:hAnsi="Helvetica" w:cs="Helvetica"/>
          <w:b/>
        </w:rPr>
      </w:pPr>
      <w:r>
        <w:rPr>
          <w:rFonts w:ascii="Helvetica" w:hAnsi="Helvetica" w:cs="Helvetica"/>
          <w:b/>
        </w:rPr>
        <w:lastRenderedPageBreak/>
        <w:t xml:space="preserve">As disclosed in the latest financial statements, there were a number of credit facilities, which came due during the </w:t>
      </w:r>
      <w:r w:rsidR="009E3746">
        <w:rPr>
          <w:rFonts w:ascii="Helvetica" w:hAnsi="Helvetica" w:cs="Helvetica"/>
          <w:b/>
        </w:rPr>
        <w:t>last reported quarter and continue to come due on a regular basis</w:t>
      </w:r>
      <w:r>
        <w:rPr>
          <w:rFonts w:ascii="Helvetica" w:hAnsi="Helvetica" w:cs="Helvetica"/>
          <w:b/>
        </w:rPr>
        <w:t xml:space="preserve">.   These facilities </w:t>
      </w:r>
      <w:r w:rsidR="009E3746">
        <w:rPr>
          <w:rFonts w:ascii="Helvetica" w:hAnsi="Helvetica" w:cs="Helvetica"/>
          <w:b/>
        </w:rPr>
        <w:t>are</w:t>
      </w:r>
      <w:bookmarkStart w:id="0" w:name="_GoBack"/>
      <w:bookmarkEnd w:id="0"/>
      <w:r>
        <w:rPr>
          <w:rFonts w:ascii="Helvetica" w:hAnsi="Helvetica" w:cs="Helvetica"/>
          <w:b/>
        </w:rPr>
        <w:t xml:space="preserve"> either renewed or repaid in the normal course of business.  </w:t>
      </w:r>
    </w:p>
    <w:p w14:paraId="7324E8A0" w14:textId="652D1717" w:rsidR="00BC5D3B" w:rsidRDefault="0049367E" w:rsidP="00BC5D3B">
      <w:pPr>
        <w:spacing w:before="120"/>
        <w:ind w:left="720"/>
        <w:jc w:val="both"/>
        <w:rPr>
          <w:rFonts w:ascii="Helvetica" w:hAnsi="Helvetica" w:cs="Helvetica"/>
          <w:b/>
        </w:rPr>
      </w:pPr>
      <w:r>
        <w:rPr>
          <w:rFonts w:ascii="Helvetica" w:hAnsi="Helvetica" w:cs="Helvetica"/>
          <w:b/>
        </w:rPr>
        <w:t>As</w:t>
      </w:r>
      <w:r w:rsidR="000B1EC1">
        <w:rPr>
          <w:rFonts w:ascii="Helvetica" w:hAnsi="Helvetica" w:cs="Helvetica"/>
          <w:b/>
        </w:rPr>
        <w:t xml:space="preserve"> indicated in the SEDAR filings of October 28, 2014, the Company’s auditors, Manning Elliott LLP have resigned effective October 8, 2014.   As stated in these filings, there have been no reportable events in connection with the resignation of Manning Elliott LLP. </w:t>
      </w:r>
    </w:p>
    <w:p w14:paraId="0DDBB12A" w14:textId="6A2817C6" w:rsidR="0049367E" w:rsidRDefault="0049367E">
      <w:pPr>
        <w:spacing w:before="120"/>
        <w:ind w:left="720"/>
        <w:jc w:val="both"/>
        <w:rPr>
          <w:rFonts w:ascii="Helvetica" w:hAnsi="Helvetica" w:cs="Helvetica"/>
          <w:b/>
        </w:rPr>
      </w:pPr>
      <w:r>
        <w:rPr>
          <w:rFonts w:ascii="Helvetica" w:hAnsi="Helvetica" w:cs="Helvetica"/>
          <w:b/>
        </w:rPr>
        <w:t>Further, as indicated in the SEDAR filing of January 13, 2015, effective December 18</w:t>
      </w:r>
      <w:r>
        <w:rPr>
          <w:rFonts w:ascii="Helvetica" w:hAnsi="Helvetica" w:cs="Helvetica"/>
          <w:b/>
          <w:vertAlign w:val="superscript"/>
        </w:rPr>
        <w:t>,</w:t>
      </w:r>
      <w:r>
        <w:rPr>
          <w:rFonts w:ascii="Helvetica" w:hAnsi="Helvetica" w:cs="Helvetica"/>
          <w:b/>
        </w:rPr>
        <w:t xml:space="preserve"> 2014, MNP LLP have been appointed to replace Manning Elliott LLP as the Company’s auditors.</w:t>
      </w:r>
    </w:p>
    <w:p w14:paraId="33314A56" w14:textId="77777777" w:rsidR="008A68A0" w:rsidRDefault="00BC5D3B">
      <w:pPr>
        <w:spacing w:before="120"/>
        <w:ind w:left="720"/>
        <w:jc w:val="both"/>
      </w:pPr>
      <w:r>
        <w:rPr>
          <w:rFonts w:ascii="Helvetica" w:hAnsi="Helvetica" w:cs="Helvetica"/>
          <w:b/>
        </w:rPr>
        <w:t xml:space="preserve">Other than the </w:t>
      </w:r>
      <w:r w:rsidR="000B1EC1">
        <w:rPr>
          <w:rFonts w:ascii="Helvetica" w:hAnsi="Helvetica" w:cs="Helvetica"/>
          <w:b/>
        </w:rPr>
        <w:t>a</w:t>
      </w:r>
      <w:r>
        <w:rPr>
          <w:rFonts w:ascii="Helvetica" w:hAnsi="Helvetica" w:cs="Helvetica"/>
          <w:b/>
        </w:rPr>
        <w:t>b</w:t>
      </w:r>
      <w:r w:rsidR="000B1EC1">
        <w:rPr>
          <w:rFonts w:ascii="Helvetica" w:hAnsi="Helvetica" w:cs="Helvetica"/>
          <w:b/>
        </w:rPr>
        <w:t>ove, there were no expiry or termination of any material contracts or agreements between the Issuer, the Issuer’s affiliates or third parties during the preceding month.</w:t>
      </w:r>
    </w:p>
    <w:p w14:paraId="04FD95B8" w14:textId="77777777" w:rsidR="008A68A0" w:rsidRDefault="000B1EC1">
      <w:pPr>
        <w:spacing w:before="120"/>
        <w:ind w:left="720"/>
        <w:jc w:val="both"/>
      </w:pPr>
      <w:r>
        <w:rPr>
          <w:rFonts w:ascii="Helvetica" w:hAnsi="Helvetica" w:cs="Helvetica"/>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Helvetica" w:hAnsi="Helvetica" w:cs="Helvetica"/>
        </w:rPr>
        <w:t>disposition was to a Related Person of the Issuer and provide</w:t>
      </w:r>
      <w:proofErr w:type="gramEnd"/>
      <w:r>
        <w:rPr>
          <w:rFonts w:ascii="Helvetica" w:hAnsi="Helvetica" w:cs="Helvetica"/>
        </w:rPr>
        <w:t xml:space="preserve"> details of the relationship.</w:t>
      </w:r>
    </w:p>
    <w:p w14:paraId="0F656A78" w14:textId="77777777" w:rsidR="008A68A0" w:rsidRDefault="000B1EC1">
      <w:pPr>
        <w:spacing w:before="120"/>
        <w:ind w:left="720"/>
        <w:jc w:val="both"/>
      </w:pPr>
      <w:r>
        <w:rPr>
          <w:rFonts w:ascii="Helvetica" w:hAnsi="Helvetica" w:cs="Helvetica"/>
          <w:b/>
        </w:rPr>
        <w:t>There were no acquisitions or dispositions of entities or assets that occurred during the preceding month.</w:t>
      </w:r>
    </w:p>
    <w:p w14:paraId="40B24108" w14:textId="77777777" w:rsidR="008A68A0" w:rsidRDefault="000B1EC1">
      <w:pPr>
        <w:spacing w:before="120"/>
        <w:ind w:left="720"/>
        <w:jc w:val="both"/>
      </w:pPr>
      <w:r>
        <w:rPr>
          <w:rFonts w:ascii="Helvetica" w:hAnsi="Helvetica" w:cs="Helvetica"/>
        </w:rPr>
        <w:t>Describe the acquisition of new customers or loss of customers.</w:t>
      </w:r>
    </w:p>
    <w:p w14:paraId="117595AB" w14:textId="77777777" w:rsidR="008A68A0" w:rsidRDefault="000B1EC1">
      <w:pPr>
        <w:spacing w:before="120"/>
        <w:ind w:left="720"/>
        <w:jc w:val="both"/>
      </w:pPr>
      <w:r>
        <w:rPr>
          <w:rFonts w:ascii="Helvetica" w:hAnsi="Helvetica" w:cs="Helvetica"/>
          <w:b/>
        </w:rPr>
        <w:t>There were no material acquisitions or losses of customers during the preceding month.</w:t>
      </w:r>
    </w:p>
    <w:p w14:paraId="66FB78B7" w14:textId="77777777" w:rsidR="008A68A0" w:rsidRDefault="000B1EC1">
      <w:pPr>
        <w:spacing w:before="120"/>
        <w:ind w:left="720"/>
        <w:jc w:val="both"/>
      </w:pPr>
      <w:r>
        <w:rPr>
          <w:rFonts w:ascii="Helvetica" w:hAnsi="Helvetica" w:cs="Helvetica"/>
        </w:rPr>
        <w:t xml:space="preserve">Describe any new developments or effects on intangible products such as brand names, circulation lists, copyrights, franchises, licenses, patents, software, subscription lists and </w:t>
      </w:r>
      <w:proofErr w:type="gramStart"/>
      <w:r>
        <w:rPr>
          <w:rFonts w:ascii="Helvetica" w:hAnsi="Helvetica" w:cs="Helvetica"/>
        </w:rPr>
        <w:t>trade-marks</w:t>
      </w:r>
      <w:proofErr w:type="gramEnd"/>
      <w:r>
        <w:rPr>
          <w:rFonts w:ascii="Helvetica" w:hAnsi="Helvetica" w:cs="Helvetica"/>
        </w:rPr>
        <w:t>.</w:t>
      </w:r>
    </w:p>
    <w:p w14:paraId="5852FC24" w14:textId="77777777" w:rsidR="008A68A0" w:rsidRDefault="000B1EC1">
      <w:pPr>
        <w:spacing w:before="120"/>
        <w:ind w:left="720"/>
        <w:jc w:val="both"/>
      </w:pPr>
      <w:r>
        <w:rPr>
          <w:rFonts w:ascii="Helvetica" w:hAnsi="Helvetica" w:cs="Helvetica"/>
          <w:b/>
        </w:rPr>
        <w:t>There were no material new developments or effects on intangible products during the preceding month.</w:t>
      </w:r>
    </w:p>
    <w:p w14:paraId="029FCDFE" w14:textId="77777777" w:rsidR="008A68A0" w:rsidRDefault="006C6A11">
      <w:pPr>
        <w:spacing w:before="120"/>
        <w:ind w:left="720"/>
        <w:jc w:val="both"/>
      </w:pPr>
      <w:r>
        <w:rPr>
          <w:rFonts w:ascii="Helvetica" w:hAnsi="Helvetica" w:cs="Helvetica"/>
        </w:rPr>
        <w:t>Report on any employee hiring</w:t>
      </w:r>
      <w:r w:rsidR="000B1EC1">
        <w:rPr>
          <w:rFonts w:ascii="Helvetica" w:hAnsi="Helvetica" w:cs="Helvetica"/>
        </w:rPr>
        <w:t>, terminations or lay-offs with details of anticipated length of lay-offs.</w:t>
      </w:r>
    </w:p>
    <w:p w14:paraId="47AE45BE" w14:textId="77777777" w:rsidR="008A68A0" w:rsidRDefault="000B1EC1">
      <w:pPr>
        <w:spacing w:before="120"/>
        <w:ind w:left="720"/>
        <w:jc w:val="both"/>
      </w:pPr>
      <w:r>
        <w:rPr>
          <w:rFonts w:ascii="Helvetica" w:hAnsi="Helvetica" w:cs="Helvetica"/>
          <w:b/>
        </w:rPr>
        <w:t>There were no material employee hiring’s, terminations or lay-offs during the preceding month.</w:t>
      </w:r>
    </w:p>
    <w:p w14:paraId="03B653E9" w14:textId="77777777" w:rsidR="008A68A0" w:rsidRDefault="000B1EC1">
      <w:pPr>
        <w:spacing w:before="120"/>
        <w:ind w:left="720"/>
        <w:jc w:val="both"/>
      </w:pPr>
      <w:r>
        <w:rPr>
          <w:rFonts w:ascii="Helvetica" w:hAnsi="Helvetica" w:cs="Helvetica"/>
        </w:rPr>
        <w:t>Report on any labour disputes and resolutions of those disputes if applicable.</w:t>
      </w:r>
    </w:p>
    <w:p w14:paraId="04BDB983" w14:textId="77777777" w:rsidR="008A68A0" w:rsidRDefault="000B1EC1">
      <w:pPr>
        <w:spacing w:before="120"/>
        <w:jc w:val="both"/>
      </w:pPr>
      <w:r>
        <w:rPr>
          <w:rFonts w:ascii="Helvetica" w:hAnsi="Helvetica" w:cs="Helvetica"/>
          <w:b/>
        </w:rPr>
        <w:t>There were no labour disputes or resolutions during the preceding month.</w:t>
      </w:r>
    </w:p>
    <w:p w14:paraId="7D827BFA" w14:textId="77777777" w:rsidR="008A68A0" w:rsidRDefault="000B1EC1">
      <w:pPr>
        <w:spacing w:before="120"/>
        <w:ind w:left="720"/>
        <w:jc w:val="both"/>
      </w:pPr>
      <w:r>
        <w:rPr>
          <w:rFonts w:ascii="Helvetica" w:hAnsi="Helvetica" w:cs="Helvetica"/>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1DB182A" w14:textId="77777777" w:rsidR="008A68A0" w:rsidRDefault="000B1EC1">
      <w:pPr>
        <w:spacing w:before="120"/>
        <w:jc w:val="both"/>
      </w:pPr>
      <w:r>
        <w:rPr>
          <w:rFonts w:ascii="Helvetica" w:hAnsi="Helvetica" w:cs="Helvetica"/>
          <w:b/>
        </w:rPr>
        <w:t>There were no legal proceedings during the preceding month.</w:t>
      </w:r>
    </w:p>
    <w:p w14:paraId="1D3ABDEE" w14:textId="77777777" w:rsidR="008A68A0" w:rsidRDefault="000B1EC1">
      <w:pPr>
        <w:spacing w:before="120"/>
        <w:ind w:left="720"/>
        <w:jc w:val="both"/>
      </w:pPr>
      <w:r>
        <w:rPr>
          <w:rFonts w:ascii="Helvetica" w:hAnsi="Helvetica" w:cs="Helvetica"/>
        </w:rPr>
        <w:t>Provide details of any indebtedness incurred or repaid by the Issuer together with the terms of such indebtedness.</w:t>
      </w:r>
    </w:p>
    <w:p w14:paraId="71950F8D" w14:textId="77777777" w:rsidR="008A68A0" w:rsidRDefault="000B1EC1">
      <w:pPr>
        <w:spacing w:before="120"/>
        <w:ind w:left="720"/>
        <w:jc w:val="both"/>
      </w:pPr>
      <w:r>
        <w:rPr>
          <w:rFonts w:ascii="Helvetica" w:hAnsi="Helvetica" w:cs="Helvetica"/>
          <w:b/>
        </w:rPr>
        <w:t xml:space="preserve">As disclosed in the latest financial statements, there were a number of credit facilities, which came due during the month.   These facilities were either renewed or repaid in the normal course of business.  </w:t>
      </w:r>
    </w:p>
    <w:p w14:paraId="7E8287FC" w14:textId="77777777" w:rsidR="008A68A0" w:rsidRDefault="000B1EC1">
      <w:pPr>
        <w:spacing w:before="120"/>
        <w:ind w:left="720"/>
        <w:jc w:val="both"/>
      </w:pPr>
      <w:r>
        <w:rPr>
          <w:rFonts w:ascii="Helvetica" w:hAnsi="Helvetica" w:cs="Helvetica"/>
        </w:rPr>
        <w:t>Provide details of any securities issued and options or warrants granted.</w:t>
      </w:r>
    </w:p>
    <w:p w14:paraId="70A7C0CF" w14:textId="77777777" w:rsidR="008A68A0" w:rsidRDefault="000B1EC1">
      <w:pPr>
        <w:spacing w:before="120"/>
        <w:jc w:val="both"/>
      </w:pPr>
      <w:r>
        <w:rPr>
          <w:rFonts w:ascii="Helvetica" w:hAnsi="Helvetica" w:cs="Helvetica"/>
          <w:b/>
        </w:rPr>
        <w:t>There were no securities or options issued during the preceding month.</w:t>
      </w:r>
    </w:p>
    <w:p w14:paraId="6E9CC58D" w14:textId="77777777" w:rsidR="008A68A0" w:rsidRDefault="000B1EC1">
      <w:pPr>
        <w:spacing w:before="120"/>
        <w:ind w:left="720"/>
        <w:jc w:val="both"/>
      </w:pPr>
      <w:r>
        <w:rPr>
          <w:rFonts w:ascii="Helvetica" w:hAnsi="Helvetica" w:cs="Helvetica"/>
        </w:rPr>
        <w:t>Provide details of any loans to or by Related Persons.</w:t>
      </w:r>
    </w:p>
    <w:p w14:paraId="0F5391E9" w14:textId="77777777" w:rsidR="008A68A0" w:rsidRDefault="000B1EC1">
      <w:pPr>
        <w:spacing w:before="120"/>
        <w:ind w:left="720"/>
        <w:jc w:val="both"/>
      </w:pPr>
      <w:r>
        <w:rPr>
          <w:rFonts w:ascii="Helvetica" w:hAnsi="Helvetica" w:cs="Helvetica"/>
          <w:b/>
        </w:rPr>
        <w:t>As disclosed in the Company’s financial statements, there are fees and share compensation arrangements with management and directors, the balances of which change month to month.  There were no material changes to either the transactions or balances of such related party transactions during the preceding month.</w:t>
      </w:r>
    </w:p>
    <w:p w14:paraId="1411497A" w14:textId="77777777" w:rsidR="008A68A0" w:rsidRDefault="000B1EC1">
      <w:pPr>
        <w:spacing w:before="120"/>
        <w:ind w:left="720"/>
        <w:jc w:val="both"/>
      </w:pPr>
      <w:r>
        <w:rPr>
          <w:rFonts w:ascii="Helvetica" w:hAnsi="Helvetica" w:cs="Helvetica"/>
        </w:rPr>
        <w:t>Provide details of any changes in directors, officers or committee members.</w:t>
      </w:r>
    </w:p>
    <w:p w14:paraId="763C78C7" w14:textId="77777777" w:rsidR="008A68A0" w:rsidRDefault="006C6A11">
      <w:pPr>
        <w:spacing w:before="120"/>
        <w:ind w:left="720"/>
        <w:jc w:val="both"/>
      </w:pPr>
      <w:r>
        <w:rPr>
          <w:rFonts w:ascii="Helvetica" w:hAnsi="Helvetica" w:cs="Helvetica"/>
          <w:b/>
        </w:rPr>
        <w:t xml:space="preserve">Other than the resignation of Jeremy Kendall announced on </w:t>
      </w:r>
      <w:r w:rsidR="000B1EC1">
        <w:rPr>
          <w:rFonts w:ascii="Helvetica" w:hAnsi="Helvetica" w:cs="Helvetica"/>
          <w:b/>
        </w:rPr>
        <w:t>August 25, 2014</w:t>
      </w:r>
      <w:r>
        <w:rPr>
          <w:rFonts w:ascii="Helvetica" w:hAnsi="Helvetica" w:cs="Helvetica"/>
          <w:b/>
        </w:rPr>
        <w:t>, there have been no changes in directors, officers or committee members.</w:t>
      </w:r>
    </w:p>
    <w:p w14:paraId="08F2519F" w14:textId="77777777" w:rsidR="008A68A0" w:rsidRDefault="000B1EC1">
      <w:pPr>
        <w:spacing w:before="120"/>
        <w:ind w:left="720"/>
        <w:jc w:val="both"/>
      </w:pPr>
      <w:r>
        <w:rPr>
          <w:rFonts w:ascii="Helvetica" w:hAnsi="Helvetica" w:cs="Helvetica"/>
        </w:rPr>
        <w:t xml:space="preserve">Discuss any </w:t>
      </w:r>
      <w:proofErr w:type="gramStart"/>
      <w:r>
        <w:rPr>
          <w:rFonts w:ascii="Helvetica" w:hAnsi="Helvetica" w:cs="Helvetica"/>
        </w:rPr>
        <w:t>trends which</w:t>
      </w:r>
      <w:proofErr w:type="gramEnd"/>
      <w:r>
        <w:rPr>
          <w:rFonts w:ascii="Helvetica" w:hAnsi="Helvetica" w:cs="Helvetica"/>
        </w:rPr>
        <w:t xml:space="preserve"> are likely to impact the Issuer including trends in the Issuer’s market(s) or political/regulatory trends.</w:t>
      </w:r>
    </w:p>
    <w:p w14:paraId="533206D2" w14:textId="77777777" w:rsidR="008A68A0" w:rsidRDefault="000B1EC1">
      <w:pPr>
        <w:spacing w:before="120"/>
        <w:ind w:left="720"/>
        <w:jc w:val="both"/>
      </w:pPr>
      <w:r>
        <w:rPr>
          <w:rFonts w:ascii="Helvetica" w:hAnsi="Helvetica" w:cs="Helvetica"/>
          <w:b/>
        </w:rPr>
        <w:t xml:space="preserve">As disclosed in the Company’s financial statements, the Company has incurred a significant net loss as a result of a decline in gross margin. Further operating losses may result in future going concern issues if </w:t>
      </w:r>
      <w:proofErr w:type="gramStart"/>
      <w:r>
        <w:rPr>
          <w:rFonts w:ascii="Helvetica" w:hAnsi="Helvetica" w:cs="Helvetica"/>
          <w:b/>
        </w:rPr>
        <w:t>they are not adequately addressed by management</w:t>
      </w:r>
      <w:proofErr w:type="gramEnd"/>
      <w:r>
        <w:rPr>
          <w:rFonts w:ascii="Helvetica" w:hAnsi="Helvetica" w:cs="Helvetica"/>
          <w:b/>
        </w:rPr>
        <w:t>.</w:t>
      </w:r>
    </w:p>
    <w:p w14:paraId="413C79C2" w14:textId="77777777" w:rsidR="008A68A0" w:rsidRDefault="000B1EC1">
      <w:pPr>
        <w:spacing w:before="120"/>
      </w:pPr>
      <w:r>
        <w:rPr>
          <w:rFonts w:ascii="Helvetica" w:hAnsi="Helvetica" w:cs="Helvetica"/>
          <w:b/>
        </w:rPr>
        <w:br w:type="page"/>
      </w:r>
      <w:r>
        <w:rPr>
          <w:rFonts w:ascii="Helvetica" w:hAnsi="Helvetica" w:cs="Helvetica"/>
          <w:b/>
        </w:rPr>
        <w:lastRenderedPageBreak/>
        <w:t>Certificate Of Compliance</w:t>
      </w:r>
    </w:p>
    <w:p w14:paraId="4817EEA7" w14:textId="77777777" w:rsidR="008A68A0" w:rsidRDefault="000B1EC1">
      <w:pPr>
        <w:spacing w:before="240"/>
      </w:pPr>
      <w:r>
        <w:rPr>
          <w:rFonts w:ascii="Helvetica" w:hAnsi="Helvetica" w:cs="Helvetica"/>
        </w:rPr>
        <w:t>The undersigned hereby certifies that:</w:t>
      </w:r>
    </w:p>
    <w:p w14:paraId="592B5B14" w14:textId="77777777" w:rsidR="008A68A0" w:rsidRDefault="000B1EC1">
      <w:pPr>
        <w:spacing w:before="240"/>
        <w:ind w:left="720"/>
        <w:jc w:val="both"/>
      </w:pPr>
      <w:r>
        <w:rPr>
          <w:rFonts w:ascii="Helvetica" w:hAnsi="Helvetica" w:cs="Helvetica"/>
        </w:rPr>
        <w:t>The undersigned is a director and/or senior officer of the Issuer and has been duly authorized by a resolution of the board of directors of the Issuer to sign this Certificate of Compliance.</w:t>
      </w:r>
    </w:p>
    <w:p w14:paraId="6F51E302" w14:textId="77777777" w:rsidR="008A68A0" w:rsidRDefault="000B1EC1">
      <w:pPr>
        <w:spacing w:before="240"/>
        <w:ind w:left="720"/>
        <w:jc w:val="both"/>
      </w:pPr>
      <w:r>
        <w:rPr>
          <w:rFonts w:ascii="Helvetica" w:hAnsi="Helvetica" w:cs="Helvetica"/>
        </w:rPr>
        <w:t xml:space="preserve">As of the date hereof there were is no material information concerning the </w:t>
      </w:r>
      <w:proofErr w:type="gramStart"/>
      <w:r>
        <w:rPr>
          <w:rFonts w:ascii="Helvetica" w:hAnsi="Helvetica" w:cs="Helvetica"/>
        </w:rPr>
        <w:t>Issuer which</w:t>
      </w:r>
      <w:proofErr w:type="gramEnd"/>
      <w:r>
        <w:rPr>
          <w:rFonts w:ascii="Helvetica" w:hAnsi="Helvetica" w:cs="Helvetica"/>
        </w:rPr>
        <w:t xml:space="preserve"> has not been publicly disclosed.</w:t>
      </w:r>
    </w:p>
    <w:p w14:paraId="337EAE47" w14:textId="77777777" w:rsidR="008A68A0" w:rsidRDefault="000B1EC1">
      <w:pPr>
        <w:spacing w:before="240"/>
        <w:ind w:left="720"/>
        <w:jc w:val="both"/>
      </w:pPr>
      <w:r>
        <w:rPr>
          <w:rFonts w:ascii="Helvetica" w:hAnsi="Helvetica" w:cs="Helvetica"/>
        </w:rPr>
        <w:t>The undersigned hereby certifies to CNSX that the Issuer is in compliance with the requirements of applicable securities legislation (as such term is defined in National Instrument 14-101) and all CNSX Requirements (as defined in CNSX Policy 1).</w:t>
      </w:r>
    </w:p>
    <w:p w14:paraId="1DF098A9" w14:textId="77777777" w:rsidR="008A68A0" w:rsidRDefault="000B1EC1">
      <w:pPr>
        <w:spacing w:before="240"/>
        <w:ind w:left="720"/>
        <w:jc w:val="both"/>
      </w:pPr>
      <w:r>
        <w:rPr>
          <w:rFonts w:ascii="Helvetica" w:hAnsi="Helvetica" w:cs="Helvetica"/>
        </w:rPr>
        <w:t>All of the information in this Form 7 Monthly Progress Report is true.</w:t>
      </w:r>
    </w:p>
    <w:p w14:paraId="321D4E15" w14:textId="0E28FBCF" w:rsidR="008A68A0" w:rsidRDefault="000B1EC1">
      <w:pPr>
        <w:spacing w:before="480"/>
        <w:jc w:val="both"/>
      </w:pPr>
      <w:r>
        <w:rPr>
          <w:rFonts w:ascii="Helvetica" w:hAnsi="Helvetica" w:cs="Helvetica"/>
          <w:u w:val="single"/>
        </w:rPr>
        <w:t xml:space="preserve">Dated </w:t>
      </w:r>
      <w:r w:rsidR="009E3746">
        <w:rPr>
          <w:rFonts w:ascii="Helvetica" w:hAnsi="Helvetica" w:cs="Helvetica"/>
          <w:u w:val="single"/>
        </w:rPr>
        <w:t>April 7</w:t>
      </w:r>
      <w:r w:rsidR="000F3098">
        <w:rPr>
          <w:rFonts w:ascii="Helvetica" w:hAnsi="Helvetica" w:cs="Helvetica"/>
          <w:u w:val="single"/>
        </w:rPr>
        <w:t xml:space="preserve">, </w:t>
      </w:r>
      <w:proofErr w:type="gramStart"/>
      <w:r w:rsidR="000F3098">
        <w:rPr>
          <w:rFonts w:ascii="Helvetica" w:hAnsi="Helvetica" w:cs="Helvetica"/>
          <w:u w:val="single"/>
        </w:rPr>
        <w:t>2015</w:t>
      </w:r>
      <w:r>
        <w:rPr>
          <w:rFonts w:ascii="Helvetica" w:hAnsi="Helvetica" w:cs="Helvetica"/>
          <w:u w:val="single"/>
        </w:rPr>
        <w:tab/>
      </w:r>
      <w:r>
        <w:rPr>
          <w:rFonts w:ascii="Helvetica" w:hAnsi="Helvetica" w:cs="Helvetica"/>
        </w:rPr>
        <w:t>.</w:t>
      </w:r>
      <w:proofErr w:type="gramEnd"/>
    </w:p>
    <w:p w14:paraId="2949486F" w14:textId="77777777" w:rsidR="008A68A0" w:rsidRDefault="000B1EC1">
      <w:pPr>
        <w:spacing w:before="240"/>
        <w:ind w:left="5760"/>
      </w:pPr>
      <w:r>
        <w:rPr>
          <w:rFonts w:ascii="Helvetica" w:hAnsi="Helvetica" w:cs="Helvetica"/>
        </w:rPr>
        <w:tab/>
      </w:r>
      <w:r>
        <w:rPr>
          <w:rFonts w:ascii="Helvetica" w:hAnsi="Helvetica" w:cs="Helvetica"/>
          <w:u w:val="single"/>
        </w:rPr>
        <w:t xml:space="preserve">       Robert Wilson</w:t>
      </w:r>
      <w:r>
        <w:rPr>
          <w:rFonts w:ascii="Helvetica" w:hAnsi="Helvetica" w:cs="Helvetica"/>
          <w:u w:val="single"/>
        </w:rPr>
        <w:tab/>
      </w:r>
      <w:r>
        <w:rPr>
          <w:rFonts w:ascii="Helvetica" w:hAnsi="Helvetica" w:cs="Helvetica"/>
          <w:u w:val="single"/>
        </w:rPr>
        <w:br/>
      </w:r>
    </w:p>
    <w:p w14:paraId="7B6C84C4" w14:textId="77777777" w:rsidR="008A68A0" w:rsidRDefault="000B1EC1">
      <w:pPr>
        <w:spacing w:before="240"/>
        <w:ind w:left="5760"/>
      </w:pPr>
      <w:r>
        <w:rPr>
          <w:rFonts w:ascii="Helvetica" w:hAnsi="Helvetica" w:cs="Helvetica"/>
        </w:rPr>
        <w:tab/>
      </w:r>
      <w:r>
        <w:rPr>
          <w:rFonts w:ascii="Helvetica" w:hAnsi="Helvetica" w:cs="Helvetica"/>
          <w:u w:val="single"/>
        </w:rPr>
        <w:t xml:space="preserve">           </w:t>
      </w:r>
      <w:proofErr w:type="gramStart"/>
      <w:r>
        <w:rPr>
          <w:rFonts w:ascii="Helvetica" w:hAnsi="Helvetica" w:cs="Helvetica"/>
          <w:i/>
          <w:u w:val="single"/>
        </w:rPr>
        <w:t>signed</w:t>
      </w:r>
      <w:proofErr w:type="gramEnd"/>
      <w:r>
        <w:rPr>
          <w:rFonts w:ascii="Helvetica" w:hAnsi="Helvetica" w:cs="Helvetica"/>
          <w:u w:val="single"/>
        </w:rPr>
        <w:tab/>
      </w:r>
      <w:r>
        <w:rPr>
          <w:rFonts w:ascii="Helvetica" w:hAnsi="Helvetica" w:cs="Helvetica"/>
        </w:rPr>
        <w:br/>
        <w:t>Signature</w:t>
      </w:r>
    </w:p>
    <w:p w14:paraId="0D2E471F" w14:textId="77777777" w:rsidR="008A68A0" w:rsidRDefault="000B1EC1">
      <w:pPr>
        <w:ind w:left="5760"/>
      </w:pPr>
      <w:r>
        <w:rPr>
          <w:rFonts w:ascii="Helvetica" w:hAnsi="Helvetica" w:cs="Helvetica"/>
        </w:rPr>
        <w:t>Executive Vice President</w:t>
      </w:r>
      <w:r>
        <w:rPr>
          <w:rFonts w:ascii="Helvetica" w:hAnsi="Helvetica" w:cs="Helvetica"/>
        </w:rPr>
        <w:tab/>
      </w:r>
      <w:r>
        <w:rPr>
          <w:rFonts w:ascii="Helvetica" w:hAnsi="Helvetica" w:cs="Helvetica"/>
        </w:rPr>
        <w:br/>
      </w:r>
    </w:p>
    <w:p w14:paraId="436B23BD" w14:textId="77777777" w:rsidR="008A68A0" w:rsidRDefault="008A68A0">
      <w:pPr>
        <w:ind w:left="5760"/>
      </w:pPr>
    </w:p>
    <w:p w14:paraId="0046DB56" w14:textId="77777777" w:rsidR="008A68A0" w:rsidRDefault="000B1EC1">
      <w:r>
        <w:rPr>
          <w:rFonts w:ascii="Helvetica" w:hAnsi="Helvetica" w:cs="Helvetica"/>
          <w:b/>
          <w:i/>
        </w:rPr>
        <w:t>Issuer Details</w:t>
      </w:r>
    </w:p>
    <w:p w14:paraId="39592545" w14:textId="77777777" w:rsidR="008A68A0" w:rsidRDefault="000B1EC1" w:rsidP="00BC5D3B">
      <w:r>
        <w:rPr>
          <w:rFonts w:ascii="Helvetica" w:hAnsi="Helvetica" w:cs="Helvetica"/>
        </w:rPr>
        <w:t>Asia Bio-Chem Group Corp</w:t>
      </w:r>
    </w:p>
    <w:p w14:paraId="2BF7964B" w14:textId="77777777" w:rsidR="008A68A0" w:rsidRDefault="008A68A0" w:rsidP="00BC5D3B"/>
    <w:p w14:paraId="544D9562" w14:textId="77777777" w:rsidR="008A68A0" w:rsidRDefault="000B1EC1">
      <w:proofErr w:type="gramStart"/>
      <w:r>
        <w:rPr>
          <w:rFonts w:ascii="Helvetica" w:hAnsi="Helvetica" w:cs="Helvetica"/>
        </w:rPr>
        <w:t>For  Month</w:t>
      </w:r>
      <w:proofErr w:type="gramEnd"/>
      <w:r>
        <w:rPr>
          <w:rFonts w:ascii="Helvetica" w:hAnsi="Helvetica" w:cs="Helvetica"/>
        </w:rPr>
        <w:t xml:space="preserve"> End</w:t>
      </w:r>
    </w:p>
    <w:p w14:paraId="3F68BE26" w14:textId="46235A8D" w:rsidR="008A68A0" w:rsidRPr="00BC5D3B" w:rsidRDefault="009E3746">
      <w:pPr>
        <w:rPr>
          <w:b/>
        </w:rPr>
      </w:pPr>
      <w:r>
        <w:rPr>
          <w:rFonts w:ascii="Helvetica" w:hAnsi="Helvetica" w:cs="Helvetica"/>
          <w:b/>
        </w:rPr>
        <w:t>March 31</w:t>
      </w:r>
      <w:r w:rsidR="000B1EC1" w:rsidRPr="00BC5D3B">
        <w:rPr>
          <w:rFonts w:ascii="Helvetica" w:hAnsi="Helvetica" w:cs="Helvetica"/>
          <w:b/>
        </w:rPr>
        <w:t>, 201</w:t>
      </w:r>
      <w:r w:rsidR="0066646A">
        <w:rPr>
          <w:rFonts w:ascii="Helvetica" w:hAnsi="Helvetica" w:cs="Helvetica"/>
          <w:b/>
        </w:rPr>
        <w:t>5</w:t>
      </w:r>
    </w:p>
    <w:p w14:paraId="305380B6" w14:textId="77777777" w:rsidR="00BC5D3B" w:rsidRDefault="00BC5D3B">
      <w:pPr>
        <w:rPr>
          <w:rFonts w:ascii="Helvetica" w:hAnsi="Helvetica" w:cs="Helvetica"/>
        </w:rPr>
      </w:pPr>
    </w:p>
    <w:p w14:paraId="0E7D95D8" w14:textId="77777777" w:rsidR="008A68A0" w:rsidRDefault="000B1EC1">
      <w:r>
        <w:rPr>
          <w:rFonts w:ascii="Helvetica" w:hAnsi="Helvetica" w:cs="Helvetica"/>
        </w:rPr>
        <w:t>Date of Report</w:t>
      </w:r>
    </w:p>
    <w:p w14:paraId="02EA3D24" w14:textId="6A13DE84" w:rsidR="008A68A0" w:rsidRDefault="009E3746">
      <w:r>
        <w:rPr>
          <w:rFonts w:ascii="Helvetica" w:hAnsi="Helvetica" w:cs="Helvetica"/>
        </w:rPr>
        <w:t>April 7</w:t>
      </w:r>
      <w:r w:rsidR="000B1EC1">
        <w:rPr>
          <w:rFonts w:ascii="Helvetica" w:hAnsi="Helvetica" w:cs="Helvetica"/>
        </w:rPr>
        <w:t>, 201</w:t>
      </w:r>
      <w:r w:rsidR="000F3098">
        <w:rPr>
          <w:rFonts w:ascii="Helvetica" w:hAnsi="Helvetica" w:cs="Helvetica"/>
        </w:rPr>
        <w:t>5</w:t>
      </w:r>
    </w:p>
    <w:p w14:paraId="6F382DFF" w14:textId="77777777" w:rsidR="00BC5D3B" w:rsidRDefault="00BC5D3B">
      <w:pPr>
        <w:rPr>
          <w:rFonts w:ascii="Helvetica" w:hAnsi="Helvetica" w:cs="Helvetica"/>
        </w:rPr>
      </w:pPr>
    </w:p>
    <w:p w14:paraId="59497803" w14:textId="77777777" w:rsidR="008A68A0" w:rsidRDefault="000B1EC1">
      <w:r>
        <w:rPr>
          <w:rFonts w:ascii="Helvetica" w:hAnsi="Helvetica" w:cs="Helvetica"/>
        </w:rPr>
        <w:t>Issuer Address</w:t>
      </w:r>
    </w:p>
    <w:p w14:paraId="728DFCE7" w14:textId="77777777" w:rsidR="008A68A0" w:rsidRDefault="000B1EC1">
      <w:r>
        <w:rPr>
          <w:rFonts w:ascii="Helvetica" w:hAnsi="Helvetica" w:cs="Helvetica"/>
        </w:rPr>
        <w:t xml:space="preserve">B1908 </w:t>
      </w:r>
      <w:proofErr w:type="spellStart"/>
      <w:r>
        <w:rPr>
          <w:rFonts w:ascii="Helvetica" w:hAnsi="Helvetica" w:cs="Helvetica"/>
        </w:rPr>
        <w:t>Fengtian</w:t>
      </w:r>
      <w:proofErr w:type="spellEnd"/>
      <w:r>
        <w:rPr>
          <w:rFonts w:ascii="Helvetica" w:hAnsi="Helvetica" w:cs="Helvetica"/>
        </w:rPr>
        <w:t xml:space="preserve"> </w:t>
      </w:r>
      <w:proofErr w:type="spellStart"/>
      <w:r>
        <w:rPr>
          <w:rFonts w:ascii="Helvetica" w:hAnsi="Helvetica" w:cs="Helvetica"/>
        </w:rPr>
        <w:t>Yinzuo</w:t>
      </w:r>
      <w:proofErr w:type="spellEnd"/>
      <w:r>
        <w:rPr>
          <w:rFonts w:ascii="Helvetica" w:hAnsi="Helvetica" w:cs="Helvetica"/>
        </w:rPr>
        <w:t xml:space="preserve">, 19 </w:t>
      </w:r>
      <w:proofErr w:type="spellStart"/>
      <w:r>
        <w:rPr>
          <w:rFonts w:ascii="Helvetica" w:hAnsi="Helvetica" w:cs="Helvetica"/>
        </w:rPr>
        <w:t>Youhao</w:t>
      </w:r>
      <w:proofErr w:type="spellEnd"/>
      <w:r>
        <w:rPr>
          <w:rFonts w:ascii="Helvetica" w:hAnsi="Helvetica" w:cs="Helvetica"/>
        </w:rPr>
        <w:t xml:space="preserve"> Street, </w:t>
      </w:r>
      <w:proofErr w:type="spellStart"/>
      <w:r>
        <w:rPr>
          <w:rFonts w:ascii="Helvetica" w:hAnsi="Helvetica" w:cs="Helvetica"/>
        </w:rPr>
        <w:t>Shenhe</w:t>
      </w:r>
      <w:proofErr w:type="spellEnd"/>
      <w:r>
        <w:rPr>
          <w:rFonts w:ascii="Helvetica" w:hAnsi="Helvetica" w:cs="Helvetica"/>
        </w:rPr>
        <w:t xml:space="preserve"> District, </w:t>
      </w:r>
    </w:p>
    <w:p w14:paraId="4C2C26C0" w14:textId="77777777" w:rsidR="008A68A0" w:rsidRDefault="008A68A0"/>
    <w:p w14:paraId="54D75EE7" w14:textId="77777777" w:rsidR="008A68A0" w:rsidRDefault="000B1EC1">
      <w:r>
        <w:rPr>
          <w:rFonts w:ascii="Helvetica" w:hAnsi="Helvetica" w:cs="Helvetica"/>
        </w:rPr>
        <w:t>City/Province/Postal Code</w:t>
      </w:r>
    </w:p>
    <w:p w14:paraId="6560A4E0" w14:textId="77777777" w:rsidR="008A68A0" w:rsidRDefault="008A68A0"/>
    <w:p w14:paraId="47A200DD" w14:textId="77777777" w:rsidR="008A68A0" w:rsidRDefault="000B1EC1">
      <w:r>
        <w:rPr>
          <w:rFonts w:ascii="Helvetica" w:hAnsi="Helvetica" w:cs="Helvetica"/>
        </w:rPr>
        <w:t>Shenyang, Liaoning, China 110013</w:t>
      </w:r>
    </w:p>
    <w:p w14:paraId="2D07EFCF" w14:textId="77777777" w:rsidR="008A68A0" w:rsidRDefault="008A68A0"/>
    <w:p w14:paraId="2487A3A7" w14:textId="77777777" w:rsidR="008A68A0" w:rsidRDefault="000B1EC1">
      <w:proofErr w:type="gramStart"/>
      <w:r>
        <w:rPr>
          <w:rFonts w:ascii="Helvetica" w:hAnsi="Helvetica" w:cs="Helvetica"/>
        </w:rPr>
        <w:t>Issuer Fax No.</w:t>
      </w:r>
      <w:proofErr w:type="gramEnd"/>
    </w:p>
    <w:p w14:paraId="029E1424" w14:textId="77777777" w:rsidR="008A68A0" w:rsidRDefault="000B1EC1">
      <w:proofErr w:type="gramStart"/>
      <w:r>
        <w:rPr>
          <w:rFonts w:ascii="Helvetica" w:hAnsi="Helvetica" w:cs="Helvetica"/>
        </w:rPr>
        <w:lastRenderedPageBreak/>
        <w:t>(     )</w:t>
      </w:r>
      <w:proofErr w:type="gramEnd"/>
    </w:p>
    <w:p w14:paraId="05774DB9" w14:textId="77777777" w:rsidR="008A68A0" w:rsidRDefault="000B1EC1">
      <w:proofErr w:type="gramStart"/>
      <w:r>
        <w:rPr>
          <w:rFonts w:ascii="Helvetica" w:hAnsi="Helvetica" w:cs="Helvetica"/>
        </w:rPr>
        <w:t>Issuer Telephone No.</w:t>
      </w:r>
      <w:proofErr w:type="gramEnd"/>
    </w:p>
    <w:p w14:paraId="4CED5EDE" w14:textId="77777777" w:rsidR="008A68A0" w:rsidRDefault="000B1EC1">
      <w:r>
        <w:rPr>
          <w:rFonts w:ascii="Helvetica" w:hAnsi="Helvetica" w:cs="Helvetica"/>
        </w:rPr>
        <w:t>416-603-7500</w:t>
      </w:r>
    </w:p>
    <w:p w14:paraId="495D3F02" w14:textId="77777777" w:rsidR="008A68A0" w:rsidRDefault="000B1EC1">
      <w:r>
        <w:rPr>
          <w:rFonts w:ascii="Helvetica" w:hAnsi="Helvetica" w:cs="Helvetica"/>
        </w:rPr>
        <w:t>Contact Name</w:t>
      </w:r>
    </w:p>
    <w:p w14:paraId="19470E83" w14:textId="77777777" w:rsidR="008A68A0" w:rsidRDefault="000B1EC1">
      <w:r>
        <w:rPr>
          <w:rFonts w:ascii="Helvetica" w:hAnsi="Helvetica" w:cs="Helvetica"/>
        </w:rPr>
        <w:t>Robert Wilson</w:t>
      </w:r>
    </w:p>
    <w:p w14:paraId="560488D0" w14:textId="77777777" w:rsidR="008A68A0" w:rsidRDefault="008A68A0"/>
    <w:p w14:paraId="07016982" w14:textId="77777777" w:rsidR="008A68A0" w:rsidRDefault="008A68A0"/>
    <w:p w14:paraId="5C3960D0" w14:textId="77777777" w:rsidR="008A68A0" w:rsidRDefault="000B1EC1">
      <w:r>
        <w:rPr>
          <w:rFonts w:ascii="Helvetica" w:hAnsi="Helvetica" w:cs="Helvetica"/>
        </w:rPr>
        <w:t>Executive Vice President</w:t>
      </w:r>
    </w:p>
    <w:p w14:paraId="2043FB6F" w14:textId="77777777" w:rsidR="008A68A0" w:rsidRDefault="000B1EC1">
      <w:r>
        <w:rPr>
          <w:rFonts w:ascii="Helvetica" w:hAnsi="Helvetica" w:cs="Helvetica"/>
        </w:rPr>
        <w:t>Contact Telephone No.</w:t>
      </w:r>
    </w:p>
    <w:p w14:paraId="6B118C11" w14:textId="77777777" w:rsidR="008A68A0" w:rsidRDefault="000B1EC1">
      <w:r>
        <w:rPr>
          <w:rFonts w:ascii="Helvetica" w:hAnsi="Helvetica" w:cs="Helvetica"/>
        </w:rPr>
        <w:t>416-603-7500</w:t>
      </w:r>
    </w:p>
    <w:p w14:paraId="1B37519A" w14:textId="77777777" w:rsidR="008A68A0" w:rsidRDefault="000B1EC1">
      <w:r>
        <w:rPr>
          <w:rFonts w:ascii="Helvetica" w:hAnsi="Helvetica" w:cs="Helvetica"/>
        </w:rPr>
        <w:t>Contact Email Address</w:t>
      </w:r>
    </w:p>
    <w:p w14:paraId="34424A4D" w14:textId="77777777" w:rsidR="008A68A0" w:rsidRDefault="000B1EC1">
      <w:r>
        <w:rPr>
          <w:rFonts w:ascii="Helvetica" w:hAnsi="Helvetica" w:cs="Helvetica"/>
        </w:rPr>
        <w:t>Robert.wilson@asiabiochem.com</w:t>
      </w:r>
    </w:p>
    <w:p w14:paraId="6E293F24" w14:textId="77777777" w:rsidR="008A68A0" w:rsidRDefault="000B1EC1">
      <w:r>
        <w:rPr>
          <w:rFonts w:ascii="Helvetica" w:hAnsi="Helvetica" w:cs="Helvetica"/>
        </w:rPr>
        <w:t>Web Site Address</w:t>
      </w:r>
    </w:p>
    <w:p w14:paraId="3F6839BF" w14:textId="77777777" w:rsidR="008A68A0" w:rsidRDefault="000B1EC1">
      <w:r>
        <w:rPr>
          <w:rFonts w:ascii="Helvetica" w:hAnsi="Helvetica" w:cs="Helvetica"/>
          <w:u w:val="single"/>
        </w:rPr>
        <w:t>www.asiabiochem.com</w:t>
      </w:r>
    </w:p>
    <w:p w14:paraId="1C7C1CFF" w14:textId="77777777" w:rsidR="008A68A0" w:rsidRDefault="008A68A0"/>
    <w:p w14:paraId="6071167C" w14:textId="77777777" w:rsidR="008A68A0" w:rsidRDefault="008A68A0">
      <w:pPr>
        <w:spacing w:before="240"/>
      </w:pPr>
    </w:p>
    <w:sectPr w:rsidR="008A68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A0"/>
    <w:rsid w:val="000B1EC1"/>
    <w:rsid w:val="000F3098"/>
    <w:rsid w:val="0036668F"/>
    <w:rsid w:val="0049367E"/>
    <w:rsid w:val="0066646A"/>
    <w:rsid w:val="006C6A11"/>
    <w:rsid w:val="008A68A0"/>
    <w:rsid w:val="009E3746"/>
    <w:rsid w:val="00A668C1"/>
    <w:rsid w:val="00BC5D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5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9F5CBBA0-F252-9E46-B41B-97CBACB55A8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1070</Words>
  <Characters>6099</Characters>
  <Application>Microsoft Macintosh Word</Application>
  <DocSecurity>0</DocSecurity>
  <Lines>50</Lines>
  <Paragraphs>14</Paragraphs>
  <ScaleCrop>false</ScaleCrop>
  <Company>Commercial Royalty Capital Corp</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Wilson</cp:lastModifiedBy>
  <cp:revision>2</cp:revision>
  <dcterms:created xsi:type="dcterms:W3CDTF">2015-04-07T18:16:00Z</dcterms:created>
  <dcterms:modified xsi:type="dcterms:W3CDTF">2015-04-07T18:16:00Z</dcterms:modified>
</cp:coreProperties>
</file>