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sidRPr="00871BE3">
        <w:rPr>
          <w:rStyle w:val="FootnoteReference"/>
          <w:u w:val="single"/>
        </w:rPr>
        <w:footnoteRef/>
      </w:r>
      <w:r w:rsidRPr="00871BE3">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422DCD">
        <w:rPr>
          <w:rFonts w:ascii="Arial" w:hAnsi="Arial"/>
          <w:u w:val="single"/>
          <w:lang w:val="en-CA"/>
        </w:rPr>
        <w:tab/>
        <w:t>Rheingold Exploration Corp.</w:t>
      </w:r>
      <w:r w:rsidR="00422DCD">
        <w:rPr>
          <w:rFonts w:ascii="Arial" w:hAnsi="Arial"/>
          <w:u w:val="single"/>
          <w:lang w:val="en-CA"/>
        </w:rPr>
        <w:tab/>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proofErr w:type="gramStart"/>
      <w:r>
        <w:rPr>
          <w:rFonts w:ascii="Arial" w:hAnsi="Arial"/>
          <w:lang w:val="en-CA"/>
        </w:rPr>
        <w:t xml:space="preserve">Trading Symbol:  </w:t>
      </w:r>
      <w:r>
        <w:rPr>
          <w:rFonts w:ascii="Arial" w:hAnsi="Arial"/>
          <w:u w:val="single"/>
          <w:lang w:val="en-CA"/>
        </w:rPr>
        <w:tab/>
      </w:r>
      <w:r w:rsidR="00422DCD">
        <w:rPr>
          <w:rFonts w:ascii="Arial" w:hAnsi="Arial"/>
          <w:u w:val="single"/>
          <w:lang w:val="en-CA"/>
        </w:rPr>
        <w:t>RGE</w:t>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422DCD">
        <w:rPr>
          <w:rFonts w:ascii="Arial" w:hAnsi="Arial"/>
          <w:u w:val="single"/>
          <w:lang w:val="en-CA"/>
        </w:rPr>
        <w:t xml:space="preserve">March </w:t>
      </w:r>
      <w:r w:rsidR="00CE6FF6">
        <w:rPr>
          <w:rFonts w:ascii="Arial" w:hAnsi="Arial"/>
          <w:u w:val="single"/>
          <w:lang w:val="en-CA"/>
        </w:rPr>
        <w:t>26</w:t>
      </w:r>
      <w:r w:rsidR="00422DCD">
        <w:rPr>
          <w:rFonts w:ascii="Arial" w:hAnsi="Arial"/>
          <w:u w:val="single"/>
          <w:lang w:val="en-CA"/>
        </w:rPr>
        <w:t>, 2015</w:t>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986930" w:rsidRPr="00C50D2D">
        <w:rPr>
          <w:rFonts w:ascii="Arial" w:hAnsi="Arial"/>
          <w:lang w:val="en-CA"/>
        </w:rPr>
        <w:t>X</w:t>
      </w:r>
      <w:r w:rsidR="00986930">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rsidR="00EA4133" w:rsidRPr="00986930" w:rsidRDefault="00EA4133" w:rsidP="00986930">
      <w:pPr>
        <w:pStyle w:val="BodyText"/>
        <w:tabs>
          <w:tab w:val="right" w:pos="7200"/>
          <w:tab w:val="left" w:pos="9180"/>
        </w:tabs>
        <w:spacing w:before="0" w:after="240"/>
        <w:rPr>
          <w:rFonts w:ascii="Arial" w:hAnsi="Arial"/>
          <w:lang w:val="en-CA"/>
        </w:rPr>
      </w:pPr>
      <w:r>
        <w:rPr>
          <w:rFonts w:ascii="Arial" w:hAnsi="Arial"/>
          <w:lang w:val="en-CA"/>
        </w:rPr>
        <w:t xml:space="preserve">If yes provide date(s) of prior Notices:  </w:t>
      </w:r>
      <w:r w:rsidR="00986930">
        <w:rPr>
          <w:rFonts w:ascii="Arial" w:hAnsi="Arial"/>
          <w:u w:val="single"/>
          <w:lang w:val="en-CA"/>
        </w:rPr>
        <w:t xml:space="preserve">   N/A</w:t>
      </w:r>
      <w:r w:rsidR="00986930">
        <w:rPr>
          <w:rFonts w:ascii="Arial" w:hAnsi="Arial"/>
          <w:u w:val="single"/>
          <w:lang w:val="en-CA"/>
        </w:rPr>
        <w:tab/>
      </w:r>
      <w:r w:rsidR="00986930">
        <w:rPr>
          <w:rFonts w:ascii="Arial" w:hAnsi="Arial"/>
          <w:lang w:val="en-CA"/>
        </w:rPr>
        <w:t>.</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CE6FF6">
        <w:rPr>
          <w:rFonts w:ascii="Arial" w:hAnsi="Arial"/>
          <w:u w:val="single"/>
          <w:lang w:val="en-CA"/>
        </w:rPr>
        <w:t>11,296,260</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422DCD">
        <w:rPr>
          <w:rFonts w:ascii="Arial" w:hAnsi="Arial"/>
          <w:u w:val="single"/>
          <w:lang w:val="en-CA"/>
        </w:rPr>
        <w:t xml:space="preserve">March </w:t>
      </w:r>
      <w:r w:rsidR="00CE6FF6">
        <w:rPr>
          <w:rFonts w:ascii="Arial" w:hAnsi="Arial"/>
          <w:u w:val="single"/>
          <w:lang w:val="en-CA"/>
        </w:rPr>
        <w:t>26</w:t>
      </w:r>
      <w:r w:rsidR="00422DCD">
        <w:rPr>
          <w:rFonts w:ascii="Arial" w:hAnsi="Arial"/>
          <w:u w:val="single"/>
          <w:lang w:val="en-CA"/>
        </w:rPr>
        <w:t>, 2015</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w:t>
      </w:r>
      <w:r w:rsidR="00CE6FF6">
        <w:rPr>
          <w:rFonts w:ascii="Arial" w:hAnsi="Arial"/>
          <w:u w:val="single"/>
          <w:lang w:val="en-CA"/>
        </w:rPr>
        <w:t>$</w:t>
      </w:r>
      <w:r w:rsidR="00422DCD" w:rsidRPr="00422DCD">
        <w:rPr>
          <w:rFonts w:ascii="Arial" w:hAnsi="Arial"/>
          <w:u w:val="single"/>
          <w:lang w:val="en-CA"/>
        </w:rPr>
        <w:t>0.05</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5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78"/>
        <w:gridCol w:w="1360"/>
        <w:gridCol w:w="1179"/>
        <w:gridCol w:w="1360"/>
        <w:gridCol w:w="1360"/>
        <w:gridCol w:w="1722"/>
        <w:gridCol w:w="1088"/>
        <w:gridCol w:w="1088"/>
      </w:tblGrid>
      <w:tr w:rsidR="00EA4133" w:rsidTr="00986930">
        <w:trPr>
          <w:trHeight w:val="1947"/>
        </w:trPr>
        <w:tc>
          <w:tcPr>
            <w:tcW w:w="1378" w:type="dxa"/>
          </w:tcPr>
          <w:p w:rsidR="00EA4133" w:rsidRDefault="00EA4133" w:rsidP="00986930">
            <w:pPr>
              <w:pStyle w:val="BodyText"/>
              <w:spacing w:before="0" w:line="280" w:lineRule="exact"/>
              <w:ind w:left="-90"/>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6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9"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6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6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2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08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8"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Tr="00986930">
        <w:trPr>
          <w:trHeight w:val="856"/>
        </w:trPr>
        <w:tc>
          <w:tcPr>
            <w:tcW w:w="1378" w:type="dxa"/>
          </w:tcPr>
          <w:p w:rsidR="00A90670" w:rsidRPr="00A90670" w:rsidRDefault="00986930">
            <w:pPr>
              <w:pStyle w:val="BodyText"/>
              <w:spacing w:before="0" w:line="280" w:lineRule="exact"/>
              <w:jc w:val="center"/>
              <w:rPr>
                <w:rFonts w:ascii="Arial" w:hAnsi="Arial"/>
                <w:sz w:val="20"/>
                <w:lang w:val="en-CA"/>
              </w:rPr>
            </w:pPr>
            <w:r>
              <w:rPr>
                <w:rFonts w:ascii="Arial" w:hAnsi="Arial"/>
                <w:sz w:val="20"/>
                <w:lang w:val="en-CA"/>
              </w:rPr>
              <w:t>T</w:t>
            </w:r>
            <w:r w:rsidR="00422DCD">
              <w:rPr>
                <w:rFonts w:ascii="Arial" w:hAnsi="Arial"/>
                <w:sz w:val="20"/>
                <w:lang w:val="en-CA"/>
              </w:rPr>
              <w:t xml:space="preserve">o be determined </w:t>
            </w:r>
          </w:p>
        </w:tc>
        <w:tc>
          <w:tcPr>
            <w:tcW w:w="1360" w:type="dxa"/>
          </w:tcPr>
          <w:p w:rsidR="00A90670" w:rsidRDefault="00A90670">
            <w:pPr>
              <w:pStyle w:val="BodyText"/>
              <w:spacing w:before="0" w:line="280" w:lineRule="exact"/>
              <w:jc w:val="center"/>
              <w:rPr>
                <w:rFonts w:ascii="Arial" w:hAnsi="Arial"/>
                <w:b/>
                <w:sz w:val="20"/>
                <w:lang w:val="en-CA"/>
              </w:rPr>
            </w:pPr>
          </w:p>
        </w:tc>
        <w:tc>
          <w:tcPr>
            <w:tcW w:w="1179" w:type="dxa"/>
          </w:tcPr>
          <w:p w:rsidR="00A90670" w:rsidRDefault="00A90670">
            <w:pPr>
              <w:pStyle w:val="BodyText"/>
              <w:spacing w:before="0" w:line="280" w:lineRule="exact"/>
              <w:jc w:val="center"/>
              <w:rPr>
                <w:rFonts w:ascii="Arial" w:hAnsi="Arial"/>
                <w:b/>
                <w:sz w:val="20"/>
                <w:lang w:val="en-CA"/>
              </w:rPr>
            </w:pPr>
          </w:p>
        </w:tc>
        <w:tc>
          <w:tcPr>
            <w:tcW w:w="1360" w:type="dxa"/>
          </w:tcPr>
          <w:p w:rsidR="00A90670" w:rsidRDefault="00A90670">
            <w:pPr>
              <w:pStyle w:val="BodyText"/>
              <w:spacing w:before="0" w:line="280" w:lineRule="exact"/>
              <w:jc w:val="center"/>
              <w:rPr>
                <w:rFonts w:ascii="Arial" w:hAnsi="Arial"/>
                <w:b/>
                <w:sz w:val="20"/>
                <w:lang w:val="en-CA"/>
              </w:rPr>
            </w:pPr>
          </w:p>
        </w:tc>
        <w:tc>
          <w:tcPr>
            <w:tcW w:w="1360" w:type="dxa"/>
          </w:tcPr>
          <w:p w:rsidR="00A90670" w:rsidRDefault="00A90670">
            <w:pPr>
              <w:pStyle w:val="BodyText"/>
              <w:spacing w:before="0" w:line="280" w:lineRule="exact"/>
              <w:jc w:val="center"/>
              <w:rPr>
                <w:rFonts w:ascii="Arial" w:hAnsi="Arial"/>
                <w:b/>
                <w:sz w:val="20"/>
                <w:lang w:val="en-CA"/>
              </w:rPr>
            </w:pPr>
          </w:p>
        </w:tc>
        <w:tc>
          <w:tcPr>
            <w:tcW w:w="1722" w:type="dxa"/>
          </w:tcPr>
          <w:p w:rsidR="00A90670" w:rsidRDefault="00A90670">
            <w:pPr>
              <w:pStyle w:val="BodyText"/>
              <w:spacing w:before="0" w:line="280" w:lineRule="exact"/>
              <w:jc w:val="center"/>
              <w:rPr>
                <w:rFonts w:ascii="Arial" w:hAnsi="Arial"/>
                <w:b/>
                <w:sz w:val="20"/>
              </w:rPr>
            </w:pPr>
          </w:p>
        </w:tc>
        <w:tc>
          <w:tcPr>
            <w:tcW w:w="1088" w:type="dxa"/>
          </w:tcPr>
          <w:p w:rsidR="00A90670" w:rsidRDefault="00A90670">
            <w:pPr>
              <w:pStyle w:val="BodyText"/>
              <w:spacing w:before="0" w:line="280" w:lineRule="exact"/>
              <w:jc w:val="center"/>
              <w:rPr>
                <w:rFonts w:ascii="Arial" w:hAnsi="Arial"/>
                <w:b/>
                <w:sz w:val="20"/>
                <w:lang w:val="en-CA"/>
              </w:rPr>
            </w:pPr>
          </w:p>
        </w:tc>
        <w:tc>
          <w:tcPr>
            <w:tcW w:w="1088" w:type="dxa"/>
          </w:tcPr>
          <w:p w:rsidR="00A90670" w:rsidRDefault="00A90670">
            <w:pPr>
              <w:pStyle w:val="BodyText"/>
              <w:spacing w:before="0" w:line="280" w:lineRule="exact"/>
              <w:jc w:val="center"/>
              <w:rPr>
                <w:rFonts w:ascii="Arial" w:hAnsi="Arial"/>
                <w:b/>
                <w:color w:val="000000"/>
                <w:sz w:val="20"/>
                <w:lang w:val="en-CA"/>
              </w:rPr>
            </w:pPr>
          </w:p>
        </w:tc>
      </w:tr>
      <w:tr w:rsidR="00A90670" w:rsidTr="00986930">
        <w:trPr>
          <w:trHeight w:val="856"/>
        </w:trPr>
        <w:tc>
          <w:tcPr>
            <w:tcW w:w="137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60" w:type="dxa"/>
          </w:tcPr>
          <w:p w:rsidR="00A90670" w:rsidRDefault="00A90670">
            <w:pPr>
              <w:pStyle w:val="BodyText"/>
              <w:rPr>
                <w:rFonts w:ascii="Arial" w:hAnsi="Arial"/>
                <w:lang w:val="en-CA"/>
              </w:rPr>
            </w:pPr>
          </w:p>
        </w:tc>
        <w:tc>
          <w:tcPr>
            <w:tcW w:w="1179" w:type="dxa"/>
          </w:tcPr>
          <w:p w:rsidR="00A90670" w:rsidRDefault="00A90670">
            <w:pPr>
              <w:pStyle w:val="BodyText"/>
              <w:rPr>
                <w:rFonts w:ascii="Arial" w:hAnsi="Arial"/>
                <w:lang w:val="en-CA"/>
              </w:rPr>
            </w:pPr>
          </w:p>
        </w:tc>
        <w:tc>
          <w:tcPr>
            <w:tcW w:w="1360" w:type="dxa"/>
          </w:tcPr>
          <w:p w:rsidR="00A90670" w:rsidRDefault="00A90670">
            <w:pPr>
              <w:pStyle w:val="BodyText"/>
              <w:rPr>
                <w:rFonts w:ascii="Arial" w:hAnsi="Arial"/>
                <w:lang w:val="en-CA"/>
              </w:rPr>
            </w:pPr>
          </w:p>
        </w:tc>
        <w:tc>
          <w:tcPr>
            <w:tcW w:w="1360" w:type="dxa"/>
          </w:tcPr>
          <w:p w:rsidR="00A90670" w:rsidRDefault="00A90670">
            <w:pPr>
              <w:pStyle w:val="BodyText"/>
              <w:rPr>
                <w:rFonts w:ascii="Arial" w:hAnsi="Arial"/>
                <w:lang w:val="en-CA"/>
              </w:rPr>
            </w:pPr>
          </w:p>
        </w:tc>
        <w:tc>
          <w:tcPr>
            <w:tcW w:w="1722" w:type="dxa"/>
          </w:tcPr>
          <w:p w:rsidR="00A90670" w:rsidRDefault="00A90670">
            <w:pPr>
              <w:pStyle w:val="BodyText"/>
              <w:rPr>
                <w:rFonts w:ascii="Arial" w:hAnsi="Arial"/>
                <w:lang w:val="en-CA"/>
              </w:rPr>
            </w:pPr>
          </w:p>
        </w:tc>
        <w:tc>
          <w:tcPr>
            <w:tcW w:w="1088" w:type="dxa"/>
          </w:tcPr>
          <w:p w:rsidR="00A90670" w:rsidRDefault="00A90670">
            <w:pPr>
              <w:pStyle w:val="BodyText"/>
              <w:rPr>
                <w:rFonts w:ascii="Arial" w:hAnsi="Arial"/>
                <w:lang w:val="en-CA"/>
              </w:rPr>
            </w:pPr>
          </w:p>
        </w:tc>
        <w:tc>
          <w:tcPr>
            <w:tcW w:w="1088" w:type="dxa"/>
          </w:tcPr>
          <w:p w:rsidR="00A90670" w:rsidRDefault="00A90670">
            <w:pPr>
              <w:pStyle w:val="BodyText"/>
              <w:rPr>
                <w:rFonts w:ascii="Arial" w:hAnsi="Arial"/>
                <w:lang w:val="en-CA"/>
              </w:rPr>
            </w:pPr>
          </w:p>
        </w:tc>
      </w:tr>
      <w:tr w:rsidR="00A90670" w:rsidTr="00986930">
        <w:trPr>
          <w:trHeight w:val="856"/>
        </w:trPr>
        <w:tc>
          <w:tcPr>
            <w:tcW w:w="1378" w:type="dxa"/>
          </w:tcPr>
          <w:p w:rsidR="00A90670" w:rsidRDefault="00A90670">
            <w:pPr>
              <w:pStyle w:val="BodyText"/>
              <w:rPr>
                <w:rFonts w:ascii="Arial" w:hAnsi="Arial"/>
                <w:lang w:val="en-CA"/>
              </w:rPr>
            </w:pPr>
          </w:p>
        </w:tc>
        <w:tc>
          <w:tcPr>
            <w:tcW w:w="1360" w:type="dxa"/>
          </w:tcPr>
          <w:p w:rsidR="00A90670" w:rsidRDefault="00A90670">
            <w:pPr>
              <w:pStyle w:val="BodyText"/>
              <w:rPr>
                <w:rFonts w:ascii="Arial" w:hAnsi="Arial"/>
                <w:lang w:val="en-CA"/>
              </w:rPr>
            </w:pPr>
          </w:p>
        </w:tc>
        <w:tc>
          <w:tcPr>
            <w:tcW w:w="1179" w:type="dxa"/>
          </w:tcPr>
          <w:p w:rsidR="00A90670" w:rsidRDefault="00A90670">
            <w:pPr>
              <w:pStyle w:val="BodyText"/>
              <w:rPr>
                <w:rFonts w:ascii="Arial" w:hAnsi="Arial"/>
                <w:lang w:val="en-CA"/>
              </w:rPr>
            </w:pPr>
          </w:p>
        </w:tc>
        <w:tc>
          <w:tcPr>
            <w:tcW w:w="1360" w:type="dxa"/>
          </w:tcPr>
          <w:p w:rsidR="00A90670" w:rsidRDefault="00A90670">
            <w:pPr>
              <w:pStyle w:val="BodyText"/>
              <w:rPr>
                <w:rFonts w:ascii="Arial" w:hAnsi="Arial"/>
                <w:lang w:val="en-CA"/>
              </w:rPr>
            </w:pPr>
          </w:p>
        </w:tc>
        <w:tc>
          <w:tcPr>
            <w:tcW w:w="1360" w:type="dxa"/>
          </w:tcPr>
          <w:p w:rsidR="00A90670" w:rsidRDefault="00A90670">
            <w:pPr>
              <w:pStyle w:val="BodyText"/>
              <w:rPr>
                <w:rFonts w:ascii="Arial" w:hAnsi="Arial"/>
                <w:lang w:val="en-CA"/>
              </w:rPr>
            </w:pPr>
          </w:p>
        </w:tc>
        <w:tc>
          <w:tcPr>
            <w:tcW w:w="1722" w:type="dxa"/>
          </w:tcPr>
          <w:p w:rsidR="00A90670" w:rsidRDefault="00A90670">
            <w:pPr>
              <w:pStyle w:val="BodyText"/>
              <w:rPr>
                <w:rFonts w:ascii="Arial" w:hAnsi="Arial"/>
                <w:lang w:val="en-CA"/>
              </w:rPr>
            </w:pPr>
          </w:p>
        </w:tc>
        <w:tc>
          <w:tcPr>
            <w:tcW w:w="1088" w:type="dxa"/>
          </w:tcPr>
          <w:p w:rsidR="00A90670" w:rsidRDefault="00A90670">
            <w:pPr>
              <w:pStyle w:val="BodyText"/>
              <w:rPr>
                <w:rFonts w:ascii="Arial" w:hAnsi="Arial"/>
                <w:lang w:val="en-CA"/>
              </w:rPr>
            </w:pPr>
          </w:p>
        </w:tc>
        <w:tc>
          <w:tcPr>
            <w:tcW w:w="1088" w:type="dxa"/>
          </w:tcPr>
          <w:p w:rsidR="00A90670" w:rsidRDefault="00A90670">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422DCD">
        <w:rPr>
          <w:rFonts w:ascii="Arial" w:hAnsi="Arial"/>
          <w:u w:val="single"/>
        </w:rPr>
        <w:t>$100,000</w:t>
      </w:r>
      <w:r w:rsidR="00422DCD">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roofErr w:type="gramStart"/>
      <w:r w:rsidR="00422DCD">
        <w:rPr>
          <w:rFonts w:ascii="Arial" w:hAnsi="Arial"/>
          <w:u w:val="single"/>
        </w:rPr>
        <w:t>General work</w:t>
      </w:r>
      <w:r w:rsidR="00C50D2D">
        <w:rPr>
          <w:rFonts w:ascii="Arial" w:hAnsi="Arial"/>
          <w:u w:val="single"/>
        </w:rPr>
        <w:t xml:space="preserve">ing </w:t>
      </w:r>
      <w:r w:rsidR="00422DCD">
        <w:rPr>
          <w:rFonts w:ascii="Arial" w:hAnsi="Arial"/>
          <w:u w:val="single"/>
        </w:rPr>
        <w:t>capital</w:t>
      </w:r>
      <w:r w:rsidR="00422DCD">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986930">
        <w:rPr>
          <w:rFonts w:ascii="Arial" w:hAnsi="Arial"/>
          <w:u w:val="single"/>
        </w:rPr>
        <w:t xml:space="preserve"> T</w:t>
      </w:r>
      <w:r w:rsidR="00422DCD">
        <w:rPr>
          <w:rFonts w:ascii="Arial" w:hAnsi="Arial"/>
          <w:u w:val="single"/>
        </w:rPr>
        <w:t xml:space="preserve">o be determined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422DCD">
        <w:rPr>
          <w:rFonts w:ascii="Arial" w:hAnsi="Arial"/>
        </w:rPr>
        <w:t xml:space="preserve">  N/A</w:t>
      </w:r>
      <w:r w:rsidR="00986930">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rsidP="00422DCD">
      <w:pPr>
        <w:pStyle w:val="BodyText"/>
        <w:keepNext/>
        <w:keepLines/>
        <w:tabs>
          <w:tab w:val="left" w:pos="1080"/>
          <w:tab w:val="left" w:pos="1440"/>
          <w:tab w:val="left" w:pos="2160"/>
          <w:tab w:val="left" w:pos="9180"/>
        </w:tabs>
        <w:ind w:left="2160" w:hanging="2160"/>
        <w:rPr>
          <w:rFonts w:ascii="Arial" w:hAnsi="Arial"/>
        </w:rPr>
      </w:pPr>
      <w:r>
        <w:rPr>
          <w:rFonts w:ascii="Arial" w:hAnsi="Arial"/>
        </w:rPr>
        <w:tab/>
        <w:t>(a)</w:t>
      </w:r>
      <w:r>
        <w:rPr>
          <w:rFonts w:ascii="Arial" w:hAnsi="Arial"/>
        </w:rPr>
        <w:tab/>
      </w:r>
      <w:r>
        <w:rPr>
          <w:rFonts w:ascii="Arial" w:hAnsi="Arial"/>
        </w:rPr>
        <w:tab/>
        <w:t xml:space="preserve">Class  </w:t>
      </w:r>
      <w:r w:rsidR="00422DCD">
        <w:rPr>
          <w:rFonts w:ascii="Arial" w:hAnsi="Arial"/>
          <w:u w:val="single"/>
        </w:rPr>
        <w:t>Units (each unit comprised of one common share and one</w:t>
      </w:r>
      <w:r w:rsidR="00986930">
        <w:rPr>
          <w:rFonts w:ascii="Arial" w:hAnsi="Arial"/>
          <w:u w:val="single"/>
        </w:rPr>
        <w:tab/>
      </w:r>
      <w:r w:rsidR="00422DCD">
        <w:rPr>
          <w:rFonts w:ascii="Arial" w:hAnsi="Arial"/>
          <w:u w:val="single"/>
        </w:rPr>
        <w:t xml:space="preserve"> common share purchase warrant)</w:t>
      </w:r>
      <w:r w:rsidR="00986930">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422DCD">
        <w:rPr>
          <w:rFonts w:ascii="Arial" w:hAnsi="Arial"/>
          <w:u w:val="single"/>
        </w:rPr>
        <w:t>Up to 2,000,000</w:t>
      </w:r>
      <w:r w:rsidR="00422DCD">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422DCD">
        <w:rPr>
          <w:rFonts w:ascii="Arial" w:hAnsi="Arial"/>
          <w:u w:val="single"/>
        </w:rPr>
        <w:t>$0.05 per unit</w:t>
      </w:r>
      <w:r w:rsidR="00422DCD">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422DCD">
        <w:rPr>
          <w:rFonts w:ascii="Arial" w:hAnsi="Arial"/>
          <w:u w:val="single"/>
        </w:rPr>
        <w:t>Yes (common shares)</w:t>
      </w:r>
      <w:r w:rsidR="00422DCD">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22DCD">
        <w:rPr>
          <w:rFonts w:ascii="Arial" w:hAnsi="Arial"/>
          <w:u w:val="single"/>
        </w:rPr>
        <w:t>Up to 2,000,000</w:t>
      </w:r>
      <w:r w:rsidR="00BD5CA5">
        <w:rPr>
          <w:rFonts w:ascii="Arial" w:hAnsi="Arial"/>
          <w:u w:val="single"/>
        </w:rPr>
        <w:t xml:space="preserve"> warrants</w:t>
      </w:r>
      <w:r w:rsidR="00422DCD">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D23A6D">
        <w:rPr>
          <w:rFonts w:ascii="Arial" w:hAnsi="Arial"/>
          <w:u w:val="single"/>
        </w:rPr>
        <w:t>Up to 2,000,000</w:t>
      </w:r>
      <w:r w:rsidR="00BD5CA5">
        <w:rPr>
          <w:rFonts w:ascii="Arial" w:hAnsi="Arial"/>
          <w:u w:val="single"/>
        </w:rPr>
        <w:t xml:space="preserve"> common shares</w:t>
      </w:r>
      <w:r w:rsidR="00D23A6D">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422DCD">
        <w:rPr>
          <w:rFonts w:ascii="Arial" w:hAnsi="Arial"/>
          <w:u w:val="single"/>
        </w:rPr>
        <w:t xml:space="preserve"> </w:t>
      </w:r>
      <w:r w:rsidR="00D23A6D">
        <w:rPr>
          <w:rFonts w:ascii="Arial" w:hAnsi="Arial"/>
          <w:u w:val="single"/>
        </w:rPr>
        <w:t>$0.10</w:t>
      </w:r>
      <w:r w:rsidR="00D23A6D">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D23A6D">
        <w:rPr>
          <w:rFonts w:ascii="Arial" w:hAnsi="Arial"/>
          <w:u w:val="single"/>
        </w:rPr>
        <w:t>2 years from date of issue</w:t>
      </w:r>
      <w:r w:rsidR="00D23A6D">
        <w:rPr>
          <w:rFonts w:ascii="Arial" w:hAnsi="Arial"/>
          <w:u w:val="single"/>
        </w:rPr>
        <w:tab/>
      </w:r>
      <w:r w:rsidR="00D23A6D">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r w:rsidR="00D23A6D">
        <w:rPr>
          <w:b w:val="0"/>
          <w:sz w:val="24"/>
        </w:rPr>
        <w:t xml:space="preserve"> 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D23A6D">
        <w:rPr>
          <w:rFonts w:ascii="Arial" w:hAnsi="Arial"/>
        </w:rPr>
        <w:t xml:space="preserve"> </w:t>
      </w:r>
      <w:r w:rsidR="00BD5CA5" w:rsidRPr="00BD5CA5">
        <w:rPr>
          <w:rFonts w:ascii="Arial" w:hAnsi="Arial"/>
          <w:u w:val="single"/>
        </w:rPr>
        <w:t>N/A</w:t>
      </w:r>
      <w:r w:rsidR="007A4914">
        <w:rPr>
          <w:rFonts w:ascii="Arial" w:hAnsi="Arial"/>
        </w:rPr>
        <w:t>.</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D23A6D" w:rsidRPr="00D23A6D" w:rsidRDefault="00EA4133" w:rsidP="00D23A6D">
      <w:pPr>
        <w:pStyle w:val="List"/>
        <w:numPr>
          <w:ilvl w:val="0"/>
          <w:numId w:val="10"/>
        </w:numPr>
        <w:tabs>
          <w:tab w:val="left" w:pos="936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D23A6D">
        <w:rPr>
          <w:rFonts w:ascii="Arial" w:hAnsi="Arial"/>
          <w:u w:val="single"/>
        </w:rPr>
        <w:tab/>
        <w:t xml:space="preserve"> </w:t>
      </w:r>
    </w:p>
    <w:p w:rsidR="00EA4133" w:rsidRPr="00D23A6D" w:rsidRDefault="00BD5CA5" w:rsidP="00D23A6D">
      <w:pPr>
        <w:pStyle w:val="List"/>
        <w:tabs>
          <w:tab w:val="left" w:pos="1080"/>
          <w:tab w:val="left" w:pos="9360"/>
        </w:tabs>
        <w:ind w:firstLine="0"/>
        <w:jc w:val="both"/>
        <w:rPr>
          <w:rFonts w:ascii="Arial" w:hAnsi="Arial"/>
        </w:rPr>
      </w:pPr>
      <w:r>
        <w:rPr>
          <w:rFonts w:ascii="Arial" w:hAnsi="Arial"/>
          <w:u w:val="single"/>
        </w:rPr>
        <w:t>N/A</w:t>
      </w:r>
      <w:r w:rsidR="00D23A6D">
        <w:rPr>
          <w:rFonts w:ascii="Arial" w:hAnsi="Arial"/>
          <w:u w:val="single"/>
        </w:rPr>
        <w:tab/>
      </w:r>
      <w:r w:rsidR="00EA4133" w:rsidRPr="00D23A6D">
        <w:rPr>
          <w:rFonts w:ascii="Arial" w:hAnsi="Arial"/>
        </w:rPr>
        <w:t>.</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D23A6D" w:rsidP="00D23A6D">
      <w:pPr>
        <w:pStyle w:val="List"/>
        <w:tabs>
          <w:tab w:val="left" w:pos="1080"/>
          <w:tab w:val="left" w:pos="9180"/>
        </w:tabs>
        <w:ind w:firstLine="0"/>
        <w:jc w:val="center"/>
        <w:rPr>
          <w:rFonts w:ascii="Arial" w:hAnsi="Arial"/>
        </w:rPr>
      </w:pPr>
      <w:r>
        <w:rPr>
          <w:rFonts w:ascii="Arial" w:hAnsi="Arial"/>
          <w:u w:val="single"/>
        </w:rPr>
        <w:t xml:space="preserve">     N/A</w:t>
      </w:r>
      <w:r>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D23A6D" w:rsidP="00D23A6D">
      <w:pPr>
        <w:pStyle w:val="List"/>
        <w:tabs>
          <w:tab w:val="left" w:pos="1080"/>
          <w:tab w:val="left" w:pos="9180"/>
        </w:tabs>
        <w:ind w:firstLine="0"/>
        <w:jc w:val="both"/>
        <w:rPr>
          <w:rFonts w:ascii="Arial" w:hAnsi="Arial"/>
        </w:rPr>
      </w:pPr>
      <w:r>
        <w:rPr>
          <w:rFonts w:ascii="Arial" w:hAnsi="Arial"/>
          <w:u w:val="single"/>
        </w:rPr>
        <w:t xml:space="preserve">      N</w:t>
      </w:r>
      <w:r w:rsidRPr="00D23A6D">
        <w:rPr>
          <w:rFonts w:ascii="Arial" w:hAnsi="Arial"/>
          <w:u w:val="single"/>
        </w:rPr>
        <w:t>o</w:t>
      </w:r>
      <w:r>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D23A6D">
        <w:rPr>
          <w:rFonts w:ascii="Arial" w:hAnsi="Arial"/>
          <w:u w:val="single"/>
        </w:rPr>
        <w:t xml:space="preserve">     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D23A6D">
        <w:rPr>
          <w:rFonts w:ascii="Arial" w:hAnsi="Arial"/>
          <w:b/>
          <w:color w:val="000000"/>
        </w:rPr>
        <w:t xml:space="preserve"> </w:t>
      </w:r>
      <w:r w:rsidR="00D23A6D" w:rsidRPr="00D23A6D">
        <w:rPr>
          <w:rFonts w:ascii="Arial" w:hAnsi="Arial"/>
          <w:color w:val="000000"/>
        </w:rPr>
        <w:t>-</w:t>
      </w:r>
      <w:r w:rsidR="00D23A6D">
        <w:rPr>
          <w:rFonts w:ascii="Arial" w:hAnsi="Arial"/>
          <w:b/>
          <w:color w:val="000000"/>
        </w:rPr>
        <w:t xml:space="preserve"> </w:t>
      </w:r>
      <w:r w:rsidR="00D23A6D" w:rsidRPr="00D23A6D">
        <w:rPr>
          <w:rFonts w:ascii="Arial" w:hAnsi="Arial"/>
          <w:color w:val="000000"/>
        </w:rPr>
        <w:t>N/A</w:t>
      </w:r>
      <w:r w:rsidR="00D23A6D">
        <w:rPr>
          <w:rFonts w:ascii="Arial" w:hAnsi="Arial"/>
          <w:color w:val="000000"/>
        </w:rPr>
        <w:t>.</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lastRenderedPageBreak/>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23A6D">
        <w:rPr>
          <w:rFonts w:ascii="Arial" w:hAnsi="Arial"/>
          <w:u w:val="single"/>
        </w:rPr>
        <w:t xml:space="preserve">  March </w:t>
      </w:r>
      <w:r w:rsidR="00BD5CA5">
        <w:rPr>
          <w:rFonts w:ascii="Arial" w:hAnsi="Arial"/>
          <w:u w:val="single"/>
        </w:rPr>
        <w:t>26</w:t>
      </w:r>
      <w:bookmarkStart w:id="4" w:name="_GoBack"/>
      <w:bookmarkEnd w:id="4"/>
      <w:r w:rsidR="00D23A6D">
        <w:rPr>
          <w:rFonts w:ascii="Arial" w:hAnsi="Arial"/>
          <w:u w:val="single"/>
        </w:rPr>
        <w:t>, 2015</w:t>
      </w:r>
      <w:r w:rsidR="00D23A6D">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D23A6D">
        <w:rPr>
          <w:rFonts w:ascii="Arial" w:hAnsi="Arial"/>
          <w:u w:val="single"/>
        </w:rPr>
        <w:t>Paul Pedersen</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D23A6D">
        <w:rPr>
          <w:rFonts w:ascii="Arial" w:hAnsi="Arial"/>
          <w:u w:val="single"/>
        </w:rPr>
        <w:t>President and CEO</w:t>
      </w:r>
      <w:r>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9392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BD5CA5">
      <w:rPr>
        <w:rStyle w:val="PageNumber"/>
        <w:rFonts w:ascii="Arial" w:hAnsi="Arial" w:cs="Arial"/>
        <w:noProof/>
        <w:sz w:val="16"/>
        <w:szCs w:val="16"/>
      </w:rPr>
      <w:t>4</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D5CA5">
    <w:pPr>
      <w:pStyle w:val="Footer"/>
    </w:pPr>
    <w:r>
      <w:fldChar w:fldCharType="begin"/>
    </w:r>
    <w:r>
      <w:instrText xml:space="preserve"> DOCPROPERTY FOOTERPATH \* MERGEFORMAT </w:instrText>
    </w:r>
    <w:r>
      <w:fldChar w:fldCharType="separate"/>
    </w:r>
    <w:r w:rsidR="007A4914">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14" w:rsidRDefault="00116314">
      <w:r>
        <w:separator/>
      </w:r>
    </w:p>
  </w:footnote>
  <w:footnote w:type="continuationSeparator" w:id="0">
    <w:p w:rsidR="00116314" w:rsidRDefault="0011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116314"/>
    <w:rsid w:val="00173F0B"/>
    <w:rsid w:val="00186DA5"/>
    <w:rsid w:val="002557FD"/>
    <w:rsid w:val="002F0416"/>
    <w:rsid w:val="0030080B"/>
    <w:rsid w:val="00326D55"/>
    <w:rsid w:val="00422DCD"/>
    <w:rsid w:val="00456624"/>
    <w:rsid w:val="0047592D"/>
    <w:rsid w:val="004A1403"/>
    <w:rsid w:val="004B214D"/>
    <w:rsid w:val="00617A0E"/>
    <w:rsid w:val="0062717F"/>
    <w:rsid w:val="007568B3"/>
    <w:rsid w:val="007A4914"/>
    <w:rsid w:val="007B0425"/>
    <w:rsid w:val="008003B9"/>
    <w:rsid w:val="00871BE3"/>
    <w:rsid w:val="008F27FF"/>
    <w:rsid w:val="009136E7"/>
    <w:rsid w:val="009466F0"/>
    <w:rsid w:val="0097763E"/>
    <w:rsid w:val="00986930"/>
    <w:rsid w:val="00A00C54"/>
    <w:rsid w:val="00A10285"/>
    <w:rsid w:val="00A90670"/>
    <w:rsid w:val="00A93530"/>
    <w:rsid w:val="00A9392C"/>
    <w:rsid w:val="00B923F6"/>
    <w:rsid w:val="00BD5CA5"/>
    <w:rsid w:val="00C50D2D"/>
    <w:rsid w:val="00CE6FF6"/>
    <w:rsid w:val="00CF076A"/>
    <w:rsid w:val="00CF2A90"/>
    <w:rsid w:val="00D23A6D"/>
    <w:rsid w:val="00DB640C"/>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1360</Words>
  <Characters>7163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 Raven</cp:lastModifiedBy>
  <cp:revision>7</cp:revision>
  <cp:lastPrinted>2015-03-25T21:57:00Z</cp:lastPrinted>
  <dcterms:created xsi:type="dcterms:W3CDTF">2015-03-25T21:22:00Z</dcterms:created>
  <dcterms:modified xsi:type="dcterms:W3CDTF">2015-03-25T22:49:00Z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