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6F" w:rsidRPr="00253C6F" w:rsidRDefault="00253C6F" w:rsidP="00253C6F">
      <w:pPr>
        <w:spacing w:after="0" w:line="240" w:lineRule="auto"/>
        <w:ind w:firstLine="720"/>
        <w:rPr>
          <w:rFonts w:ascii="Times New Roman" w:eastAsia="Times New Roman" w:hAnsi="Times New Roman" w:cs="Times New Roman"/>
          <w:b/>
          <w:bCs/>
          <w:smallCaps/>
          <w:sz w:val="24"/>
          <w:szCs w:val="24"/>
        </w:rPr>
      </w:pPr>
    </w:p>
    <w:p w:rsidR="00253C6F" w:rsidRPr="00253C6F" w:rsidRDefault="00253C6F" w:rsidP="00253C6F">
      <w:pPr>
        <w:tabs>
          <w:tab w:val="left" w:pos="-1440"/>
        </w:tabs>
        <w:spacing w:after="0" w:line="240" w:lineRule="auto"/>
        <w:ind w:left="720" w:hanging="720"/>
        <w:jc w:val="both"/>
        <w:rPr>
          <w:rFonts w:ascii="Times New Roman" w:eastAsia="Times New Roman" w:hAnsi="Times New Roman" w:cs="Times New Roman"/>
        </w:rPr>
      </w:pPr>
      <w:r w:rsidRPr="00253C6F">
        <w:rPr>
          <w:rFonts w:ascii="Times New Roman" w:eastAsia="Times New Roman" w:hAnsi="Times New Roman" w:cs="Times New Roman"/>
        </w:rPr>
        <w:t>1.1</w:t>
      </w:r>
      <w:r w:rsidRPr="00253C6F">
        <w:rPr>
          <w:rFonts w:ascii="Times New Roman" w:eastAsia="Times New Roman" w:hAnsi="Times New Roman" w:cs="Times New Roman"/>
        </w:rPr>
        <w:tab/>
      </w:r>
      <w:r w:rsidRPr="00253C6F">
        <w:rPr>
          <w:rFonts w:ascii="Times New Roman" w:eastAsia="Times New Roman" w:hAnsi="Times New Roman" w:cs="Times New Roman"/>
          <w:b/>
          <w:bCs/>
          <w:u w:val="single"/>
        </w:rPr>
        <w:t>Date of Report</w:t>
      </w:r>
    </w:p>
    <w:p w:rsidR="00253C6F" w:rsidRPr="00253C6F" w:rsidRDefault="00253C6F" w:rsidP="00253C6F">
      <w:pPr>
        <w:spacing w:after="0" w:line="240" w:lineRule="auto"/>
        <w:jc w:val="both"/>
        <w:rPr>
          <w:rFonts w:ascii="Times New Roman" w:eastAsia="Times New Roman" w:hAnsi="Times New Roman" w:cs="Times New Roman"/>
        </w:rPr>
      </w:pPr>
    </w:p>
    <w:p w:rsidR="00253C6F" w:rsidRPr="00253C6F" w:rsidRDefault="00253C6F" w:rsidP="00253C6F">
      <w:pPr>
        <w:tabs>
          <w:tab w:val="left" w:pos="-432"/>
          <w:tab w:val="left" w:pos="576"/>
          <w:tab w:val="left" w:pos="720"/>
          <w:tab w:val="left" w:pos="1008"/>
          <w:tab w:val="left" w:pos="1440"/>
          <w:tab w:val="left" w:pos="6768"/>
          <w:tab w:val="decimal" w:pos="8028"/>
          <w:tab w:val="left" w:pos="8478"/>
          <w:tab w:val="decimal" w:pos="9648"/>
        </w:tabs>
        <w:spacing w:after="0" w:line="240" w:lineRule="auto"/>
        <w:ind w:left="720" w:right="-48"/>
        <w:jc w:val="both"/>
        <w:rPr>
          <w:rFonts w:ascii="Times New Roman" w:eastAsia="Times New Roman" w:hAnsi="Times New Roman" w:cs="Arial"/>
          <w:szCs w:val="21"/>
        </w:rPr>
      </w:pPr>
      <w:r w:rsidRPr="00253C6F">
        <w:rPr>
          <w:rFonts w:ascii="Times New Roman" w:eastAsia="MS Mincho" w:hAnsi="Times New Roman" w:cs="Times New Roman"/>
        </w:rPr>
        <w:t>The following information, prepared as of</w:t>
      </w:r>
      <w:r w:rsidR="000348EA">
        <w:rPr>
          <w:rFonts w:ascii="Times New Roman" w:eastAsia="MS Mincho" w:hAnsi="Times New Roman" w:cs="Times New Roman"/>
        </w:rPr>
        <w:t xml:space="preserve"> </w:t>
      </w:r>
      <w:r w:rsidR="00F72E92">
        <w:rPr>
          <w:rFonts w:ascii="Times New Roman" w:eastAsia="MS Mincho" w:hAnsi="Times New Roman" w:cs="Times New Roman"/>
        </w:rPr>
        <w:t>December 2</w:t>
      </w:r>
      <w:r w:rsidR="000348EA">
        <w:rPr>
          <w:rFonts w:ascii="Times New Roman" w:eastAsia="MS Mincho" w:hAnsi="Times New Roman" w:cs="Times New Roman"/>
        </w:rPr>
        <w:t>, 2014</w:t>
      </w:r>
      <w:r w:rsidRPr="00253C6F">
        <w:rPr>
          <w:rFonts w:ascii="Times New Roman" w:eastAsia="MS Mincho" w:hAnsi="Times New Roman" w:cs="Times New Roman"/>
        </w:rPr>
        <w:t xml:space="preserve">, should be read in conjunction with </w:t>
      </w:r>
      <w:r w:rsidRPr="00253C6F">
        <w:rPr>
          <w:rFonts w:ascii="Times New Roman" w:eastAsia="Times New Roman" w:hAnsi="Times New Roman" w:cs="Times New Roman"/>
          <w:szCs w:val="24"/>
        </w:rPr>
        <w:t xml:space="preserve">the </w:t>
      </w:r>
      <w:r w:rsidR="005C406C">
        <w:rPr>
          <w:rFonts w:ascii="Times New Roman" w:eastAsia="Times New Roman" w:hAnsi="Times New Roman" w:cs="Times New Roman"/>
          <w:szCs w:val="24"/>
        </w:rPr>
        <w:t>condensed interim</w:t>
      </w:r>
      <w:r w:rsidRPr="00253C6F">
        <w:rPr>
          <w:rFonts w:ascii="Times New Roman" w:eastAsia="Times New Roman" w:hAnsi="Times New Roman" w:cs="Times New Roman"/>
          <w:szCs w:val="24"/>
        </w:rPr>
        <w:t xml:space="preserve"> financial statements </w:t>
      </w:r>
      <w:r w:rsidRPr="00253C6F">
        <w:rPr>
          <w:rFonts w:ascii="Times New Roman" w:eastAsia="MS Mincho" w:hAnsi="Times New Roman" w:cs="Times New Roman"/>
        </w:rPr>
        <w:t xml:space="preserve">of </w:t>
      </w:r>
      <w:r w:rsidR="00DC2B4C">
        <w:rPr>
          <w:rFonts w:ascii="Times New Roman" w:eastAsia="MS Mincho" w:hAnsi="Times New Roman" w:cs="Times New Roman"/>
        </w:rPr>
        <w:t>Wildflower Marijuana Inc</w:t>
      </w:r>
      <w:r w:rsidRPr="00253C6F">
        <w:rPr>
          <w:rFonts w:ascii="Times New Roman" w:eastAsia="MS Mincho" w:hAnsi="Times New Roman" w:cs="Times New Roman"/>
        </w:rPr>
        <w:t xml:space="preserve">. </w:t>
      </w:r>
      <w:r w:rsidR="00DC2B4C">
        <w:rPr>
          <w:rFonts w:ascii="Times New Roman" w:eastAsia="MS Mincho" w:hAnsi="Times New Roman" w:cs="Times New Roman"/>
        </w:rPr>
        <w:t xml:space="preserve">(formerly </w:t>
      </w:r>
      <w:proofErr w:type="spellStart"/>
      <w:r w:rsidR="00DC2B4C">
        <w:rPr>
          <w:rFonts w:ascii="Times New Roman" w:eastAsia="MS Mincho" w:hAnsi="Times New Roman" w:cs="Times New Roman"/>
        </w:rPr>
        <w:t>Sunorca</w:t>
      </w:r>
      <w:proofErr w:type="spellEnd"/>
      <w:r w:rsidR="00DC2B4C">
        <w:rPr>
          <w:rFonts w:ascii="Times New Roman" w:eastAsia="MS Mincho" w:hAnsi="Times New Roman" w:cs="Times New Roman"/>
        </w:rPr>
        <w:t xml:space="preserve"> Development Corp.)</w:t>
      </w:r>
      <w:r w:rsidR="00DA55D0">
        <w:rPr>
          <w:rFonts w:ascii="Times New Roman" w:eastAsia="MS Mincho" w:hAnsi="Times New Roman" w:cs="Times New Roman"/>
        </w:rPr>
        <w:t xml:space="preserve"> </w:t>
      </w:r>
      <w:r w:rsidR="00A7031C">
        <w:rPr>
          <w:rFonts w:ascii="Times New Roman" w:eastAsia="MS Mincho" w:hAnsi="Times New Roman" w:cs="Times New Roman"/>
        </w:rPr>
        <w:t>(</w:t>
      </w:r>
      <w:proofErr w:type="gramStart"/>
      <w:r w:rsidRPr="00253C6F">
        <w:rPr>
          <w:rFonts w:ascii="Times New Roman" w:eastAsia="MS Mincho" w:hAnsi="Times New Roman" w:cs="Times New Roman"/>
        </w:rPr>
        <w:t>the</w:t>
      </w:r>
      <w:proofErr w:type="gramEnd"/>
      <w:r w:rsidRPr="00253C6F">
        <w:rPr>
          <w:rFonts w:ascii="Times New Roman" w:eastAsia="MS Mincho" w:hAnsi="Times New Roman" w:cs="Times New Roman"/>
        </w:rPr>
        <w:t xml:space="preserve"> </w:t>
      </w:r>
      <w:r w:rsidR="00A7031C">
        <w:rPr>
          <w:rFonts w:ascii="Times New Roman" w:eastAsia="MS Mincho" w:hAnsi="Times New Roman" w:cs="Times New Roman"/>
        </w:rPr>
        <w:t>“</w:t>
      </w:r>
      <w:r w:rsidRPr="00253C6F">
        <w:rPr>
          <w:rFonts w:ascii="Times New Roman" w:eastAsia="MS Mincho" w:hAnsi="Times New Roman" w:cs="Times New Roman"/>
        </w:rPr>
        <w:t xml:space="preserve">Company”) </w:t>
      </w:r>
      <w:r w:rsidRPr="00253C6F">
        <w:rPr>
          <w:rFonts w:ascii="Times New Roman" w:eastAsia="Times New Roman" w:hAnsi="Times New Roman" w:cs="Times New Roman"/>
          <w:szCs w:val="24"/>
        </w:rPr>
        <w:t xml:space="preserve">for the </w:t>
      </w:r>
      <w:r w:rsidR="005C406C">
        <w:rPr>
          <w:rFonts w:ascii="Times New Roman" w:eastAsia="Times New Roman" w:hAnsi="Times New Roman" w:cs="Times New Roman"/>
          <w:szCs w:val="24"/>
        </w:rPr>
        <w:t>three months</w:t>
      </w:r>
      <w:r w:rsidRPr="00253C6F">
        <w:rPr>
          <w:rFonts w:ascii="Times New Roman" w:eastAsia="Times New Roman" w:hAnsi="Times New Roman" w:cs="Times New Roman"/>
          <w:szCs w:val="24"/>
        </w:rPr>
        <w:t xml:space="preserve"> ended </w:t>
      </w:r>
      <w:r w:rsidR="005C406C">
        <w:rPr>
          <w:rFonts w:ascii="Times New Roman" w:eastAsia="Times New Roman" w:hAnsi="Times New Roman" w:cs="Times New Roman"/>
          <w:szCs w:val="24"/>
        </w:rPr>
        <w:t>September</w:t>
      </w:r>
      <w:r w:rsidRPr="00253C6F">
        <w:rPr>
          <w:rFonts w:ascii="Times New Roman" w:eastAsia="Times New Roman" w:hAnsi="Times New Roman" w:cs="Times New Roman"/>
          <w:szCs w:val="24"/>
        </w:rPr>
        <w:t xml:space="preserve"> 30, 201</w:t>
      </w:r>
      <w:r w:rsidR="00AF4291">
        <w:rPr>
          <w:rFonts w:ascii="Times New Roman" w:eastAsia="Times New Roman" w:hAnsi="Times New Roman" w:cs="Times New Roman"/>
          <w:szCs w:val="24"/>
        </w:rPr>
        <w:t>4</w:t>
      </w:r>
      <w:r w:rsidRPr="00253C6F">
        <w:rPr>
          <w:rFonts w:ascii="Times New Roman" w:eastAsia="Times New Roman" w:hAnsi="Times New Roman" w:cs="Times New Roman"/>
          <w:szCs w:val="24"/>
        </w:rPr>
        <w:t xml:space="preserve"> and 201</w:t>
      </w:r>
      <w:r w:rsidR="00AF4291">
        <w:rPr>
          <w:rFonts w:ascii="Times New Roman" w:eastAsia="Times New Roman" w:hAnsi="Times New Roman" w:cs="Times New Roman"/>
          <w:szCs w:val="24"/>
        </w:rPr>
        <w:t>3</w:t>
      </w:r>
      <w:r w:rsidRPr="00253C6F">
        <w:rPr>
          <w:rFonts w:ascii="Times New Roman" w:eastAsia="Times New Roman" w:hAnsi="Times New Roman" w:cs="Times New Roman"/>
          <w:szCs w:val="24"/>
        </w:rPr>
        <w:t xml:space="preserve">. The </w:t>
      </w:r>
      <w:r w:rsidR="005C406C">
        <w:rPr>
          <w:rFonts w:ascii="Times New Roman" w:eastAsia="Times New Roman" w:hAnsi="Times New Roman" w:cs="Times New Roman"/>
          <w:szCs w:val="24"/>
        </w:rPr>
        <w:t xml:space="preserve">condensed interim </w:t>
      </w:r>
      <w:r w:rsidRPr="00253C6F">
        <w:rPr>
          <w:rFonts w:ascii="Times New Roman" w:eastAsia="Times New Roman" w:hAnsi="Times New Roman" w:cs="Times New Roman"/>
          <w:szCs w:val="24"/>
        </w:rPr>
        <w:t xml:space="preserve">financial statements of the Company for the </w:t>
      </w:r>
      <w:r w:rsidR="005C406C">
        <w:rPr>
          <w:rFonts w:ascii="Times New Roman" w:eastAsia="Times New Roman" w:hAnsi="Times New Roman" w:cs="Times New Roman"/>
          <w:szCs w:val="24"/>
        </w:rPr>
        <w:t>three months</w:t>
      </w:r>
      <w:r w:rsidRPr="00253C6F">
        <w:rPr>
          <w:rFonts w:ascii="Times New Roman" w:eastAsia="Times New Roman" w:hAnsi="Times New Roman" w:cs="Times New Roman"/>
          <w:szCs w:val="24"/>
        </w:rPr>
        <w:t xml:space="preserve"> ended </w:t>
      </w:r>
      <w:r w:rsidR="005C406C">
        <w:rPr>
          <w:rFonts w:ascii="Times New Roman" w:eastAsia="Times New Roman" w:hAnsi="Times New Roman" w:cs="Times New Roman"/>
          <w:szCs w:val="24"/>
        </w:rPr>
        <w:t>September</w:t>
      </w:r>
      <w:r w:rsidRPr="00253C6F">
        <w:rPr>
          <w:rFonts w:ascii="Times New Roman" w:eastAsia="Times New Roman" w:hAnsi="Times New Roman" w:cs="Times New Roman"/>
          <w:szCs w:val="24"/>
        </w:rPr>
        <w:t xml:space="preserve"> 30, 201</w:t>
      </w:r>
      <w:r w:rsidR="00AF4291">
        <w:rPr>
          <w:rFonts w:ascii="Times New Roman" w:eastAsia="Times New Roman" w:hAnsi="Times New Roman" w:cs="Times New Roman"/>
          <w:szCs w:val="24"/>
        </w:rPr>
        <w:t>4</w:t>
      </w:r>
      <w:r w:rsidR="005C406C">
        <w:rPr>
          <w:rFonts w:ascii="Times New Roman" w:eastAsia="Times New Roman" w:hAnsi="Times New Roman" w:cs="Times New Roman"/>
          <w:szCs w:val="24"/>
        </w:rPr>
        <w:t xml:space="preserve"> and 2013</w:t>
      </w:r>
      <w:r w:rsidRPr="00253C6F">
        <w:rPr>
          <w:rFonts w:ascii="Times New Roman" w:eastAsia="Times New Roman" w:hAnsi="Times New Roman" w:cs="Times New Roman"/>
          <w:szCs w:val="24"/>
        </w:rPr>
        <w:t xml:space="preserve"> </w:t>
      </w:r>
      <w:r w:rsidRPr="00253C6F">
        <w:rPr>
          <w:rFonts w:ascii="Times New Roman" w:eastAsia="Times New Roman" w:hAnsi="Times New Roman" w:cs="Arial"/>
          <w:szCs w:val="21"/>
        </w:rPr>
        <w:t>have been prepared in accordance with International Financial Reporting Standards (“IFRS”) as issued by the International Acco</w:t>
      </w:r>
      <w:r w:rsidR="000348EA">
        <w:rPr>
          <w:rFonts w:ascii="Times New Roman" w:eastAsia="Times New Roman" w:hAnsi="Times New Roman" w:cs="Arial"/>
          <w:szCs w:val="21"/>
        </w:rPr>
        <w:t>unting Standards Board (“IASB”)</w:t>
      </w:r>
      <w:r w:rsidRPr="00253C6F">
        <w:rPr>
          <w:rFonts w:ascii="Times New Roman" w:eastAsia="Times New Roman" w:hAnsi="Times New Roman" w:cs="Arial"/>
          <w:szCs w:val="21"/>
        </w:rPr>
        <w:t xml:space="preserve">. </w:t>
      </w:r>
    </w:p>
    <w:p w:rsidR="00253C6F" w:rsidRPr="00253C6F" w:rsidRDefault="00253C6F" w:rsidP="00253C6F">
      <w:pPr>
        <w:spacing w:after="0" w:line="240" w:lineRule="auto"/>
        <w:ind w:right="-360"/>
        <w:jc w:val="both"/>
        <w:rPr>
          <w:rFonts w:ascii="Times New Roman" w:eastAsia="Times New Roman" w:hAnsi="Times New Roman" w:cs="Times New Roman"/>
        </w:rPr>
      </w:pPr>
    </w:p>
    <w:p w:rsidR="00253C6F" w:rsidRPr="00253C6F" w:rsidRDefault="00253C6F" w:rsidP="00253C6F">
      <w:pPr>
        <w:tabs>
          <w:tab w:val="left" w:pos="-1440"/>
        </w:tabs>
        <w:spacing w:after="0" w:line="240" w:lineRule="auto"/>
        <w:ind w:left="720" w:right="-360" w:hanging="720"/>
        <w:jc w:val="both"/>
        <w:rPr>
          <w:rFonts w:ascii="Times New Roman" w:eastAsia="Times New Roman" w:hAnsi="Times New Roman" w:cs="Times New Roman"/>
        </w:rPr>
      </w:pPr>
      <w:r w:rsidRPr="00253C6F">
        <w:rPr>
          <w:rFonts w:ascii="Times New Roman" w:eastAsia="Times New Roman" w:hAnsi="Times New Roman" w:cs="Times New Roman"/>
        </w:rPr>
        <w:t>1.2</w:t>
      </w:r>
      <w:r w:rsidRPr="00253C6F">
        <w:rPr>
          <w:rFonts w:ascii="Times New Roman" w:eastAsia="Times New Roman" w:hAnsi="Times New Roman" w:cs="Times New Roman"/>
        </w:rPr>
        <w:tab/>
      </w:r>
      <w:r w:rsidRPr="00253C6F">
        <w:rPr>
          <w:rFonts w:ascii="Times New Roman" w:eastAsia="Times New Roman" w:hAnsi="Times New Roman" w:cs="Times New Roman"/>
          <w:b/>
          <w:bCs/>
          <w:u w:val="single"/>
        </w:rPr>
        <w:t>Overall Performance</w:t>
      </w:r>
    </w:p>
    <w:p w:rsidR="00253C6F" w:rsidRPr="00253C6F" w:rsidRDefault="00253C6F" w:rsidP="00253C6F">
      <w:pPr>
        <w:spacing w:after="0" w:line="240" w:lineRule="auto"/>
        <w:ind w:right="-360"/>
        <w:jc w:val="both"/>
        <w:rPr>
          <w:rFonts w:ascii="Times New Roman" w:eastAsia="Times New Roman" w:hAnsi="Times New Roman" w:cs="Times New Roman"/>
        </w:rPr>
      </w:pPr>
    </w:p>
    <w:p w:rsidR="00253C6F" w:rsidRPr="00253C6F" w:rsidRDefault="00253C6F" w:rsidP="00253C6F">
      <w:pPr>
        <w:keepNext/>
        <w:widowControl w:val="0"/>
        <w:autoSpaceDE w:val="0"/>
        <w:autoSpaceDN w:val="0"/>
        <w:adjustRightInd w:val="0"/>
        <w:spacing w:after="0" w:line="240" w:lineRule="auto"/>
        <w:ind w:right="-360" w:firstLine="720"/>
        <w:jc w:val="both"/>
        <w:outlineLvl w:val="0"/>
        <w:rPr>
          <w:rFonts w:ascii="Times New Roman" w:eastAsia="Times New Roman" w:hAnsi="Times New Roman" w:cs="Times New Roman"/>
          <w:b/>
          <w:bCs/>
          <w:lang w:val="en-US"/>
        </w:rPr>
      </w:pPr>
      <w:r w:rsidRPr="00253C6F">
        <w:rPr>
          <w:rFonts w:ascii="Times New Roman" w:eastAsia="Times New Roman" w:hAnsi="Times New Roman" w:cs="Times New Roman"/>
          <w:b/>
          <w:bCs/>
          <w:lang w:val="en-US"/>
        </w:rPr>
        <w:t>Nature of Business &amp; Overall Performance</w:t>
      </w:r>
    </w:p>
    <w:p w:rsidR="00253C6F" w:rsidRPr="00253C6F" w:rsidRDefault="00253C6F" w:rsidP="00253C6F">
      <w:pPr>
        <w:spacing w:after="0" w:line="240" w:lineRule="auto"/>
        <w:ind w:right="-360"/>
        <w:jc w:val="both"/>
        <w:rPr>
          <w:rFonts w:ascii="Times New Roman" w:eastAsia="Times New Roman" w:hAnsi="Times New Roman" w:cs="Times New Roman"/>
        </w:rPr>
      </w:pPr>
    </w:p>
    <w:p w:rsidR="00253C6F" w:rsidRPr="00253C6F" w:rsidRDefault="00253C6F" w:rsidP="00120E36">
      <w:pPr>
        <w:spacing w:after="0" w:line="240" w:lineRule="auto"/>
        <w:ind w:left="720"/>
        <w:jc w:val="both"/>
        <w:rPr>
          <w:rFonts w:ascii="Times New Roman" w:eastAsia="Times New Roman" w:hAnsi="Times New Roman" w:cs="Times New Roman"/>
          <w:color w:val="FF0000"/>
        </w:rPr>
      </w:pPr>
      <w:r w:rsidRPr="00253C6F">
        <w:rPr>
          <w:rFonts w:ascii="Times New Roman" w:eastAsia="Times New Roman" w:hAnsi="Times New Roman" w:cs="Times New Roman"/>
        </w:rPr>
        <w:t xml:space="preserve">The Board of Directors of the Company is pleased to present to its shareholders a summary of the Company’s activities for the </w:t>
      </w:r>
      <w:r w:rsidR="005C406C">
        <w:rPr>
          <w:rFonts w:ascii="Times New Roman" w:eastAsia="Times New Roman" w:hAnsi="Times New Roman" w:cs="Times New Roman"/>
        </w:rPr>
        <w:t>three months</w:t>
      </w:r>
      <w:r w:rsidRPr="00253C6F">
        <w:rPr>
          <w:rFonts w:ascii="Times New Roman" w:eastAsia="Times New Roman" w:hAnsi="Times New Roman" w:cs="Times New Roman"/>
        </w:rPr>
        <w:t xml:space="preserve"> ended </w:t>
      </w:r>
      <w:r w:rsidR="005C406C">
        <w:rPr>
          <w:rFonts w:ascii="Times New Roman" w:eastAsia="Times New Roman" w:hAnsi="Times New Roman" w:cs="Times New Roman"/>
        </w:rPr>
        <w:t>September</w:t>
      </w:r>
      <w:r w:rsidRPr="00253C6F">
        <w:rPr>
          <w:rFonts w:ascii="Times New Roman" w:eastAsia="Times New Roman" w:hAnsi="Times New Roman" w:cs="Times New Roman"/>
        </w:rPr>
        <w:t xml:space="preserve"> 30, 201</w:t>
      </w:r>
      <w:r w:rsidR="00AF4291">
        <w:rPr>
          <w:rFonts w:ascii="Times New Roman" w:eastAsia="Times New Roman" w:hAnsi="Times New Roman" w:cs="Times New Roman"/>
        </w:rPr>
        <w:t>4</w:t>
      </w:r>
      <w:r w:rsidRPr="00253C6F">
        <w:rPr>
          <w:rFonts w:ascii="Times New Roman" w:eastAsia="Times New Roman" w:hAnsi="Times New Roman" w:cs="Times New Roman"/>
        </w:rPr>
        <w:t xml:space="preserve">, and any pertinent events subsequent to that date up to and </w:t>
      </w:r>
      <w:r w:rsidRPr="00253C6F">
        <w:rPr>
          <w:rFonts w:ascii="Times New Roman" w:eastAsia="MS Mincho" w:hAnsi="Times New Roman" w:cs="Times New Roman"/>
        </w:rPr>
        <w:t>including</w:t>
      </w:r>
      <w:r w:rsidR="000348EA">
        <w:rPr>
          <w:rFonts w:ascii="Times New Roman" w:eastAsia="MS Mincho" w:hAnsi="Times New Roman" w:cs="Times New Roman"/>
        </w:rPr>
        <w:t xml:space="preserve"> November </w:t>
      </w:r>
      <w:r w:rsidR="00A7031C">
        <w:rPr>
          <w:rFonts w:ascii="Times New Roman" w:eastAsia="MS Mincho" w:hAnsi="Times New Roman" w:cs="Times New Roman"/>
        </w:rPr>
        <w:t>28</w:t>
      </w:r>
      <w:r w:rsidR="000348EA">
        <w:rPr>
          <w:rFonts w:ascii="Times New Roman" w:eastAsia="MS Mincho" w:hAnsi="Times New Roman" w:cs="Times New Roman"/>
        </w:rPr>
        <w:t>, 2014</w:t>
      </w:r>
      <w:r w:rsidRPr="00253C6F">
        <w:rPr>
          <w:rFonts w:ascii="Times New Roman" w:eastAsia="MS Mincho" w:hAnsi="Times New Roman" w:cs="Times New Roman"/>
        </w:rPr>
        <w:t>.</w:t>
      </w:r>
    </w:p>
    <w:p w:rsidR="00253C6F" w:rsidRPr="00253C6F" w:rsidRDefault="00253C6F" w:rsidP="00120E36">
      <w:pPr>
        <w:spacing w:after="0" w:line="240" w:lineRule="auto"/>
        <w:ind w:left="720"/>
        <w:jc w:val="both"/>
        <w:rPr>
          <w:rFonts w:ascii="Times New Roman" w:eastAsia="Times New Roman" w:hAnsi="Times New Roman" w:cs="Times New Roman"/>
        </w:rPr>
      </w:pPr>
    </w:p>
    <w:p w:rsidR="00253C6F" w:rsidRPr="000348EA" w:rsidRDefault="00253C6F" w:rsidP="00120E36">
      <w:pPr>
        <w:spacing w:after="0" w:line="240" w:lineRule="auto"/>
        <w:ind w:left="720"/>
        <w:jc w:val="both"/>
        <w:rPr>
          <w:rFonts w:ascii="Times New Roman" w:eastAsia="Times New Roman" w:hAnsi="Times New Roman" w:cs="Times New Roman"/>
        </w:rPr>
      </w:pPr>
      <w:r w:rsidRPr="00253C6F">
        <w:rPr>
          <w:rFonts w:ascii="Times New Roman" w:eastAsia="Times New Roman" w:hAnsi="Times New Roman" w:cs="Times New Roman"/>
        </w:rPr>
        <w:t xml:space="preserve">The Company is incorporated under the British Columbia Business Corporations Act and is a </w:t>
      </w:r>
      <w:r w:rsidRPr="000348EA">
        <w:rPr>
          <w:rFonts w:ascii="Times New Roman" w:eastAsia="Times New Roman" w:hAnsi="Times New Roman" w:cs="Times New Roman"/>
        </w:rPr>
        <w:t>reporting issuer in British Columbia, Alberta and Ontario. Its common shares are listed for trading on the Canadian based CNQ Stock Exchange under the symbol “SUN”.</w:t>
      </w:r>
    </w:p>
    <w:p w:rsidR="00253C6F" w:rsidRPr="000348EA" w:rsidRDefault="00253C6F" w:rsidP="000348EA">
      <w:pPr>
        <w:autoSpaceDE w:val="0"/>
        <w:autoSpaceDN w:val="0"/>
        <w:adjustRightInd w:val="0"/>
        <w:spacing w:after="0" w:line="240" w:lineRule="auto"/>
        <w:ind w:left="720" w:right="-360"/>
        <w:jc w:val="both"/>
        <w:rPr>
          <w:rFonts w:ascii="Times New Roman" w:eastAsia="Times New Roman" w:hAnsi="Times New Roman" w:cs="Times New Roman"/>
          <w:lang w:bidi="fa-IR"/>
        </w:rPr>
      </w:pPr>
    </w:p>
    <w:p w:rsidR="000348EA" w:rsidRPr="000348EA" w:rsidRDefault="000348EA" w:rsidP="000348EA">
      <w:pPr>
        <w:autoSpaceDE w:val="0"/>
        <w:autoSpaceDN w:val="0"/>
        <w:adjustRightInd w:val="0"/>
        <w:spacing w:line="240" w:lineRule="auto"/>
        <w:ind w:left="720"/>
        <w:jc w:val="both"/>
        <w:rPr>
          <w:rFonts w:ascii="Times New Roman" w:hAnsi="Times New Roman" w:cs="Times New Roman"/>
        </w:rPr>
      </w:pPr>
      <w:r w:rsidRPr="000348EA">
        <w:rPr>
          <w:rFonts w:ascii="Times New Roman" w:hAnsi="Times New Roman" w:cs="Times New Roman"/>
        </w:rPr>
        <w:t>In June 2014, the Company closed the purchase of all the assets related to a medical marijuana business (the “Business”) from William W. MacLean.  The Business currently comprises securing a property</w:t>
      </w:r>
      <w:r w:rsidR="005C406C">
        <w:rPr>
          <w:rFonts w:ascii="Times New Roman" w:hAnsi="Times New Roman" w:cs="Times New Roman"/>
        </w:rPr>
        <w:t>, a 125 acre property</w:t>
      </w:r>
      <w:r w:rsidRPr="000348EA">
        <w:rPr>
          <w:rFonts w:ascii="Times New Roman" w:hAnsi="Times New Roman" w:cs="Times New Roman"/>
        </w:rPr>
        <w:t xml:space="preserve"> in the Agricultural Land Reserve (“ALR”) in </w:t>
      </w:r>
      <w:proofErr w:type="spellStart"/>
      <w:r w:rsidR="005C406C">
        <w:rPr>
          <w:rFonts w:ascii="Times New Roman" w:hAnsi="Times New Roman" w:cs="Times New Roman"/>
        </w:rPr>
        <w:t>Nanoose</w:t>
      </w:r>
      <w:proofErr w:type="spellEnd"/>
      <w:r w:rsidR="005C406C">
        <w:rPr>
          <w:rFonts w:ascii="Times New Roman" w:hAnsi="Times New Roman" w:cs="Times New Roman"/>
        </w:rPr>
        <w:t xml:space="preserve"> Bay </w:t>
      </w:r>
      <w:r w:rsidRPr="000348EA">
        <w:rPr>
          <w:rFonts w:ascii="Times New Roman" w:hAnsi="Times New Roman" w:cs="Times New Roman"/>
        </w:rPr>
        <w:t xml:space="preserve">on Vancouver Island (the Agricultural Land Commission recognizes the growing of medical marijuana as a “farm use” and completely within the scope of the Agricultural Land Commission Act - </w:t>
      </w:r>
      <w:hyperlink r:id="rId7" w:history="1">
        <w:r w:rsidRPr="000348EA">
          <w:rPr>
            <w:rStyle w:val="Hyperlink"/>
            <w:rFonts w:ascii="Times New Roman" w:hAnsi="Times New Roman" w:cs="Times New Roman"/>
          </w:rPr>
          <w:t>http://www.alc.gov.bc.ca/alc/DownloadAsset?assetId=28F687FC8AB640CFB33D46FB3F1B30EC</w:t>
        </w:r>
      </w:hyperlink>
      <w:r w:rsidRPr="000348EA">
        <w:rPr>
          <w:rFonts w:ascii="Times New Roman" w:hAnsi="Times New Roman" w:cs="Times New Roman"/>
        </w:rPr>
        <w:t xml:space="preserve">) where the Regional District has regulations permitting the growing of medical marijuana, a fully completed application to acquire a license under the </w:t>
      </w:r>
      <w:r w:rsidRPr="000348EA">
        <w:rPr>
          <w:rFonts w:ascii="Times New Roman" w:hAnsi="Times New Roman" w:cs="Times New Roman"/>
          <w:i/>
        </w:rPr>
        <w:t>Marijuana for Medical Purposes Regulations</w:t>
      </w:r>
      <w:r w:rsidRPr="000348EA">
        <w:rPr>
          <w:rFonts w:ascii="Times New Roman" w:hAnsi="Times New Roman" w:cs="Times New Roman"/>
        </w:rPr>
        <w:t xml:space="preserve"> (“MMPR”) including all building plans and proprietary designs for the grow facility.  As consideration for the acquisition of the assets the Company issued 13,000,000 common shares to Mr. MacLean.  </w:t>
      </w:r>
      <w:r w:rsidR="005C406C">
        <w:rPr>
          <w:rFonts w:ascii="Times New Roman" w:hAnsi="Times New Roman" w:cs="Times New Roman"/>
        </w:rPr>
        <w:t xml:space="preserve">Based on the previous closing price of the Company’s shares of $0.05 this would place a value of $650,000 for the acquisition of the Business. </w:t>
      </w:r>
      <w:r w:rsidRPr="000348EA">
        <w:rPr>
          <w:rFonts w:ascii="Times New Roman" w:hAnsi="Times New Roman" w:cs="Times New Roman"/>
        </w:rPr>
        <w:t xml:space="preserve">These shares are subject to escrow with escrow releases scheduled at periods specified in National Policy 46-201 over 3 years.  </w:t>
      </w:r>
    </w:p>
    <w:p w:rsidR="005C406C" w:rsidRDefault="000348EA" w:rsidP="005C406C">
      <w:pPr>
        <w:autoSpaceDE w:val="0"/>
        <w:autoSpaceDN w:val="0"/>
        <w:adjustRightInd w:val="0"/>
        <w:spacing w:line="240" w:lineRule="auto"/>
        <w:ind w:left="720"/>
        <w:jc w:val="both"/>
        <w:rPr>
          <w:rFonts w:ascii="Times New Roman" w:hAnsi="Times New Roman" w:cs="Times New Roman"/>
        </w:rPr>
      </w:pPr>
      <w:r w:rsidRPr="000348EA">
        <w:rPr>
          <w:rFonts w:ascii="Times New Roman" w:hAnsi="Times New Roman" w:cs="Times New Roman"/>
        </w:rPr>
        <w:t xml:space="preserve">The application was filed on July 31, 2014 and accepted for filing by Health Canada on August 15, 2014.  The Company has received several letters from Health Canada regarding clarification and enunciation of various aspects of the application.  All Health Canada letters have been responded to and the Company is awaiting further communication. </w:t>
      </w:r>
    </w:p>
    <w:p w:rsidR="00120E36" w:rsidRDefault="005C406C" w:rsidP="005C406C">
      <w:pPr>
        <w:autoSpaceDE w:val="0"/>
        <w:autoSpaceDN w:val="0"/>
        <w:adjustRightInd w:val="0"/>
        <w:spacing w:line="240" w:lineRule="auto"/>
        <w:ind w:left="720"/>
        <w:jc w:val="both"/>
        <w:rPr>
          <w:rFonts w:ascii="Times New Roman" w:hAnsi="Times New Roman" w:cs="Times New Roman"/>
        </w:rPr>
      </w:pPr>
      <w:r w:rsidRPr="005C406C">
        <w:rPr>
          <w:rFonts w:ascii="Times New Roman" w:hAnsi="Times New Roman" w:cs="Times New Roman"/>
        </w:rPr>
        <w:t>The application provides for the possession, sale, delivery, destruction and production of dried</w:t>
      </w:r>
      <w:r>
        <w:rPr>
          <w:rFonts w:ascii="Times New Roman" w:hAnsi="Times New Roman" w:cs="Times New Roman"/>
        </w:rPr>
        <w:t xml:space="preserve"> </w:t>
      </w:r>
      <w:r w:rsidRPr="005C406C">
        <w:rPr>
          <w:rFonts w:ascii="Times New Roman" w:hAnsi="Times New Roman" w:cs="Times New Roman"/>
        </w:rPr>
        <w:t>marijuana. The proposed growing site for growing the medicinal marijuana in the application is</w:t>
      </w:r>
      <w:r>
        <w:rPr>
          <w:rFonts w:ascii="Times New Roman" w:hAnsi="Times New Roman" w:cs="Times New Roman"/>
        </w:rPr>
        <w:t xml:space="preserve"> </w:t>
      </w:r>
      <w:r w:rsidRPr="005C406C">
        <w:rPr>
          <w:rFonts w:ascii="Times New Roman" w:hAnsi="Times New Roman" w:cs="Times New Roman"/>
        </w:rPr>
        <w:t xml:space="preserve">175 metres by 54 metres with six proposed buildings to be constructed </w:t>
      </w:r>
    </w:p>
    <w:p w:rsidR="00120E36" w:rsidRPr="00266CFF" w:rsidRDefault="00120E36" w:rsidP="00120E36">
      <w:pPr>
        <w:autoSpaceDE w:val="0"/>
        <w:autoSpaceDN w:val="0"/>
        <w:adjustRightInd w:val="0"/>
        <w:spacing w:after="0" w:line="240" w:lineRule="auto"/>
        <w:ind w:left="720"/>
        <w:jc w:val="both"/>
        <w:rPr>
          <w:rFonts w:ascii="Times New Roman" w:hAnsi="Times New Roman" w:cs="Times New Roman"/>
          <w:sz w:val="12"/>
          <w:szCs w:val="12"/>
        </w:rPr>
      </w:pPr>
    </w:p>
    <w:p w:rsidR="005C406C" w:rsidRDefault="005C406C" w:rsidP="005C406C">
      <w:pPr>
        <w:autoSpaceDE w:val="0"/>
        <w:autoSpaceDN w:val="0"/>
        <w:adjustRightInd w:val="0"/>
        <w:spacing w:line="240" w:lineRule="auto"/>
        <w:ind w:left="720"/>
        <w:jc w:val="both"/>
        <w:rPr>
          <w:rFonts w:ascii="Times New Roman" w:hAnsi="Times New Roman" w:cs="Times New Roman"/>
        </w:rPr>
      </w:pPr>
      <w:proofErr w:type="gramStart"/>
      <w:r w:rsidRPr="005C406C">
        <w:rPr>
          <w:rFonts w:ascii="Times New Roman" w:hAnsi="Times New Roman" w:cs="Times New Roman"/>
        </w:rPr>
        <w:lastRenderedPageBreak/>
        <w:t>within</w:t>
      </w:r>
      <w:proofErr w:type="gramEnd"/>
      <w:r w:rsidRPr="005C406C">
        <w:rPr>
          <w:rFonts w:ascii="Times New Roman" w:hAnsi="Times New Roman" w:cs="Times New Roman"/>
        </w:rPr>
        <w:t xml:space="preserve"> this area. Each</w:t>
      </w:r>
      <w:r>
        <w:rPr>
          <w:rFonts w:ascii="Times New Roman" w:hAnsi="Times New Roman" w:cs="Times New Roman"/>
        </w:rPr>
        <w:t xml:space="preserve"> </w:t>
      </w:r>
      <w:r w:rsidRPr="005C406C">
        <w:rPr>
          <w:rFonts w:ascii="Times New Roman" w:hAnsi="Times New Roman" w:cs="Times New Roman"/>
        </w:rPr>
        <w:t>building will be 85 by 15 metres and will encompass several growing rooms. Two of the</w:t>
      </w:r>
      <w:r>
        <w:rPr>
          <w:rFonts w:ascii="Times New Roman" w:hAnsi="Times New Roman" w:cs="Times New Roman"/>
        </w:rPr>
        <w:t xml:space="preserve"> </w:t>
      </w:r>
      <w:r w:rsidRPr="005C406C">
        <w:rPr>
          <w:rFonts w:ascii="Times New Roman" w:hAnsi="Times New Roman" w:cs="Times New Roman"/>
        </w:rPr>
        <w:t>buildings will house offices, tissue culture lab, processing rooms, a decontamination area, safe</w:t>
      </w:r>
      <w:r>
        <w:rPr>
          <w:rFonts w:ascii="Times New Roman" w:hAnsi="Times New Roman" w:cs="Times New Roman"/>
        </w:rPr>
        <w:t xml:space="preserve"> </w:t>
      </w:r>
      <w:r w:rsidRPr="005C406C">
        <w:rPr>
          <w:rFonts w:ascii="Times New Roman" w:hAnsi="Times New Roman" w:cs="Times New Roman"/>
        </w:rPr>
        <w:t>and storage areas. The application provides for a build out approach to the site with the first</w:t>
      </w:r>
      <w:r>
        <w:rPr>
          <w:rFonts w:ascii="Times New Roman" w:hAnsi="Times New Roman" w:cs="Times New Roman"/>
        </w:rPr>
        <w:t xml:space="preserve"> </w:t>
      </w:r>
      <w:r w:rsidRPr="005C406C">
        <w:rPr>
          <w:rFonts w:ascii="Times New Roman" w:hAnsi="Times New Roman" w:cs="Times New Roman"/>
        </w:rPr>
        <w:t>building being constructed for the first year, the second, third and fourth building being</w:t>
      </w:r>
      <w:r>
        <w:rPr>
          <w:rFonts w:ascii="Times New Roman" w:hAnsi="Times New Roman" w:cs="Times New Roman"/>
        </w:rPr>
        <w:t xml:space="preserve"> </w:t>
      </w:r>
      <w:r w:rsidRPr="005C406C">
        <w:rPr>
          <w:rFonts w:ascii="Times New Roman" w:hAnsi="Times New Roman" w:cs="Times New Roman"/>
        </w:rPr>
        <w:t>constructed for year 2 and the fifth and sixth building in year three. Total growing space will be</w:t>
      </w:r>
      <w:r>
        <w:rPr>
          <w:rFonts w:ascii="Times New Roman" w:hAnsi="Times New Roman" w:cs="Times New Roman"/>
        </w:rPr>
        <w:t xml:space="preserve"> </w:t>
      </w:r>
      <w:r w:rsidRPr="005C406C">
        <w:rPr>
          <w:rFonts w:ascii="Times New Roman" w:hAnsi="Times New Roman" w:cs="Times New Roman"/>
        </w:rPr>
        <w:t>10,000 square feet in the first year, 52,000 square feet in year two and 76,000 square feet in</w:t>
      </w:r>
      <w:r>
        <w:rPr>
          <w:rFonts w:ascii="Times New Roman" w:hAnsi="Times New Roman" w:cs="Times New Roman"/>
        </w:rPr>
        <w:t xml:space="preserve"> </w:t>
      </w:r>
      <w:r w:rsidRPr="005C406C">
        <w:rPr>
          <w:rFonts w:ascii="Times New Roman" w:hAnsi="Times New Roman" w:cs="Times New Roman"/>
        </w:rPr>
        <w:t>year three. The application proposes growing up to 1,455 kilograms of dried marijuana in year</w:t>
      </w:r>
      <w:r>
        <w:rPr>
          <w:rFonts w:ascii="Times New Roman" w:hAnsi="Times New Roman" w:cs="Times New Roman"/>
        </w:rPr>
        <w:t xml:space="preserve"> </w:t>
      </w:r>
      <w:r w:rsidRPr="005C406C">
        <w:rPr>
          <w:rFonts w:ascii="Times New Roman" w:hAnsi="Times New Roman" w:cs="Times New Roman"/>
        </w:rPr>
        <w:t>one, 6,400 kilograms of dried marijuana in year two and 9,800 kilograms of dried marijuana in</w:t>
      </w:r>
      <w:r>
        <w:rPr>
          <w:rFonts w:ascii="Times New Roman" w:hAnsi="Times New Roman" w:cs="Times New Roman"/>
        </w:rPr>
        <w:t xml:space="preserve"> </w:t>
      </w:r>
      <w:r w:rsidRPr="005C406C">
        <w:rPr>
          <w:rFonts w:ascii="Times New Roman" w:hAnsi="Times New Roman" w:cs="Times New Roman"/>
        </w:rPr>
        <w:t>year three. The estimated cost per building, including all the equipment inside necessary for</w:t>
      </w:r>
      <w:r>
        <w:rPr>
          <w:rFonts w:ascii="Times New Roman" w:hAnsi="Times New Roman" w:cs="Times New Roman"/>
        </w:rPr>
        <w:t xml:space="preserve"> </w:t>
      </w:r>
      <w:r w:rsidRPr="005C406C">
        <w:rPr>
          <w:rFonts w:ascii="Times New Roman" w:hAnsi="Times New Roman" w:cs="Times New Roman"/>
        </w:rPr>
        <w:t xml:space="preserve">growing is estimated at $1,200,000. </w:t>
      </w: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On August 7, 2014 the Company announced that it had entered into an option agreement,</w:t>
      </w:r>
      <w:r>
        <w:rPr>
          <w:rFonts w:ascii="Times New Roman" w:hAnsi="Times New Roman" w:cs="Times New Roman"/>
        </w:rPr>
        <w:t xml:space="preserve"> </w:t>
      </w:r>
      <w:r w:rsidRPr="005C406C">
        <w:rPr>
          <w:rFonts w:ascii="Times New Roman" w:hAnsi="Times New Roman" w:cs="Times New Roman"/>
        </w:rPr>
        <w:t>effective immediately, to acquire an option on an MMPR application which is nearing completion</w:t>
      </w:r>
      <w:r>
        <w:rPr>
          <w:rFonts w:ascii="Times New Roman" w:hAnsi="Times New Roman" w:cs="Times New Roman"/>
        </w:rPr>
        <w:t xml:space="preserve"> </w:t>
      </w:r>
      <w:r w:rsidRPr="005C406C">
        <w:rPr>
          <w:rFonts w:ascii="Times New Roman" w:hAnsi="Times New Roman" w:cs="Times New Roman"/>
        </w:rPr>
        <w:t>for filing with Health Canada. The application includes a 30 acre site within the ALR located in</w:t>
      </w:r>
      <w:r>
        <w:rPr>
          <w:rFonts w:ascii="Times New Roman" w:hAnsi="Times New Roman" w:cs="Times New Roman"/>
        </w:rPr>
        <w:t xml:space="preserve"> </w:t>
      </w:r>
      <w:r w:rsidRPr="005C406C">
        <w:rPr>
          <w:rFonts w:ascii="Times New Roman" w:hAnsi="Times New Roman" w:cs="Times New Roman"/>
        </w:rPr>
        <w:t>south Nanaimo and a highly professional expert team. Consideration consists of 500,000</w:t>
      </w:r>
      <w:r>
        <w:rPr>
          <w:rFonts w:ascii="Times New Roman" w:hAnsi="Times New Roman" w:cs="Times New Roman"/>
        </w:rPr>
        <w:t xml:space="preserve"> </w:t>
      </w:r>
      <w:r w:rsidRPr="005C406C">
        <w:rPr>
          <w:rFonts w:ascii="Times New Roman" w:hAnsi="Times New Roman" w:cs="Times New Roman"/>
        </w:rPr>
        <w:t>shares of Wildflower within 10 days of a public announcement and a further 6,000,000 shares of</w:t>
      </w:r>
      <w:r>
        <w:rPr>
          <w:rFonts w:ascii="Times New Roman" w:hAnsi="Times New Roman" w:cs="Times New Roman"/>
        </w:rPr>
        <w:t xml:space="preserve"> </w:t>
      </w:r>
      <w:r w:rsidRPr="005C406C">
        <w:rPr>
          <w:rFonts w:ascii="Times New Roman" w:hAnsi="Times New Roman" w:cs="Times New Roman"/>
        </w:rPr>
        <w:t>Wildflower upon the Vendor receiving its “right to build” a growing facility from Health Canada.</w:t>
      </w:r>
      <w:r>
        <w:rPr>
          <w:rFonts w:ascii="Times New Roman" w:hAnsi="Times New Roman" w:cs="Times New Roman"/>
        </w:rPr>
        <w:t xml:space="preserve"> </w:t>
      </w:r>
      <w:r w:rsidRPr="005C406C">
        <w:rPr>
          <w:rFonts w:ascii="Times New Roman" w:hAnsi="Times New Roman" w:cs="Times New Roman"/>
        </w:rPr>
        <w:t>Based on the previous closing price of the Company’s shares of $0.18 this would place a value</w:t>
      </w:r>
      <w:r>
        <w:rPr>
          <w:rFonts w:ascii="Times New Roman" w:hAnsi="Times New Roman" w:cs="Times New Roman"/>
        </w:rPr>
        <w:t xml:space="preserve"> </w:t>
      </w:r>
      <w:r w:rsidRPr="005C406C">
        <w:rPr>
          <w:rFonts w:ascii="Times New Roman" w:hAnsi="Times New Roman" w:cs="Times New Roman"/>
        </w:rPr>
        <w:t>of $1,170,000 for the total consideration for the option agreement, being 6,500,000 shares. The</w:t>
      </w:r>
      <w:r>
        <w:rPr>
          <w:rFonts w:ascii="Times New Roman" w:hAnsi="Times New Roman" w:cs="Times New Roman"/>
        </w:rPr>
        <w:t xml:space="preserve"> </w:t>
      </w:r>
      <w:r w:rsidRPr="005C406C">
        <w:rPr>
          <w:rFonts w:ascii="Times New Roman" w:hAnsi="Times New Roman" w:cs="Times New Roman"/>
        </w:rPr>
        <w:t>6,000,000 shares will be subject to a three year escrow agreement. The option will terminate if</w:t>
      </w:r>
      <w:r>
        <w:rPr>
          <w:rFonts w:ascii="Times New Roman" w:hAnsi="Times New Roman" w:cs="Times New Roman"/>
        </w:rPr>
        <w:t xml:space="preserve"> </w:t>
      </w:r>
      <w:r w:rsidRPr="005C406C">
        <w:rPr>
          <w:rFonts w:ascii="Times New Roman" w:hAnsi="Times New Roman" w:cs="Times New Roman"/>
        </w:rPr>
        <w:t>the Company does not receive its right to build from Health Canada or by mutual consent of the</w:t>
      </w:r>
      <w:r>
        <w:rPr>
          <w:rFonts w:ascii="Times New Roman" w:hAnsi="Times New Roman" w:cs="Times New Roman"/>
        </w:rPr>
        <w:t xml:space="preserve"> </w:t>
      </w:r>
      <w:r w:rsidRPr="005C406C">
        <w:rPr>
          <w:rFonts w:ascii="Times New Roman" w:hAnsi="Times New Roman" w:cs="Times New Roman"/>
        </w:rPr>
        <w:t>parties to the agreement.</w:t>
      </w:r>
    </w:p>
    <w:p w:rsidR="005C406C" w:rsidRPr="005C406C" w:rsidRDefault="005C406C" w:rsidP="005C406C">
      <w:pPr>
        <w:autoSpaceDE w:val="0"/>
        <w:autoSpaceDN w:val="0"/>
        <w:adjustRightInd w:val="0"/>
        <w:spacing w:after="0" w:line="240" w:lineRule="auto"/>
        <w:ind w:left="720"/>
        <w:jc w:val="both"/>
        <w:rPr>
          <w:rFonts w:ascii="Times New Roman" w:hAnsi="Times New Roman" w:cs="Times New Roman"/>
        </w:rPr>
      </w:pPr>
    </w:p>
    <w:p w:rsidR="001A1734"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The application provides for the possession, sale, delivery, destruction and production of dried</w:t>
      </w:r>
      <w:r>
        <w:rPr>
          <w:rFonts w:ascii="Times New Roman" w:hAnsi="Times New Roman" w:cs="Times New Roman"/>
        </w:rPr>
        <w:t xml:space="preserve"> </w:t>
      </w:r>
      <w:r w:rsidRPr="005C406C">
        <w:rPr>
          <w:rFonts w:ascii="Times New Roman" w:hAnsi="Times New Roman" w:cs="Times New Roman"/>
        </w:rPr>
        <w:t>marijuana. The proposed growing site for growing the medicinal marijuana in the application is</w:t>
      </w:r>
      <w:r>
        <w:rPr>
          <w:rFonts w:ascii="Times New Roman" w:hAnsi="Times New Roman" w:cs="Times New Roman"/>
        </w:rPr>
        <w:t xml:space="preserve"> </w:t>
      </w:r>
      <w:r w:rsidRPr="005C406C">
        <w:rPr>
          <w:rFonts w:ascii="Times New Roman" w:hAnsi="Times New Roman" w:cs="Times New Roman"/>
        </w:rPr>
        <w:t>123 metres by 49 metres with one proposed building to be constructed within this area. The</w:t>
      </w:r>
      <w:r>
        <w:rPr>
          <w:rFonts w:ascii="Times New Roman" w:hAnsi="Times New Roman" w:cs="Times New Roman"/>
        </w:rPr>
        <w:t xml:space="preserve"> </w:t>
      </w:r>
      <w:r w:rsidRPr="005C406C">
        <w:rPr>
          <w:rFonts w:ascii="Times New Roman" w:hAnsi="Times New Roman" w:cs="Times New Roman"/>
        </w:rPr>
        <w:t>building will be two stories and be 113 by 40 metres in size encompassing approximately 15</w:t>
      </w:r>
      <w:r>
        <w:rPr>
          <w:rFonts w:ascii="Times New Roman" w:hAnsi="Times New Roman" w:cs="Times New Roman"/>
        </w:rPr>
        <w:t xml:space="preserve"> </w:t>
      </w:r>
      <w:r w:rsidRPr="005C406C">
        <w:rPr>
          <w:rFonts w:ascii="Times New Roman" w:hAnsi="Times New Roman" w:cs="Times New Roman"/>
        </w:rPr>
        <w:t>growing rooms. The building will also house offices, a laboratory, processing rooms, a</w:t>
      </w:r>
      <w:r>
        <w:rPr>
          <w:rFonts w:ascii="Times New Roman" w:hAnsi="Times New Roman" w:cs="Times New Roman"/>
        </w:rPr>
        <w:t xml:space="preserve"> </w:t>
      </w:r>
      <w:r w:rsidRPr="005C406C">
        <w:rPr>
          <w:rFonts w:ascii="Times New Roman" w:hAnsi="Times New Roman" w:cs="Times New Roman"/>
        </w:rPr>
        <w:t>decontamination area, safe and storage areas. Total growing space will be 50,000 square feet</w:t>
      </w:r>
      <w:r>
        <w:rPr>
          <w:rFonts w:ascii="Times New Roman" w:hAnsi="Times New Roman" w:cs="Times New Roman"/>
        </w:rPr>
        <w:t xml:space="preserve"> </w:t>
      </w:r>
      <w:r w:rsidRPr="005C406C">
        <w:rPr>
          <w:rFonts w:ascii="Times New Roman" w:hAnsi="Times New Roman" w:cs="Times New Roman"/>
        </w:rPr>
        <w:t>in the first year and 82,000 square feet in year two. The application proposes growing up to</w:t>
      </w:r>
      <w:r>
        <w:rPr>
          <w:rFonts w:ascii="Times New Roman" w:hAnsi="Times New Roman" w:cs="Times New Roman"/>
        </w:rPr>
        <w:t xml:space="preserve"> </w:t>
      </w:r>
      <w:r w:rsidRPr="005C406C">
        <w:rPr>
          <w:rFonts w:ascii="Times New Roman" w:hAnsi="Times New Roman" w:cs="Times New Roman"/>
        </w:rPr>
        <w:t>7,000 kilograms of dried marijuana in year one and 10,000 kilograms of dried marijuana in year</w:t>
      </w:r>
      <w:r>
        <w:rPr>
          <w:rFonts w:ascii="Times New Roman" w:hAnsi="Times New Roman" w:cs="Times New Roman"/>
        </w:rPr>
        <w:t xml:space="preserve"> </w:t>
      </w:r>
      <w:r w:rsidRPr="005C406C">
        <w:rPr>
          <w:rFonts w:ascii="Times New Roman" w:hAnsi="Times New Roman" w:cs="Times New Roman"/>
        </w:rPr>
        <w:t>two. The estimated cost of the building and timing for construction cannot currently be made.</w:t>
      </w:r>
    </w:p>
    <w:p w:rsidR="005C406C" w:rsidRDefault="005C406C" w:rsidP="005C406C">
      <w:pPr>
        <w:autoSpaceDE w:val="0"/>
        <w:autoSpaceDN w:val="0"/>
        <w:adjustRightInd w:val="0"/>
        <w:spacing w:after="0" w:line="240" w:lineRule="auto"/>
        <w:ind w:left="720"/>
        <w:jc w:val="both"/>
        <w:rPr>
          <w:rFonts w:ascii="Times New Roman" w:hAnsi="Times New Roman" w:cs="Times New Roman"/>
        </w:rPr>
      </w:pPr>
    </w:p>
    <w:p w:rsidR="005C406C" w:rsidRDefault="005C406C" w:rsidP="005C406C">
      <w:pPr>
        <w:autoSpaceDE w:val="0"/>
        <w:autoSpaceDN w:val="0"/>
        <w:adjustRightInd w:val="0"/>
        <w:spacing w:after="0" w:line="240" w:lineRule="auto"/>
        <w:ind w:left="720"/>
        <w:jc w:val="both"/>
        <w:rPr>
          <w:rFonts w:ascii="Times New Roman" w:hAnsi="Times New Roman" w:cs="Times New Roman"/>
          <w:u w:val="single"/>
        </w:rPr>
      </w:pPr>
      <w:r w:rsidRPr="005C406C">
        <w:rPr>
          <w:rFonts w:ascii="Times New Roman" w:hAnsi="Times New Roman" w:cs="Times New Roman"/>
          <w:u w:val="single"/>
        </w:rPr>
        <w:t>The MMPR application process</w:t>
      </w:r>
    </w:p>
    <w:p w:rsidR="005C406C" w:rsidRPr="005C406C" w:rsidRDefault="005C406C" w:rsidP="005C406C">
      <w:pPr>
        <w:autoSpaceDE w:val="0"/>
        <w:autoSpaceDN w:val="0"/>
        <w:adjustRightInd w:val="0"/>
        <w:spacing w:after="0" w:line="240" w:lineRule="auto"/>
        <w:ind w:left="720"/>
        <w:jc w:val="both"/>
        <w:rPr>
          <w:rFonts w:ascii="Times New Roman" w:hAnsi="Times New Roman" w:cs="Times New Roman"/>
          <w:u w:val="single"/>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For those not familiar with the Health Canada’s process for granting a license to grow medicinal</w:t>
      </w:r>
      <w:r>
        <w:rPr>
          <w:rFonts w:ascii="Times New Roman" w:hAnsi="Times New Roman" w:cs="Times New Roman"/>
        </w:rPr>
        <w:t xml:space="preserve"> </w:t>
      </w:r>
      <w:r w:rsidRPr="005C406C">
        <w:rPr>
          <w:rFonts w:ascii="Times New Roman" w:hAnsi="Times New Roman" w:cs="Times New Roman"/>
        </w:rPr>
        <w:t>marijuana, the process is very stringent and includes:</w:t>
      </w:r>
    </w:p>
    <w:p w:rsidR="005C406C" w:rsidRPr="005C406C" w:rsidRDefault="005C406C" w:rsidP="005C406C">
      <w:pPr>
        <w:autoSpaceDE w:val="0"/>
        <w:autoSpaceDN w:val="0"/>
        <w:adjustRightInd w:val="0"/>
        <w:spacing w:after="0" w:line="240" w:lineRule="auto"/>
        <w:ind w:left="720"/>
        <w:jc w:val="both"/>
        <w:rPr>
          <w:rFonts w:ascii="Times New Roman" w:hAnsi="Times New Roman" w:cs="Times New Roman"/>
        </w:rPr>
      </w:pPr>
    </w:p>
    <w:p w:rsidR="005C406C" w:rsidRPr="005C406C" w:rsidRDefault="005C406C" w:rsidP="005C406C">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1: preliminary screening;</w:t>
      </w:r>
    </w:p>
    <w:p w:rsidR="005C406C" w:rsidRPr="005C406C" w:rsidRDefault="005C406C" w:rsidP="005C406C">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2: enhanced screening;</w:t>
      </w:r>
    </w:p>
    <w:p w:rsidR="005C406C" w:rsidRPr="005C406C" w:rsidRDefault="005C406C" w:rsidP="005C406C">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3: security clearance;</w:t>
      </w:r>
    </w:p>
    <w:p w:rsidR="005C406C" w:rsidRPr="005C406C" w:rsidRDefault="005C406C" w:rsidP="005C406C">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4: review;</w:t>
      </w:r>
    </w:p>
    <w:p w:rsidR="005C406C" w:rsidRPr="005C406C" w:rsidRDefault="005C406C" w:rsidP="005C406C">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5: ready to build letter;</w:t>
      </w:r>
    </w:p>
    <w:p w:rsidR="005C406C" w:rsidRPr="005C406C" w:rsidRDefault="005C406C" w:rsidP="005C406C">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6: pre-licence inspection;</w:t>
      </w:r>
      <w:r>
        <w:rPr>
          <w:rFonts w:ascii="Times New Roman" w:hAnsi="Times New Roman" w:cs="Times New Roman"/>
        </w:rPr>
        <w:t xml:space="preserve"> and</w:t>
      </w:r>
    </w:p>
    <w:p w:rsidR="005C406C" w:rsidRDefault="005C406C" w:rsidP="005C406C">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7: licensing.</w:t>
      </w:r>
    </w:p>
    <w:p w:rsidR="005C406C" w:rsidRPr="00266CFF" w:rsidRDefault="005C406C" w:rsidP="005C406C">
      <w:pPr>
        <w:autoSpaceDE w:val="0"/>
        <w:autoSpaceDN w:val="0"/>
        <w:adjustRightInd w:val="0"/>
        <w:spacing w:after="0" w:line="240" w:lineRule="auto"/>
        <w:ind w:left="810"/>
        <w:jc w:val="both"/>
        <w:rPr>
          <w:rFonts w:ascii="Times New Roman" w:hAnsi="Times New Roman" w:cs="Times New Roman"/>
          <w:sz w:val="12"/>
          <w:szCs w:val="12"/>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lastRenderedPageBreak/>
        <w:t>The Company cannot make any statement as to when, or if, Health Canada will provide a ready</w:t>
      </w:r>
      <w:r>
        <w:rPr>
          <w:rFonts w:ascii="Times New Roman" w:hAnsi="Times New Roman" w:cs="Times New Roman"/>
        </w:rPr>
        <w:t xml:space="preserve"> </w:t>
      </w:r>
      <w:r w:rsidRPr="005C406C">
        <w:rPr>
          <w:rFonts w:ascii="Times New Roman" w:hAnsi="Times New Roman" w:cs="Times New Roman"/>
        </w:rPr>
        <w:t>to build letter or complete the initial four steps in the licensing process. Until the Company is</w:t>
      </w:r>
      <w:r>
        <w:rPr>
          <w:rFonts w:ascii="Times New Roman" w:hAnsi="Times New Roman" w:cs="Times New Roman"/>
        </w:rPr>
        <w:t xml:space="preserve"> </w:t>
      </w:r>
      <w:r w:rsidRPr="005C406C">
        <w:rPr>
          <w:rFonts w:ascii="Times New Roman" w:hAnsi="Times New Roman" w:cs="Times New Roman"/>
        </w:rPr>
        <w:t>granted a license it will not be legally permitted to grow or sell medical marijuana and no license</w:t>
      </w:r>
      <w:r>
        <w:rPr>
          <w:rFonts w:ascii="Times New Roman" w:hAnsi="Times New Roman" w:cs="Times New Roman"/>
        </w:rPr>
        <w:t xml:space="preserve"> </w:t>
      </w:r>
      <w:r w:rsidRPr="005C406C">
        <w:rPr>
          <w:rFonts w:ascii="Times New Roman" w:hAnsi="Times New Roman" w:cs="Times New Roman"/>
        </w:rPr>
        <w:t>will be granted until a growing facility meeting the rigorous licensing requirements of Health</w:t>
      </w:r>
      <w:r>
        <w:rPr>
          <w:rFonts w:ascii="Times New Roman" w:hAnsi="Times New Roman" w:cs="Times New Roman"/>
        </w:rPr>
        <w:t xml:space="preserve"> </w:t>
      </w:r>
      <w:r w:rsidRPr="005C406C">
        <w:rPr>
          <w:rFonts w:ascii="Times New Roman" w:hAnsi="Times New Roman" w:cs="Times New Roman"/>
        </w:rPr>
        <w:t>Canada is built and inspected to Health Canada’s satisfaction.</w:t>
      </w:r>
    </w:p>
    <w:p w:rsidR="005C406C" w:rsidRPr="005C406C" w:rsidRDefault="005C406C" w:rsidP="005C406C">
      <w:pPr>
        <w:autoSpaceDE w:val="0"/>
        <w:autoSpaceDN w:val="0"/>
        <w:adjustRightInd w:val="0"/>
        <w:spacing w:after="0" w:line="240" w:lineRule="auto"/>
        <w:ind w:left="720"/>
        <w:jc w:val="both"/>
        <w:rPr>
          <w:rFonts w:ascii="Times New Roman" w:hAnsi="Times New Roman" w:cs="Times New Roman"/>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Included in the application is significant infrastructural requirements for attaining and</w:t>
      </w:r>
      <w:r>
        <w:rPr>
          <w:rFonts w:ascii="Times New Roman" w:hAnsi="Times New Roman" w:cs="Times New Roman"/>
        </w:rPr>
        <w:t xml:space="preserve"> </w:t>
      </w:r>
      <w:r w:rsidRPr="005C406C">
        <w:rPr>
          <w:rFonts w:ascii="Times New Roman" w:hAnsi="Times New Roman" w:cs="Times New Roman"/>
        </w:rPr>
        <w:t>maintaining a license such as various security levels throughout the site, continuous visual</w:t>
      </w:r>
      <w:r>
        <w:rPr>
          <w:rFonts w:ascii="Times New Roman" w:hAnsi="Times New Roman" w:cs="Times New Roman"/>
        </w:rPr>
        <w:t xml:space="preserve"> </w:t>
      </w:r>
      <w:r w:rsidRPr="005C406C">
        <w:rPr>
          <w:rFonts w:ascii="Times New Roman" w:hAnsi="Times New Roman" w:cs="Times New Roman"/>
        </w:rPr>
        <w:t>monitoring of the plants, closed air filtration systems and other controls around distribution and</w:t>
      </w:r>
      <w:r>
        <w:rPr>
          <w:rFonts w:ascii="Times New Roman" w:hAnsi="Times New Roman" w:cs="Times New Roman"/>
        </w:rPr>
        <w:t xml:space="preserve"> </w:t>
      </w:r>
      <w:r w:rsidRPr="005C406C">
        <w:rPr>
          <w:rFonts w:ascii="Times New Roman" w:hAnsi="Times New Roman" w:cs="Times New Roman"/>
        </w:rPr>
        <w:t xml:space="preserve">access. Also included in the application </w:t>
      </w:r>
      <w:proofErr w:type="gramStart"/>
      <w:r w:rsidRPr="005C406C">
        <w:rPr>
          <w:rFonts w:ascii="Times New Roman" w:hAnsi="Times New Roman" w:cs="Times New Roman"/>
        </w:rPr>
        <w:t>is</w:t>
      </w:r>
      <w:proofErr w:type="gramEnd"/>
      <w:r w:rsidRPr="005C406C">
        <w:rPr>
          <w:rFonts w:ascii="Times New Roman" w:hAnsi="Times New Roman" w:cs="Times New Roman"/>
        </w:rPr>
        <w:t xml:space="preserve"> very detailed controls and procedures for the</w:t>
      </w:r>
      <w:r>
        <w:rPr>
          <w:rFonts w:ascii="Times New Roman" w:hAnsi="Times New Roman" w:cs="Times New Roman"/>
        </w:rPr>
        <w:t xml:space="preserve"> </w:t>
      </w:r>
      <w:r w:rsidRPr="005C406C">
        <w:rPr>
          <w:rFonts w:ascii="Times New Roman" w:hAnsi="Times New Roman" w:cs="Times New Roman"/>
        </w:rPr>
        <w:t>growing, handling and distribution of medicinal marijuana. There is no assurance either of the</w:t>
      </w:r>
      <w:r>
        <w:rPr>
          <w:rFonts w:ascii="Times New Roman" w:hAnsi="Times New Roman" w:cs="Times New Roman"/>
        </w:rPr>
        <w:t xml:space="preserve"> </w:t>
      </w:r>
      <w:r w:rsidRPr="005C406C">
        <w:rPr>
          <w:rFonts w:ascii="Times New Roman" w:hAnsi="Times New Roman" w:cs="Times New Roman"/>
        </w:rPr>
        <w:t>Company’s applications will be successfully completed.</w:t>
      </w:r>
    </w:p>
    <w:p w:rsidR="005C406C" w:rsidRPr="005C406C" w:rsidRDefault="005C406C" w:rsidP="005C406C">
      <w:pPr>
        <w:autoSpaceDE w:val="0"/>
        <w:autoSpaceDN w:val="0"/>
        <w:adjustRightInd w:val="0"/>
        <w:spacing w:after="0" w:line="240" w:lineRule="auto"/>
        <w:ind w:left="720"/>
        <w:jc w:val="both"/>
        <w:rPr>
          <w:rFonts w:ascii="Times New Roman" w:hAnsi="Times New Roman" w:cs="Times New Roman"/>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The main areas of concern Health Canada will focus on together with a brief outline of how the</w:t>
      </w:r>
      <w:r>
        <w:rPr>
          <w:rFonts w:ascii="Times New Roman" w:hAnsi="Times New Roman" w:cs="Times New Roman"/>
        </w:rPr>
        <w:t xml:space="preserve"> </w:t>
      </w:r>
      <w:r w:rsidRPr="005C406C">
        <w:rPr>
          <w:rFonts w:ascii="Times New Roman" w:hAnsi="Times New Roman" w:cs="Times New Roman"/>
        </w:rPr>
        <w:t>Company has addressed these issues include:</w:t>
      </w:r>
    </w:p>
    <w:p w:rsidR="005C406C" w:rsidRDefault="005C406C" w:rsidP="005C406C">
      <w:pPr>
        <w:autoSpaceDE w:val="0"/>
        <w:autoSpaceDN w:val="0"/>
        <w:adjustRightInd w:val="0"/>
        <w:spacing w:after="0" w:line="240" w:lineRule="auto"/>
        <w:ind w:left="720"/>
        <w:jc w:val="both"/>
        <w:rPr>
          <w:rFonts w:ascii="Times New Roman" w:hAnsi="Times New Roman" w:cs="Times New Roman"/>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DE3C92">
        <w:rPr>
          <w:rFonts w:ascii="Times New Roman" w:hAnsi="Times New Roman" w:cs="Times New Roman"/>
          <w:i/>
          <w:u w:val="single"/>
        </w:rPr>
        <w:t>Site</w:t>
      </w:r>
      <w:r>
        <w:rPr>
          <w:rFonts w:ascii="Times New Roman" w:hAnsi="Times New Roman" w:cs="Times New Roman"/>
        </w:rPr>
        <w:t xml:space="preserve"> – Local jurisdictions must permit the growing of medical marijuana. The Company sought </w:t>
      </w:r>
      <w:r w:rsidRPr="005C406C">
        <w:rPr>
          <w:rFonts w:ascii="Times New Roman" w:hAnsi="Times New Roman" w:cs="Times New Roman"/>
        </w:rPr>
        <w:t>out proposed sites in jurisdictions which had already developed their own policies and</w:t>
      </w:r>
      <w:r w:rsidR="00DE3C92">
        <w:rPr>
          <w:rFonts w:ascii="Times New Roman" w:hAnsi="Times New Roman" w:cs="Times New Roman"/>
        </w:rPr>
        <w:t xml:space="preserve"> </w:t>
      </w:r>
      <w:r w:rsidRPr="005C406C">
        <w:rPr>
          <w:rFonts w:ascii="Times New Roman" w:hAnsi="Times New Roman" w:cs="Times New Roman"/>
        </w:rPr>
        <w:t>regulations. The Agricultural Land Commission recognizes the growing of medicinal marijuana</w:t>
      </w:r>
      <w:r w:rsidR="00DE3C92">
        <w:rPr>
          <w:rFonts w:ascii="Times New Roman" w:hAnsi="Times New Roman" w:cs="Times New Roman"/>
        </w:rPr>
        <w:t xml:space="preserve"> </w:t>
      </w:r>
      <w:r w:rsidRPr="005C406C">
        <w:rPr>
          <w:rFonts w:ascii="Times New Roman" w:hAnsi="Times New Roman" w:cs="Times New Roman"/>
        </w:rPr>
        <w:t>as a farm activity and appropriate for property within the ALR. Further, the Regional District of</w:t>
      </w:r>
      <w:r w:rsidR="00DE3C92">
        <w:rPr>
          <w:rFonts w:ascii="Times New Roman" w:hAnsi="Times New Roman" w:cs="Times New Roman"/>
        </w:rPr>
        <w:t xml:space="preserve"> </w:t>
      </w:r>
      <w:r w:rsidRPr="005C406C">
        <w:rPr>
          <w:rFonts w:ascii="Times New Roman" w:hAnsi="Times New Roman" w:cs="Times New Roman"/>
        </w:rPr>
        <w:t>Nanaimo held public hearings and implemented its own policies to permit the growing of</w:t>
      </w:r>
      <w:r w:rsidR="00DE3C92">
        <w:rPr>
          <w:rFonts w:ascii="Times New Roman" w:hAnsi="Times New Roman" w:cs="Times New Roman"/>
        </w:rPr>
        <w:t xml:space="preserve"> </w:t>
      </w:r>
      <w:r w:rsidRPr="005C406C">
        <w:rPr>
          <w:rFonts w:ascii="Times New Roman" w:hAnsi="Times New Roman" w:cs="Times New Roman"/>
        </w:rPr>
        <w:t>medicinal marijuana on the ALR, subject to various requirements such as a 30 metre setback</w:t>
      </w:r>
      <w:r w:rsidR="00DE3C92">
        <w:rPr>
          <w:rFonts w:ascii="Times New Roman" w:hAnsi="Times New Roman" w:cs="Times New Roman"/>
        </w:rPr>
        <w:t xml:space="preserve"> </w:t>
      </w:r>
      <w:r w:rsidRPr="005C406C">
        <w:rPr>
          <w:rFonts w:ascii="Times New Roman" w:hAnsi="Times New Roman" w:cs="Times New Roman"/>
        </w:rPr>
        <w:t>from property boundaries. Both our properties are located on the ALR within the Regional</w:t>
      </w:r>
      <w:r w:rsidR="00DE3C92">
        <w:rPr>
          <w:rFonts w:ascii="Times New Roman" w:hAnsi="Times New Roman" w:cs="Times New Roman"/>
        </w:rPr>
        <w:t xml:space="preserve"> </w:t>
      </w:r>
      <w:r w:rsidRPr="005C406C">
        <w:rPr>
          <w:rFonts w:ascii="Times New Roman" w:hAnsi="Times New Roman" w:cs="Times New Roman"/>
        </w:rPr>
        <w:t>District of Nanaimo.</w:t>
      </w:r>
    </w:p>
    <w:p w:rsidR="00DE3C92" w:rsidRPr="005C406C" w:rsidRDefault="00DE3C92" w:rsidP="005C406C">
      <w:pPr>
        <w:autoSpaceDE w:val="0"/>
        <w:autoSpaceDN w:val="0"/>
        <w:adjustRightInd w:val="0"/>
        <w:spacing w:after="0" w:line="240" w:lineRule="auto"/>
        <w:ind w:left="720"/>
        <w:jc w:val="both"/>
        <w:rPr>
          <w:rFonts w:ascii="Times New Roman" w:hAnsi="Times New Roman" w:cs="Times New Roman"/>
        </w:rPr>
      </w:pPr>
    </w:p>
    <w:p w:rsidR="005C406C" w:rsidRPr="005C406C" w:rsidRDefault="005C406C" w:rsidP="005C406C">
      <w:pPr>
        <w:autoSpaceDE w:val="0"/>
        <w:autoSpaceDN w:val="0"/>
        <w:adjustRightInd w:val="0"/>
        <w:spacing w:after="0" w:line="240" w:lineRule="auto"/>
        <w:ind w:left="720"/>
        <w:jc w:val="both"/>
        <w:rPr>
          <w:rFonts w:ascii="Times New Roman" w:hAnsi="Times New Roman" w:cs="Times New Roman"/>
        </w:rPr>
      </w:pPr>
      <w:r w:rsidRPr="00DE3C92">
        <w:rPr>
          <w:rFonts w:ascii="Times New Roman" w:hAnsi="Times New Roman" w:cs="Times New Roman"/>
          <w:i/>
          <w:u w:val="single"/>
        </w:rPr>
        <w:t>Quality Assurance Person</w:t>
      </w:r>
      <w:r w:rsidRPr="005C406C">
        <w:rPr>
          <w:rFonts w:ascii="Times New Roman" w:hAnsi="Times New Roman" w:cs="Times New Roman"/>
        </w:rPr>
        <w:t xml:space="preserve"> – This person is critical in the MMPR application. The Quality</w:t>
      </w: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Assurance Person should not only have a background in plants and growing but also in the</w:t>
      </w:r>
      <w:r w:rsidR="00DE3C92">
        <w:rPr>
          <w:rFonts w:ascii="Times New Roman" w:hAnsi="Times New Roman" w:cs="Times New Roman"/>
        </w:rPr>
        <w:t xml:space="preserve"> </w:t>
      </w:r>
      <w:r w:rsidRPr="005C406C">
        <w:rPr>
          <w:rFonts w:ascii="Times New Roman" w:hAnsi="Times New Roman" w:cs="Times New Roman"/>
        </w:rPr>
        <w:t>pharmaceutical sector with experience implementing strict standard operating procedures. We</w:t>
      </w:r>
      <w:r w:rsidR="00DE3C92">
        <w:rPr>
          <w:rFonts w:ascii="Times New Roman" w:hAnsi="Times New Roman" w:cs="Times New Roman"/>
        </w:rPr>
        <w:t xml:space="preserve"> </w:t>
      </w:r>
      <w:r w:rsidRPr="005C406C">
        <w:rPr>
          <w:rFonts w:ascii="Times New Roman" w:hAnsi="Times New Roman" w:cs="Times New Roman"/>
        </w:rPr>
        <w:t>believe both our Quality Assurance Persons to be highly qualified. One has a Ph.D. in</w:t>
      </w:r>
      <w:r w:rsidR="00DE3C92">
        <w:rPr>
          <w:rFonts w:ascii="Times New Roman" w:hAnsi="Times New Roman" w:cs="Times New Roman"/>
        </w:rPr>
        <w:t xml:space="preserve"> </w:t>
      </w:r>
      <w:r w:rsidRPr="005C406C">
        <w:rPr>
          <w:rFonts w:ascii="Times New Roman" w:hAnsi="Times New Roman" w:cs="Times New Roman"/>
        </w:rPr>
        <w:t>Microbiology with a focus on plant pathology and has extensive experience dealing with Health</w:t>
      </w:r>
      <w:r w:rsidR="00DE3C92">
        <w:rPr>
          <w:rFonts w:ascii="Times New Roman" w:hAnsi="Times New Roman" w:cs="Times New Roman"/>
        </w:rPr>
        <w:t xml:space="preserve"> </w:t>
      </w:r>
      <w:r w:rsidRPr="005C406C">
        <w:rPr>
          <w:rFonts w:ascii="Times New Roman" w:hAnsi="Times New Roman" w:cs="Times New Roman"/>
        </w:rPr>
        <w:t>Canada and the FDA. He was employed for 10 years as a Manager of Quality Assurance and</w:t>
      </w:r>
      <w:r w:rsidR="00DE3C92">
        <w:rPr>
          <w:rFonts w:ascii="Times New Roman" w:hAnsi="Times New Roman" w:cs="Times New Roman"/>
        </w:rPr>
        <w:t xml:space="preserve"> </w:t>
      </w:r>
      <w:r w:rsidRPr="005C406C">
        <w:rPr>
          <w:rFonts w:ascii="Times New Roman" w:hAnsi="Times New Roman" w:cs="Times New Roman"/>
        </w:rPr>
        <w:t>Regulatory Affairs with a pharmaceutical company developing and establishing a quality</w:t>
      </w:r>
      <w:r w:rsidR="00DE3C92">
        <w:rPr>
          <w:rFonts w:ascii="Times New Roman" w:hAnsi="Times New Roman" w:cs="Times New Roman"/>
        </w:rPr>
        <w:t xml:space="preserve"> </w:t>
      </w:r>
      <w:r w:rsidRPr="005C406C">
        <w:rPr>
          <w:rFonts w:ascii="Times New Roman" w:hAnsi="Times New Roman" w:cs="Times New Roman"/>
        </w:rPr>
        <w:t>system, writing and maintaining standard operating procedures, employee Good Management</w:t>
      </w:r>
      <w:r w:rsidR="00DE3C92">
        <w:rPr>
          <w:rFonts w:ascii="Times New Roman" w:hAnsi="Times New Roman" w:cs="Times New Roman"/>
        </w:rPr>
        <w:t xml:space="preserve"> </w:t>
      </w:r>
      <w:r w:rsidRPr="005C406C">
        <w:rPr>
          <w:rFonts w:ascii="Times New Roman" w:hAnsi="Times New Roman" w:cs="Times New Roman"/>
        </w:rPr>
        <w:t>Practice training, taking responsibility for all internal and external (government and third party)</w:t>
      </w:r>
      <w:r w:rsidR="00DE3C92">
        <w:rPr>
          <w:rFonts w:ascii="Times New Roman" w:hAnsi="Times New Roman" w:cs="Times New Roman"/>
        </w:rPr>
        <w:t xml:space="preserve"> </w:t>
      </w:r>
      <w:r w:rsidRPr="005C406C">
        <w:rPr>
          <w:rFonts w:ascii="Times New Roman" w:hAnsi="Times New Roman" w:cs="Times New Roman"/>
        </w:rPr>
        <w:t>audits, product certification and supervising the company’s in-house Microbiology Laboratory.</w:t>
      </w:r>
      <w:r w:rsidR="00DE3C92">
        <w:rPr>
          <w:rFonts w:ascii="Times New Roman" w:hAnsi="Times New Roman" w:cs="Times New Roman"/>
        </w:rPr>
        <w:t xml:space="preserve"> </w:t>
      </w:r>
      <w:r w:rsidRPr="005C406C">
        <w:rPr>
          <w:rFonts w:ascii="Times New Roman" w:hAnsi="Times New Roman" w:cs="Times New Roman"/>
        </w:rPr>
        <w:t>In addition, he was assigned as an expert member of the Health Canada board responsible for</w:t>
      </w:r>
      <w:r w:rsidR="00DE3C92">
        <w:rPr>
          <w:rFonts w:ascii="Times New Roman" w:hAnsi="Times New Roman" w:cs="Times New Roman"/>
        </w:rPr>
        <w:t xml:space="preserve"> </w:t>
      </w:r>
      <w:r w:rsidRPr="005C406C">
        <w:rPr>
          <w:rFonts w:ascii="Times New Roman" w:hAnsi="Times New Roman" w:cs="Times New Roman"/>
        </w:rPr>
        <w:t>NHPD’s (Natural Health Products Regulations) Risk Based Approach to Site Licensing</w:t>
      </w:r>
      <w:r w:rsidR="00DE3C92">
        <w:rPr>
          <w:rFonts w:ascii="Times New Roman" w:hAnsi="Times New Roman" w:cs="Times New Roman"/>
        </w:rPr>
        <w:t xml:space="preserve"> </w:t>
      </w:r>
      <w:r w:rsidRPr="005C406C">
        <w:rPr>
          <w:rFonts w:ascii="Times New Roman" w:hAnsi="Times New Roman" w:cs="Times New Roman"/>
        </w:rPr>
        <w:t>(RBASL). In 2004 he helped his company through a similar licensing process to MMPR when</w:t>
      </w:r>
      <w:r w:rsidR="00DE3C92">
        <w:rPr>
          <w:rFonts w:ascii="Times New Roman" w:hAnsi="Times New Roman" w:cs="Times New Roman"/>
        </w:rPr>
        <w:t xml:space="preserve"> </w:t>
      </w:r>
      <w:r w:rsidRPr="005C406C">
        <w:rPr>
          <w:rFonts w:ascii="Times New Roman" w:hAnsi="Times New Roman" w:cs="Times New Roman"/>
        </w:rPr>
        <w:t>Health Canada created the NHPD. Our second Quality Assurance Person is a Professional</w:t>
      </w:r>
      <w:r w:rsidR="00DE3C92">
        <w:rPr>
          <w:rFonts w:ascii="Times New Roman" w:hAnsi="Times New Roman" w:cs="Times New Roman"/>
        </w:rPr>
        <w:t xml:space="preserve"> </w:t>
      </w:r>
      <w:proofErr w:type="spellStart"/>
      <w:r w:rsidRPr="005C406C">
        <w:rPr>
          <w:rFonts w:ascii="Times New Roman" w:hAnsi="Times New Roman" w:cs="Times New Roman"/>
        </w:rPr>
        <w:t>Agrologist</w:t>
      </w:r>
      <w:proofErr w:type="spellEnd"/>
      <w:r w:rsidRPr="005C406C">
        <w:rPr>
          <w:rFonts w:ascii="Times New Roman" w:hAnsi="Times New Roman" w:cs="Times New Roman"/>
        </w:rPr>
        <w:t xml:space="preserve"> with the BC Institute of </w:t>
      </w:r>
      <w:proofErr w:type="spellStart"/>
      <w:r w:rsidRPr="005C406C">
        <w:rPr>
          <w:rFonts w:ascii="Times New Roman" w:hAnsi="Times New Roman" w:cs="Times New Roman"/>
        </w:rPr>
        <w:t>Agrologists</w:t>
      </w:r>
      <w:proofErr w:type="spellEnd"/>
      <w:r w:rsidRPr="005C406C">
        <w:rPr>
          <w:rFonts w:ascii="Times New Roman" w:hAnsi="Times New Roman" w:cs="Times New Roman"/>
        </w:rPr>
        <w:t xml:space="preserve"> with a Bachelor of Science (Agriculture and</w:t>
      </w:r>
      <w:r w:rsidR="00DE3C92">
        <w:rPr>
          <w:rFonts w:ascii="Times New Roman" w:hAnsi="Times New Roman" w:cs="Times New Roman"/>
        </w:rPr>
        <w:t xml:space="preserve"> </w:t>
      </w:r>
      <w:r w:rsidRPr="005C406C">
        <w:rPr>
          <w:rFonts w:ascii="Times New Roman" w:hAnsi="Times New Roman" w:cs="Times New Roman"/>
        </w:rPr>
        <w:t>Environment) and a diploma in Greenhouse Production with a decade of experience in pest</w:t>
      </w:r>
      <w:r w:rsidR="00DE3C92">
        <w:rPr>
          <w:rFonts w:ascii="Times New Roman" w:hAnsi="Times New Roman" w:cs="Times New Roman"/>
        </w:rPr>
        <w:t xml:space="preserve"> </w:t>
      </w:r>
      <w:r w:rsidRPr="005C406C">
        <w:rPr>
          <w:rFonts w:ascii="Times New Roman" w:hAnsi="Times New Roman" w:cs="Times New Roman"/>
        </w:rPr>
        <w:t>management and greenhouse production. He has previously developed and implemented</w:t>
      </w:r>
      <w:r w:rsidR="00DE3C92">
        <w:rPr>
          <w:rFonts w:ascii="Times New Roman" w:hAnsi="Times New Roman" w:cs="Times New Roman"/>
        </w:rPr>
        <w:t xml:space="preserve"> </w:t>
      </w:r>
      <w:r w:rsidRPr="005C406C">
        <w:rPr>
          <w:rFonts w:ascii="Times New Roman" w:hAnsi="Times New Roman" w:cs="Times New Roman"/>
        </w:rPr>
        <w:t>quality assurance programs.</w:t>
      </w:r>
    </w:p>
    <w:p w:rsidR="00DE3C92" w:rsidRPr="005C406C" w:rsidRDefault="00DE3C92" w:rsidP="005C406C">
      <w:pPr>
        <w:autoSpaceDE w:val="0"/>
        <w:autoSpaceDN w:val="0"/>
        <w:adjustRightInd w:val="0"/>
        <w:spacing w:after="0" w:line="240" w:lineRule="auto"/>
        <w:ind w:left="720"/>
        <w:jc w:val="both"/>
        <w:rPr>
          <w:rFonts w:ascii="Times New Roman" w:hAnsi="Times New Roman" w:cs="Times New Roman"/>
        </w:rPr>
      </w:pPr>
    </w:p>
    <w:p w:rsidR="00120E36" w:rsidRDefault="005C406C" w:rsidP="005C406C">
      <w:pPr>
        <w:autoSpaceDE w:val="0"/>
        <w:autoSpaceDN w:val="0"/>
        <w:adjustRightInd w:val="0"/>
        <w:spacing w:after="0" w:line="240" w:lineRule="auto"/>
        <w:ind w:left="720"/>
        <w:jc w:val="both"/>
        <w:rPr>
          <w:rFonts w:ascii="Times New Roman" w:hAnsi="Times New Roman" w:cs="Times New Roman"/>
        </w:rPr>
      </w:pPr>
      <w:r w:rsidRPr="00DE3C92">
        <w:rPr>
          <w:rFonts w:ascii="Times New Roman" w:hAnsi="Times New Roman" w:cs="Times New Roman"/>
          <w:i/>
          <w:u w:val="single"/>
        </w:rPr>
        <w:t>Security</w:t>
      </w:r>
      <w:r w:rsidRPr="005C406C">
        <w:rPr>
          <w:rFonts w:ascii="Times New Roman" w:hAnsi="Times New Roman" w:cs="Times New Roman"/>
        </w:rPr>
        <w:t xml:space="preserve"> – For the purposes of preparing the security plans for the Company’s</w:t>
      </w:r>
      <w:r w:rsidR="00DE3C92">
        <w:rPr>
          <w:rFonts w:ascii="Times New Roman" w:hAnsi="Times New Roman" w:cs="Times New Roman"/>
        </w:rPr>
        <w:t xml:space="preserve"> </w:t>
      </w:r>
      <w:r w:rsidRPr="005C406C">
        <w:rPr>
          <w:rFonts w:ascii="Times New Roman" w:hAnsi="Times New Roman" w:cs="Times New Roman"/>
        </w:rPr>
        <w:t xml:space="preserve">application Wildflower hired </w:t>
      </w:r>
      <w:proofErr w:type="spellStart"/>
      <w:r w:rsidRPr="005C406C">
        <w:rPr>
          <w:rFonts w:ascii="Times New Roman" w:hAnsi="Times New Roman" w:cs="Times New Roman"/>
        </w:rPr>
        <w:t>Securco</w:t>
      </w:r>
      <w:proofErr w:type="spellEnd"/>
      <w:r w:rsidRPr="005C406C">
        <w:rPr>
          <w:rFonts w:ascii="Times New Roman" w:hAnsi="Times New Roman" w:cs="Times New Roman"/>
        </w:rPr>
        <w:t xml:space="preserve"> Services Inc. (“</w:t>
      </w:r>
      <w:proofErr w:type="spellStart"/>
      <w:r w:rsidRPr="005C406C">
        <w:rPr>
          <w:rFonts w:ascii="Times New Roman" w:hAnsi="Times New Roman" w:cs="Times New Roman"/>
        </w:rPr>
        <w:t>Securco</w:t>
      </w:r>
      <w:proofErr w:type="spellEnd"/>
      <w:r w:rsidRPr="005C406C">
        <w:rPr>
          <w:rFonts w:ascii="Times New Roman" w:hAnsi="Times New Roman" w:cs="Times New Roman"/>
        </w:rPr>
        <w:t xml:space="preserve">”) of Nanaimo. </w:t>
      </w:r>
      <w:proofErr w:type="spellStart"/>
      <w:r w:rsidRPr="005C406C">
        <w:rPr>
          <w:rFonts w:ascii="Times New Roman" w:hAnsi="Times New Roman" w:cs="Times New Roman"/>
        </w:rPr>
        <w:t>Securco</w:t>
      </w:r>
      <w:proofErr w:type="spellEnd"/>
      <w:r w:rsidRPr="005C406C">
        <w:rPr>
          <w:rFonts w:ascii="Times New Roman" w:hAnsi="Times New Roman" w:cs="Times New Roman"/>
        </w:rPr>
        <w:t xml:space="preserve"> has been</w:t>
      </w:r>
      <w:r w:rsidR="00DE3C92">
        <w:rPr>
          <w:rFonts w:ascii="Times New Roman" w:hAnsi="Times New Roman" w:cs="Times New Roman"/>
        </w:rPr>
        <w:t xml:space="preserve"> </w:t>
      </w:r>
    </w:p>
    <w:p w:rsidR="00120E36" w:rsidRDefault="00120E36" w:rsidP="005C406C">
      <w:pPr>
        <w:autoSpaceDE w:val="0"/>
        <w:autoSpaceDN w:val="0"/>
        <w:adjustRightInd w:val="0"/>
        <w:spacing w:after="0" w:line="240" w:lineRule="auto"/>
        <w:ind w:left="720"/>
        <w:jc w:val="both"/>
        <w:rPr>
          <w:rFonts w:ascii="Times New Roman" w:hAnsi="Times New Roman" w:cs="Times New Roman"/>
          <w:sz w:val="12"/>
          <w:szCs w:val="12"/>
        </w:rPr>
      </w:pPr>
    </w:p>
    <w:p w:rsidR="00266CFF" w:rsidRPr="00266CFF" w:rsidRDefault="00266CFF" w:rsidP="005C406C">
      <w:pPr>
        <w:autoSpaceDE w:val="0"/>
        <w:autoSpaceDN w:val="0"/>
        <w:adjustRightInd w:val="0"/>
        <w:spacing w:after="0" w:line="240" w:lineRule="auto"/>
        <w:ind w:left="720"/>
        <w:jc w:val="both"/>
        <w:rPr>
          <w:rFonts w:ascii="Times New Roman" w:hAnsi="Times New Roman" w:cs="Times New Roman"/>
          <w:sz w:val="12"/>
          <w:szCs w:val="12"/>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proofErr w:type="gramStart"/>
      <w:r w:rsidRPr="005C406C">
        <w:rPr>
          <w:rFonts w:ascii="Times New Roman" w:hAnsi="Times New Roman" w:cs="Times New Roman"/>
        </w:rPr>
        <w:lastRenderedPageBreak/>
        <w:t>through</w:t>
      </w:r>
      <w:proofErr w:type="gramEnd"/>
      <w:r w:rsidRPr="005C406C">
        <w:rPr>
          <w:rFonts w:ascii="Times New Roman" w:hAnsi="Times New Roman" w:cs="Times New Roman"/>
        </w:rPr>
        <w:t xml:space="preserve"> the MMPR application process, know the rules and are an acceptable third party</w:t>
      </w:r>
      <w:r w:rsidR="00DE3C92">
        <w:rPr>
          <w:rFonts w:ascii="Times New Roman" w:hAnsi="Times New Roman" w:cs="Times New Roman"/>
        </w:rPr>
        <w:t xml:space="preserve"> </w:t>
      </w:r>
      <w:r w:rsidRPr="005C406C">
        <w:rPr>
          <w:rFonts w:ascii="Times New Roman" w:hAnsi="Times New Roman" w:cs="Times New Roman"/>
        </w:rPr>
        <w:t xml:space="preserve">contractor for Health Canada. </w:t>
      </w:r>
      <w:proofErr w:type="spellStart"/>
      <w:r w:rsidRPr="005C406C">
        <w:rPr>
          <w:rFonts w:ascii="Times New Roman" w:hAnsi="Times New Roman" w:cs="Times New Roman"/>
        </w:rPr>
        <w:t>Securco</w:t>
      </w:r>
      <w:proofErr w:type="spellEnd"/>
      <w:r w:rsidRPr="005C406C">
        <w:rPr>
          <w:rFonts w:ascii="Times New Roman" w:hAnsi="Times New Roman" w:cs="Times New Roman"/>
        </w:rPr>
        <w:t xml:space="preserve"> provides all the security for </w:t>
      </w:r>
      <w:proofErr w:type="spellStart"/>
      <w:r w:rsidRPr="005C406C">
        <w:rPr>
          <w:rFonts w:ascii="Times New Roman" w:hAnsi="Times New Roman" w:cs="Times New Roman"/>
        </w:rPr>
        <w:t>Tilray</w:t>
      </w:r>
      <w:proofErr w:type="spellEnd"/>
      <w:r w:rsidRPr="005C406C">
        <w:rPr>
          <w:rFonts w:ascii="Times New Roman" w:hAnsi="Times New Roman" w:cs="Times New Roman"/>
        </w:rPr>
        <w:t>, a licensed producer</w:t>
      </w:r>
      <w:r w:rsidR="00DE3C92">
        <w:rPr>
          <w:rFonts w:ascii="Times New Roman" w:hAnsi="Times New Roman" w:cs="Times New Roman"/>
        </w:rPr>
        <w:t xml:space="preserve"> </w:t>
      </w:r>
      <w:r w:rsidRPr="005C406C">
        <w:rPr>
          <w:rFonts w:ascii="Times New Roman" w:hAnsi="Times New Roman" w:cs="Times New Roman"/>
        </w:rPr>
        <w:t>under the MMPR located in Nanaimo. For the Company’s overall security advice, the Company</w:t>
      </w:r>
      <w:r w:rsidR="00DE3C92">
        <w:rPr>
          <w:rFonts w:ascii="Times New Roman" w:hAnsi="Times New Roman" w:cs="Times New Roman"/>
        </w:rPr>
        <w:t xml:space="preserve"> </w:t>
      </w:r>
      <w:r w:rsidRPr="005C406C">
        <w:rPr>
          <w:rFonts w:ascii="Times New Roman" w:hAnsi="Times New Roman" w:cs="Times New Roman"/>
        </w:rPr>
        <w:t>has Barry Daniels on its advisory board. Mr. Daniels is a retired police chief (Abbotsford) and a</w:t>
      </w:r>
      <w:r w:rsidR="00DE3C92">
        <w:rPr>
          <w:rFonts w:ascii="Times New Roman" w:hAnsi="Times New Roman" w:cs="Times New Roman"/>
        </w:rPr>
        <w:t xml:space="preserve"> </w:t>
      </w:r>
      <w:r w:rsidRPr="005C406C">
        <w:rPr>
          <w:rFonts w:ascii="Times New Roman" w:hAnsi="Times New Roman" w:cs="Times New Roman"/>
        </w:rPr>
        <w:t>proven leader with over thirty eight years in law enforcement. While with the RCMP for 25 years</w:t>
      </w:r>
      <w:r w:rsidR="00DE3C92">
        <w:rPr>
          <w:rFonts w:ascii="Times New Roman" w:hAnsi="Times New Roman" w:cs="Times New Roman"/>
        </w:rPr>
        <w:t xml:space="preserve"> </w:t>
      </w:r>
      <w:r w:rsidRPr="005C406C">
        <w:rPr>
          <w:rFonts w:ascii="Times New Roman" w:hAnsi="Times New Roman" w:cs="Times New Roman"/>
        </w:rPr>
        <w:t>he served in a variety of positions across Canada as well obtained a Bachelor of Laws degree</w:t>
      </w:r>
      <w:r w:rsidR="00DE3C92">
        <w:rPr>
          <w:rFonts w:ascii="Times New Roman" w:hAnsi="Times New Roman" w:cs="Times New Roman"/>
        </w:rPr>
        <w:t xml:space="preserve"> </w:t>
      </w:r>
      <w:r w:rsidRPr="005C406C">
        <w:rPr>
          <w:rFonts w:ascii="Times New Roman" w:hAnsi="Times New Roman" w:cs="Times New Roman"/>
        </w:rPr>
        <w:t>from the University of Ottawa. He has held appointments such as: Chair of the BC Association</w:t>
      </w:r>
      <w:r w:rsidR="00DE3C92">
        <w:rPr>
          <w:rFonts w:ascii="Times New Roman" w:hAnsi="Times New Roman" w:cs="Times New Roman"/>
        </w:rPr>
        <w:t xml:space="preserve"> </w:t>
      </w:r>
      <w:r w:rsidRPr="005C406C">
        <w:rPr>
          <w:rFonts w:ascii="Times New Roman" w:hAnsi="Times New Roman" w:cs="Times New Roman"/>
        </w:rPr>
        <w:t>of Chiefs (BCACP), Co-Chair of the Police Committee for the Commission of Inquiry into</w:t>
      </w:r>
      <w:r w:rsidR="00DE3C92">
        <w:rPr>
          <w:rFonts w:ascii="Times New Roman" w:hAnsi="Times New Roman" w:cs="Times New Roman"/>
        </w:rPr>
        <w:t xml:space="preserve"> </w:t>
      </w:r>
      <w:r w:rsidRPr="005C406C">
        <w:rPr>
          <w:rFonts w:ascii="Times New Roman" w:hAnsi="Times New Roman" w:cs="Times New Roman"/>
        </w:rPr>
        <w:t>Policing in British Columbia, Provincial Director and Chair of the Resolutions Committee for the</w:t>
      </w:r>
      <w:r w:rsidR="00DE3C92">
        <w:rPr>
          <w:rFonts w:ascii="Times New Roman" w:hAnsi="Times New Roman" w:cs="Times New Roman"/>
        </w:rPr>
        <w:t xml:space="preserve"> </w:t>
      </w:r>
      <w:r w:rsidRPr="005C406C">
        <w:rPr>
          <w:rFonts w:ascii="Times New Roman" w:hAnsi="Times New Roman" w:cs="Times New Roman"/>
        </w:rPr>
        <w:t>Canadian Association of Chiefs of Police, President for the BCACP; and President, BC</w:t>
      </w:r>
      <w:r w:rsidR="00DE3C92">
        <w:rPr>
          <w:rFonts w:ascii="Times New Roman" w:hAnsi="Times New Roman" w:cs="Times New Roman"/>
        </w:rPr>
        <w:t xml:space="preserve"> </w:t>
      </w:r>
      <w:r w:rsidRPr="005C406C">
        <w:rPr>
          <w:rFonts w:ascii="Times New Roman" w:hAnsi="Times New Roman" w:cs="Times New Roman"/>
        </w:rPr>
        <w:t>Association of Municipal Chiefs of Police. He is a graduate of the FBI National Academy,</w:t>
      </w:r>
      <w:r w:rsidR="00DE3C92">
        <w:rPr>
          <w:rFonts w:ascii="Times New Roman" w:hAnsi="Times New Roman" w:cs="Times New Roman"/>
        </w:rPr>
        <w:t xml:space="preserve"> </w:t>
      </w:r>
      <w:r w:rsidRPr="005C406C">
        <w:rPr>
          <w:rFonts w:ascii="Times New Roman" w:hAnsi="Times New Roman" w:cs="Times New Roman"/>
        </w:rPr>
        <w:t>Quantico, Virginia and the Executive Development Program at the Canadian Police College in</w:t>
      </w:r>
      <w:r w:rsidR="00DE3C92">
        <w:rPr>
          <w:rFonts w:ascii="Times New Roman" w:hAnsi="Times New Roman" w:cs="Times New Roman"/>
        </w:rPr>
        <w:t xml:space="preserve"> </w:t>
      </w:r>
      <w:r w:rsidRPr="005C406C">
        <w:rPr>
          <w:rFonts w:ascii="Times New Roman" w:hAnsi="Times New Roman" w:cs="Times New Roman"/>
        </w:rPr>
        <w:t>Ottawa.</w:t>
      </w:r>
    </w:p>
    <w:p w:rsidR="00DE3C92" w:rsidRPr="005C406C" w:rsidRDefault="00DE3C92" w:rsidP="005C406C">
      <w:pPr>
        <w:autoSpaceDE w:val="0"/>
        <w:autoSpaceDN w:val="0"/>
        <w:adjustRightInd w:val="0"/>
        <w:spacing w:after="0" w:line="240" w:lineRule="auto"/>
        <w:ind w:left="720"/>
        <w:jc w:val="both"/>
        <w:rPr>
          <w:rFonts w:ascii="Times New Roman" w:hAnsi="Times New Roman" w:cs="Times New Roman"/>
        </w:rPr>
      </w:pPr>
    </w:p>
    <w:p w:rsidR="005C406C" w:rsidRPr="005C406C" w:rsidRDefault="005C406C" w:rsidP="005C406C">
      <w:pPr>
        <w:autoSpaceDE w:val="0"/>
        <w:autoSpaceDN w:val="0"/>
        <w:adjustRightInd w:val="0"/>
        <w:spacing w:after="0" w:line="240" w:lineRule="auto"/>
        <w:ind w:left="720"/>
        <w:jc w:val="both"/>
        <w:rPr>
          <w:rFonts w:ascii="Times New Roman" w:hAnsi="Times New Roman" w:cs="Times New Roman"/>
        </w:rPr>
      </w:pPr>
      <w:r w:rsidRPr="00DE3C92">
        <w:rPr>
          <w:rFonts w:ascii="Times New Roman" w:hAnsi="Times New Roman" w:cs="Times New Roman"/>
          <w:i/>
          <w:u w:val="single"/>
        </w:rPr>
        <w:t>Record Keeping</w:t>
      </w:r>
      <w:r w:rsidRPr="005C406C">
        <w:rPr>
          <w:rFonts w:ascii="Times New Roman" w:hAnsi="Times New Roman" w:cs="Times New Roman"/>
        </w:rPr>
        <w:t xml:space="preserve"> – For the purposes of record keeping the Company has proposed to</w:t>
      </w:r>
      <w:r w:rsidR="00DE3C92">
        <w:rPr>
          <w:rFonts w:ascii="Times New Roman" w:hAnsi="Times New Roman" w:cs="Times New Roman"/>
        </w:rPr>
        <w:t xml:space="preserve"> </w:t>
      </w:r>
      <w:r w:rsidRPr="005C406C">
        <w:rPr>
          <w:rFonts w:ascii="Times New Roman" w:hAnsi="Times New Roman" w:cs="Times New Roman"/>
        </w:rPr>
        <w:t xml:space="preserve">use </w:t>
      </w:r>
      <w:proofErr w:type="spellStart"/>
      <w:r w:rsidRPr="005C406C">
        <w:rPr>
          <w:rFonts w:ascii="Times New Roman" w:hAnsi="Times New Roman" w:cs="Times New Roman"/>
        </w:rPr>
        <w:t>BiotrackTHC</w:t>
      </w:r>
      <w:proofErr w:type="spellEnd"/>
      <w:r w:rsidRPr="005C406C">
        <w:rPr>
          <w:rFonts w:ascii="Times New Roman" w:hAnsi="Times New Roman" w:cs="Times New Roman"/>
        </w:rPr>
        <w:t xml:space="preserve">. </w:t>
      </w:r>
      <w:proofErr w:type="spellStart"/>
      <w:r w:rsidRPr="005C406C">
        <w:rPr>
          <w:rFonts w:ascii="Times New Roman" w:hAnsi="Times New Roman" w:cs="Times New Roman"/>
        </w:rPr>
        <w:t>BiotrackTHC</w:t>
      </w:r>
      <w:proofErr w:type="spellEnd"/>
      <w:r w:rsidRPr="005C406C">
        <w:rPr>
          <w:rFonts w:ascii="Times New Roman" w:hAnsi="Times New Roman" w:cs="Times New Roman"/>
        </w:rPr>
        <w:t xml:space="preserve"> is the software used, or proposed to be used, by seven of the</w:t>
      </w:r>
    </w:p>
    <w:p w:rsidR="00DE3C92"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 xml:space="preserve">13 licensed producers under the MMPR. </w:t>
      </w:r>
      <w:proofErr w:type="spellStart"/>
      <w:r w:rsidRPr="005C406C">
        <w:rPr>
          <w:rFonts w:ascii="Times New Roman" w:hAnsi="Times New Roman" w:cs="Times New Roman"/>
        </w:rPr>
        <w:t>BiotrackTHC</w:t>
      </w:r>
      <w:proofErr w:type="spellEnd"/>
      <w:r w:rsidRPr="005C406C">
        <w:rPr>
          <w:rFonts w:ascii="Times New Roman" w:hAnsi="Times New Roman" w:cs="Times New Roman"/>
        </w:rPr>
        <w:t xml:space="preserve"> know the rules and regulations and are</w:t>
      </w:r>
      <w:r w:rsidR="00DE3C92">
        <w:rPr>
          <w:rFonts w:ascii="Times New Roman" w:hAnsi="Times New Roman" w:cs="Times New Roman"/>
        </w:rPr>
        <w:t xml:space="preserve"> </w:t>
      </w:r>
      <w:r w:rsidRPr="005C406C">
        <w:rPr>
          <w:rFonts w:ascii="Times New Roman" w:hAnsi="Times New Roman" w:cs="Times New Roman"/>
        </w:rPr>
        <w:t>an acceptable third party contractor for Health Canada.</w:t>
      </w:r>
      <w:r w:rsidR="00DE3C92">
        <w:rPr>
          <w:rFonts w:ascii="Times New Roman" w:hAnsi="Times New Roman" w:cs="Times New Roman"/>
        </w:rPr>
        <w:t xml:space="preserve"> </w:t>
      </w:r>
    </w:p>
    <w:p w:rsidR="00DE3C92" w:rsidRDefault="00DE3C92" w:rsidP="005C406C">
      <w:pPr>
        <w:autoSpaceDE w:val="0"/>
        <w:autoSpaceDN w:val="0"/>
        <w:adjustRightInd w:val="0"/>
        <w:spacing w:after="0" w:line="240" w:lineRule="auto"/>
        <w:ind w:left="720"/>
        <w:jc w:val="both"/>
        <w:rPr>
          <w:rFonts w:ascii="Times New Roman" w:hAnsi="Times New Roman" w:cs="Times New Roman"/>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Investors are advised to view the Health Canada website or contact it directly at 1-866-337-7705 should they desire to know more about the application process.</w:t>
      </w:r>
    </w:p>
    <w:p w:rsidR="005C406C" w:rsidRDefault="005C406C" w:rsidP="005C406C">
      <w:pPr>
        <w:autoSpaceDE w:val="0"/>
        <w:autoSpaceDN w:val="0"/>
        <w:adjustRightInd w:val="0"/>
        <w:spacing w:after="0" w:line="240" w:lineRule="auto"/>
        <w:ind w:left="720"/>
        <w:jc w:val="both"/>
        <w:rPr>
          <w:rFonts w:ascii="Times New Roman" w:hAnsi="Times New Roman" w:cs="Times New Roman"/>
        </w:rPr>
      </w:pPr>
    </w:p>
    <w:p w:rsidR="005C406C" w:rsidRDefault="005C406C" w:rsidP="005C406C">
      <w:pPr>
        <w:autoSpaceDE w:val="0"/>
        <w:autoSpaceDN w:val="0"/>
        <w:adjustRightInd w:val="0"/>
        <w:spacing w:after="0" w:line="240" w:lineRule="auto"/>
        <w:ind w:left="720"/>
        <w:jc w:val="both"/>
        <w:rPr>
          <w:rFonts w:ascii="Times New Roman" w:hAnsi="Times New Roman" w:cs="Times New Roman"/>
          <w:u w:val="single"/>
        </w:rPr>
      </w:pPr>
      <w:r w:rsidRPr="00DE3C92">
        <w:rPr>
          <w:rFonts w:ascii="Times New Roman" w:hAnsi="Times New Roman" w:cs="Times New Roman"/>
          <w:u w:val="single"/>
        </w:rPr>
        <w:t>Other Activities</w:t>
      </w:r>
    </w:p>
    <w:p w:rsidR="00DE3C92" w:rsidRPr="00DE3C92" w:rsidRDefault="00DE3C92" w:rsidP="005C406C">
      <w:pPr>
        <w:autoSpaceDE w:val="0"/>
        <w:autoSpaceDN w:val="0"/>
        <w:adjustRightInd w:val="0"/>
        <w:spacing w:after="0" w:line="240" w:lineRule="auto"/>
        <w:ind w:left="720"/>
        <w:jc w:val="both"/>
        <w:rPr>
          <w:rFonts w:ascii="Times New Roman" w:hAnsi="Times New Roman" w:cs="Times New Roman"/>
          <w:u w:val="single"/>
        </w:rPr>
      </w:pPr>
    </w:p>
    <w:p w:rsidR="005C406C" w:rsidRDefault="005C406C" w:rsidP="005C406C">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In addition to completing and filing the two MMPR applications and addressing any Health</w:t>
      </w:r>
      <w:r w:rsidR="00DE3C92">
        <w:rPr>
          <w:rFonts w:ascii="Times New Roman" w:hAnsi="Times New Roman" w:cs="Times New Roman"/>
        </w:rPr>
        <w:t xml:space="preserve"> </w:t>
      </w:r>
      <w:r w:rsidRPr="005C406C">
        <w:rPr>
          <w:rFonts w:ascii="Times New Roman" w:hAnsi="Times New Roman" w:cs="Times New Roman"/>
        </w:rPr>
        <w:t>Canada inquiries, the Company is in the process of completing an application for a research</w:t>
      </w:r>
      <w:r w:rsidR="00DE3C92">
        <w:rPr>
          <w:rFonts w:ascii="Times New Roman" w:hAnsi="Times New Roman" w:cs="Times New Roman"/>
        </w:rPr>
        <w:t xml:space="preserve"> </w:t>
      </w:r>
      <w:r w:rsidRPr="005C406C">
        <w:rPr>
          <w:rFonts w:ascii="Times New Roman" w:hAnsi="Times New Roman" w:cs="Times New Roman"/>
        </w:rPr>
        <w:t>and development license related to the growing and use of medicinal marijuana.</w:t>
      </w:r>
    </w:p>
    <w:p w:rsidR="00DE3C92" w:rsidRPr="005C406C" w:rsidRDefault="00DE3C92" w:rsidP="005C406C">
      <w:pPr>
        <w:autoSpaceDE w:val="0"/>
        <w:autoSpaceDN w:val="0"/>
        <w:adjustRightInd w:val="0"/>
        <w:spacing w:after="0" w:line="240" w:lineRule="auto"/>
        <w:ind w:left="720"/>
        <w:jc w:val="both"/>
        <w:rPr>
          <w:rFonts w:ascii="Times New Roman" w:hAnsi="Times New Roman" w:cs="Times New Roman"/>
        </w:rPr>
      </w:pPr>
    </w:p>
    <w:p w:rsidR="00120E36" w:rsidRDefault="007D2095" w:rsidP="00266CFF">
      <w:pPr>
        <w:tabs>
          <w:tab w:val="left" w:pos="-720"/>
          <w:tab w:val="left" w:pos="-360"/>
          <w:tab w:val="left" w:pos="1080"/>
          <w:tab w:val="decimal" w:pos="2203"/>
          <w:tab w:val="left" w:pos="4568"/>
          <w:tab w:val="decimal" w:pos="5637"/>
          <w:tab w:val="left" w:pos="5994"/>
          <w:tab w:val="decimal" w:pos="7063"/>
          <w:tab w:val="left" w:pos="7416"/>
          <w:tab w:val="decimal" w:pos="8424"/>
          <w:tab w:val="left" w:pos="8856"/>
          <w:tab w:val="decimal" w:pos="9864"/>
        </w:tabs>
        <w:spacing w:after="0" w:line="240" w:lineRule="auto"/>
        <w:ind w:left="720"/>
        <w:jc w:val="both"/>
        <w:rPr>
          <w:rFonts w:ascii="Times New Roman" w:eastAsia="Times New Roman" w:hAnsi="Times New Roman" w:cs="Times New Roman"/>
        </w:rPr>
      </w:pPr>
      <w:r w:rsidRPr="007D2095">
        <w:rPr>
          <w:rFonts w:ascii="Times New Roman" w:eastAsia="Times New Roman" w:hAnsi="Times New Roman" w:cs="Times New Roman"/>
          <w:lang w:val="en-GB"/>
        </w:rPr>
        <w:t xml:space="preserve">The Company currently has a 25% interest in a private company that has licensed technology for growing and harvesting algae to be utilized as an energy source. </w:t>
      </w:r>
      <w:r w:rsidRPr="007D2095">
        <w:rPr>
          <w:rFonts w:ascii="Times New Roman" w:eastAsia="Times New Roman" w:hAnsi="Times New Roman" w:cs="Times New Roman"/>
        </w:rPr>
        <w:t xml:space="preserve">In November 2009, the </w:t>
      </w:r>
      <w:r w:rsidR="00854A53">
        <w:rPr>
          <w:rFonts w:ascii="Times New Roman" w:eastAsia="Times New Roman" w:hAnsi="Times New Roman" w:cs="Times New Roman"/>
        </w:rPr>
        <w:t>Company</w:t>
      </w:r>
      <w:r w:rsidRPr="007D2095">
        <w:rPr>
          <w:rFonts w:ascii="Times New Roman" w:eastAsia="Times New Roman" w:hAnsi="Times New Roman" w:cs="Times New Roman"/>
        </w:rPr>
        <w:t xml:space="preserve"> terminated its Gross Overriding Royalty Interest in </w:t>
      </w:r>
      <w:proofErr w:type="spellStart"/>
      <w:r w:rsidRPr="007D2095">
        <w:rPr>
          <w:rFonts w:ascii="Times New Roman" w:eastAsia="Times New Roman" w:hAnsi="Times New Roman" w:cs="Times New Roman"/>
        </w:rPr>
        <w:t>Mnazi</w:t>
      </w:r>
      <w:proofErr w:type="spellEnd"/>
      <w:r w:rsidRPr="007D2095">
        <w:rPr>
          <w:rFonts w:ascii="Times New Roman" w:eastAsia="Times New Roman" w:hAnsi="Times New Roman" w:cs="Times New Roman"/>
        </w:rPr>
        <w:t xml:space="preserve"> Bay production for consideration of $1 million, consisting of $400,000 cash and $600,000 in shares of </w:t>
      </w:r>
      <w:proofErr w:type="spellStart"/>
      <w:r w:rsidRPr="007D2095">
        <w:rPr>
          <w:rFonts w:ascii="Times New Roman" w:eastAsia="Times New Roman" w:hAnsi="Times New Roman" w:cs="Times New Roman"/>
        </w:rPr>
        <w:t>Artumas</w:t>
      </w:r>
      <w:proofErr w:type="spellEnd"/>
      <w:r w:rsidRPr="007D2095">
        <w:rPr>
          <w:rFonts w:ascii="Times New Roman" w:eastAsia="Times New Roman" w:hAnsi="Times New Roman" w:cs="Times New Roman"/>
        </w:rPr>
        <w:t xml:space="preserve"> Group Inc. </w:t>
      </w:r>
      <w:r w:rsidRPr="007D2095">
        <w:rPr>
          <w:rFonts w:ascii="Times New Roman" w:eastAsia="Times New Roman" w:hAnsi="Times New Roman" w:cs="Times New Roman"/>
          <w:lang w:val="en-GB"/>
        </w:rPr>
        <w:t>(renamed Wentworth Resources Limited).</w:t>
      </w:r>
    </w:p>
    <w:p w:rsidR="00266CFF" w:rsidRPr="00266CFF" w:rsidRDefault="00266CFF" w:rsidP="007D2095">
      <w:pPr>
        <w:keepNext/>
        <w:keepLines/>
        <w:tabs>
          <w:tab w:val="left" w:pos="-1440"/>
        </w:tabs>
        <w:spacing w:after="0" w:line="240" w:lineRule="auto"/>
        <w:ind w:left="720" w:hanging="720"/>
        <w:jc w:val="both"/>
        <w:rPr>
          <w:rFonts w:ascii="Times New Roman" w:eastAsia="Times New Roman" w:hAnsi="Times New Roman" w:cs="Times New Roman"/>
          <w:sz w:val="12"/>
          <w:szCs w:val="12"/>
        </w:rPr>
      </w:pPr>
    </w:p>
    <w:p w:rsidR="00253C6F" w:rsidRPr="00253C6F" w:rsidRDefault="00253C6F" w:rsidP="00253C6F">
      <w:pPr>
        <w:autoSpaceDE w:val="0"/>
        <w:autoSpaceDN w:val="0"/>
        <w:adjustRightInd w:val="0"/>
        <w:spacing w:after="0" w:line="240" w:lineRule="auto"/>
        <w:rPr>
          <w:rFonts w:ascii="TimesNewRoman,Bold" w:eastAsia="Times New Roman" w:hAnsi="TimesNewRoman,Bold" w:cs="TimesNewRoman,Bold"/>
          <w:b/>
          <w:bCs/>
          <w:szCs w:val="24"/>
          <w:u w:val="single"/>
          <w:lang w:val="en-US" w:bidi="fa-IR"/>
        </w:rPr>
      </w:pPr>
      <w:r w:rsidRPr="00253C6F">
        <w:rPr>
          <w:rFonts w:ascii="TimesNewRoman,Bold" w:eastAsia="Times New Roman" w:hAnsi="TimesNewRoman,Bold" w:cs="TimesNewRoman,Bold"/>
          <w:lang w:val="en-US" w:bidi="fa-IR"/>
        </w:rPr>
        <w:t>1.</w:t>
      </w:r>
      <w:r w:rsidR="00A7031C">
        <w:rPr>
          <w:rFonts w:ascii="TimesNewRoman,Bold" w:eastAsia="Times New Roman" w:hAnsi="TimesNewRoman,Bold" w:cs="TimesNewRoman,Bold"/>
          <w:lang w:val="en-US" w:bidi="fa-IR"/>
        </w:rPr>
        <w:t>3</w:t>
      </w:r>
      <w:r w:rsidRPr="00253C6F">
        <w:rPr>
          <w:rFonts w:ascii="TimesNewRoman,Bold" w:eastAsia="Times New Roman" w:hAnsi="TimesNewRoman,Bold" w:cs="TimesNewRoman,Bold"/>
          <w:b/>
          <w:bCs/>
          <w:szCs w:val="24"/>
          <w:lang w:val="en-US" w:bidi="fa-IR"/>
        </w:rPr>
        <w:tab/>
      </w:r>
      <w:r w:rsidRPr="001F0B05">
        <w:rPr>
          <w:rFonts w:ascii="TimesNewRoman,Bold" w:eastAsia="Times New Roman" w:hAnsi="TimesNewRoman,Bold" w:cs="TimesNewRoman,Bold"/>
          <w:b/>
          <w:bCs/>
          <w:szCs w:val="24"/>
          <w:u w:val="single"/>
          <w:lang w:val="en-US" w:bidi="fa-IR"/>
        </w:rPr>
        <w:t>Results of Operations</w:t>
      </w:r>
    </w:p>
    <w:p w:rsidR="00253C6F" w:rsidRPr="00253C6F" w:rsidRDefault="00253C6F" w:rsidP="00253C6F">
      <w:pPr>
        <w:autoSpaceDE w:val="0"/>
        <w:autoSpaceDN w:val="0"/>
        <w:adjustRightInd w:val="0"/>
        <w:spacing w:after="0" w:line="240" w:lineRule="auto"/>
        <w:rPr>
          <w:rFonts w:ascii="TimesNewRoman" w:eastAsia="Times New Roman" w:hAnsi="TimesNewRoman" w:cs="TimesNewRoman"/>
          <w:sz w:val="24"/>
          <w:szCs w:val="24"/>
          <w:lang w:val="en-US" w:bidi="fa-IR"/>
        </w:rPr>
      </w:pPr>
    </w:p>
    <w:p w:rsidR="001F0B05" w:rsidRPr="000348EA" w:rsidRDefault="001F0B05" w:rsidP="001F0B05">
      <w:pPr>
        <w:autoSpaceDE w:val="0"/>
        <w:autoSpaceDN w:val="0"/>
        <w:adjustRightInd w:val="0"/>
        <w:spacing w:line="240" w:lineRule="auto"/>
        <w:ind w:left="720"/>
        <w:jc w:val="both"/>
        <w:rPr>
          <w:rFonts w:ascii="Times New Roman" w:hAnsi="Times New Roman" w:cs="Times New Roman"/>
        </w:rPr>
      </w:pPr>
      <w:r>
        <w:rPr>
          <w:rFonts w:ascii="Times New Roman" w:hAnsi="Times New Roman" w:cs="Times New Roman"/>
        </w:rPr>
        <w:t xml:space="preserve">During the </w:t>
      </w:r>
      <w:r w:rsidR="00DE3C92">
        <w:rPr>
          <w:rFonts w:ascii="Times New Roman" w:hAnsi="Times New Roman" w:cs="Times New Roman"/>
        </w:rPr>
        <w:t>year</w:t>
      </w:r>
      <w:r>
        <w:rPr>
          <w:rFonts w:ascii="Times New Roman" w:hAnsi="Times New Roman" w:cs="Times New Roman"/>
        </w:rPr>
        <w:t xml:space="preserve"> ended</w:t>
      </w:r>
      <w:r w:rsidRPr="000348EA">
        <w:rPr>
          <w:rFonts w:ascii="Times New Roman" w:hAnsi="Times New Roman" w:cs="Times New Roman"/>
        </w:rPr>
        <w:t xml:space="preserve"> </w:t>
      </w:r>
      <w:r w:rsidR="00DE3C92">
        <w:rPr>
          <w:rFonts w:ascii="Times New Roman" w:hAnsi="Times New Roman" w:cs="Times New Roman"/>
        </w:rPr>
        <w:t>June 30,</w:t>
      </w:r>
      <w:r w:rsidRPr="000348EA">
        <w:rPr>
          <w:rFonts w:ascii="Times New Roman" w:hAnsi="Times New Roman" w:cs="Times New Roman"/>
        </w:rPr>
        <w:t xml:space="preserve"> 2014, the Company closed the purchase of all the assets related to a medical marijuana business (the “Business”)</w:t>
      </w:r>
      <w:r>
        <w:rPr>
          <w:rFonts w:ascii="Times New Roman" w:hAnsi="Times New Roman" w:cs="Times New Roman"/>
        </w:rPr>
        <w:t xml:space="preserve"> for </w:t>
      </w:r>
      <w:r w:rsidRPr="000348EA">
        <w:rPr>
          <w:rFonts w:ascii="Times New Roman" w:hAnsi="Times New Roman" w:cs="Times New Roman"/>
        </w:rPr>
        <w:t xml:space="preserve">consideration </w:t>
      </w:r>
      <w:r>
        <w:rPr>
          <w:rFonts w:ascii="Times New Roman" w:hAnsi="Times New Roman" w:cs="Times New Roman"/>
        </w:rPr>
        <w:t>of</w:t>
      </w:r>
      <w:r w:rsidRPr="000348EA">
        <w:rPr>
          <w:rFonts w:ascii="Times New Roman" w:hAnsi="Times New Roman" w:cs="Times New Roman"/>
        </w:rPr>
        <w:t xml:space="preserve"> 13,000,000 common shares.  The Business currently comprises securing a property in the Agricultural Land Reserve on Vancouver Island where the Regional District has regulations permitting the growing of medical marijuana, a fully completed application to acquire a license under the MMPR including all building plans and proprietary designs for the grow facility.  </w:t>
      </w:r>
    </w:p>
    <w:p w:rsidR="001F0B05" w:rsidRDefault="00253C6F" w:rsidP="00120E36">
      <w:pPr>
        <w:autoSpaceDE w:val="0"/>
        <w:autoSpaceDN w:val="0"/>
        <w:adjustRightInd w:val="0"/>
        <w:spacing w:after="0" w:line="240" w:lineRule="auto"/>
        <w:ind w:left="720"/>
        <w:jc w:val="both"/>
        <w:rPr>
          <w:rFonts w:ascii="TimesNewRoman" w:eastAsia="Times New Roman" w:hAnsi="TimesNewRoman" w:cs="TimesNewRoman"/>
          <w:lang w:val="en-US" w:bidi="fa-IR"/>
        </w:rPr>
      </w:pPr>
      <w:r w:rsidRPr="00253C6F">
        <w:rPr>
          <w:rFonts w:ascii="TimesNewRoman" w:eastAsia="Times New Roman" w:hAnsi="TimesNewRoman" w:cs="TimesNewRoman"/>
          <w:lang w:val="en-US" w:bidi="fa-IR"/>
        </w:rPr>
        <w:t xml:space="preserve">The Company had net </w:t>
      </w:r>
      <w:r w:rsidR="00DE3C92">
        <w:rPr>
          <w:rFonts w:ascii="TimesNewRoman" w:eastAsia="Times New Roman" w:hAnsi="TimesNewRoman" w:cs="TimesNewRoman"/>
          <w:lang w:val="en-US" w:bidi="fa-IR"/>
        </w:rPr>
        <w:t>loss</w:t>
      </w:r>
      <w:r w:rsidRPr="00253C6F">
        <w:rPr>
          <w:rFonts w:ascii="TimesNewRoman" w:eastAsia="Times New Roman" w:hAnsi="TimesNewRoman" w:cs="TimesNewRoman"/>
          <w:lang w:val="en-US" w:bidi="fa-IR"/>
        </w:rPr>
        <w:t xml:space="preserve"> for the </w:t>
      </w:r>
      <w:r w:rsidR="00DE3C92">
        <w:rPr>
          <w:rFonts w:ascii="TimesNewRoman" w:eastAsia="Times New Roman" w:hAnsi="TimesNewRoman" w:cs="TimesNewRoman"/>
          <w:lang w:val="en-US" w:bidi="fa-IR"/>
        </w:rPr>
        <w:t>three months period</w:t>
      </w:r>
      <w:r w:rsidRPr="00253C6F">
        <w:rPr>
          <w:rFonts w:ascii="TimesNewRoman" w:eastAsia="Times New Roman" w:hAnsi="TimesNewRoman" w:cs="TimesNewRoman"/>
          <w:lang w:val="en-US" w:bidi="fa-IR"/>
        </w:rPr>
        <w:t xml:space="preserve"> </w:t>
      </w:r>
      <w:r w:rsidR="00A7031C">
        <w:rPr>
          <w:rFonts w:ascii="TimesNewRoman" w:eastAsia="Times New Roman" w:hAnsi="TimesNewRoman" w:cs="TimesNewRoman"/>
          <w:lang w:val="en-US" w:bidi="fa-IR"/>
        </w:rPr>
        <w:t xml:space="preserve">ended September 30, 2014 </w:t>
      </w:r>
      <w:r w:rsidRPr="00253C6F">
        <w:rPr>
          <w:rFonts w:ascii="TimesNewRoman" w:eastAsia="Times New Roman" w:hAnsi="TimesNewRoman" w:cs="TimesNewRoman"/>
          <w:lang w:val="en-US" w:bidi="fa-IR"/>
        </w:rPr>
        <w:t>of $</w:t>
      </w:r>
      <w:r w:rsidR="00784A43">
        <w:rPr>
          <w:rFonts w:ascii="TimesNewRoman" w:eastAsia="Times New Roman" w:hAnsi="TimesNewRoman" w:cs="TimesNewRoman"/>
          <w:lang w:val="en-US" w:bidi="fa-IR"/>
        </w:rPr>
        <w:t>609,004</w:t>
      </w:r>
      <w:r w:rsidR="00036A6F">
        <w:rPr>
          <w:rFonts w:ascii="TimesNewRoman" w:eastAsia="Times New Roman" w:hAnsi="TimesNewRoman" w:cs="TimesNewRoman"/>
          <w:lang w:val="en-US" w:bidi="fa-IR"/>
        </w:rPr>
        <w:t xml:space="preserve"> </w:t>
      </w:r>
      <w:r w:rsidRPr="00253C6F">
        <w:rPr>
          <w:rFonts w:ascii="TimesNewRoman" w:eastAsia="Times New Roman" w:hAnsi="TimesNewRoman" w:cs="TimesNewRoman"/>
          <w:lang w:val="en-US" w:bidi="fa-IR"/>
        </w:rPr>
        <w:t>(201</w:t>
      </w:r>
      <w:r w:rsidR="00872198" w:rsidRPr="007B6172">
        <w:rPr>
          <w:rFonts w:ascii="TimesNewRoman" w:eastAsia="Times New Roman" w:hAnsi="TimesNewRoman" w:cs="TimesNewRoman"/>
          <w:lang w:val="en-US" w:bidi="fa-IR"/>
        </w:rPr>
        <w:t>3</w:t>
      </w:r>
      <w:r w:rsidRPr="00253C6F">
        <w:rPr>
          <w:rFonts w:ascii="TimesNewRoman" w:eastAsia="Times New Roman" w:hAnsi="TimesNewRoman" w:cs="TimesNewRoman"/>
          <w:lang w:val="en-US" w:bidi="fa-IR"/>
        </w:rPr>
        <w:t xml:space="preserve"> – </w:t>
      </w:r>
      <w:r w:rsidR="00784A43">
        <w:rPr>
          <w:rFonts w:ascii="TimesNewRoman" w:eastAsia="Times New Roman" w:hAnsi="TimesNewRoman" w:cs="TimesNewRoman"/>
          <w:lang w:val="en-US" w:bidi="fa-IR"/>
        </w:rPr>
        <w:t xml:space="preserve">net income of </w:t>
      </w:r>
      <w:r w:rsidRPr="00253C6F">
        <w:rPr>
          <w:rFonts w:ascii="TimesNewRoman" w:eastAsia="Times New Roman" w:hAnsi="TimesNewRoman" w:cs="TimesNewRoman"/>
          <w:lang w:val="en-US" w:bidi="fa-IR"/>
        </w:rPr>
        <w:t>$</w:t>
      </w:r>
      <w:r w:rsidR="00784A43">
        <w:rPr>
          <w:rFonts w:ascii="TimesNewRoman" w:eastAsia="Times New Roman" w:hAnsi="TimesNewRoman" w:cs="TimesNewRoman"/>
          <w:lang w:val="en-US" w:bidi="fa-IR"/>
        </w:rPr>
        <w:t>30,331</w:t>
      </w:r>
      <w:r w:rsidRPr="00253C6F">
        <w:rPr>
          <w:rFonts w:ascii="TimesNewRoman" w:eastAsia="Times New Roman" w:hAnsi="TimesNewRoman" w:cs="TimesNewRoman"/>
          <w:lang w:val="en-US" w:bidi="fa-IR"/>
        </w:rPr>
        <w:t xml:space="preserve">). </w:t>
      </w:r>
      <w:r w:rsidR="001F0B05">
        <w:rPr>
          <w:rFonts w:ascii="TimesNewRoman" w:eastAsia="Times New Roman" w:hAnsi="TimesNewRoman" w:cs="TimesNewRoman"/>
          <w:lang w:val="en-US" w:bidi="fa-IR"/>
        </w:rPr>
        <w:t>The major differences in the reporting periods include:</w:t>
      </w:r>
    </w:p>
    <w:p w:rsidR="001F0B05" w:rsidRDefault="001F0B05" w:rsidP="00120E36">
      <w:pPr>
        <w:autoSpaceDE w:val="0"/>
        <w:autoSpaceDN w:val="0"/>
        <w:adjustRightInd w:val="0"/>
        <w:spacing w:after="0" w:line="240" w:lineRule="auto"/>
        <w:ind w:left="720"/>
        <w:jc w:val="both"/>
        <w:rPr>
          <w:rFonts w:ascii="TimesNewRoman" w:eastAsia="Times New Roman" w:hAnsi="TimesNewRoman" w:cs="TimesNewRoman"/>
          <w:lang w:val="en-US" w:bidi="fa-IR"/>
        </w:rPr>
      </w:pPr>
    </w:p>
    <w:p w:rsidR="00AE6651" w:rsidRDefault="00AE6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audit fees of $3,750 (2013 - $Nil) related to professional fees attributed to annual audit requirements</w:t>
      </w:r>
    </w:p>
    <w:p w:rsidR="001F0B05" w:rsidRDefault="00253C6F"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1F0B05">
        <w:rPr>
          <w:rFonts w:ascii="TimesNewRoman" w:eastAsia="Times New Roman" w:hAnsi="TimesNewRoman" w:cs="TimesNewRoman"/>
          <w:lang w:val="en-US" w:bidi="fa-IR"/>
        </w:rPr>
        <w:t xml:space="preserve">consulting fees </w:t>
      </w:r>
      <w:r w:rsidR="00DE3C92">
        <w:rPr>
          <w:rFonts w:ascii="TimesNewRoman" w:eastAsia="Times New Roman" w:hAnsi="TimesNewRoman" w:cs="TimesNewRoman"/>
          <w:lang w:val="en-US" w:bidi="fa-IR"/>
        </w:rPr>
        <w:t xml:space="preserve">and management fees </w:t>
      </w:r>
      <w:r w:rsidRPr="001F0B05">
        <w:rPr>
          <w:rFonts w:ascii="TimesNewRoman" w:eastAsia="Times New Roman" w:hAnsi="TimesNewRoman" w:cs="TimesNewRoman"/>
          <w:lang w:val="en-US" w:bidi="fa-IR"/>
        </w:rPr>
        <w:t>of $</w:t>
      </w:r>
      <w:r w:rsidR="00DE3C92">
        <w:rPr>
          <w:rFonts w:ascii="TimesNewRoman" w:eastAsia="Times New Roman" w:hAnsi="TimesNewRoman" w:cs="TimesNewRoman"/>
          <w:lang w:val="en-US" w:bidi="fa-IR"/>
        </w:rPr>
        <w:t>58,215</w:t>
      </w:r>
      <w:r w:rsidRPr="001F0B05">
        <w:rPr>
          <w:rFonts w:ascii="TimesNewRoman" w:eastAsia="Times New Roman" w:hAnsi="TimesNewRoman" w:cs="TimesNewRoman"/>
          <w:lang w:val="en-US" w:bidi="fa-IR"/>
        </w:rPr>
        <w:t xml:space="preserve"> (201</w:t>
      </w:r>
      <w:r w:rsidR="00872198" w:rsidRPr="001F0B05">
        <w:rPr>
          <w:rFonts w:ascii="TimesNewRoman" w:eastAsia="Times New Roman" w:hAnsi="TimesNewRoman" w:cs="TimesNewRoman"/>
          <w:lang w:val="en-US" w:bidi="fa-IR"/>
        </w:rPr>
        <w:t>3</w:t>
      </w:r>
      <w:r w:rsidRPr="001F0B05">
        <w:rPr>
          <w:rFonts w:ascii="TimesNewRoman" w:eastAsia="Times New Roman" w:hAnsi="TimesNewRoman" w:cs="TimesNewRoman"/>
          <w:lang w:val="en-US" w:bidi="fa-IR"/>
        </w:rPr>
        <w:t xml:space="preserve"> - $</w:t>
      </w:r>
      <w:r w:rsidR="00DE3C92">
        <w:rPr>
          <w:rFonts w:ascii="TimesNewRoman" w:eastAsia="Times New Roman" w:hAnsi="TimesNewRoman" w:cs="TimesNewRoman"/>
          <w:lang w:val="en-US" w:bidi="fa-IR"/>
        </w:rPr>
        <w:t>8,500</w:t>
      </w:r>
      <w:r w:rsidR="001F0B05">
        <w:rPr>
          <w:rFonts w:ascii="TimesNewRoman" w:eastAsia="Times New Roman" w:hAnsi="TimesNewRoman" w:cs="TimesNewRoman"/>
          <w:lang w:val="en-US" w:bidi="fa-IR"/>
        </w:rPr>
        <w:t>) which were significantly higher in 2014 due to the acquisition of the Business and the preparation and filing of the application for an MMPR license;</w:t>
      </w:r>
      <w:r w:rsidRPr="001F0B05">
        <w:rPr>
          <w:rFonts w:ascii="TimesNewRoman" w:eastAsia="Times New Roman" w:hAnsi="TimesNewRoman" w:cs="TimesNewRoman"/>
          <w:lang w:val="en-US" w:bidi="fa-IR"/>
        </w:rPr>
        <w:t xml:space="preserve"> </w:t>
      </w:r>
    </w:p>
    <w:p w:rsidR="00AE6651" w:rsidRPr="00AE6651" w:rsidRDefault="00AE6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A97740">
        <w:rPr>
          <w:rFonts w:ascii="TimesNewRoman" w:eastAsia="Times New Roman" w:hAnsi="TimesNewRoman" w:cs="TimesNewRoman"/>
          <w:lang w:val="en-US" w:bidi="fa-IR"/>
        </w:rPr>
        <w:t xml:space="preserve">general office and miscellaneous </w:t>
      </w:r>
      <w:r>
        <w:rPr>
          <w:rFonts w:ascii="TimesNewRoman" w:eastAsia="Times New Roman" w:hAnsi="TimesNewRoman" w:cs="TimesNewRoman"/>
          <w:lang w:val="en-US" w:bidi="fa-IR"/>
        </w:rPr>
        <w:t xml:space="preserve">expenses of </w:t>
      </w:r>
      <w:r w:rsidRPr="00A97740">
        <w:rPr>
          <w:rFonts w:ascii="TimesNewRoman" w:eastAsia="Times New Roman" w:hAnsi="TimesNewRoman" w:cs="TimesNewRoman"/>
          <w:lang w:val="en-US" w:bidi="fa-IR"/>
        </w:rPr>
        <w:t>$</w:t>
      </w:r>
      <w:r>
        <w:rPr>
          <w:rFonts w:ascii="TimesNewRoman" w:eastAsia="Times New Roman" w:hAnsi="TimesNewRoman" w:cs="TimesNewRoman"/>
          <w:lang w:val="en-US" w:bidi="fa-IR"/>
        </w:rPr>
        <w:t>8,162</w:t>
      </w:r>
      <w:r w:rsidRPr="00A97740">
        <w:rPr>
          <w:rFonts w:ascii="TimesNewRoman" w:eastAsia="Times New Roman" w:hAnsi="TimesNewRoman" w:cs="TimesNewRoman"/>
          <w:lang w:val="en-US" w:bidi="fa-IR"/>
        </w:rPr>
        <w:t xml:space="preserve"> (2013 - $</w:t>
      </w:r>
      <w:r>
        <w:rPr>
          <w:rFonts w:ascii="TimesNewRoman" w:eastAsia="Times New Roman" w:hAnsi="TimesNewRoman" w:cs="TimesNewRoman"/>
          <w:lang w:val="en-US" w:bidi="fa-IR"/>
        </w:rPr>
        <w:t>Nil</w:t>
      </w:r>
      <w:r w:rsidRPr="00A97740">
        <w:rPr>
          <w:rFonts w:ascii="TimesNewRoman" w:eastAsia="Times New Roman" w:hAnsi="TimesNewRoman" w:cs="TimesNewRoman"/>
          <w:lang w:val="en-US" w:bidi="fa-IR"/>
        </w:rPr>
        <w:t>)</w:t>
      </w:r>
      <w:r>
        <w:rPr>
          <w:rFonts w:ascii="TimesNewRoman" w:eastAsia="Times New Roman" w:hAnsi="TimesNewRoman" w:cs="TimesNewRoman"/>
          <w:lang w:val="en-US" w:bidi="fa-IR"/>
        </w:rPr>
        <w:t xml:space="preserve"> due to the increased activity of the Company;  </w:t>
      </w:r>
    </w:p>
    <w:p w:rsidR="00A97740" w:rsidRDefault="005E4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investor relations and shareholder communications of</w:t>
      </w:r>
      <w:r w:rsidR="00253C6F" w:rsidRPr="001F0B05">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42,040</w:t>
      </w:r>
      <w:r w:rsidR="00253C6F" w:rsidRPr="001F0B05">
        <w:rPr>
          <w:rFonts w:ascii="TimesNewRoman" w:eastAsia="Times New Roman" w:hAnsi="TimesNewRoman" w:cs="TimesNewRoman"/>
          <w:lang w:val="en-US" w:bidi="fa-IR"/>
        </w:rPr>
        <w:t xml:space="preserve"> (201</w:t>
      </w:r>
      <w:r w:rsidR="00872198" w:rsidRPr="001F0B05">
        <w:rPr>
          <w:rFonts w:ascii="TimesNewRoman" w:eastAsia="Times New Roman" w:hAnsi="TimesNewRoman" w:cs="TimesNewRoman"/>
          <w:lang w:val="en-US" w:bidi="fa-IR"/>
        </w:rPr>
        <w:t>3</w:t>
      </w:r>
      <w:r w:rsidR="00253C6F" w:rsidRPr="001F0B05">
        <w:rPr>
          <w:rFonts w:ascii="TimesNewRoman" w:eastAsia="Times New Roman" w:hAnsi="TimesNewRoman" w:cs="TimesNewRoman"/>
          <w:lang w:val="en-US" w:bidi="fa-IR"/>
        </w:rPr>
        <w:t xml:space="preserve"> - $</w:t>
      </w:r>
      <w:r>
        <w:rPr>
          <w:rFonts w:ascii="TimesNewRoman" w:eastAsia="Times New Roman" w:hAnsi="TimesNewRoman" w:cs="TimesNewRoman"/>
          <w:lang w:val="en-US" w:bidi="fa-IR"/>
        </w:rPr>
        <w:t>Nil</w:t>
      </w:r>
      <w:r w:rsidR="00253C6F" w:rsidRPr="001F0B05">
        <w:rPr>
          <w:rFonts w:ascii="TimesNewRoman" w:eastAsia="Times New Roman" w:hAnsi="TimesNewRoman" w:cs="TimesNewRoman"/>
          <w:lang w:val="en-US" w:bidi="fa-IR"/>
        </w:rPr>
        <w:t>)</w:t>
      </w:r>
      <w:r w:rsidR="00A97740">
        <w:rPr>
          <w:rFonts w:ascii="TimesNewRoman" w:eastAsia="Times New Roman" w:hAnsi="TimesNewRoman" w:cs="TimesNewRoman"/>
          <w:lang w:val="en-US" w:bidi="fa-IR"/>
        </w:rPr>
        <w:t xml:space="preserve"> related to </w:t>
      </w:r>
      <w:r>
        <w:rPr>
          <w:rFonts w:ascii="TimesNewRoman" w:eastAsia="Times New Roman" w:hAnsi="TimesNewRoman" w:cs="TimesNewRoman"/>
          <w:lang w:val="en-US" w:bidi="fa-IR"/>
        </w:rPr>
        <w:t xml:space="preserve">fees paid to investor relations personnel, costs associated with public relations and advertising campaigns; </w:t>
      </w:r>
      <w:r w:rsidR="00A97740">
        <w:rPr>
          <w:rFonts w:ascii="TimesNewRoman" w:eastAsia="Times New Roman" w:hAnsi="TimesNewRoman" w:cs="TimesNewRoman"/>
          <w:lang w:val="en-US" w:bidi="fa-IR"/>
        </w:rPr>
        <w:t xml:space="preserve"> </w:t>
      </w:r>
    </w:p>
    <w:p w:rsidR="005E4651" w:rsidRDefault="005E4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1F0B05">
        <w:rPr>
          <w:rFonts w:ascii="TimesNewRoman" w:eastAsia="Times New Roman" w:hAnsi="TimesNewRoman" w:cs="TimesNewRoman"/>
          <w:lang w:val="en-US" w:bidi="fa-IR"/>
        </w:rPr>
        <w:t>legal fees of $</w:t>
      </w:r>
      <w:r>
        <w:rPr>
          <w:rFonts w:ascii="TimesNewRoman" w:eastAsia="Times New Roman" w:hAnsi="TimesNewRoman" w:cs="TimesNewRoman"/>
          <w:lang w:val="en-US" w:bidi="fa-IR"/>
        </w:rPr>
        <w:t>22,538</w:t>
      </w:r>
      <w:r w:rsidRPr="001F0B05">
        <w:rPr>
          <w:rFonts w:ascii="TimesNewRoman" w:eastAsia="Times New Roman" w:hAnsi="TimesNewRoman" w:cs="TimesNewRoman"/>
          <w:lang w:val="en-US" w:bidi="fa-IR"/>
        </w:rPr>
        <w:t xml:space="preserve"> (2013 - $</w:t>
      </w:r>
      <w:r>
        <w:rPr>
          <w:rFonts w:ascii="TimesNewRoman" w:eastAsia="Times New Roman" w:hAnsi="TimesNewRoman" w:cs="TimesNewRoman"/>
          <w:lang w:val="en-US" w:bidi="fa-IR"/>
        </w:rPr>
        <w:t>Nil</w:t>
      </w:r>
      <w:r w:rsidRPr="001F0B05">
        <w:rPr>
          <w:rFonts w:ascii="TimesNewRoman" w:eastAsia="Times New Roman" w:hAnsi="TimesNewRoman" w:cs="TimesNewRoman"/>
          <w:lang w:val="en-US" w:bidi="fa-IR"/>
        </w:rPr>
        <w:t>)</w:t>
      </w:r>
      <w:r>
        <w:rPr>
          <w:rFonts w:ascii="TimesNewRoman" w:eastAsia="Times New Roman" w:hAnsi="TimesNewRoman" w:cs="TimesNewRoman"/>
          <w:lang w:val="en-US" w:bidi="fa-IR"/>
        </w:rPr>
        <w:t xml:space="preserve"> related to the acquisition of the Business and general corporate matters;  </w:t>
      </w:r>
    </w:p>
    <w:p w:rsidR="005E4651" w:rsidRDefault="005E4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rent of $68,038 (2013 - $Nil) as the Company began renting office premises and leasing a growing site;</w:t>
      </w:r>
    </w:p>
    <w:p w:rsidR="005E4651" w:rsidRPr="005E4651" w:rsidRDefault="005E4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share-based payments expense of $390,293 (</w:t>
      </w:r>
      <w:r w:rsidR="00A7031C">
        <w:rPr>
          <w:rFonts w:ascii="TimesNewRoman" w:eastAsia="Times New Roman" w:hAnsi="TimesNewRoman" w:cs="TimesNewRoman"/>
          <w:lang w:val="en-US" w:bidi="fa-IR"/>
        </w:rPr>
        <w:t>2013-</w:t>
      </w:r>
      <w:r>
        <w:rPr>
          <w:rFonts w:ascii="TimesNewRoman" w:eastAsia="Times New Roman" w:hAnsi="TimesNewRoman" w:cs="TimesNewRoman"/>
          <w:lang w:val="en-US" w:bidi="fa-IR"/>
        </w:rPr>
        <w:t>$Nil) related to the fair value expense of the 2,950,000 (2013 – Nil) incentive stock options granted and vested;</w:t>
      </w:r>
    </w:p>
    <w:p w:rsidR="00A97740" w:rsidRDefault="00253C6F"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A97740">
        <w:rPr>
          <w:rFonts w:ascii="TimesNewRoman" w:eastAsia="Times New Roman" w:hAnsi="TimesNewRoman" w:cs="TimesNewRoman"/>
          <w:lang w:val="en-US" w:bidi="fa-IR"/>
        </w:rPr>
        <w:t xml:space="preserve">travel </w:t>
      </w:r>
      <w:r w:rsidR="00A97740">
        <w:rPr>
          <w:rFonts w:ascii="TimesNewRoman" w:eastAsia="Times New Roman" w:hAnsi="TimesNewRoman" w:cs="TimesNewRoman"/>
          <w:lang w:val="en-US" w:bidi="fa-IR"/>
        </w:rPr>
        <w:t xml:space="preserve">of </w:t>
      </w:r>
      <w:r w:rsidRPr="00A97740">
        <w:rPr>
          <w:rFonts w:ascii="TimesNewRoman" w:eastAsia="Times New Roman" w:hAnsi="TimesNewRoman" w:cs="TimesNewRoman"/>
          <w:lang w:val="en-US" w:bidi="fa-IR"/>
        </w:rPr>
        <w:t>$</w:t>
      </w:r>
      <w:r w:rsidR="00AE6651">
        <w:rPr>
          <w:rFonts w:ascii="TimesNewRoman" w:eastAsia="Times New Roman" w:hAnsi="TimesNewRoman" w:cs="TimesNewRoman"/>
          <w:lang w:val="en-US" w:bidi="fa-IR"/>
        </w:rPr>
        <w:t>2,721</w:t>
      </w:r>
      <w:r w:rsidRPr="00A97740">
        <w:rPr>
          <w:rFonts w:ascii="TimesNewRoman" w:eastAsia="Times New Roman" w:hAnsi="TimesNewRoman" w:cs="TimesNewRoman"/>
          <w:lang w:val="en-US" w:bidi="fa-IR"/>
        </w:rPr>
        <w:t xml:space="preserve"> (201</w:t>
      </w:r>
      <w:r w:rsidR="00872198" w:rsidRPr="00A97740">
        <w:rPr>
          <w:rFonts w:ascii="TimesNewRoman" w:eastAsia="Times New Roman" w:hAnsi="TimesNewRoman" w:cs="TimesNewRoman"/>
          <w:lang w:val="en-US" w:bidi="fa-IR"/>
        </w:rPr>
        <w:t>3</w:t>
      </w:r>
      <w:r w:rsidRPr="00A97740">
        <w:rPr>
          <w:rFonts w:ascii="TimesNewRoman" w:eastAsia="Times New Roman" w:hAnsi="TimesNewRoman" w:cs="TimesNewRoman"/>
          <w:lang w:val="en-US" w:bidi="fa-IR"/>
        </w:rPr>
        <w:t>- $</w:t>
      </w:r>
      <w:r w:rsidR="00AE6651">
        <w:rPr>
          <w:rFonts w:ascii="TimesNewRoman" w:eastAsia="Times New Roman" w:hAnsi="TimesNewRoman" w:cs="TimesNewRoman"/>
          <w:lang w:val="en-US" w:bidi="fa-IR"/>
        </w:rPr>
        <w:t>Nil</w:t>
      </w:r>
      <w:r w:rsidRPr="00A97740">
        <w:rPr>
          <w:rFonts w:ascii="TimesNewRoman" w:eastAsia="Times New Roman" w:hAnsi="TimesNewRoman" w:cs="TimesNewRoman"/>
          <w:lang w:val="en-US" w:bidi="fa-IR"/>
        </w:rPr>
        <w:t>)</w:t>
      </w:r>
      <w:r w:rsidR="00A97740" w:rsidRPr="00A97740">
        <w:rPr>
          <w:rFonts w:ascii="TimesNewRoman" w:eastAsia="Times New Roman" w:hAnsi="TimesNewRoman" w:cs="TimesNewRoman"/>
          <w:lang w:val="en-US" w:bidi="fa-IR"/>
        </w:rPr>
        <w:t xml:space="preserve"> was higher in 2014 related to </w:t>
      </w:r>
      <w:r w:rsidR="00A97740">
        <w:rPr>
          <w:rFonts w:ascii="TimesNewRoman" w:eastAsia="Times New Roman" w:hAnsi="TimesNewRoman" w:cs="TimesNewRoman"/>
          <w:lang w:val="en-US" w:bidi="fa-IR"/>
        </w:rPr>
        <w:t xml:space="preserve">the acquisition of property on Vancouver Island, attending various conferences and preparation for the filing of the application with Health Canada for an MMPR application;  </w:t>
      </w:r>
      <w:r w:rsidR="00AE6651">
        <w:rPr>
          <w:rFonts w:ascii="TimesNewRoman" w:eastAsia="Times New Roman" w:hAnsi="TimesNewRoman" w:cs="TimesNewRoman"/>
          <w:lang w:val="en-US" w:bidi="fa-IR"/>
        </w:rPr>
        <w:t>and</w:t>
      </w:r>
    </w:p>
    <w:p w:rsidR="007B6172" w:rsidRPr="00A97740" w:rsidRDefault="007B6172"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proofErr w:type="gramStart"/>
      <w:r w:rsidRPr="00A97740">
        <w:rPr>
          <w:rFonts w:ascii="TimesNewRoman" w:eastAsia="Times New Roman" w:hAnsi="TimesNewRoman" w:cs="TimesNewRoman"/>
          <w:lang w:val="en-US" w:bidi="fa-IR"/>
        </w:rPr>
        <w:t>website</w:t>
      </w:r>
      <w:proofErr w:type="gramEnd"/>
      <w:r w:rsidRPr="00A97740">
        <w:rPr>
          <w:rFonts w:ascii="TimesNewRoman" w:eastAsia="Times New Roman" w:hAnsi="TimesNewRoman" w:cs="TimesNewRoman"/>
          <w:lang w:val="en-US" w:bidi="fa-IR"/>
        </w:rPr>
        <w:t xml:space="preserve"> design $</w:t>
      </w:r>
      <w:r w:rsidR="00AE6651">
        <w:rPr>
          <w:rFonts w:ascii="TimesNewRoman" w:eastAsia="Times New Roman" w:hAnsi="TimesNewRoman" w:cs="TimesNewRoman"/>
          <w:lang w:val="en-US" w:bidi="fa-IR"/>
        </w:rPr>
        <w:t>5,953</w:t>
      </w:r>
      <w:r w:rsidRPr="00A97740">
        <w:rPr>
          <w:rFonts w:ascii="TimesNewRoman" w:eastAsia="Times New Roman" w:hAnsi="TimesNewRoman" w:cs="TimesNewRoman"/>
          <w:lang w:val="en-US" w:bidi="fa-IR"/>
        </w:rPr>
        <w:t xml:space="preserve"> (2013-$Nil)</w:t>
      </w:r>
      <w:r w:rsidR="00A97740">
        <w:rPr>
          <w:rFonts w:ascii="TimesNewRoman" w:eastAsia="Times New Roman" w:hAnsi="TimesNewRoman" w:cs="TimesNewRoman"/>
          <w:lang w:val="en-US" w:bidi="fa-IR"/>
        </w:rPr>
        <w:t xml:space="preserve"> as the Company </w:t>
      </w:r>
      <w:r w:rsidR="00AE6651">
        <w:rPr>
          <w:rFonts w:ascii="TimesNewRoman" w:eastAsia="Times New Roman" w:hAnsi="TimesNewRoman" w:cs="TimesNewRoman"/>
          <w:lang w:val="en-US" w:bidi="fa-IR"/>
        </w:rPr>
        <w:t>worked toward creating</w:t>
      </w:r>
      <w:r w:rsidR="00A97740">
        <w:rPr>
          <w:rFonts w:ascii="TimesNewRoman" w:eastAsia="Times New Roman" w:hAnsi="TimesNewRoman" w:cs="TimesNewRoman"/>
          <w:lang w:val="en-US" w:bidi="fa-IR"/>
        </w:rPr>
        <w:t xml:space="preserve"> a website for Wildflower during the </w:t>
      </w:r>
      <w:r w:rsidR="00AE6651">
        <w:rPr>
          <w:rFonts w:ascii="TimesNewRoman" w:eastAsia="Times New Roman" w:hAnsi="TimesNewRoman" w:cs="TimesNewRoman"/>
          <w:lang w:val="en-US" w:bidi="fa-IR"/>
        </w:rPr>
        <w:t>period</w:t>
      </w:r>
      <w:r w:rsidR="00A97740">
        <w:rPr>
          <w:rFonts w:ascii="TimesNewRoman" w:eastAsia="Times New Roman" w:hAnsi="TimesNewRoman" w:cs="TimesNewRoman"/>
          <w:lang w:val="en-US" w:bidi="fa-IR"/>
        </w:rPr>
        <w:t>.</w:t>
      </w:r>
    </w:p>
    <w:p w:rsidR="00253C6F" w:rsidRPr="00120E36" w:rsidRDefault="00253C6F" w:rsidP="00253C6F">
      <w:pPr>
        <w:tabs>
          <w:tab w:val="left" w:pos="-1440"/>
        </w:tabs>
        <w:spacing w:after="0" w:line="240" w:lineRule="auto"/>
        <w:ind w:left="720" w:right="-360" w:hanging="720"/>
        <w:jc w:val="both"/>
        <w:rPr>
          <w:rFonts w:ascii="Times New Roman" w:eastAsia="Times New Roman" w:hAnsi="Times New Roman" w:cs="Times New Roman"/>
          <w:sz w:val="12"/>
          <w:szCs w:val="12"/>
          <w:lang w:val="en-US"/>
        </w:rPr>
      </w:pPr>
      <w:r w:rsidRPr="00253C6F">
        <w:rPr>
          <w:rFonts w:ascii="Times New Roman" w:eastAsia="Times New Roman" w:hAnsi="Times New Roman" w:cs="Times New Roman"/>
          <w:lang w:val="en-US"/>
        </w:rPr>
        <w:tab/>
      </w:r>
    </w:p>
    <w:p w:rsidR="00253C6F" w:rsidRPr="00253C6F" w:rsidRDefault="00A7031C" w:rsidP="00253C6F">
      <w:pPr>
        <w:tabs>
          <w:tab w:val="left" w:pos="-14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rPr>
        <w:t>1.4</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Summary of Quarterly Results (</w:t>
      </w:r>
      <w:r w:rsidR="00253C6F" w:rsidRPr="00253C6F">
        <w:rPr>
          <w:rFonts w:ascii="Times New Roman" w:eastAsia="Times New Roman" w:hAnsi="Times New Roman" w:cs="Times New Roman"/>
          <w:b/>
          <w:bCs/>
          <w:i/>
          <w:iCs/>
          <w:u w:val="single"/>
        </w:rPr>
        <w:t>unaudited</w:t>
      </w:r>
      <w:r w:rsidR="00253C6F" w:rsidRPr="00253C6F">
        <w:rPr>
          <w:rFonts w:ascii="Times New Roman" w:eastAsia="Times New Roman" w:hAnsi="Times New Roman" w:cs="Times New Roman"/>
          <w:b/>
          <w:bCs/>
          <w:u w:val="single"/>
        </w:rPr>
        <w:t>)</w:t>
      </w:r>
    </w:p>
    <w:p w:rsidR="00253C6F" w:rsidRPr="00120E36" w:rsidRDefault="00253C6F" w:rsidP="00253C6F">
      <w:pPr>
        <w:spacing w:after="0" w:line="240" w:lineRule="auto"/>
        <w:ind w:firstLine="720"/>
        <w:jc w:val="both"/>
        <w:rPr>
          <w:rFonts w:ascii="Times New Roman" w:eastAsia="Times New Roman" w:hAnsi="Times New Roman" w:cs="Times New Roman"/>
          <w:sz w:val="12"/>
          <w:szCs w:val="1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tblPr>
      <w:tblGrid>
        <w:gridCol w:w="2023"/>
        <w:gridCol w:w="867"/>
        <w:gridCol w:w="987"/>
        <w:gridCol w:w="806"/>
        <w:gridCol w:w="810"/>
        <w:gridCol w:w="863"/>
        <w:gridCol w:w="880"/>
        <w:gridCol w:w="861"/>
        <w:gridCol w:w="783"/>
      </w:tblGrid>
      <w:tr w:rsidR="00AE6651" w:rsidRPr="00253C6F" w:rsidTr="00AE6651">
        <w:trPr>
          <w:trHeight w:val="288"/>
          <w:jc w:val="center"/>
        </w:trPr>
        <w:tc>
          <w:tcPr>
            <w:tcW w:w="1148" w:type="pct"/>
            <w:vAlign w:val="center"/>
          </w:tcPr>
          <w:p w:rsidR="00AE6651" w:rsidRPr="00253C6F" w:rsidRDefault="00AE6651" w:rsidP="00253C6F">
            <w:pPr>
              <w:keepNext/>
              <w:keepLines/>
              <w:spacing w:after="58" w:line="240" w:lineRule="auto"/>
              <w:jc w:val="center"/>
              <w:rPr>
                <w:rFonts w:ascii="Times New Roman" w:eastAsia="Times New Roman" w:hAnsi="Times New Roman" w:cs="Times New Roman"/>
                <w:b/>
                <w:sz w:val="18"/>
              </w:rPr>
            </w:pPr>
          </w:p>
          <w:p w:rsidR="00AE6651" w:rsidRPr="00253C6F" w:rsidRDefault="00AE6651" w:rsidP="00253C6F">
            <w:pPr>
              <w:keepNext/>
              <w:keepLines/>
              <w:spacing w:after="58" w:line="240" w:lineRule="auto"/>
              <w:jc w:val="center"/>
              <w:rPr>
                <w:rFonts w:ascii="Times New Roman" w:eastAsia="Times New Roman" w:hAnsi="Times New Roman" w:cs="Times New Roman"/>
                <w:b/>
                <w:sz w:val="24"/>
                <w:szCs w:val="24"/>
              </w:rPr>
            </w:pPr>
            <w:r w:rsidRPr="00253C6F">
              <w:rPr>
                <w:rFonts w:ascii="Times New Roman" w:eastAsia="Times New Roman" w:hAnsi="Times New Roman" w:cs="Times New Roman"/>
                <w:b/>
                <w:sz w:val="18"/>
              </w:rPr>
              <w:t>Expressed in $ - Quarters ended</w:t>
            </w:r>
          </w:p>
        </w:tc>
        <w:tc>
          <w:tcPr>
            <w:tcW w:w="495" w:type="pct"/>
          </w:tcPr>
          <w:p w:rsidR="00AE6651" w:rsidRPr="00253C6F" w:rsidRDefault="00AE6651" w:rsidP="00253C6F">
            <w:pPr>
              <w:spacing w:after="0" w:line="240" w:lineRule="auto"/>
              <w:jc w:val="center"/>
              <w:rPr>
                <w:rFonts w:ascii="Times New Roman" w:eastAsia="Times New Roman" w:hAnsi="Times New Roman" w:cs="Times New Roman"/>
                <w:b/>
                <w:sz w:val="16"/>
                <w:szCs w:val="16"/>
              </w:rPr>
            </w:pPr>
          </w:p>
          <w:p w:rsidR="00AE6651" w:rsidRPr="00253C6F" w:rsidRDefault="00AE6651" w:rsidP="00253C6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Sept</w:t>
            </w:r>
            <w:r w:rsidRPr="00253C6F">
              <w:rPr>
                <w:rFonts w:ascii="Times New Roman" w:eastAsia="Times New Roman" w:hAnsi="Times New Roman" w:cs="Times New Roman"/>
                <w:b/>
                <w:sz w:val="16"/>
                <w:szCs w:val="16"/>
              </w:rPr>
              <w:t xml:space="preserve"> 1</w:t>
            </w:r>
            <w:r w:rsidRPr="007B6172">
              <w:rPr>
                <w:rFonts w:ascii="Times New Roman" w:eastAsia="Times New Roman" w:hAnsi="Times New Roman" w:cs="Times New Roman"/>
                <w:b/>
                <w:sz w:val="16"/>
                <w:szCs w:val="16"/>
              </w:rPr>
              <w:t>4</w:t>
            </w:r>
          </w:p>
          <w:p w:rsidR="00AE6651" w:rsidRPr="007B6172" w:rsidRDefault="00AE6651" w:rsidP="00253C6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53C6F">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493" w:type="pct"/>
          </w:tcPr>
          <w:p w:rsidR="00AE6651" w:rsidRPr="00253C6F" w:rsidRDefault="00AE6651" w:rsidP="0026753F">
            <w:pPr>
              <w:spacing w:after="0" w:line="240" w:lineRule="auto"/>
              <w:jc w:val="center"/>
              <w:rPr>
                <w:rFonts w:ascii="Times New Roman" w:eastAsia="Times New Roman" w:hAnsi="Times New Roman" w:cs="Times New Roman"/>
                <w:b/>
                <w:sz w:val="16"/>
                <w:szCs w:val="16"/>
              </w:rPr>
            </w:pP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Jun 1</w:t>
            </w:r>
            <w:r w:rsidRPr="007B6172">
              <w:rPr>
                <w:rFonts w:ascii="Times New Roman" w:eastAsia="Times New Roman" w:hAnsi="Times New Roman" w:cs="Times New Roman"/>
                <w:b/>
                <w:sz w:val="16"/>
                <w:szCs w:val="16"/>
              </w:rPr>
              <w:t>4</w:t>
            </w:r>
          </w:p>
          <w:p w:rsidR="00AE6651" w:rsidRPr="007B6172"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465" w:type="pct"/>
          </w:tcPr>
          <w:p w:rsidR="00AE6651" w:rsidRPr="00253C6F" w:rsidRDefault="00AE6651" w:rsidP="0026753F">
            <w:pPr>
              <w:spacing w:after="0" w:line="240" w:lineRule="auto"/>
              <w:jc w:val="center"/>
              <w:rPr>
                <w:rFonts w:ascii="Times New Roman" w:eastAsia="Times New Roman" w:hAnsi="Times New Roman" w:cs="Times New Roman"/>
                <w:b/>
                <w:sz w:val="16"/>
                <w:szCs w:val="16"/>
              </w:rPr>
            </w:pP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Mar 1</w:t>
            </w:r>
            <w:r w:rsidRPr="00C63E7B">
              <w:rPr>
                <w:rFonts w:ascii="Times New Roman" w:eastAsia="Times New Roman" w:hAnsi="Times New Roman" w:cs="Times New Roman"/>
                <w:b/>
                <w:sz w:val="16"/>
                <w:szCs w:val="16"/>
              </w:rPr>
              <w:t>4</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6753F">
            <w:pPr>
              <w:spacing w:after="0" w:line="240" w:lineRule="auto"/>
              <w:jc w:val="center"/>
              <w:rPr>
                <w:rFonts w:ascii="Times New Roman" w:eastAsia="Times New Roman" w:hAnsi="Times New Roman" w:cs="Times New Roman"/>
                <w:b/>
                <w:color w:val="FF0000"/>
                <w:sz w:val="16"/>
                <w:szCs w:val="16"/>
              </w:rPr>
            </w:pPr>
            <w:r w:rsidRPr="00253C6F">
              <w:rPr>
                <w:rFonts w:ascii="Times New Roman" w:eastAsia="Times New Roman" w:hAnsi="Times New Roman" w:cs="Times New Roman"/>
                <w:b/>
                <w:sz w:val="16"/>
                <w:szCs w:val="16"/>
              </w:rPr>
              <w:t>$</w:t>
            </w:r>
          </w:p>
        </w:tc>
        <w:tc>
          <w:tcPr>
            <w:tcW w:w="465" w:type="pct"/>
            <w:vAlign w:val="center"/>
          </w:tcPr>
          <w:p w:rsidR="00AE6651" w:rsidRPr="00253C6F" w:rsidRDefault="00AE6651" w:rsidP="0026753F">
            <w:pPr>
              <w:spacing w:after="0" w:line="240" w:lineRule="auto"/>
              <w:jc w:val="center"/>
              <w:rPr>
                <w:rFonts w:ascii="Times New Roman" w:eastAsia="Times New Roman" w:hAnsi="Times New Roman" w:cs="Times New Roman"/>
                <w:b/>
                <w:sz w:val="16"/>
                <w:szCs w:val="16"/>
              </w:rPr>
            </w:pP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Dec 1</w:t>
            </w:r>
            <w:r w:rsidRPr="00C63E7B">
              <w:rPr>
                <w:rFonts w:ascii="Times New Roman" w:eastAsia="Times New Roman" w:hAnsi="Times New Roman" w:cs="Times New Roman"/>
                <w:b/>
                <w:sz w:val="16"/>
                <w:szCs w:val="16"/>
              </w:rPr>
              <w:t>3</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w:t>
            </w:r>
          </w:p>
        </w:tc>
        <w:tc>
          <w:tcPr>
            <w:tcW w:w="495" w:type="pct"/>
            <w:vAlign w:val="center"/>
          </w:tcPr>
          <w:p w:rsidR="00AE6651" w:rsidRPr="00253C6F" w:rsidRDefault="00AE6651" w:rsidP="0026753F">
            <w:pPr>
              <w:spacing w:after="0" w:line="240" w:lineRule="auto"/>
              <w:jc w:val="center"/>
              <w:rPr>
                <w:rFonts w:ascii="Times New Roman" w:eastAsia="Times New Roman" w:hAnsi="Times New Roman" w:cs="Times New Roman"/>
                <w:b/>
                <w:sz w:val="16"/>
                <w:szCs w:val="16"/>
              </w:rPr>
            </w:pP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Sept 1</w:t>
            </w:r>
            <w:r w:rsidRPr="00C63E7B">
              <w:rPr>
                <w:rFonts w:ascii="Times New Roman" w:eastAsia="Times New Roman" w:hAnsi="Times New Roman" w:cs="Times New Roman"/>
                <w:b/>
                <w:sz w:val="16"/>
                <w:szCs w:val="16"/>
              </w:rPr>
              <w:t>3</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w:t>
            </w:r>
          </w:p>
        </w:tc>
        <w:tc>
          <w:tcPr>
            <w:tcW w:w="495" w:type="pct"/>
          </w:tcPr>
          <w:p w:rsidR="00AE6651" w:rsidRPr="00253C6F" w:rsidRDefault="00AE6651" w:rsidP="0026753F">
            <w:pPr>
              <w:spacing w:after="0" w:line="240" w:lineRule="auto"/>
              <w:jc w:val="center"/>
              <w:rPr>
                <w:rFonts w:ascii="Times New Roman" w:eastAsia="Times New Roman" w:hAnsi="Times New Roman" w:cs="Times New Roman"/>
                <w:b/>
                <w:sz w:val="16"/>
                <w:szCs w:val="16"/>
              </w:rPr>
            </w:pP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Jun 13</w:t>
            </w:r>
          </w:p>
          <w:p w:rsidR="00AE6651"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494" w:type="pct"/>
          </w:tcPr>
          <w:p w:rsidR="00AE6651" w:rsidRPr="00253C6F" w:rsidRDefault="00AE6651" w:rsidP="0026753F">
            <w:pPr>
              <w:spacing w:after="0" w:line="240" w:lineRule="auto"/>
              <w:jc w:val="center"/>
              <w:rPr>
                <w:rFonts w:ascii="Times New Roman" w:eastAsia="Times New Roman" w:hAnsi="Times New Roman" w:cs="Times New Roman"/>
                <w:b/>
                <w:sz w:val="16"/>
                <w:szCs w:val="16"/>
              </w:rPr>
            </w:pP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Mar 13</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6753F">
            <w:pPr>
              <w:spacing w:after="0" w:line="240" w:lineRule="auto"/>
              <w:jc w:val="center"/>
              <w:rPr>
                <w:rFonts w:ascii="Times New Roman" w:eastAsia="Times New Roman" w:hAnsi="Times New Roman" w:cs="Times New Roman"/>
                <w:b/>
                <w:color w:val="FF0000"/>
                <w:sz w:val="16"/>
                <w:szCs w:val="16"/>
              </w:rPr>
            </w:pPr>
            <w:r w:rsidRPr="00253C6F">
              <w:rPr>
                <w:rFonts w:ascii="Times New Roman" w:eastAsia="Times New Roman" w:hAnsi="Times New Roman" w:cs="Times New Roman"/>
                <w:b/>
                <w:sz w:val="16"/>
                <w:szCs w:val="16"/>
              </w:rPr>
              <w:t>$</w:t>
            </w:r>
          </w:p>
        </w:tc>
        <w:tc>
          <w:tcPr>
            <w:tcW w:w="450" w:type="pct"/>
            <w:vAlign w:val="center"/>
          </w:tcPr>
          <w:p w:rsidR="00AE6651" w:rsidRPr="00253C6F" w:rsidRDefault="00AE6651" w:rsidP="0026753F">
            <w:pPr>
              <w:spacing w:after="0" w:line="240" w:lineRule="auto"/>
              <w:jc w:val="center"/>
              <w:rPr>
                <w:rFonts w:ascii="Times New Roman" w:eastAsia="Times New Roman" w:hAnsi="Times New Roman" w:cs="Times New Roman"/>
                <w:b/>
                <w:sz w:val="16"/>
                <w:szCs w:val="16"/>
              </w:rPr>
            </w:pP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Dec 12</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(IFRS)</w:t>
            </w:r>
          </w:p>
          <w:p w:rsidR="00AE6651" w:rsidRPr="00253C6F" w:rsidRDefault="00AE6651" w:rsidP="0026753F">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w:t>
            </w:r>
          </w:p>
        </w:tc>
      </w:tr>
      <w:tr w:rsidR="00AE6651" w:rsidRPr="00253C6F" w:rsidTr="00AE6651">
        <w:trPr>
          <w:trHeight w:val="288"/>
          <w:jc w:val="center"/>
        </w:trPr>
        <w:tc>
          <w:tcPr>
            <w:tcW w:w="1148" w:type="pct"/>
          </w:tcPr>
          <w:p w:rsidR="00AE6651" w:rsidRPr="00253C6F" w:rsidRDefault="00AE6651" w:rsidP="00253C6F">
            <w:pPr>
              <w:keepNext/>
              <w:keepLines/>
              <w:spacing w:after="0" w:line="120" w:lineRule="exact"/>
              <w:jc w:val="center"/>
              <w:rPr>
                <w:rFonts w:ascii="Times New Roman" w:eastAsia="Times New Roman" w:hAnsi="Times New Roman" w:cs="Times New Roman"/>
                <w:b/>
                <w:sz w:val="16"/>
                <w:szCs w:val="16"/>
              </w:rPr>
            </w:pPr>
          </w:p>
          <w:p w:rsidR="00AE6651" w:rsidRPr="00253C6F" w:rsidRDefault="00AE6651" w:rsidP="00253C6F">
            <w:pPr>
              <w:keepNext/>
              <w:keepLines/>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Total Royalty income</w:t>
            </w:r>
          </w:p>
        </w:tc>
        <w:tc>
          <w:tcPr>
            <w:tcW w:w="495" w:type="pct"/>
          </w:tcPr>
          <w:p w:rsidR="00AE6651" w:rsidRPr="00253C6F" w:rsidRDefault="00AE6651" w:rsidP="00253C6F">
            <w:pPr>
              <w:spacing w:after="0" w:line="240" w:lineRule="auto"/>
              <w:jc w:val="center"/>
              <w:rPr>
                <w:rFonts w:ascii="Times New Roman" w:eastAsia="Times New Roman" w:hAnsi="Times New Roman" w:cs="Times New Roman"/>
                <w:sz w:val="16"/>
                <w:szCs w:val="16"/>
              </w:rPr>
            </w:pPr>
          </w:p>
          <w:p w:rsidR="00AE6651" w:rsidRPr="00253C6F" w:rsidRDefault="00AE6651" w:rsidP="00253C6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AE6651" w:rsidRPr="00253C6F" w:rsidRDefault="00AE6651" w:rsidP="00253C6F">
            <w:pPr>
              <w:spacing w:after="0" w:line="240" w:lineRule="auto"/>
              <w:jc w:val="center"/>
              <w:rPr>
                <w:rFonts w:ascii="Times New Roman" w:eastAsia="Times New Roman" w:hAnsi="Times New Roman" w:cs="Times New Roman"/>
                <w:sz w:val="16"/>
                <w:szCs w:val="16"/>
              </w:rPr>
            </w:pPr>
          </w:p>
        </w:tc>
        <w:tc>
          <w:tcPr>
            <w:tcW w:w="493"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AE6651" w:rsidRPr="00253C6F" w:rsidRDefault="00AE6651" w:rsidP="0026753F">
            <w:pPr>
              <w:spacing w:after="0" w:line="240" w:lineRule="auto"/>
              <w:jc w:val="center"/>
              <w:rPr>
                <w:rFonts w:ascii="Times New Roman" w:eastAsia="Times New Roman" w:hAnsi="Times New Roman" w:cs="Times New Roman"/>
                <w:sz w:val="16"/>
                <w:szCs w:val="16"/>
              </w:rPr>
            </w:pPr>
          </w:p>
        </w:tc>
        <w:tc>
          <w:tcPr>
            <w:tcW w:w="465" w:type="pct"/>
          </w:tcPr>
          <w:p w:rsidR="00AE6651" w:rsidRPr="00253C6F" w:rsidRDefault="00AE6651" w:rsidP="0026753F">
            <w:pPr>
              <w:spacing w:after="0" w:line="240" w:lineRule="auto"/>
              <w:jc w:val="center"/>
              <w:rPr>
                <w:rFonts w:ascii="Times New Roman" w:eastAsia="Times New Roman" w:hAnsi="Times New Roman" w:cs="Times New Roman"/>
                <w:color w:val="FF0000"/>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6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5" w:type="pct"/>
          </w:tcPr>
          <w:p w:rsidR="00AE6651" w:rsidRPr="00253C6F" w:rsidRDefault="00AE6651" w:rsidP="0026753F">
            <w:pPr>
              <w:spacing w:after="0" w:line="240" w:lineRule="auto"/>
              <w:jc w:val="center"/>
              <w:rPr>
                <w:rFonts w:ascii="Times New Roman" w:eastAsia="Times New Roman" w:hAnsi="Times New Roman" w:cs="Times New Roman"/>
                <w:color w:val="FF0000"/>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AE6651" w:rsidRPr="00253C6F" w:rsidRDefault="00AE6651" w:rsidP="0026753F">
            <w:pPr>
              <w:spacing w:after="0" w:line="240" w:lineRule="auto"/>
              <w:jc w:val="center"/>
              <w:rPr>
                <w:rFonts w:ascii="Times New Roman" w:eastAsia="Times New Roman" w:hAnsi="Times New Roman" w:cs="Times New Roman"/>
                <w:sz w:val="16"/>
                <w:szCs w:val="16"/>
              </w:rPr>
            </w:pPr>
          </w:p>
        </w:tc>
        <w:tc>
          <w:tcPr>
            <w:tcW w:w="494" w:type="pct"/>
          </w:tcPr>
          <w:p w:rsidR="00AE6651" w:rsidRPr="00253C6F" w:rsidRDefault="00AE6651" w:rsidP="0026753F">
            <w:pPr>
              <w:spacing w:after="0" w:line="240" w:lineRule="auto"/>
              <w:jc w:val="center"/>
              <w:rPr>
                <w:rFonts w:ascii="Times New Roman" w:eastAsia="Times New Roman" w:hAnsi="Times New Roman" w:cs="Times New Roman"/>
                <w:color w:val="FF0000"/>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50"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r>
      <w:tr w:rsidR="00AE6651" w:rsidRPr="00253C6F" w:rsidTr="00AE6651">
        <w:trPr>
          <w:trHeight w:val="288"/>
          <w:jc w:val="center"/>
        </w:trPr>
        <w:tc>
          <w:tcPr>
            <w:tcW w:w="1148" w:type="pct"/>
          </w:tcPr>
          <w:p w:rsidR="00AE6651" w:rsidRPr="00253C6F" w:rsidRDefault="00AE6651" w:rsidP="00253C6F">
            <w:pPr>
              <w:spacing w:after="58" w:line="240" w:lineRule="auto"/>
              <w:jc w:val="center"/>
              <w:rPr>
                <w:rFonts w:ascii="Times New Roman" w:eastAsia="Times New Roman" w:hAnsi="Times New Roman" w:cs="Times New Roman"/>
                <w:b/>
                <w:sz w:val="16"/>
                <w:szCs w:val="16"/>
              </w:rPr>
            </w:pPr>
          </w:p>
          <w:p w:rsidR="00AE6651" w:rsidRPr="00253C6F" w:rsidRDefault="00AE6651"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Net Income (loss) for the period</w:t>
            </w:r>
          </w:p>
        </w:tc>
        <w:tc>
          <w:tcPr>
            <w:tcW w:w="495" w:type="pct"/>
          </w:tcPr>
          <w:p w:rsidR="00AE6651" w:rsidRPr="007B6172" w:rsidRDefault="00AE6651" w:rsidP="00253C6F">
            <w:pPr>
              <w:spacing w:after="0" w:line="240" w:lineRule="auto"/>
              <w:jc w:val="center"/>
              <w:rPr>
                <w:rFonts w:ascii="Times New Roman" w:eastAsia="Times New Roman" w:hAnsi="Times New Roman" w:cs="Times New Roman"/>
                <w:sz w:val="16"/>
                <w:szCs w:val="16"/>
              </w:rPr>
            </w:pPr>
          </w:p>
          <w:p w:rsidR="00AE6651" w:rsidRPr="007B6172" w:rsidRDefault="00AE6651" w:rsidP="00253C6F">
            <w:pPr>
              <w:spacing w:after="0" w:line="240" w:lineRule="auto"/>
              <w:jc w:val="center"/>
              <w:rPr>
                <w:rFonts w:ascii="Times New Roman" w:eastAsia="Times New Roman" w:hAnsi="Times New Roman" w:cs="Times New Roman"/>
                <w:sz w:val="16"/>
                <w:szCs w:val="16"/>
              </w:rPr>
            </w:pPr>
          </w:p>
          <w:p w:rsidR="00AE6651" w:rsidRPr="00253C6F" w:rsidRDefault="00784A43" w:rsidP="00DA55D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(609,004</w:t>
            </w:r>
            <w:r w:rsidR="00A7031C">
              <w:rPr>
                <w:rFonts w:ascii="Times New Roman" w:eastAsia="Times New Roman" w:hAnsi="Times New Roman" w:cs="Times New Roman"/>
                <w:sz w:val="16"/>
                <w:szCs w:val="16"/>
              </w:rPr>
              <w:t>)</w:t>
            </w:r>
          </w:p>
        </w:tc>
        <w:tc>
          <w:tcPr>
            <w:tcW w:w="493" w:type="pct"/>
          </w:tcPr>
          <w:p w:rsidR="00AE6651" w:rsidRPr="007B6172" w:rsidRDefault="00AE6651" w:rsidP="0026753F">
            <w:pPr>
              <w:spacing w:after="0" w:line="240" w:lineRule="auto"/>
              <w:jc w:val="center"/>
              <w:rPr>
                <w:rFonts w:ascii="Times New Roman" w:eastAsia="Times New Roman" w:hAnsi="Times New Roman" w:cs="Times New Roman"/>
                <w:sz w:val="16"/>
                <w:szCs w:val="16"/>
              </w:rPr>
            </w:pPr>
          </w:p>
          <w:p w:rsidR="00AE6651" w:rsidRPr="007B6172"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784A43" w:rsidP="0026753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AE6651" w:rsidRPr="007B6172">
              <w:rPr>
                <w:rFonts w:ascii="Times New Roman" w:eastAsia="Times New Roman" w:hAnsi="Times New Roman" w:cs="Times New Roman"/>
                <w:sz w:val="16"/>
                <w:szCs w:val="16"/>
              </w:rPr>
              <w:t>1</w:t>
            </w:r>
            <w:r w:rsidR="00AE6651">
              <w:rPr>
                <w:rFonts w:ascii="Times New Roman" w:eastAsia="Times New Roman" w:hAnsi="Times New Roman" w:cs="Times New Roman"/>
                <w:sz w:val="16"/>
                <w:szCs w:val="16"/>
              </w:rPr>
              <w:t>,273,239</w:t>
            </w:r>
            <w:r>
              <w:rPr>
                <w:rFonts w:ascii="Times New Roman" w:eastAsia="Times New Roman" w:hAnsi="Times New Roman" w:cs="Times New Roman"/>
                <w:sz w:val="16"/>
                <w:szCs w:val="16"/>
              </w:rPr>
              <w:t>)</w:t>
            </w:r>
          </w:p>
        </w:tc>
        <w:tc>
          <w:tcPr>
            <w:tcW w:w="465" w:type="pct"/>
          </w:tcPr>
          <w:p w:rsidR="00AE6651" w:rsidRPr="00C63E7B" w:rsidRDefault="00AE6651" w:rsidP="0026753F">
            <w:pPr>
              <w:spacing w:after="0" w:line="240" w:lineRule="auto"/>
              <w:jc w:val="center"/>
              <w:rPr>
                <w:rFonts w:ascii="Times New Roman" w:eastAsia="Times New Roman" w:hAnsi="Times New Roman" w:cs="Times New Roman"/>
                <w:sz w:val="16"/>
                <w:szCs w:val="16"/>
              </w:rPr>
            </w:pPr>
          </w:p>
          <w:p w:rsidR="00AE6651" w:rsidRPr="00C63E7B"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139,260</w:t>
            </w:r>
          </w:p>
        </w:tc>
        <w:tc>
          <w:tcPr>
            <w:tcW w:w="46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9,914</w:t>
            </w:r>
          </w:p>
        </w:tc>
        <w:tc>
          <w:tcPr>
            <w:tcW w:w="49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30,331</w:t>
            </w:r>
          </w:p>
        </w:tc>
        <w:tc>
          <w:tcPr>
            <w:tcW w:w="495"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(73,866)</w:t>
            </w:r>
          </w:p>
        </w:tc>
        <w:tc>
          <w:tcPr>
            <w:tcW w:w="494"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20,021</w:t>
            </w:r>
          </w:p>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p>
        </w:tc>
        <w:tc>
          <w:tcPr>
            <w:tcW w:w="450"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(541)</w:t>
            </w:r>
          </w:p>
        </w:tc>
      </w:tr>
      <w:tr w:rsidR="00AE6651" w:rsidRPr="00253C6F" w:rsidTr="00AE6651">
        <w:trPr>
          <w:trHeight w:val="288"/>
          <w:jc w:val="center"/>
        </w:trPr>
        <w:tc>
          <w:tcPr>
            <w:tcW w:w="1148" w:type="pct"/>
          </w:tcPr>
          <w:p w:rsidR="00AE6651" w:rsidRPr="00253C6F" w:rsidRDefault="00AE6651" w:rsidP="00253C6F">
            <w:pPr>
              <w:spacing w:after="0" w:line="120" w:lineRule="exact"/>
              <w:jc w:val="center"/>
              <w:rPr>
                <w:rFonts w:ascii="Times New Roman" w:eastAsia="Times New Roman" w:hAnsi="Times New Roman" w:cs="Times New Roman"/>
                <w:b/>
                <w:sz w:val="16"/>
                <w:szCs w:val="16"/>
              </w:rPr>
            </w:pPr>
          </w:p>
          <w:p w:rsidR="00AE6651" w:rsidRPr="00253C6F" w:rsidRDefault="00AE6651"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Income (Loss)  per share (basic &amp; diluted)</w:t>
            </w:r>
          </w:p>
        </w:tc>
        <w:tc>
          <w:tcPr>
            <w:tcW w:w="495" w:type="pct"/>
          </w:tcPr>
          <w:p w:rsidR="00AE6651" w:rsidRDefault="00AE6651" w:rsidP="00253C6F">
            <w:pPr>
              <w:spacing w:after="0" w:line="240" w:lineRule="auto"/>
              <w:jc w:val="center"/>
              <w:rPr>
                <w:rFonts w:ascii="Times New Roman" w:eastAsia="Times New Roman" w:hAnsi="Times New Roman" w:cs="Times New Roman"/>
                <w:sz w:val="16"/>
                <w:szCs w:val="16"/>
              </w:rPr>
            </w:pPr>
          </w:p>
          <w:p w:rsidR="00AE6651" w:rsidRPr="00253C6F" w:rsidRDefault="00AE6651" w:rsidP="00AE665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(0.019)</w:t>
            </w:r>
          </w:p>
        </w:tc>
        <w:tc>
          <w:tcPr>
            <w:tcW w:w="493" w:type="pct"/>
          </w:tcPr>
          <w:p w:rsidR="00AE6651"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(0.092)</w:t>
            </w:r>
          </w:p>
        </w:tc>
        <w:tc>
          <w:tcPr>
            <w:tcW w:w="465" w:type="pct"/>
          </w:tcPr>
          <w:p w:rsidR="00AE6651" w:rsidRPr="00C63E7B"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0.0</w:t>
            </w:r>
            <w:r>
              <w:rPr>
                <w:rFonts w:ascii="Times New Roman" w:eastAsia="Times New Roman" w:hAnsi="Times New Roman" w:cs="Times New Roman"/>
                <w:sz w:val="16"/>
                <w:szCs w:val="16"/>
              </w:rPr>
              <w:t>1</w:t>
            </w:r>
          </w:p>
        </w:tc>
        <w:tc>
          <w:tcPr>
            <w:tcW w:w="46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0.00</w:t>
            </w:r>
            <w:r>
              <w:rPr>
                <w:rFonts w:ascii="Times New Roman" w:eastAsia="Times New Roman" w:hAnsi="Times New Roman" w:cs="Times New Roman"/>
                <w:sz w:val="16"/>
                <w:szCs w:val="16"/>
              </w:rPr>
              <w:t>0</w:t>
            </w:r>
          </w:p>
        </w:tc>
        <w:tc>
          <w:tcPr>
            <w:tcW w:w="49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0.002</w:t>
            </w:r>
          </w:p>
        </w:tc>
        <w:tc>
          <w:tcPr>
            <w:tcW w:w="495"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(0.006)</w:t>
            </w:r>
          </w:p>
        </w:tc>
        <w:tc>
          <w:tcPr>
            <w:tcW w:w="494"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0.002</w:t>
            </w:r>
          </w:p>
        </w:tc>
        <w:tc>
          <w:tcPr>
            <w:tcW w:w="450"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(0.000)</w:t>
            </w:r>
          </w:p>
        </w:tc>
      </w:tr>
      <w:tr w:rsidR="00AE6651" w:rsidRPr="00253C6F" w:rsidTr="00AE6651">
        <w:trPr>
          <w:trHeight w:val="288"/>
          <w:jc w:val="center"/>
        </w:trPr>
        <w:tc>
          <w:tcPr>
            <w:tcW w:w="1148" w:type="pct"/>
            <w:vAlign w:val="center"/>
          </w:tcPr>
          <w:p w:rsidR="00AE6651" w:rsidRPr="00253C6F" w:rsidRDefault="00AE6651"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Total assets</w:t>
            </w:r>
          </w:p>
        </w:tc>
        <w:tc>
          <w:tcPr>
            <w:tcW w:w="495" w:type="pct"/>
          </w:tcPr>
          <w:p w:rsidR="00AE6651" w:rsidRDefault="00AE6651" w:rsidP="00253C6F">
            <w:pPr>
              <w:spacing w:after="0" w:line="240" w:lineRule="auto"/>
              <w:jc w:val="center"/>
              <w:rPr>
                <w:rFonts w:ascii="Times New Roman" w:eastAsia="Times New Roman" w:hAnsi="Times New Roman" w:cs="Times New Roman"/>
                <w:sz w:val="16"/>
                <w:szCs w:val="16"/>
              </w:rPr>
            </w:pPr>
          </w:p>
          <w:p w:rsidR="00AE6651" w:rsidRPr="00253C6F" w:rsidRDefault="00AE6651" w:rsidP="00253C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427,651</w:t>
            </w:r>
          </w:p>
        </w:tc>
        <w:tc>
          <w:tcPr>
            <w:tcW w:w="493" w:type="pct"/>
          </w:tcPr>
          <w:p w:rsidR="00AE6651"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423,930</w:t>
            </w:r>
          </w:p>
        </w:tc>
        <w:tc>
          <w:tcPr>
            <w:tcW w:w="465" w:type="pct"/>
          </w:tcPr>
          <w:p w:rsidR="00AE6651" w:rsidRPr="00C63E7B"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957,256</w:t>
            </w:r>
          </w:p>
        </w:tc>
        <w:tc>
          <w:tcPr>
            <w:tcW w:w="46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928,189</w:t>
            </w:r>
          </w:p>
        </w:tc>
        <w:tc>
          <w:tcPr>
            <w:tcW w:w="49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908,435</w:t>
            </w:r>
          </w:p>
        </w:tc>
        <w:tc>
          <w:tcPr>
            <w:tcW w:w="495"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1,013,032</w:t>
            </w:r>
          </w:p>
        </w:tc>
        <w:tc>
          <w:tcPr>
            <w:tcW w:w="494" w:type="pct"/>
          </w:tcPr>
          <w:p w:rsidR="00AE6651" w:rsidRPr="00253C6F" w:rsidRDefault="00AE6651" w:rsidP="0026753F">
            <w:pPr>
              <w:spacing w:after="0" w:line="240" w:lineRule="auto"/>
              <w:jc w:val="right"/>
              <w:rPr>
                <w:rFonts w:ascii="Times New Roman" w:eastAsia="Times New Roman" w:hAnsi="Times New Roman" w:cs="Times New Roman"/>
                <w:sz w:val="16"/>
                <w:szCs w:val="16"/>
              </w:rPr>
            </w:pPr>
          </w:p>
          <w:p w:rsidR="00AE6651" w:rsidRPr="00253C6F" w:rsidRDefault="00AE6651" w:rsidP="0026753F">
            <w:pPr>
              <w:spacing w:after="0" w:line="240" w:lineRule="auto"/>
              <w:jc w:val="right"/>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904,419</w:t>
            </w:r>
          </w:p>
          <w:p w:rsidR="00AE6651" w:rsidRPr="00253C6F" w:rsidRDefault="00AE6651" w:rsidP="0026753F">
            <w:pPr>
              <w:spacing w:after="0" w:line="240" w:lineRule="auto"/>
              <w:jc w:val="center"/>
              <w:rPr>
                <w:rFonts w:ascii="Times New Roman" w:eastAsia="Times New Roman" w:hAnsi="Times New Roman" w:cs="Times New Roman"/>
                <w:sz w:val="16"/>
                <w:szCs w:val="16"/>
              </w:rPr>
            </w:pPr>
          </w:p>
        </w:tc>
        <w:tc>
          <w:tcPr>
            <w:tcW w:w="450"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709,075</w:t>
            </w:r>
          </w:p>
        </w:tc>
      </w:tr>
      <w:tr w:rsidR="00AE6651" w:rsidRPr="00253C6F" w:rsidTr="00AE6651">
        <w:trPr>
          <w:trHeight w:val="360"/>
          <w:jc w:val="center"/>
        </w:trPr>
        <w:tc>
          <w:tcPr>
            <w:tcW w:w="1148" w:type="pct"/>
          </w:tcPr>
          <w:p w:rsidR="00AE6651" w:rsidRPr="00253C6F" w:rsidRDefault="00AE6651" w:rsidP="00253C6F">
            <w:pPr>
              <w:spacing w:after="0" w:line="120" w:lineRule="exact"/>
              <w:jc w:val="center"/>
              <w:rPr>
                <w:rFonts w:ascii="Times New Roman" w:eastAsia="Times New Roman" w:hAnsi="Times New Roman" w:cs="Times New Roman"/>
                <w:b/>
                <w:sz w:val="16"/>
                <w:szCs w:val="16"/>
              </w:rPr>
            </w:pPr>
          </w:p>
          <w:p w:rsidR="00AE6651" w:rsidRPr="00253C6F" w:rsidRDefault="00AE6651"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Total long term liabilities</w:t>
            </w:r>
          </w:p>
        </w:tc>
        <w:tc>
          <w:tcPr>
            <w:tcW w:w="495" w:type="pct"/>
          </w:tcPr>
          <w:p w:rsidR="00AE6651" w:rsidRPr="00253C6F" w:rsidRDefault="00AE6651" w:rsidP="00253C6F">
            <w:pPr>
              <w:spacing w:after="0" w:line="240" w:lineRule="auto"/>
              <w:jc w:val="center"/>
              <w:rPr>
                <w:rFonts w:ascii="Times New Roman" w:eastAsia="Times New Roman" w:hAnsi="Times New Roman" w:cs="Times New Roman"/>
                <w:sz w:val="16"/>
                <w:szCs w:val="16"/>
              </w:rPr>
            </w:pPr>
          </w:p>
          <w:p w:rsidR="00AE6651" w:rsidRPr="00253C6F" w:rsidRDefault="00AE6651" w:rsidP="00253C6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AE6651" w:rsidRPr="00253C6F" w:rsidRDefault="00AE6651" w:rsidP="00253C6F">
            <w:pPr>
              <w:spacing w:after="0" w:line="240" w:lineRule="auto"/>
              <w:jc w:val="center"/>
              <w:rPr>
                <w:rFonts w:ascii="Times New Roman" w:eastAsia="Times New Roman" w:hAnsi="Times New Roman" w:cs="Times New Roman"/>
                <w:sz w:val="16"/>
                <w:szCs w:val="16"/>
              </w:rPr>
            </w:pPr>
          </w:p>
        </w:tc>
        <w:tc>
          <w:tcPr>
            <w:tcW w:w="493"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AE6651" w:rsidRPr="00253C6F" w:rsidRDefault="00AE6651" w:rsidP="0026753F">
            <w:pPr>
              <w:spacing w:after="0" w:line="240" w:lineRule="auto"/>
              <w:jc w:val="center"/>
              <w:rPr>
                <w:rFonts w:ascii="Times New Roman" w:eastAsia="Times New Roman" w:hAnsi="Times New Roman" w:cs="Times New Roman"/>
                <w:sz w:val="16"/>
                <w:szCs w:val="16"/>
              </w:rPr>
            </w:pPr>
          </w:p>
        </w:tc>
        <w:tc>
          <w:tcPr>
            <w:tcW w:w="465"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6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5"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AE6651" w:rsidRPr="00253C6F" w:rsidRDefault="00AE6651" w:rsidP="0026753F">
            <w:pPr>
              <w:spacing w:after="0" w:line="240" w:lineRule="auto"/>
              <w:jc w:val="center"/>
              <w:rPr>
                <w:rFonts w:ascii="Times New Roman" w:eastAsia="Times New Roman" w:hAnsi="Times New Roman" w:cs="Times New Roman"/>
                <w:sz w:val="16"/>
                <w:szCs w:val="16"/>
              </w:rPr>
            </w:pPr>
          </w:p>
        </w:tc>
        <w:tc>
          <w:tcPr>
            <w:tcW w:w="494"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50"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r>
      <w:tr w:rsidR="00AE6651" w:rsidRPr="00253C6F" w:rsidTr="00AE6651">
        <w:trPr>
          <w:trHeight w:val="360"/>
          <w:jc w:val="center"/>
        </w:trPr>
        <w:tc>
          <w:tcPr>
            <w:tcW w:w="1148" w:type="pct"/>
          </w:tcPr>
          <w:p w:rsidR="00AE6651" w:rsidRPr="00253C6F" w:rsidRDefault="00AE6651" w:rsidP="00253C6F">
            <w:pPr>
              <w:spacing w:after="0" w:line="120" w:lineRule="exact"/>
              <w:jc w:val="center"/>
              <w:rPr>
                <w:rFonts w:ascii="Times New Roman" w:eastAsia="Times New Roman" w:hAnsi="Times New Roman" w:cs="Times New Roman"/>
                <w:b/>
                <w:sz w:val="16"/>
                <w:szCs w:val="16"/>
              </w:rPr>
            </w:pPr>
          </w:p>
          <w:p w:rsidR="00AE6651" w:rsidRPr="00253C6F" w:rsidRDefault="00AE6651"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Oil &amp; gas properties and deferred expenditures</w:t>
            </w:r>
          </w:p>
        </w:tc>
        <w:tc>
          <w:tcPr>
            <w:tcW w:w="495" w:type="pct"/>
          </w:tcPr>
          <w:p w:rsidR="00AE6651" w:rsidRPr="00253C6F" w:rsidRDefault="00AE6651" w:rsidP="00253C6F">
            <w:pPr>
              <w:spacing w:after="0" w:line="240" w:lineRule="auto"/>
              <w:jc w:val="center"/>
              <w:rPr>
                <w:rFonts w:ascii="Times New Roman" w:eastAsia="Times New Roman" w:hAnsi="Times New Roman" w:cs="Times New Roman"/>
                <w:sz w:val="16"/>
                <w:szCs w:val="16"/>
              </w:rPr>
            </w:pPr>
          </w:p>
          <w:p w:rsidR="00AE6651" w:rsidRPr="00253C6F" w:rsidRDefault="00AE6651" w:rsidP="00253C6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3"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65"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6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5"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5"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4" w:type="pct"/>
          </w:tcPr>
          <w:p w:rsidR="00AE6651" w:rsidRPr="00253C6F" w:rsidRDefault="00AE6651" w:rsidP="0026753F">
            <w:pPr>
              <w:spacing w:after="0" w:line="240" w:lineRule="auto"/>
              <w:jc w:val="center"/>
              <w:rPr>
                <w:rFonts w:ascii="Times New Roman" w:eastAsia="Times New Roman" w:hAnsi="Times New Roman" w:cs="Times New Roman"/>
                <w:sz w:val="16"/>
                <w:szCs w:val="16"/>
              </w:rPr>
            </w:pPr>
          </w:p>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50" w:type="pct"/>
            <w:vAlign w:val="center"/>
          </w:tcPr>
          <w:p w:rsidR="00AE6651" w:rsidRPr="00253C6F" w:rsidRDefault="00AE6651" w:rsidP="0026753F">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r>
    </w:tbl>
    <w:p w:rsidR="00253C6F" w:rsidRPr="00120E36" w:rsidRDefault="00253C6F" w:rsidP="00253C6F">
      <w:pPr>
        <w:spacing w:after="0" w:line="240" w:lineRule="auto"/>
        <w:ind w:left="720" w:right="-360"/>
        <w:jc w:val="both"/>
        <w:rPr>
          <w:rFonts w:ascii="Times New Roman" w:eastAsia="Times New Roman" w:hAnsi="Times New Roman" w:cs="Times New Roman"/>
          <w:sz w:val="12"/>
          <w:szCs w:val="12"/>
        </w:rPr>
      </w:pPr>
    </w:p>
    <w:p w:rsidR="00253C6F" w:rsidRPr="00253C6F" w:rsidRDefault="00A7031C" w:rsidP="00253C6F">
      <w:pPr>
        <w:spacing w:after="0" w:line="240" w:lineRule="auto"/>
        <w:jc w:val="both"/>
        <w:rPr>
          <w:rFonts w:ascii="Times New Roman" w:eastAsia="Times New Roman" w:hAnsi="Times New Roman" w:cs="Times New Roman"/>
          <w:b/>
          <w:bCs/>
          <w:u w:val="single"/>
        </w:rPr>
      </w:pPr>
      <w:r>
        <w:rPr>
          <w:rFonts w:ascii="Times New Roman" w:eastAsia="Times New Roman" w:hAnsi="Times New Roman" w:cs="Times New Roman"/>
        </w:rPr>
        <w:t>1.5</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Liquidity and Capital Resources</w:t>
      </w:r>
    </w:p>
    <w:p w:rsidR="00253C6F" w:rsidRPr="00253C6F" w:rsidRDefault="00253C6F" w:rsidP="00253C6F">
      <w:pPr>
        <w:spacing w:after="0" w:line="240" w:lineRule="auto"/>
        <w:jc w:val="both"/>
        <w:rPr>
          <w:rFonts w:ascii="Times New Roman" w:eastAsia="Times New Roman" w:hAnsi="Times New Roman" w:cs="Times New Roman"/>
        </w:rPr>
      </w:pPr>
    </w:p>
    <w:p w:rsidR="00253C6F" w:rsidRPr="00A97740" w:rsidRDefault="00253C6F" w:rsidP="00120E36">
      <w:pPr>
        <w:spacing w:after="0" w:line="240" w:lineRule="auto"/>
        <w:ind w:left="720"/>
        <w:jc w:val="both"/>
        <w:rPr>
          <w:rFonts w:ascii="Times New Roman" w:eastAsia="Times New Roman" w:hAnsi="Times New Roman" w:cs="Times New Roman"/>
        </w:rPr>
      </w:pPr>
      <w:r w:rsidRPr="00A97740">
        <w:rPr>
          <w:rFonts w:ascii="Times New Roman" w:eastAsia="Times New Roman" w:hAnsi="Times New Roman" w:cs="Times New Roman"/>
        </w:rPr>
        <w:t xml:space="preserve">The Company is </w:t>
      </w:r>
      <w:r w:rsidR="00A97740" w:rsidRPr="00A97740">
        <w:rPr>
          <w:rFonts w:ascii="Times New Roman" w:eastAsia="Times New Roman" w:hAnsi="Times New Roman" w:cs="Times New Roman"/>
        </w:rPr>
        <w:t>currently seeking license to grow medicinal marijuana from Health Canada</w:t>
      </w:r>
      <w:r w:rsidRPr="00A97740">
        <w:rPr>
          <w:rFonts w:ascii="Times New Roman" w:eastAsia="Times New Roman" w:hAnsi="Times New Roman" w:cs="Times New Roman"/>
        </w:rPr>
        <w:t xml:space="preserve"> and is exposed to a number of risks and uncertainties inherent to </w:t>
      </w:r>
      <w:r w:rsidR="00A97740" w:rsidRPr="00A97740">
        <w:rPr>
          <w:rFonts w:ascii="Times New Roman" w:eastAsia="Times New Roman" w:hAnsi="Times New Roman" w:cs="Times New Roman"/>
        </w:rPr>
        <w:t>this industry</w:t>
      </w:r>
      <w:r w:rsidRPr="00A97740">
        <w:rPr>
          <w:rFonts w:ascii="Times New Roman" w:eastAsia="Times New Roman" w:hAnsi="Times New Roman" w:cs="Times New Roman"/>
        </w:rPr>
        <w:t xml:space="preserve">.  This activity is capital intensive at all stages and subject to the fluctuations in </w:t>
      </w:r>
      <w:r w:rsidR="00A97740" w:rsidRPr="00A97740">
        <w:rPr>
          <w:rFonts w:ascii="Times New Roman" w:eastAsia="Times New Roman" w:hAnsi="Times New Roman" w:cs="Times New Roman"/>
        </w:rPr>
        <w:t xml:space="preserve">political </w:t>
      </w:r>
      <w:r w:rsidR="00A97740" w:rsidRPr="00A97740">
        <w:rPr>
          <w:rFonts w:ascii="Times New Roman" w:eastAsia="Times New Roman" w:hAnsi="Times New Roman" w:cs="Times New Roman"/>
        </w:rPr>
        <w:lastRenderedPageBreak/>
        <w:t>views, government regulations, market</w:t>
      </w:r>
      <w:r w:rsidRPr="00A97740">
        <w:rPr>
          <w:rFonts w:ascii="Times New Roman" w:eastAsia="Times New Roman" w:hAnsi="Times New Roman" w:cs="Times New Roman"/>
        </w:rPr>
        <w:t xml:space="preserve"> prices, market sentiment, inflation, and other risks.</w:t>
      </w:r>
    </w:p>
    <w:p w:rsidR="00253C6F" w:rsidRPr="00A97740" w:rsidRDefault="00253C6F" w:rsidP="00120E36">
      <w:pPr>
        <w:spacing w:after="0" w:line="240" w:lineRule="auto"/>
        <w:ind w:left="720"/>
        <w:jc w:val="both"/>
        <w:rPr>
          <w:rFonts w:ascii="Times New Roman" w:eastAsia="Times New Roman" w:hAnsi="Times New Roman" w:cs="Times New Roman"/>
        </w:rPr>
      </w:pPr>
    </w:p>
    <w:p w:rsidR="00253C6F" w:rsidRPr="00253C6F" w:rsidRDefault="00253C6F" w:rsidP="00120E36">
      <w:pPr>
        <w:spacing w:after="0" w:line="240" w:lineRule="auto"/>
        <w:ind w:left="720"/>
        <w:jc w:val="both"/>
        <w:rPr>
          <w:rFonts w:ascii="Times New Roman" w:eastAsia="Times New Roman" w:hAnsi="Times New Roman" w:cs="Times New Roman"/>
        </w:rPr>
      </w:pPr>
      <w:r w:rsidRPr="00A97740">
        <w:rPr>
          <w:rFonts w:ascii="Times New Roman" w:eastAsia="Times New Roman" w:hAnsi="Times New Roman" w:cs="Times New Roman"/>
        </w:rPr>
        <w:t>The Com</w:t>
      </w:r>
      <w:r w:rsidRPr="00253C6F">
        <w:rPr>
          <w:rFonts w:ascii="Times New Roman" w:eastAsia="Times New Roman" w:hAnsi="Times New Roman" w:cs="Times New Roman"/>
        </w:rPr>
        <w:t xml:space="preserve">pany currently has no income, but relies primarily on equity financing to fund its </w:t>
      </w:r>
      <w:r w:rsidR="00A97740">
        <w:rPr>
          <w:rFonts w:ascii="Times New Roman" w:eastAsia="Times New Roman" w:hAnsi="Times New Roman" w:cs="Times New Roman"/>
        </w:rPr>
        <w:t>business activities</w:t>
      </w:r>
      <w:r w:rsidRPr="00253C6F">
        <w:rPr>
          <w:rFonts w:ascii="Times New Roman" w:eastAsia="Times New Roman" w:hAnsi="Times New Roman" w:cs="Times New Roman"/>
        </w:rPr>
        <w:t xml:space="preserve"> and administrative activities.  Material increases or decreases in the Company liquidity will be substantially determined by the </w:t>
      </w:r>
      <w:r w:rsidR="006A3477">
        <w:rPr>
          <w:rFonts w:ascii="Times New Roman" w:eastAsia="Times New Roman" w:hAnsi="Times New Roman" w:cs="Times New Roman"/>
        </w:rPr>
        <w:t>Company’s ability to move its application forward with Health Canada</w:t>
      </w:r>
      <w:r w:rsidRPr="00253C6F">
        <w:rPr>
          <w:rFonts w:ascii="Times New Roman" w:eastAsia="Times New Roman" w:hAnsi="Times New Roman" w:cs="Times New Roman"/>
        </w:rPr>
        <w:t xml:space="preserve">, as well as its continued ability to raise capital. </w:t>
      </w:r>
    </w:p>
    <w:p w:rsidR="00253C6F" w:rsidRPr="00253C6F" w:rsidRDefault="00253C6F" w:rsidP="00120E36">
      <w:pPr>
        <w:spacing w:after="0" w:line="240" w:lineRule="auto"/>
        <w:jc w:val="both"/>
        <w:rPr>
          <w:rFonts w:ascii="Times New Roman" w:eastAsia="Times New Roman" w:hAnsi="Times New Roman" w:cs="Times New Roman"/>
        </w:rPr>
      </w:pPr>
    </w:p>
    <w:p w:rsidR="00253C6F" w:rsidRPr="00253C6F" w:rsidRDefault="00253C6F" w:rsidP="00120E36">
      <w:pPr>
        <w:spacing w:after="0" w:line="240" w:lineRule="auto"/>
        <w:ind w:left="720"/>
        <w:jc w:val="both"/>
        <w:rPr>
          <w:rFonts w:ascii="Times New Roman" w:eastAsia="Times New Roman" w:hAnsi="Times New Roman" w:cs="Times New Roman"/>
          <w:sz w:val="21"/>
          <w:szCs w:val="24"/>
          <w:lang w:val="en-GB"/>
        </w:rPr>
      </w:pPr>
      <w:r w:rsidRPr="00253C6F">
        <w:rPr>
          <w:rFonts w:ascii="Times New Roman" w:eastAsia="Times New Roman" w:hAnsi="Times New Roman" w:cs="Times New Roman"/>
        </w:rPr>
        <w:t xml:space="preserve">At </w:t>
      </w:r>
      <w:r w:rsidR="00AE6651">
        <w:rPr>
          <w:rFonts w:ascii="Times New Roman" w:eastAsia="Times New Roman" w:hAnsi="Times New Roman" w:cs="Times New Roman"/>
        </w:rPr>
        <w:t>September</w:t>
      </w:r>
      <w:r w:rsidRPr="00253C6F">
        <w:rPr>
          <w:rFonts w:ascii="Times New Roman" w:eastAsia="Times New Roman" w:hAnsi="Times New Roman" w:cs="Times New Roman"/>
        </w:rPr>
        <w:t xml:space="preserve"> 30, 201</w:t>
      </w:r>
      <w:r w:rsidR="00872198">
        <w:rPr>
          <w:rFonts w:ascii="Times New Roman" w:eastAsia="Times New Roman" w:hAnsi="Times New Roman" w:cs="Times New Roman"/>
        </w:rPr>
        <w:t>4</w:t>
      </w:r>
      <w:r w:rsidRPr="00253C6F">
        <w:rPr>
          <w:rFonts w:ascii="Times New Roman" w:eastAsia="Times New Roman" w:hAnsi="Times New Roman" w:cs="Times New Roman"/>
        </w:rPr>
        <w:t xml:space="preserve"> the Company had working capital of $</w:t>
      </w:r>
      <w:r w:rsidR="00AE6651">
        <w:rPr>
          <w:rFonts w:ascii="Times New Roman" w:eastAsia="Times New Roman" w:hAnsi="Times New Roman" w:cs="Times New Roman"/>
        </w:rPr>
        <w:t>254,588</w:t>
      </w:r>
      <w:r w:rsidRPr="00253C6F">
        <w:rPr>
          <w:rFonts w:ascii="Times New Roman" w:eastAsia="Times New Roman" w:hAnsi="Times New Roman" w:cs="Times New Roman"/>
        </w:rPr>
        <w:t xml:space="preserve"> (</w:t>
      </w:r>
      <w:r w:rsidR="00AE6651">
        <w:rPr>
          <w:rFonts w:ascii="Times New Roman" w:eastAsia="Times New Roman" w:hAnsi="Times New Roman" w:cs="Times New Roman"/>
        </w:rPr>
        <w:t>June 30, 2014</w:t>
      </w:r>
      <w:r w:rsidRPr="00253C6F">
        <w:rPr>
          <w:rFonts w:ascii="Times New Roman" w:eastAsia="Times New Roman" w:hAnsi="Times New Roman" w:cs="Times New Roman"/>
        </w:rPr>
        <w:t>: $</w:t>
      </w:r>
      <w:r w:rsidR="00AE6651">
        <w:rPr>
          <w:rFonts w:ascii="Times New Roman" w:eastAsia="Times New Roman" w:hAnsi="Times New Roman" w:cs="Times New Roman"/>
        </w:rPr>
        <w:t>375,211</w:t>
      </w:r>
      <w:r w:rsidRPr="00253C6F">
        <w:rPr>
          <w:rFonts w:ascii="Times New Roman" w:eastAsia="Times New Roman" w:hAnsi="Times New Roman" w:cs="Times New Roman"/>
        </w:rPr>
        <w:t xml:space="preserve">). </w:t>
      </w:r>
    </w:p>
    <w:p w:rsidR="00253C6F" w:rsidRPr="00253C6F" w:rsidRDefault="00253C6F" w:rsidP="00253C6F">
      <w:pPr>
        <w:spacing w:after="0" w:line="240" w:lineRule="auto"/>
        <w:ind w:right="-360"/>
        <w:jc w:val="both"/>
        <w:rPr>
          <w:rFonts w:ascii="Times New Roman" w:eastAsia="Times New Roman" w:hAnsi="Times New Roman" w:cs="Times New Roman"/>
          <w:lang w:val="en-GB"/>
        </w:rPr>
      </w:pPr>
    </w:p>
    <w:p w:rsidR="00253C6F" w:rsidRPr="00253C6F" w:rsidRDefault="00A7031C" w:rsidP="00253C6F">
      <w:pPr>
        <w:spacing w:after="0" w:line="240" w:lineRule="auto"/>
        <w:ind w:right="-360"/>
        <w:jc w:val="both"/>
        <w:rPr>
          <w:rFonts w:ascii="Times New Roman" w:eastAsia="Times New Roman" w:hAnsi="Times New Roman" w:cs="Times New Roman"/>
        </w:rPr>
      </w:pPr>
      <w:r>
        <w:rPr>
          <w:rFonts w:ascii="Times New Roman" w:eastAsia="Times New Roman" w:hAnsi="Times New Roman" w:cs="Times New Roman"/>
        </w:rPr>
        <w:t>1.6</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Off-Balance Sheet Arrangements</w:t>
      </w:r>
    </w:p>
    <w:p w:rsidR="00253C6F" w:rsidRPr="00253C6F" w:rsidRDefault="00253C6F" w:rsidP="00253C6F">
      <w:pPr>
        <w:spacing w:after="0" w:line="240" w:lineRule="auto"/>
        <w:ind w:right="-360"/>
        <w:jc w:val="both"/>
        <w:rPr>
          <w:rFonts w:ascii="Times New Roman" w:eastAsia="Times New Roman" w:hAnsi="Times New Roman" w:cs="Times New Roman"/>
        </w:rPr>
      </w:pPr>
    </w:p>
    <w:p w:rsidR="00253C6F" w:rsidRDefault="00253C6F" w:rsidP="00120E36">
      <w:pPr>
        <w:widowControl w:val="0"/>
        <w:autoSpaceDE w:val="0"/>
        <w:autoSpaceDN w:val="0"/>
        <w:adjustRightInd w:val="0"/>
        <w:spacing w:after="0" w:line="240" w:lineRule="auto"/>
        <w:ind w:left="720"/>
        <w:jc w:val="both"/>
        <w:rPr>
          <w:rFonts w:ascii="Times New Roman" w:eastAsia="Times New Roman" w:hAnsi="Times New Roman" w:cs="Times New Roman"/>
          <w:lang w:val="en-US"/>
        </w:rPr>
      </w:pPr>
      <w:r w:rsidRPr="00253C6F">
        <w:rPr>
          <w:rFonts w:ascii="Times New Roman" w:eastAsia="Times New Roman" w:hAnsi="Times New Roman" w:cs="Times New Roman"/>
          <w:lang w:val="en-US"/>
        </w:rPr>
        <w:t xml:space="preserve">At </w:t>
      </w:r>
      <w:r w:rsidR="00AE6651">
        <w:rPr>
          <w:rFonts w:ascii="Times New Roman" w:eastAsia="Times New Roman" w:hAnsi="Times New Roman" w:cs="Times New Roman"/>
          <w:lang w:val="en-US"/>
        </w:rPr>
        <w:t>September</w:t>
      </w:r>
      <w:r w:rsidRPr="00253C6F">
        <w:rPr>
          <w:rFonts w:ascii="Times New Roman" w:eastAsia="Times New Roman" w:hAnsi="Times New Roman" w:cs="Times New Roman"/>
          <w:lang w:val="en-US"/>
        </w:rPr>
        <w:t xml:space="preserve"> 30, 201</w:t>
      </w:r>
      <w:r w:rsidR="00872198">
        <w:rPr>
          <w:rFonts w:ascii="Times New Roman" w:eastAsia="Times New Roman" w:hAnsi="Times New Roman" w:cs="Times New Roman"/>
          <w:lang w:val="en-US"/>
        </w:rPr>
        <w:t>4</w:t>
      </w:r>
      <w:r w:rsidRPr="00253C6F">
        <w:rPr>
          <w:rFonts w:ascii="Times New Roman" w:eastAsia="Times New Roman" w:hAnsi="Times New Roman" w:cs="Times New Roman"/>
          <w:lang w:val="en-US"/>
        </w:rPr>
        <w:t>, the Company had no material off-balance sheet arrangements such as guarantee contracts, contingent interest in assets transferred to an entity, derivative instruments obligations or any other obligations that trigger financing, liquidity, market or credit risk to the Company.</w:t>
      </w:r>
    </w:p>
    <w:p w:rsidR="00253C6F" w:rsidRDefault="00253C6F" w:rsidP="00253C6F">
      <w:pPr>
        <w:spacing w:after="0" w:line="240" w:lineRule="auto"/>
        <w:ind w:right="-360"/>
        <w:jc w:val="both"/>
        <w:rPr>
          <w:rFonts w:ascii="Times New Roman" w:eastAsia="Times New Roman" w:hAnsi="Times New Roman" w:cs="Times New Roman"/>
          <w:sz w:val="12"/>
          <w:szCs w:val="12"/>
          <w:lang w:val="en-GB"/>
        </w:rPr>
      </w:pPr>
    </w:p>
    <w:p w:rsidR="00266CFF" w:rsidRPr="00266CFF" w:rsidRDefault="00266CFF" w:rsidP="00253C6F">
      <w:pPr>
        <w:spacing w:after="0" w:line="240" w:lineRule="auto"/>
        <w:ind w:right="-360"/>
        <w:jc w:val="both"/>
        <w:rPr>
          <w:rFonts w:ascii="Times New Roman" w:eastAsia="Times New Roman" w:hAnsi="Times New Roman" w:cs="Times New Roman"/>
          <w:sz w:val="12"/>
          <w:szCs w:val="12"/>
          <w:lang w:val="en-GB"/>
        </w:rPr>
      </w:pPr>
    </w:p>
    <w:p w:rsidR="00253C6F" w:rsidRPr="00253C6F" w:rsidRDefault="00A7031C" w:rsidP="006A3477">
      <w:pPr>
        <w:keepNext/>
        <w:keepLines/>
        <w:spacing w:after="0" w:line="240" w:lineRule="auto"/>
        <w:ind w:right="-360"/>
        <w:jc w:val="both"/>
        <w:rPr>
          <w:rFonts w:ascii="Times New Roman" w:eastAsia="Times New Roman" w:hAnsi="Times New Roman" w:cs="Times New Roman"/>
          <w:color w:val="FF0000"/>
        </w:rPr>
      </w:pPr>
      <w:r>
        <w:rPr>
          <w:rFonts w:ascii="Times New Roman" w:eastAsia="Times New Roman" w:hAnsi="Times New Roman" w:cs="Times New Roman"/>
        </w:rPr>
        <w:t>1.7</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Related Party Transactions</w:t>
      </w:r>
    </w:p>
    <w:p w:rsidR="00253C6F" w:rsidRPr="00253C6F" w:rsidRDefault="00253C6F" w:rsidP="006A3477">
      <w:pPr>
        <w:keepNext/>
        <w:keepLines/>
        <w:widowControl w:val="0"/>
        <w:autoSpaceDE w:val="0"/>
        <w:autoSpaceDN w:val="0"/>
        <w:adjustRightInd w:val="0"/>
        <w:spacing w:after="0" w:line="240" w:lineRule="auto"/>
        <w:ind w:left="709" w:right="-360"/>
        <w:jc w:val="both"/>
        <w:rPr>
          <w:rFonts w:ascii="Times New Roman" w:eastAsia="Times New Roman" w:hAnsi="Times New Roman" w:cs="Times New Roman"/>
          <w:lang w:val="en-US"/>
        </w:rPr>
      </w:pPr>
    </w:p>
    <w:p w:rsidR="00253C6F" w:rsidRPr="00253C6F" w:rsidRDefault="00253C6F" w:rsidP="006A3477">
      <w:pPr>
        <w:keepNext/>
        <w:keepLines/>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The Company incurred the following charges from directors and former directors of the Company, companies controlled by directors of the Company or companies with common directors</w:t>
      </w:r>
      <w:r w:rsidR="007B6172">
        <w:rPr>
          <w:rFonts w:ascii="Times New Roman" w:eastAsia="Times New Roman" w:hAnsi="Times New Roman" w:cs="Times New Roman"/>
          <w:szCs w:val="20"/>
          <w:lang w:val="en-GB"/>
        </w:rPr>
        <w:t xml:space="preserve"> for management and consulting fees and </w:t>
      </w:r>
      <w:proofErr w:type="gramStart"/>
      <w:r w:rsidR="007B6172">
        <w:rPr>
          <w:rFonts w:ascii="Times New Roman" w:eastAsia="Times New Roman" w:hAnsi="Times New Roman" w:cs="Times New Roman"/>
          <w:szCs w:val="20"/>
          <w:lang w:val="en-GB"/>
        </w:rPr>
        <w:t>directors</w:t>
      </w:r>
      <w:proofErr w:type="gramEnd"/>
      <w:r w:rsidR="007B6172">
        <w:rPr>
          <w:rFonts w:ascii="Times New Roman" w:eastAsia="Times New Roman" w:hAnsi="Times New Roman" w:cs="Times New Roman"/>
          <w:szCs w:val="20"/>
          <w:lang w:val="en-GB"/>
        </w:rPr>
        <w:t xml:space="preserve"> fees</w:t>
      </w:r>
      <w:r w:rsidRPr="00253C6F">
        <w:rPr>
          <w:rFonts w:ascii="Times New Roman" w:eastAsia="Times New Roman" w:hAnsi="Times New Roman" w:cs="Times New Roman"/>
          <w:szCs w:val="20"/>
          <w:lang w:val="en-GB"/>
        </w:rPr>
        <w:t>:</w:t>
      </w:r>
    </w:p>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29" w:firstLine="360"/>
        <w:jc w:val="both"/>
        <w:rPr>
          <w:rFonts w:ascii="Times New Roman" w:eastAsia="Times New Roman" w:hAnsi="Times New Roman" w:cs="Times New Roman"/>
          <w:szCs w:val="20"/>
          <w:lang w:val="en-GB"/>
        </w:rPr>
      </w:pPr>
    </w:p>
    <w:tbl>
      <w:tblPr>
        <w:tblW w:w="8820" w:type="dxa"/>
        <w:tblInd w:w="468" w:type="dxa"/>
        <w:tblLook w:val="01E0"/>
      </w:tblPr>
      <w:tblGrid>
        <w:gridCol w:w="4860"/>
        <w:gridCol w:w="1890"/>
        <w:gridCol w:w="2070"/>
      </w:tblGrid>
      <w:tr w:rsidR="00253C6F" w:rsidRPr="00253C6F" w:rsidTr="00784A43">
        <w:tc>
          <w:tcPr>
            <w:tcW w:w="4860" w:type="dxa"/>
          </w:tcPr>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3960" w:type="dxa"/>
            <w:gridSpan w:val="2"/>
            <w:tcBorders>
              <w:top w:val="single" w:sz="8" w:space="0" w:color="auto"/>
            </w:tcBorders>
          </w:tcPr>
          <w:p w:rsidR="00253C6F" w:rsidRPr="00253C6F" w:rsidRDefault="00AE6651" w:rsidP="00784A43">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Three months</w:t>
            </w:r>
            <w:r w:rsidR="00253C6F" w:rsidRPr="00253C6F">
              <w:rPr>
                <w:rFonts w:ascii="Times New Roman" w:eastAsia="Times New Roman" w:hAnsi="Times New Roman" w:cs="Times New Roman"/>
                <w:szCs w:val="20"/>
                <w:lang w:val="en-GB"/>
              </w:rPr>
              <w:t xml:space="preserve"> ended </w:t>
            </w:r>
            <w:r>
              <w:rPr>
                <w:rFonts w:ascii="Times New Roman" w:eastAsia="Times New Roman" w:hAnsi="Times New Roman" w:cs="Times New Roman"/>
                <w:szCs w:val="20"/>
                <w:lang w:val="en-GB"/>
              </w:rPr>
              <w:t>September</w:t>
            </w:r>
            <w:r w:rsidR="00253C6F" w:rsidRPr="00253C6F">
              <w:rPr>
                <w:rFonts w:ascii="Times New Roman" w:eastAsia="Times New Roman" w:hAnsi="Times New Roman" w:cs="Times New Roman"/>
                <w:szCs w:val="20"/>
                <w:lang w:val="en-GB"/>
              </w:rPr>
              <w:t xml:space="preserve"> 30,</w:t>
            </w:r>
          </w:p>
        </w:tc>
      </w:tr>
      <w:tr w:rsidR="00872198" w:rsidRPr="00253C6F" w:rsidTr="00784A43">
        <w:tc>
          <w:tcPr>
            <w:tcW w:w="4860" w:type="dxa"/>
          </w:tcPr>
          <w:p w:rsidR="00872198" w:rsidRPr="00253C6F" w:rsidRDefault="00872198"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1890" w:type="dxa"/>
            <w:tcBorders>
              <w:bottom w:val="single" w:sz="8" w:space="0" w:color="auto"/>
            </w:tcBorders>
          </w:tcPr>
          <w:p w:rsidR="00872198" w:rsidRPr="00253C6F" w:rsidRDefault="00D71C06"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rPr>
                <w:rFonts w:ascii="Times New Roman" w:eastAsia="Times New Roman" w:hAnsi="Times New Roman" w:cs="Times New Roman"/>
                <w:b/>
                <w:szCs w:val="20"/>
                <w:lang w:val="en-GB"/>
              </w:rPr>
            </w:pPr>
            <w:r w:rsidRPr="007B6172">
              <w:rPr>
                <w:rFonts w:ascii="Times New Roman" w:eastAsia="Times New Roman" w:hAnsi="Times New Roman" w:cs="Times New Roman"/>
                <w:b/>
                <w:szCs w:val="20"/>
                <w:lang w:val="en-GB"/>
              </w:rPr>
              <w:t>2014</w:t>
            </w:r>
          </w:p>
        </w:tc>
        <w:tc>
          <w:tcPr>
            <w:tcW w:w="2070" w:type="dxa"/>
            <w:tcBorders>
              <w:bottom w:val="single" w:sz="8" w:space="0" w:color="auto"/>
            </w:tcBorders>
          </w:tcPr>
          <w:p w:rsidR="00872198" w:rsidRPr="00253C6F" w:rsidRDefault="00872198" w:rsidP="0068511A">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2013</w:t>
            </w:r>
          </w:p>
        </w:tc>
      </w:tr>
      <w:tr w:rsidR="007B6172" w:rsidRPr="00253C6F" w:rsidTr="00784A43">
        <w:tc>
          <w:tcPr>
            <w:tcW w:w="4860" w:type="dxa"/>
          </w:tcPr>
          <w:p w:rsidR="007B6172" w:rsidRPr="00253C6F" w:rsidRDefault="007B6172" w:rsidP="00253C6F">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252" w:right="-29"/>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William MacLean(CEO)</w:t>
            </w:r>
          </w:p>
        </w:tc>
        <w:tc>
          <w:tcPr>
            <w:tcW w:w="1890" w:type="dxa"/>
            <w:tcBorders>
              <w:top w:val="single" w:sz="8" w:space="0" w:color="auto"/>
            </w:tcBorders>
          </w:tcPr>
          <w:p w:rsidR="007B6172" w:rsidRPr="00253C6F" w:rsidRDefault="0068511A" w:rsidP="00AE6651">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righ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30</w:t>
            </w:r>
            <w:r w:rsidR="007B6172">
              <w:rPr>
                <w:rFonts w:ascii="Times New Roman" w:eastAsia="Times New Roman" w:hAnsi="Times New Roman" w:cs="Times New Roman"/>
                <w:b/>
                <w:szCs w:val="20"/>
                <w:lang w:val="en-GB"/>
              </w:rPr>
              <w:t>,000</w:t>
            </w:r>
          </w:p>
        </w:tc>
        <w:tc>
          <w:tcPr>
            <w:tcW w:w="2070" w:type="dxa"/>
            <w:tcBorders>
              <w:top w:val="single" w:sz="8" w:space="0" w:color="auto"/>
            </w:tcBorders>
          </w:tcPr>
          <w:p w:rsidR="007B6172" w:rsidRPr="00253C6F" w:rsidRDefault="0068511A" w:rsidP="0068511A">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 xml:space="preserve">      </w:t>
            </w:r>
            <w:r>
              <w:rPr>
                <w:rFonts w:ascii="Times New Roman" w:eastAsia="Times New Roman" w:hAnsi="Times New Roman" w:cs="Times New Roman"/>
                <w:szCs w:val="20"/>
                <w:lang w:val="en-GB"/>
              </w:rPr>
              <w:t xml:space="preserve">        </w:t>
            </w:r>
            <w:r w:rsidR="007B6172">
              <w:rPr>
                <w:rFonts w:ascii="Times New Roman" w:eastAsia="Times New Roman" w:hAnsi="Times New Roman" w:cs="Times New Roman"/>
                <w:szCs w:val="20"/>
                <w:lang w:val="en-GB"/>
              </w:rPr>
              <w:t>-</w:t>
            </w:r>
          </w:p>
        </w:tc>
      </w:tr>
      <w:tr w:rsidR="007B6172" w:rsidRPr="00253C6F" w:rsidTr="00AE6651">
        <w:tc>
          <w:tcPr>
            <w:tcW w:w="4860" w:type="dxa"/>
          </w:tcPr>
          <w:p w:rsidR="007B6172" w:rsidRPr="00253C6F" w:rsidRDefault="0068511A" w:rsidP="0068511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252" w:right="-29"/>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Nash Meghji (</w:t>
            </w:r>
            <w:r w:rsidR="007B6172" w:rsidRPr="00253C6F">
              <w:rPr>
                <w:rFonts w:ascii="Times New Roman" w:eastAsia="Times New Roman" w:hAnsi="Times New Roman" w:cs="Times New Roman"/>
                <w:szCs w:val="20"/>
                <w:lang w:val="en-GB"/>
              </w:rPr>
              <w:t xml:space="preserve"> director</w:t>
            </w:r>
            <w:r>
              <w:rPr>
                <w:rFonts w:ascii="Times New Roman" w:eastAsia="Times New Roman" w:hAnsi="Times New Roman" w:cs="Times New Roman"/>
                <w:szCs w:val="20"/>
                <w:lang w:val="en-GB"/>
              </w:rPr>
              <w:t>, former CEO</w:t>
            </w:r>
            <w:r w:rsidR="007B6172" w:rsidRPr="00253C6F">
              <w:rPr>
                <w:rFonts w:ascii="Times New Roman" w:eastAsia="Times New Roman" w:hAnsi="Times New Roman" w:cs="Times New Roman"/>
                <w:szCs w:val="20"/>
                <w:lang w:val="en-GB"/>
              </w:rPr>
              <w:t>)</w:t>
            </w:r>
          </w:p>
        </w:tc>
        <w:tc>
          <w:tcPr>
            <w:tcW w:w="1890" w:type="dxa"/>
          </w:tcPr>
          <w:p w:rsidR="007B6172" w:rsidRPr="00253C6F" w:rsidRDefault="0068511A" w:rsidP="00AE6651">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righ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 xml:space="preserve">    </w:t>
            </w: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3,000</w:t>
            </w:r>
          </w:p>
        </w:tc>
        <w:tc>
          <w:tcPr>
            <w:tcW w:w="2070" w:type="dxa"/>
          </w:tcPr>
          <w:p w:rsidR="007B6172" w:rsidRPr="00253C6F" w:rsidRDefault="007B6172" w:rsidP="0068511A">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12,000</w:t>
            </w:r>
          </w:p>
        </w:tc>
      </w:tr>
      <w:tr w:rsidR="007B6172" w:rsidRPr="00253C6F" w:rsidTr="00AE6651">
        <w:tc>
          <w:tcPr>
            <w:tcW w:w="4860" w:type="dxa"/>
          </w:tcPr>
          <w:p w:rsidR="007B6172" w:rsidRPr="00253C6F" w:rsidRDefault="007B6172" w:rsidP="0068511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252" w:right="-29"/>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Stephen Pearce (CFO, director)</w:t>
            </w:r>
          </w:p>
        </w:tc>
        <w:tc>
          <w:tcPr>
            <w:tcW w:w="1890" w:type="dxa"/>
          </w:tcPr>
          <w:p w:rsidR="007B6172" w:rsidRPr="00253C6F" w:rsidRDefault="0068511A" w:rsidP="00AE6651">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righ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 xml:space="preserve">    </w:t>
            </w: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6,000</w:t>
            </w:r>
          </w:p>
        </w:tc>
        <w:tc>
          <w:tcPr>
            <w:tcW w:w="2070" w:type="dxa"/>
          </w:tcPr>
          <w:p w:rsidR="007B6172" w:rsidRPr="00253C6F" w:rsidRDefault="007B6172" w:rsidP="0068511A">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12,000</w:t>
            </w:r>
          </w:p>
        </w:tc>
      </w:tr>
      <w:tr w:rsidR="00872198" w:rsidRPr="00253C6F" w:rsidTr="00AE6651">
        <w:tc>
          <w:tcPr>
            <w:tcW w:w="4860" w:type="dxa"/>
          </w:tcPr>
          <w:p w:rsidR="00872198" w:rsidRPr="00253C6F" w:rsidRDefault="00AE6651" w:rsidP="00253C6F">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252" w:right="-29"/>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Danna Baillie</w:t>
            </w:r>
            <w:r w:rsidR="0068511A">
              <w:rPr>
                <w:rFonts w:ascii="Times New Roman" w:eastAsia="Times New Roman" w:hAnsi="Times New Roman" w:cs="Times New Roman"/>
                <w:szCs w:val="20"/>
                <w:lang w:val="en-GB"/>
              </w:rPr>
              <w:t xml:space="preserve"> (director)</w:t>
            </w:r>
          </w:p>
        </w:tc>
        <w:tc>
          <w:tcPr>
            <w:tcW w:w="1890" w:type="dxa"/>
          </w:tcPr>
          <w:p w:rsidR="00872198" w:rsidRPr="00253C6F" w:rsidRDefault="0068511A" w:rsidP="00AE6651">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righ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 xml:space="preserve">  </w:t>
            </w: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3</w:t>
            </w:r>
            <w:r>
              <w:rPr>
                <w:rFonts w:ascii="Times New Roman" w:eastAsia="Times New Roman" w:hAnsi="Times New Roman" w:cs="Times New Roman"/>
                <w:b/>
                <w:szCs w:val="20"/>
                <w:lang w:val="en-GB"/>
              </w:rPr>
              <w:t>,000</w:t>
            </w:r>
          </w:p>
        </w:tc>
        <w:tc>
          <w:tcPr>
            <w:tcW w:w="2070" w:type="dxa"/>
          </w:tcPr>
          <w:p w:rsidR="00872198" w:rsidRPr="00253C6F" w:rsidRDefault="0068511A" w:rsidP="0068511A">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 xml:space="preserve">      </w:t>
            </w:r>
            <w:r>
              <w:rPr>
                <w:rFonts w:ascii="Times New Roman" w:eastAsia="Times New Roman" w:hAnsi="Times New Roman" w:cs="Times New Roman"/>
                <w:szCs w:val="20"/>
                <w:lang w:val="en-GB"/>
              </w:rPr>
              <w:t xml:space="preserve">         -</w:t>
            </w:r>
          </w:p>
        </w:tc>
      </w:tr>
      <w:tr w:rsidR="00872198" w:rsidRPr="00253C6F" w:rsidTr="00AE6651">
        <w:tc>
          <w:tcPr>
            <w:tcW w:w="4860" w:type="dxa"/>
          </w:tcPr>
          <w:p w:rsidR="00872198" w:rsidRPr="00253C6F" w:rsidRDefault="00872198" w:rsidP="00253C6F">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1890" w:type="dxa"/>
            <w:tcBorders>
              <w:top w:val="single" w:sz="4" w:space="0" w:color="auto"/>
              <w:bottom w:val="single" w:sz="18" w:space="0" w:color="auto"/>
            </w:tcBorders>
          </w:tcPr>
          <w:p w:rsidR="00872198" w:rsidRPr="00253C6F" w:rsidRDefault="0068511A" w:rsidP="00AE6651">
            <w:pPr>
              <w:tabs>
                <w:tab w:val="left" w:pos="-108"/>
                <w:tab w:val="left" w:pos="720"/>
                <w:tab w:val="left" w:pos="1080"/>
              </w:tabs>
              <w:spacing w:after="0" w:line="240" w:lineRule="auto"/>
              <w:ind w:right="-29"/>
              <w:jc w:val="righ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 xml:space="preserve">  </w:t>
            </w: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42,000</w:t>
            </w:r>
          </w:p>
        </w:tc>
        <w:tc>
          <w:tcPr>
            <w:tcW w:w="2070" w:type="dxa"/>
            <w:tcBorders>
              <w:top w:val="single" w:sz="4" w:space="0" w:color="auto"/>
              <w:bottom w:val="single" w:sz="18" w:space="0" w:color="auto"/>
            </w:tcBorders>
          </w:tcPr>
          <w:p w:rsidR="00872198" w:rsidRPr="00253C6F" w:rsidRDefault="00872198" w:rsidP="00AE6651">
            <w:pPr>
              <w:tabs>
                <w:tab w:val="left" w:pos="-108"/>
                <w:tab w:val="left" w:pos="720"/>
                <w:tab w:val="left" w:pos="1080"/>
              </w:tabs>
              <w:spacing w:after="0" w:line="240" w:lineRule="auto"/>
              <w:ind w:right="-29"/>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8,500</w:t>
            </w:r>
          </w:p>
        </w:tc>
      </w:tr>
    </w:tbl>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firstLine="360"/>
        <w:jc w:val="both"/>
        <w:rPr>
          <w:rFonts w:ascii="Times New Roman" w:eastAsia="Times New Roman" w:hAnsi="Times New Roman" w:cs="Arial"/>
          <w:szCs w:val="20"/>
          <w:lang w:val="en-GB"/>
        </w:rPr>
      </w:pPr>
    </w:p>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The Company had the following amounts due from directors and former directors of the Company, companies controlled by directors of the Company or companies with common directors for prepaid expenses and prepaid rent:</w:t>
      </w:r>
    </w:p>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29" w:firstLine="360"/>
        <w:jc w:val="both"/>
        <w:rPr>
          <w:rFonts w:ascii="Times New Roman" w:eastAsia="Times New Roman" w:hAnsi="Times New Roman" w:cs="Times New Roman"/>
          <w:szCs w:val="20"/>
          <w:lang w:val="en-GB"/>
        </w:rPr>
      </w:pPr>
    </w:p>
    <w:tbl>
      <w:tblPr>
        <w:tblW w:w="8820" w:type="dxa"/>
        <w:tblInd w:w="468" w:type="dxa"/>
        <w:tblLook w:val="01E0"/>
      </w:tblPr>
      <w:tblGrid>
        <w:gridCol w:w="4860"/>
        <w:gridCol w:w="1980"/>
        <w:gridCol w:w="1980"/>
      </w:tblGrid>
      <w:tr w:rsidR="00253C6F" w:rsidRPr="00253C6F" w:rsidTr="00784A43">
        <w:tc>
          <w:tcPr>
            <w:tcW w:w="4860" w:type="dxa"/>
          </w:tcPr>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3960" w:type="dxa"/>
            <w:gridSpan w:val="2"/>
            <w:tcBorders>
              <w:top w:val="single" w:sz="8" w:space="0" w:color="auto"/>
            </w:tcBorders>
          </w:tcPr>
          <w:p w:rsidR="00253C6F" w:rsidRPr="00253C6F" w:rsidRDefault="00AE6651" w:rsidP="00784A43">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Three months</w:t>
            </w:r>
            <w:r w:rsidR="00253C6F" w:rsidRPr="00253C6F">
              <w:rPr>
                <w:rFonts w:ascii="Times New Roman" w:eastAsia="Times New Roman" w:hAnsi="Times New Roman" w:cs="Times New Roman"/>
                <w:szCs w:val="20"/>
                <w:lang w:val="en-GB"/>
              </w:rPr>
              <w:t xml:space="preserve"> ended </w:t>
            </w:r>
            <w:r>
              <w:rPr>
                <w:rFonts w:ascii="Times New Roman" w:eastAsia="Times New Roman" w:hAnsi="Times New Roman" w:cs="Times New Roman"/>
                <w:szCs w:val="20"/>
                <w:lang w:val="en-GB"/>
              </w:rPr>
              <w:t>September</w:t>
            </w:r>
            <w:r w:rsidR="00253C6F" w:rsidRPr="00253C6F">
              <w:rPr>
                <w:rFonts w:ascii="Times New Roman" w:eastAsia="Times New Roman" w:hAnsi="Times New Roman" w:cs="Times New Roman"/>
                <w:szCs w:val="20"/>
                <w:lang w:val="en-GB"/>
              </w:rPr>
              <w:t xml:space="preserve"> 30,</w:t>
            </w:r>
          </w:p>
        </w:tc>
      </w:tr>
      <w:tr w:rsidR="00D71C06" w:rsidRPr="00253C6F" w:rsidTr="00AE6651">
        <w:tc>
          <w:tcPr>
            <w:tcW w:w="4860" w:type="dxa"/>
          </w:tcPr>
          <w:p w:rsidR="00D71C06" w:rsidRPr="00253C6F" w:rsidRDefault="00D71C06"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1980" w:type="dxa"/>
          </w:tcPr>
          <w:p w:rsidR="00D71C06" w:rsidRPr="00253C6F" w:rsidRDefault="00D71C06"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rPr>
                <w:rFonts w:ascii="Times New Roman" w:eastAsia="Times New Roman" w:hAnsi="Times New Roman" w:cs="Times New Roman"/>
                <w:b/>
                <w:szCs w:val="20"/>
                <w:lang w:val="en-GB"/>
              </w:rPr>
            </w:pPr>
            <w:r w:rsidRPr="0068511A">
              <w:rPr>
                <w:rFonts w:ascii="Times New Roman" w:eastAsia="Times New Roman" w:hAnsi="Times New Roman" w:cs="Times New Roman"/>
                <w:b/>
                <w:szCs w:val="20"/>
                <w:lang w:val="en-GB"/>
              </w:rPr>
              <w:t>2014</w:t>
            </w:r>
          </w:p>
        </w:tc>
        <w:tc>
          <w:tcPr>
            <w:tcW w:w="1980" w:type="dxa"/>
          </w:tcPr>
          <w:p w:rsidR="00D71C06" w:rsidRPr="00253C6F" w:rsidRDefault="00D71C06" w:rsidP="0068511A">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2013</w:t>
            </w:r>
          </w:p>
        </w:tc>
      </w:tr>
      <w:tr w:rsidR="00D71C06" w:rsidRPr="00253C6F" w:rsidTr="00AE6651">
        <w:tc>
          <w:tcPr>
            <w:tcW w:w="4860" w:type="dxa"/>
          </w:tcPr>
          <w:p w:rsidR="00D71C06" w:rsidRPr="00253C6F" w:rsidRDefault="00AE6651" w:rsidP="00AE6651">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Flying A Petroleum Ltd.</w:t>
            </w:r>
          </w:p>
        </w:tc>
        <w:tc>
          <w:tcPr>
            <w:tcW w:w="1980" w:type="dxa"/>
            <w:tcBorders>
              <w:top w:val="single" w:sz="4" w:space="0" w:color="auto"/>
              <w:bottom w:val="single" w:sz="18" w:space="0" w:color="auto"/>
            </w:tcBorders>
          </w:tcPr>
          <w:p w:rsidR="00D71C06" w:rsidRPr="00253C6F" w:rsidRDefault="0068511A" w:rsidP="00AE6651">
            <w:pPr>
              <w:tabs>
                <w:tab w:val="left" w:pos="-108"/>
                <w:tab w:val="left" w:pos="720"/>
                <w:tab w:val="left" w:pos="1080"/>
              </w:tabs>
              <w:spacing w:after="0" w:line="240" w:lineRule="auto"/>
              <w:ind w:right="-29"/>
              <w:jc w:val="both"/>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w:t>
            </w:r>
            <w:r>
              <w:rPr>
                <w:rFonts w:ascii="Times New Roman" w:eastAsia="Times New Roman" w:hAnsi="Times New Roman" w:cs="Times New Roman"/>
                <w:b/>
                <w:szCs w:val="20"/>
                <w:lang w:val="en-GB"/>
              </w:rPr>
              <w:t>6,720</w:t>
            </w:r>
            <w:r w:rsidR="00AE6651">
              <w:rPr>
                <w:rFonts w:ascii="Times New Roman" w:eastAsia="Times New Roman" w:hAnsi="Times New Roman" w:cs="Times New Roman"/>
                <w:b/>
                <w:szCs w:val="20"/>
                <w:lang w:val="en-GB"/>
              </w:rPr>
              <w:t>)</w:t>
            </w:r>
          </w:p>
        </w:tc>
        <w:tc>
          <w:tcPr>
            <w:tcW w:w="1980" w:type="dxa"/>
            <w:tcBorders>
              <w:top w:val="single" w:sz="4" w:space="0" w:color="auto"/>
              <w:bottom w:val="single" w:sz="18" w:space="0" w:color="auto"/>
            </w:tcBorders>
          </w:tcPr>
          <w:p w:rsidR="00D71C06" w:rsidRPr="00253C6F" w:rsidRDefault="00D71C06" w:rsidP="00AE6651">
            <w:pPr>
              <w:tabs>
                <w:tab w:val="left" w:pos="-108"/>
                <w:tab w:val="left" w:pos="720"/>
                <w:tab w:val="left" w:pos="1080"/>
              </w:tabs>
              <w:spacing w:after="0" w:line="240" w:lineRule="auto"/>
              <w:ind w:right="-29"/>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w:t>
            </w:r>
            <w:r w:rsidR="00AE6651">
              <w:rPr>
                <w:rFonts w:ascii="Times New Roman" w:eastAsia="Times New Roman" w:hAnsi="Times New Roman" w:cs="Times New Roman"/>
                <w:szCs w:val="20"/>
                <w:lang w:val="en-GB"/>
              </w:rPr>
              <w:t>6,720</w:t>
            </w:r>
            <w:r w:rsidRPr="00253C6F">
              <w:rPr>
                <w:rFonts w:ascii="Times New Roman" w:eastAsia="Times New Roman" w:hAnsi="Times New Roman" w:cs="Times New Roman"/>
                <w:szCs w:val="20"/>
                <w:lang w:val="en-GB"/>
              </w:rPr>
              <w:t>)</w:t>
            </w:r>
          </w:p>
        </w:tc>
      </w:tr>
    </w:tbl>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firstLine="360"/>
        <w:jc w:val="both"/>
        <w:rPr>
          <w:rFonts w:ascii="Times New Roman" w:eastAsia="Times New Roman" w:hAnsi="Times New Roman" w:cs="Arial"/>
          <w:szCs w:val="20"/>
          <w:lang w:val="en-GB"/>
        </w:rPr>
      </w:pPr>
    </w:p>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The Company had the following amounts due to directors and former directors of the Company, companies controlled by directors of the Company or companies with common directors:</w:t>
      </w:r>
    </w:p>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firstLine="360"/>
        <w:jc w:val="both"/>
        <w:rPr>
          <w:rFonts w:ascii="Times New Roman" w:eastAsia="Times New Roman" w:hAnsi="Times New Roman" w:cs="Arial"/>
          <w:szCs w:val="20"/>
          <w:lang w:val="en-GB"/>
        </w:rPr>
      </w:pPr>
    </w:p>
    <w:tbl>
      <w:tblPr>
        <w:tblW w:w="8820" w:type="dxa"/>
        <w:tblInd w:w="468" w:type="dxa"/>
        <w:tblLook w:val="01E0"/>
      </w:tblPr>
      <w:tblGrid>
        <w:gridCol w:w="5580"/>
        <w:gridCol w:w="1620"/>
        <w:gridCol w:w="1620"/>
      </w:tblGrid>
      <w:tr w:rsidR="00253C6F" w:rsidRPr="00253C6F" w:rsidTr="00784A43">
        <w:tc>
          <w:tcPr>
            <w:tcW w:w="5580" w:type="dxa"/>
          </w:tcPr>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3240" w:type="dxa"/>
            <w:gridSpan w:val="2"/>
            <w:tcBorders>
              <w:top w:val="single" w:sz="8" w:space="0" w:color="auto"/>
            </w:tcBorders>
          </w:tcPr>
          <w:p w:rsidR="00253C6F" w:rsidRPr="00253C6F" w:rsidRDefault="00253C6F" w:rsidP="00784A43">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Years ended June 30,</w:t>
            </w:r>
          </w:p>
        </w:tc>
      </w:tr>
      <w:tr w:rsidR="00D71C06" w:rsidRPr="00253C6F" w:rsidTr="00784A43">
        <w:tc>
          <w:tcPr>
            <w:tcW w:w="5580" w:type="dxa"/>
          </w:tcPr>
          <w:p w:rsidR="00D71C06" w:rsidRPr="00253C6F" w:rsidRDefault="00D71C06"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1620" w:type="dxa"/>
            <w:tcBorders>
              <w:bottom w:val="single" w:sz="8" w:space="0" w:color="auto"/>
            </w:tcBorders>
          </w:tcPr>
          <w:p w:rsidR="00D71C06" w:rsidRPr="00253C6F" w:rsidRDefault="00D71C06"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rPr>
                <w:rFonts w:ascii="Times New Roman" w:eastAsia="Times New Roman" w:hAnsi="Times New Roman" w:cs="Times New Roman"/>
                <w:b/>
                <w:szCs w:val="20"/>
                <w:lang w:val="en-GB"/>
              </w:rPr>
            </w:pPr>
            <w:r w:rsidRPr="0068511A">
              <w:rPr>
                <w:rFonts w:ascii="Times New Roman" w:eastAsia="Times New Roman" w:hAnsi="Times New Roman" w:cs="Times New Roman"/>
                <w:b/>
                <w:szCs w:val="20"/>
                <w:lang w:val="en-GB"/>
              </w:rPr>
              <w:t>2014</w:t>
            </w:r>
          </w:p>
        </w:tc>
        <w:tc>
          <w:tcPr>
            <w:tcW w:w="1620" w:type="dxa"/>
            <w:tcBorders>
              <w:bottom w:val="single" w:sz="8" w:space="0" w:color="auto"/>
            </w:tcBorders>
          </w:tcPr>
          <w:p w:rsidR="00D71C06" w:rsidRPr="00253C6F" w:rsidRDefault="00D71C06" w:rsidP="0068511A">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2013</w:t>
            </w:r>
          </w:p>
        </w:tc>
      </w:tr>
      <w:tr w:rsidR="00AE6651" w:rsidRPr="00253C6F" w:rsidTr="00784A43">
        <w:tc>
          <w:tcPr>
            <w:tcW w:w="5580" w:type="dxa"/>
          </w:tcPr>
          <w:p w:rsidR="00AE6651" w:rsidRPr="00253C6F" w:rsidRDefault="00AE6651" w:rsidP="00AE6651">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William MacLean</w:t>
            </w:r>
            <w:r w:rsidRPr="00253C6F">
              <w:rPr>
                <w:rFonts w:ascii="Times New Roman" w:eastAsia="Times New Roman" w:hAnsi="Times New Roman" w:cs="Times New Roman"/>
                <w:szCs w:val="20"/>
                <w:lang w:val="en-GB"/>
              </w:rPr>
              <w:t xml:space="preserve"> (CEO)</w:t>
            </w:r>
          </w:p>
        </w:tc>
        <w:tc>
          <w:tcPr>
            <w:tcW w:w="1620" w:type="dxa"/>
            <w:tcBorders>
              <w:top w:val="single" w:sz="8" w:space="0" w:color="auto"/>
            </w:tcBorders>
          </w:tcPr>
          <w:p w:rsidR="00AE6651" w:rsidRPr="00253C6F" w:rsidRDefault="00AE6651" w:rsidP="00E918A7">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10,000</w:t>
            </w:r>
          </w:p>
        </w:tc>
        <w:tc>
          <w:tcPr>
            <w:tcW w:w="1620" w:type="dxa"/>
            <w:tcBorders>
              <w:top w:val="single" w:sz="8" w:space="0" w:color="auto"/>
            </w:tcBorders>
          </w:tcPr>
          <w:p w:rsidR="00AE6651" w:rsidRPr="00253C6F" w:rsidRDefault="00AE6651" w:rsidP="0026753F">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w:t>
            </w:r>
          </w:p>
        </w:tc>
      </w:tr>
      <w:tr w:rsidR="00D71C06" w:rsidRPr="00253C6F" w:rsidTr="0068511A">
        <w:tc>
          <w:tcPr>
            <w:tcW w:w="5580" w:type="dxa"/>
          </w:tcPr>
          <w:p w:rsidR="00D71C06" w:rsidRPr="00253C6F" w:rsidRDefault="00D71C06" w:rsidP="00AE6651">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Nash Meghji (director</w:t>
            </w:r>
            <w:r w:rsidR="00AE6651">
              <w:rPr>
                <w:rFonts w:ascii="Times New Roman" w:eastAsia="Times New Roman" w:hAnsi="Times New Roman" w:cs="Times New Roman"/>
                <w:szCs w:val="20"/>
                <w:lang w:val="en-GB"/>
              </w:rPr>
              <w:t>, former CEO</w:t>
            </w:r>
            <w:r w:rsidRPr="00253C6F">
              <w:rPr>
                <w:rFonts w:ascii="Times New Roman" w:eastAsia="Times New Roman" w:hAnsi="Times New Roman" w:cs="Times New Roman"/>
                <w:szCs w:val="20"/>
                <w:lang w:val="en-GB"/>
              </w:rPr>
              <w:t>)</w:t>
            </w:r>
          </w:p>
        </w:tc>
        <w:tc>
          <w:tcPr>
            <w:tcW w:w="1620" w:type="dxa"/>
          </w:tcPr>
          <w:p w:rsidR="00D71C06" w:rsidRPr="00253C6F" w:rsidRDefault="0068511A" w:rsidP="00E918A7">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E918A7">
              <w:rPr>
                <w:rFonts w:ascii="Times New Roman" w:eastAsia="Times New Roman" w:hAnsi="Times New Roman" w:cs="Times New Roman"/>
                <w:b/>
                <w:szCs w:val="20"/>
                <w:lang w:val="en-GB"/>
              </w:rPr>
              <w:t xml:space="preserve"> </w:t>
            </w: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3,000</w:t>
            </w:r>
          </w:p>
        </w:tc>
        <w:tc>
          <w:tcPr>
            <w:tcW w:w="1620" w:type="dxa"/>
          </w:tcPr>
          <w:p w:rsidR="00D71C06" w:rsidRPr="00253C6F" w:rsidRDefault="00D71C06" w:rsidP="0068511A">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sidR="0068511A">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w:t>
            </w:r>
          </w:p>
        </w:tc>
      </w:tr>
      <w:tr w:rsidR="00E918A7" w:rsidRPr="00253C6F" w:rsidTr="0068511A">
        <w:tc>
          <w:tcPr>
            <w:tcW w:w="5580" w:type="dxa"/>
          </w:tcPr>
          <w:p w:rsidR="00E918A7" w:rsidRPr="00253C6F" w:rsidRDefault="00E918A7" w:rsidP="00253C6F">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lastRenderedPageBreak/>
              <w:t>Stephen Pearce (CFO, director)</w:t>
            </w:r>
          </w:p>
        </w:tc>
        <w:tc>
          <w:tcPr>
            <w:tcW w:w="1620" w:type="dxa"/>
          </w:tcPr>
          <w:p w:rsidR="00E918A7" w:rsidRPr="00253C6F" w:rsidRDefault="00E918A7" w:rsidP="00E918A7">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6,000</w:t>
            </w:r>
          </w:p>
        </w:tc>
        <w:tc>
          <w:tcPr>
            <w:tcW w:w="1620" w:type="dxa"/>
          </w:tcPr>
          <w:p w:rsidR="00E918A7" w:rsidRPr="00253C6F" w:rsidRDefault="00E918A7" w:rsidP="0026753F">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w:t>
            </w:r>
          </w:p>
        </w:tc>
      </w:tr>
      <w:tr w:rsidR="00AE6651" w:rsidRPr="00253C6F" w:rsidTr="0068511A">
        <w:tc>
          <w:tcPr>
            <w:tcW w:w="5580" w:type="dxa"/>
          </w:tcPr>
          <w:p w:rsidR="00AE6651" w:rsidRDefault="00AE6651" w:rsidP="00AE6651">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Danna Baillie</w:t>
            </w:r>
            <w:r w:rsidRPr="00253C6F">
              <w:rPr>
                <w:rFonts w:ascii="Times New Roman" w:eastAsia="Times New Roman" w:hAnsi="Times New Roman" w:cs="Times New Roman"/>
                <w:szCs w:val="20"/>
                <w:lang w:val="en-GB"/>
              </w:rPr>
              <w:t xml:space="preserve"> (director)</w:t>
            </w:r>
          </w:p>
        </w:tc>
        <w:tc>
          <w:tcPr>
            <w:tcW w:w="1620" w:type="dxa"/>
          </w:tcPr>
          <w:p w:rsidR="00AE6651" w:rsidRPr="00253C6F" w:rsidRDefault="00AE6651" w:rsidP="00E918A7">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3,000</w:t>
            </w:r>
          </w:p>
        </w:tc>
        <w:tc>
          <w:tcPr>
            <w:tcW w:w="1620" w:type="dxa"/>
          </w:tcPr>
          <w:p w:rsidR="00AE6651" w:rsidRPr="00253C6F" w:rsidRDefault="00AE6651" w:rsidP="0026753F">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w:t>
            </w:r>
          </w:p>
        </w:tc>
      </w:tr>
      <w:tr w:rsidR="0068511A" w:rsidRPr="00253C6F" w:rsidTr="0068511A">
        <w:tc>
          <w:tcPr>
            <w:tcW w:w="5580" w:type="dxa"/>
          </w:tcPr>
          <w:p w:rsidR="0068511A" w:rsidRPr="00253C6F" w:rsidRDefault="0068511A" w:rsidP="00253C6F">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Jon Lever</w:t>
            </w:r>
          </w:p>
        </w:tc>
        <w:tc>
          <w:tcPr>
            <w:tcW w:w="1620" w:type="dxa"/>
          </w:tcPr>
          <w:p w:rsidR="0068511A" w:rsidRPr="00253C6F" w:rsidRDefault="0068511A" w:rsidP="00253C6F">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AE6651">
              <w:rPr>
                <w:rFonts w:ascii="Times New Roman" w:eastAsia="Times New Roman" w:hAnsi="Times New Roman" w:cs="Times New Roman"/>
                <w:b/>
                <w:szCs w:val="20"/>
                <w:lang w:val="en-GB"/>
              </w:rPr>
              <w:t>6</w:t>
            </w:r>
            <w:r>
              <w:rPr>
                <w:rFonts w:ascii="Times New Roman" w:eastAsia="Times New Roman" w:hAnsi="Times New Roman" w:cs="Times New Roman"/>
                <w:b/>
                <w:szCs w:val="20"/>
                <w:lang w:val="en-GB"/>
              </w:rPr>
              <w:t>1</w:t>
            </w:r>
          </w:p>
        </w:tc>
        <w:tc>
          <w:tcPr>
            <w:tcW w:w="1620" w:type="dxa"/>
          </w:tcPr>
          <w:p w:rsidR="0068511A" w:rsidRPr="00253C6F" w:rsidRDefault="0068511A" w:rsidP="00E918A7">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                   </w:t>
            </w:r>
            <w:r w:rsidR="00E918A7">
              <w:rPr>
                <w:rFonts w:ascii="Times New Roman" w:eastAsia="Times New Roman" w:hAnsi="Times New Roman" w:cs="Times New Roman"/>
                <w:szCs w:val="20"/>
                <w:lang w:val="en-GB"/>
              </w:rPr>
              <w:t>41</w:t>
            </w:r>
          </w:p>
        </w:tc>
      </w:tr>
      <w:tr w:rsidR="00D71C06" w:rsidRPr="00253C6F" w:rsidTr="0068511A">
        <w:tc>
          <w:tcPr>
            <w:tcW w:w="5580" w:type="dxa"/>
          </w:tcPr>
          <w:p w:rsidR="00D71C06" w:rsidRPr="00253C6F" w:rsidRDefault="00D71C06" w:rsidP="00253C6F">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left="720" w:right="-29" w:firstLine="360"/>
              <w:jc w:val="both"/>
              <w:rPr>
                <w:rFonts w:ascii="Times New Roman" w:eastAsia="Times New Roman" w:hAnsi="Times New Roman" w:cs="Times New Roman"/>
                <w:szCs w:val="20"/>
                <w:lang w:val="en-GB"/>
              </w:rPr>
            </w:pPr>
          </w:p>
        </w:tc>
        <w:tc>
          <w:tcPr>
            <w:tcW w:w="1620" w:type="dxa"/>
            <w:tcBorders>
              <w:top w:val="single" w:sz="4" w:space="0" w:color="auto"/>
              <w:bottom w:val="single" w:sz="18" w:space="0" w:color="auto"/>
            </w:tcBorders>
          </w:tcPr>
          <w:p w:rsidR="00D71C06" w:rsidRPr="00253C6F" w:rsidRDefault="0068511A" w:rsidP="00E918A7">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E918A7">
              <w:rPr>
                <w:rFonts w:ascii="Times New Roman" w:eastAsia="Times New Roman" w:hAnsi="Times New Roman" w:cs="Times New Roman"/>
                <w:b/>
                <w:szCs w:val="20"/>
                <w:lang w:val="en-GB"/>
              </w:rPr>
              <w:t>22,061</w:t>
            </w:r>
          </w:p>
        </w:tc>
        <w:tc>
          <w:tcPr>
            <w:tcW w:w="1620" w:type="dxa"/>
            <w:tcBorders>
              <w:top w:val="single" w:sz="4" w:space="0" w:color="auto"/>
              <w:bottom w:val="single" w:sz="18" w:space="0" w:color="auto"/>
            </w:tcBorders>
          </w:tcPr>
          <w:p w:rsidR="00D71C06" w:rsidRPr="00253C6F" w:rsidRDefault="00D71C06" w:rsidP="0068511A">
            <w:pPr>
              <w:tabs>
                <w:tab w:val="left" w:pos="-108"/>
                <w:tab w:val="left" w:pos="720"/>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szCs w:val="20"/>
                <w:lang w:val="en-GB"/>
              </w:rPr>
            </w:pPr>
            <w:r w:rsidRPr="00253C6F">
              <w:rPr>
                <w:rFonts w:ascii="Times New Roman" w:eastAsia="Times New Roman" w:hAnsi="Times New Roman" w:cs="Times New Roman"/>
                <w:szCs w:val="20"/>
                <w:lang w:val="en-GB"/>
              </w:rPr>
              <w:t xml:space="preserve">$            </w:t>
            </w:r>
            <w:r w:rsidR="00E918A7">
              <w:rPr>
                <w:rFonts w:ascii="Times New Roman" w:eastAsia="Times New Roman" w:hAnsi="Times New Roman" w:cs="Times New Roman"/>
                <w:szCs w:val="20"/>
                <w:lang w:val="en-GB"/>
              </w:rPr>
              <w:t xml:space="preserve">      </w:t>
            </w:r>
            <w:r w:rsidRPr="00253C6F">
              <w:rPr>
                <w:rFonts w:ascii="Times New Roman" w:eastAsia="Times New Roman" w:hAnsi="Times New Roman" w:cs="Times New Roman"/>
                <w:szCs w:val="20"/>
                <w:lang w:val="en-GB"/>
              </w:rPr>
              <w:t xml:space="preserve"> </w:t>
            </w:r>
            <w:r w:rsidR="00E918A7">
              <w:rPr>
                <w:rFonts w:ascii="Times New Roman" w:eastAsia="Times New Roman" w:hAnsi="Times New Roman" w:cs="Times New Roman"/>
                <w:szCs w:val="20"/>
                <w:lang w:val="en-GB"/>
              </w:rPr>
              <w:t>41</w:t>
            </w:r>
          </w:p>
        </w:tc>
      </w:tr>
    </w:tbl>
    <w:p w:rsidR="00253C6F" w:rsidRPr="00253C6F" w:rsidRDefault="00253C6F" w:rsidP="00253C6F">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firstLine="360"/>
        <w:jc w:val="both"/>
        <w:rPr>
          <w:rFonts w:ascii="Times New Roman" w:eastAsia="Times New Roman" w:hAnsi="Times New Roman" w:cs="Arial"/>
          <w:szCs w:val="20"/>
          <w:lang w:val="en-GB"/>
        </w:rPr>
      </w:pPr>
    </w:p>
    <w:p w:rsidR="00253C6F" w:rsidRPr="00253C6F" w:rsidRDefault="00253C6F" w:rsidP="00253C6F">
      <w:pPr>
        <w:tabs>
          <w:tab w:val="left" w:pos="720"/>
          <w:tab w:val="left" w:pos="1080"/>
        </w:tabs>
        <w:spacing w:after="0" w:line="240" w:lineRule="auto"/>
        <w:ind w:left="720" w:right="-29"/>
        <w:jc w:val="both"/>
        <w:rPr>
          <w:rFonts w:ascii="Times New Roman" w:eastAsia="Times New Roman" w:hAnsi="Times New Roman" w:cs="Arial"/>
          <w:szCs w:val="20"/>
          <w:lang w:val="en-GB"/>
        </w:rPr>
      </w:pPr>
      <w:r w:rsidRPr="00253C6F">
        <w:rPr>
          <w:rFonts w:ascii="Times New Roman" w:eastAsia="Times New Roman" w:hAnsi="Times New Roman" w:cs="Arial"/>
          <w:szCs w:val="20"/>
          <w:lang w:val="en-GB"/>
        </w:rPr>
        <w:t>Related party charges are measured by the exchange amount, which is the amount agreed upon by the transacting party. Amounts from and due to related parties are unsecured, non-interest bearing with no fixed terms of repayment, accordingly fair value cannot be readily determined.</w:t>
      </w:r>
    </w:p>
    <w:p w:rsidR="00253C6F" w:rsidRDefault="00253C6F" w:rsidP="00253C6F">
      <w:pPr>
        <w:tabs>
          <w:tab w:val="left" w:pos="720"/>
          <w:tab w:val="left" w:pos="1080"/>
        </w:tabs>
        <w:spacing w:after="0" w:line="240" w:lineRule="auto"/>
        <w:ind w:left="720" w:right="-29"/>
        <w:jc w:val="both"/>
        <w:rPr>
          <w:rFonts w:ascii="Times New Roman" w:eastAsia="Times New Roman" w:hAnsi="Times New Roman" w:cs="Arial"/>
          <w:szCs w:val="20"/>
          <w:lang w:val="en-GB"/>
        </w:rPr>
      </w:pPr>
    </w:p>
    <w:p w:rsidR="00253C6F" w:rsidRPr="00036A6F" w:rsidRDefault="00A7031C" w:rsidP="00253C6F">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540"/>
        <w:jc w:val="both"/>
        <w:rPr>
          <w:rFonts w:ascii="Times New Roman" w:eastAsia="Times New Roman" w:hAnsi="Times New Roman" w:cs="Times New Roman"/>
          <w:b/>
          <w:u w:val="single"/>
        </w:rPr>
      </w:pPr>
      <w:r>
        <w:rPr>
          <w:rFonts w:ascii="Times New Roman" w:eastAsia="Times New Roman" w:hAnsi="Times New Roman" w:cs="Times New Roman"/>
        </w:rPr>
        <w:t>1.8</w:t>
      </w:r>
      <w:r w:rsidR="00253C6F" w:rsidRPr="00253C6F">
        <w:rPr>
          <w:rFonts w:ascii="Times New Roman" w:eastAsia="Times New Roman" w:hAnsi="Times New Roman" w:cs="Times New Roman"/>
        </w:rPr>
        <w:t xml:space="preserve"> </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rPr>
        <w:tab/>
      </w:r>
      <w:r w:rsidR="00253C6F" w:rsidRPr="00036A6F">
        <w:rPr>
          <w:rFonts w:ascii="Times New Roman" w:eastAsia="Times New Roman" w:hAnsi="Times New Roman" w:cs="Times New Roman"/>
          <w:b/>
          <w:u w:val="single"/>
        </w:rPr>
        <w:t xml:space="preserve">Fourth Quarter </w:t>
      </w:r>
    </w:p>
    <w:p w:rsidR="00253C6F" w:rsidRPr="00932F93" w:rsidRDefault="00253C6F" w:rsidP="00253C6F">
      <w:pPr>
        <w:keepNext/>
        <w:spacing w:after="0" w:line="240" w:lineRule="auto"/>
        <w:jc w:val="both"/>
        <w:rPr>
          <w:rFonts w:ascii="Times New Roman" w:eastAsia="Times New Roman" w:hAnsi="Times New Roman" w:cs="Times New Roman"/>
          <w:lang w:val="en-US"/>
        </w:rPr>
      </w:pPr>
    </w:p>
    <w:p w:rsidR="00253C6F" w:rsidRPr="00932F93" w:rsidRDefault="00E918A7" w:rsidP="00932F93">
      <w:pPr>
        <w:spacing w:after="0" w:line="240" w:lineRule="auto"/>
        <w:ind w:left="720" w:right="-360"/>
        <w:jc w:val="both"/>
        <w:rPr>
          <w:rFonts w:ascii="Times New Roman" w:eastAsia="Times New Roman" w:hAnsi="Times New Roman" w:cs="Times New Roman"/>
          <w:bCs/>
          <w:lang w:val="en-GB"/>
        </w:rPr>
      </w:pPr>
      <w:r>
        <w:rPr>
          <w:rFonts w:ascii="Times New Roman" w:eastAsia="Times New Roman" w:hAnsi="Times New Roman" w:cs="Times New Roman"/>
        </w:rPr>
        <w:t>Not applicable.</w:t>
      </w:r>
    </w:p>
    <w:p w:rsidR="00932F93" w:rsidRPr="00253C6F" w:rsidRDefault="00932F93" w:rsidP="00932F93">
      <w:pPr>
        <w:spacing w:after="0" w:line="240" w:lineRule="auto"/>
        <w:ind w:left="720" w:right="-360"/>
        <w:jc w:val="both"/>
        <w:rPr>
          <w:rFonts w:ascii="Times New Roman" w:eastAsia="Times New Roman" w:hAnsi="Times New Roman" w:cs="Times New Roman"/>
          <w:lang w:val="en-GB"/>
        </w:rPr>
      </w:pPr>
    </w:p>
    <w:p w:rsidR="00120E36" w:rsidRPr="00266CFF" w:rsidRDefault="00120E36" w:rsidP="00253C6F">
      <w:pPr>
        <w:keepNext/>
        <w:keepLines/>
        <w:spacing w:after="0" w:line="240" w:lineRule="auto"/>
        <w:rPr>
          <w:rFonts w:ascii="Times New Roman" w:eastAsia="Times New Roman" w:hAnsi="Times New Roman" w:cs="Times New Roman"/>
          <w:bCs/>
          <w:sz w:val="12"/>
          <w:szCs w:val="12"/>
        </w:rPr>
      </w:pPr>
    </w:p>
    <w:p w:rsidR="00253C6F" w:rsidRPr="00253C6F" w:rsidRDefault="00253C6F" w:rsidP="00253C6F">
      <w:pPr>
        <w:keepNext/>
        <w:keepLines/>
        <w:spacing w:after="0" w:line="240" w:lineRule="auto"/>
        <w:rPr>
          <w:rFonts w:ascii="Times New Roman" w:eastAsia="Times New Roman" w:hAnsi="Times New Roman" w:cs="Times New Roman"/>
          <w:b/>
          <w:lang w:val="en-GB"/>
        </w:rPr>
      </w:pPr>
      <w:r w:rsidRPr="00253C6F">
        <w:rPr>
          <w:rFonts w:ascii="Times New Roman" w:eastAsia="Times New Roman" w:hAnsi="Times New Roman" w:cs="Times New Roman"/>
          <w:bCs/>
        </w:rPr>
        <w:t>1.</w:t>
      </w:r>
      <w:r w:rsidR="00A7031C">
        <w:rPr>
          <w:rFonts w:ascii="Times New Roman" w:eastAsia="Times New Roman" w:hAnsi="Times New Roman" w:cs="Times New Roman"/>
          <w:bCs/>
        </w:rPr>
        <w:t>9</w:t>
      </w:r>
      <w:r w:rsidRPr="00253C6F">
        <w:rPr>
          <w:rFonts w:ascii="Times New Roman" w:eastAsia="Times New Roman" w:hAnsi="Times New Roman" w:cs="Times New Roman"/>
          <w:b/>
        </w:rPr>
        <w:tab/>
      </w:r>
      <w:r w:rsidRPr="006A3477">
        <w:rPr>
          <w:rFonts w:ascii="Times New Roman" w:eastAsia="Times New Roman" w:hAnsi="Times New Roman" w:cs="Times New Roman"/>
          <w:b/>
          <w:u w:val="single"/>
        </w:rPr>
        <w:t>Share Capital</w:t>
      </w:r>
    </w:p>
    <w:p w:rsidR="00253C6F" w:rsidRPr="00253C6F" w:rsidRDefault="00253C6F" w:rsidP="00253C6F">
      <w:pPr>
        <w:keepNext/>
        <w:keepLines/>
        <w:spacing w:after="0" w:line="240" w:lineRule="auto"/>
        <w:rPr>
          <w:rFonts w:ascii="Times New Roman" w:eastAsia="Times New Roman" w:hAnsi="Times New Roman" w:cs="Times New Roman"/>
          <w:lang w:val="en-GB"/>
        </w:rPr>
      </w:pPr>
    </w:p>
    <w:p w:rsidR="00253C6F" w:rsidRPr="00253C6F" w:rsidRDefault="00253C6F" w:rsidP="00120E36">
      <w:pPr>
        <w:keepNext/>
        <w:keepLines/>
        <w:spacing w:after="0" w:line="240" w:lineRule="auto"/>
        <w:ind w:left="720"/>
        <w:jc w:val="both"/>
        <w:rPr>
          <w:rFonts w:ascii="Times New Roman" w:eastAsia="Times New Roman" w:hAnsi="Times New Roman" w:cs="Times New Roman"/>
        </w:rPr>
      </w:pPr>
      <w:r w:rsidRPr="00253C6F">
        <w:rPr>
          <w:rFonts w:ascii="Times New Roman" w:eastAsia="Times New Roman" w:hAnsi="Times New Roman" w:cs="Times New Roman"/>
        </w:rPr>
        <w:t>The Company’s authorized capital consists of 100,000,000 common shares without par value and 100,000,000 preferred shares.</w:t>
      </w:r>
    </w:p>
    <w:p w:rsidR="00253C6F" w:rsidRPr="00253C6F" w:rsidRDefault="00253C6F" w:rsidP="00120E36">
      <w:pPr>
        <w:spacing w:after="0" w:line="240" w:lineRule="auto"/>
        <w:jc w:val="both"/>
        <w:rPr>
          <w:rFonts w:ascii="Times New Roman" w:eastAsia="Times New Roman" w:hAnsi="Times New Roman" w:cs="Times New Roman"/>
          <w:color w:val="FF0000"/>
          <w:lang w:val="en-GB"/>
        </w:rPr>
      </w:pPr>
    </w:p>
    <w:p w:rsidR="00253C6F" w:rsidRDefault="00253C6F" w:rsidP="00120E36">
      <w:pPr>
        <w:widowControl w:val="0"/>
        <w:tabs>
          <w:tab w:val="center" w:pos="4776"/>
        </w:tabs>
        <w:autoSpaceDE w:val="0"/>
        <w:autoSpaceDN w:val="0"/>
        <w:adjustRightInd w:val="0"/>
        <w:spacing w:after="0" w:line="240" w:lineRule="auto"/>
        <w:ind w:left="720"/>
        <w:jc w:val="both"/>
        <w:rPr>
          <w:rFonts w:ascii="Times New Roman" w:eastAsia="Times New Roman" w:hAnsi="Times New Roman" w:cs="Times New Roman"/>
          <w:lang w:val="en-GB"/>
        </w:rPr>
      </w:pPr>
      <w:r w:rsidRPr="00253C6F">
        <w:rPr>
          <w:rFonts w:ascii="Times New Roman" w:eastAsia="Times New Roman" w:hAnsi="Times New Roman" w:cs="Times New Roman"/>
          <w:lang w:val="en-GB"/>
        </w:rPr>
        <w:t xml:space="preserve">As at </w:t>
      </w:r>
      <w:r w:rsidR="00E918A7">
        <w:rPr>
          <w:rFonts w:ascii="Times New Roman" w:eastAsia="Times New Roman" w:hAnsi="Times New Roman" w:cs="Times New Roman"/>
          <w:lang w:val="en-GB"/>
        </w:rPr>
        <w:t>September</w:t>
      </w:r>
      <w:r w:rsidRPr="00253C6F">
        <w:rPr>
          <w:rFonts w:ascii="Times New Roman" w:eastAsia="Times New Roman" w:hAnsi="Times New Roman" w:cs="Times New Roman"/>
          <w:lang w:val="en-GB"/>
        </w:rPr>
        <w:t xml:space="preserve"> 30, 201</w:t>
      </w:r>
      <w:r w:rsidR="00C63E7B" w:rsidRPr="0068511A">
        <w:rPr>
          <w:rFonts w:ascii="Times New Roman" w:eastAsia="Times New Roman" w:hAnsi="Times New Roman" w:cs="Times New Roman"/>
          <w:lang w:val="en-GB"/>
        </w:rPr>
        <w:t>4</w:t>
      </w:r>
      <w:r w:rsidR="00784A43">
        <w:rPr>
          <w:rFonts w:ascii="Times New Roman" w:eastAsia="Times New Roman" w:hAnsi="Times New Roman" w:cs="Times New Roman"/>
          <w:lang w:val="en-GB"/>
        </w:rPr>
        <w:t>,</w:t>
      </w:r>
      <w:r w:rsidRPr="00253C6F">
        <w:rPr>
          <w:rFonts w:ascii="Times New Roman" w:eastAsia="Times New Roman" w:hAnsi="Times New Roman" w:cs="Times New Roman"/>
          <w:lang w:val="en-GB"/>
        </w:rPr>
        <w:t xml:space="preserve"> the Company’s issued and outstanding shares are </w:t>
      </w:r>
      <w:r w:rsidR="0068511A" w:rsidRPr="0068511A">
        <w:rPr>
          <w:rFonts w:ascii="Times New Roman" w:eastAsia="Times New Roman" w:hAnsi="Times New Roman" w:cs="Times New Roman"/>
          <w:lang w:val="en-GB"/>
        </w:rPr>
        <w:t>30,</w:t>
      </w:r>
      <w:r w:rsidR="00E918A7">
        <w:rPr>
          <w:rFonts w:ascii="Times New Roman" w:eastAsia="Times New Roman" w:hAnsi="Times New Roman" w:cs="Times New Roman"/>
          <w:lang w:val="en-GB"/>
        </w:rPr>
        <w:t>7</w:t>
      </w:r>
      <w:r w:rsidR="0068511A" w:rsidRPr="0068511A">
        <w:rPr>
          <w:rFonts w:ascii="Times New Roman" w:eastAsia="Times New Roman" w:hAnsi="Times New Roman" w:cs="Times New Roman"/>
          <w:lang w:val="en-GB"/>
        </w:rPr>
        <w:t>06,770</w:t>
      </w:r>
      <w:r w:rsidRPr="00253C6F">
        <w:rPr>
          <w:rFonts w:ascii="Times New Roman" w:eastAsia="Times New Roman" w:hAnsi="Times New Roman" w:cs="Times New Roman"/>
          <w:lang w:val="en-GB"/>
        </w:rPr>
        <w:t xml:space="preserve"> which have been issued for cumulative consideration of $</w:t>
      </w:r>
      <w:r w:rsidR="00E918A7">
        <w:rPr>
          <w:rFonts w:ascii="Times New Roman" w:eastAsia="Times New Roman" w:hAnsi="Times New Roman" w:cs="Times New Roman"/>
          <w:lang w:val="en-GB"/>
        </w:rPr>
        <w:t>8,097,525</w:t>
      </w:r>
      <w:r w:rsidR="006A3477">
        <w:rPr>
          <w:rFonts w:ascii="Times New Roman" w:eastAsia="Times New Roman" w:hAnsi="Times New Roman" w:cs="Times New Roman"/>
          <w:lang w:val="en-GB"/>
        </w:rPr>
        <w:t xml:space="preserve"> and as at the date hereof the Company’s issued and outstanding shares are 30,706,770</w:t>
      </w:r>
      <w:r w:rsidRPr="00253C6F">
        <w:rPr>
          <w:rFonts w:ascii="Times New Roman" w:eastAsia="Times New Roman" w:hAnsi="Times New Roman" w:cs="Times New Roman"/>
          <w:lang w:val="en-GB"/>
        </w:rPr>
        <w:t>.</w:t>
      </w:r>
    </w:p>
    <w:p w:rsidR="0068511A" w:rsidRDefault="0068511A" w:rsidP="00253C6F">
      <w:pPr>
        <w:widowControl w:val="0"/>
        <w:tabs>
          <w:tab w:val="center" w:pos="4776"/>
        </w:tabs>
        <w:autoSpaceDE w:val="0"/>
        <w:autoSpaceDN w:val="0"/>
        <w:adjustRightInd w:val="0"/>
        <w:spacing w:after="0" w:line="240" w:lineRule="auto"/>
        <w:ind w:left="720" w:right="-360"/>
        <w:jc w:val="both"/>
        <w:rPr>
          <w:rFonts w:ascii="Times New Roman" w:eastAsia="Times New Roman" w:hAnsi="Times New Roman" w:cs="Times New Roman"/>
          <w:lang w:val="en-GB"/>
        </w:rPr>
      </w:pPr>
    </w:p>
    <w:tbl>
      <w:tblPr>
        <w:tblW w:w="8460" w:type="dxa"/>
        <w:tblInd w:w="648" w:type="dxa"/>
        <w:tblLook w:val="0000"/>
      </w:tblPr>
      <w:tblGrid>
        <w:gridCol w:w="3960"/>
        <w:gridCol w:w="1362"/>
        <w:gridCol w:w="1706"/>
        <w:gridCol w:w="1432"/>
      </w:tblGrid>
      <w:tr w:rsidR="00E918A7" w:rsidRPr="00E918A7" w:rsidTr="0026753F">
        <w:tc>
          <w:tcPr>
            <w:tcW w:w="3960" w:type="dxa"/>
            <w:tcBorders>
              <w:top w:val="single" w:sz="8" w:space="0" w:color="auto"/>
              <w:bottom w:val="single" w:sz="8" w:space="0" w:color="auto"/>
            </w:tcBorders>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Times New Roman" w:eastAsia="Times New Roman" w:hAnsi="Times New Roman" w:cs="Times New Roman"/>
                <w:lang w:val="en-GB"/>
              </w:rPr>
            </w:pPr>
          </w:p>
        </w:tc>
        <w:tc>
          <w:tcPr>
            <w:tcW w:w="1362" w:type="dxa"/>
            <w:tcBorders>
              <w:top w:val="single" w:sz="8" w:space="0" w:color="auto"/>
              <w:bottom w:val="single" w:sz="8" w:space="0" w:color="auto"/>
            </w:tcBorders>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r w:rsidRPr="00E918A7">
              <w:rPr>
                <w:rFonts w:ascii="Times New Roman" w:eastAsia="Times New Roman" w:hAnsi="Times New Roman" w:cs="Times New Roman"/>
                <w:b/>
                <w:lang w:val="en-GB"/>
              </w:rPr>
              <w:t>Number of Shares</w:t>
            </w:r>
          </w:p>
        </w:tc>
        <w:tc>
          <w:tcPr>
            <w:tcW w:w="1706" w:type="dxa"/>
            <w:tcBorders>
              <w:top w:val="single" w:sz="8" w:space="0" w:color="auto"/>
              <w:bottom w:val="single" w:sz="8" w:space="0" w:color="auto"/>
            </w:tcBorders>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p>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r w:rsidRPr="00E918A7">
              <w:rPr>
                <w:rFonts w:ascii="Times New Roman" w:eastAsia="Times New Roman" w:hAnsi="Times New Roman" w:cs="Times New Roman"/>
                <w:b/>
                <w:lang w:val="en-GB"/>
              </w:rPr>
              <w:t>Amount</w:t>
            </w:r>
          </w:p>
        </w:tc>
        <w:tc>
          <w:tcPr>
            <w:tcW w:w="1432" w:type="dxa"/>
            <w:tcBorders>
              <w:top w:val="single" w:sz="8" w:space="0" w:color="auto"/>
              <w:bottom w:val="single" w:sz="8" w:space="0" w:color="auto"/>
            </w:tcBorders>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r w:rsidRPr="00E918A7">
              <w:rPr>
                <w:rFonts w:ascii="Times New Roman" w:eastAsia="Times New Roman" w:hAnsi="Times New Roman" w:cs="Times New Roman"/>
                <w:b/>
                <w:lang w:val="en-GB"/>
              </w:rPr>
              <w:t>Contributed Surplus</w:t>
            </w:r>
          </w:p>
        </w:tc>
      </w:tr>
      <w:tr w:rsidR="00E918A7" w:rsidRPr="00E918A7" w:rsidTr="0026753F">
        <w:trPr>
          <w:trHeight w:val="75"/>
        </w:trPr>
        <w:tc>
          <w:tcPr>
            <w:tcW w:w="3960" w:type="dxa"/>
            <w:tcBorders>
              <w:top w:val="single" w:sz="8" w:space="0" w:color="auto"/>
            </w:tcBorders>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Times New Roman" w:eastAsia="Times New Roman" w:hAnsi="Times New Roman" w:cs="Times New Roman"/>
                <w:lang w:val="en-GB"/>
              </w:rPr>
            </w:pPr>
          </w:p>
        </w:tc>
        <w:tc>
          <w:tcPr>
            <w:tcW w:w="1362" w:type="dxa"/>
          </w:tcPr>
          <w:p w:rsidR="00E918A7" w:rsidRPr="00E918A7" w:rsidRDefault="00E918A7" w:rsidP="0026753F">
            <w:pPr>
              <w:tabs>
                <w:tab w:val="left" w:pos="-630"/>
                <w:tab w:val="left" w:pos="-108"/>
                <w:tab w:val="decimal" w:pos="1086"/>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lang w:val="en-GB"/>
              </w:rPr>
            </w:pPr>
          </w:p>
        </w:tc>
        <w:tc>
          <w:tcPr>
            <w:tcW w:w="1706" w:type="dxa"/>
          </w:tcPr>
          <w:p w:rsidR="00E918A7" w:rsidRPr="00E918A7" w:rsidRDefault="00E918A7" w:rsidP="0026753F">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p>
        </w:tc>
        <w:tc>
          <w:tcPr>
            <w:tcW w:w="1432" w:type="dxa"/>
          </w:tcPr>
          <w:p w:rsidR="00E918A7" w:rsidRPr="00E918A7" w:rsidRDefault="00E918A7" w:rsidP="0026753F">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p>
        </w:tc>
      </w:tr>
      <w:tr w:rsidR="00E918A7" w:rsidRPr="00E918A7" w:rsidTr="0026753F">
        <w:trPr>
          <w:trHeight w:val="391"/>
        </w:trPr>
        <w:tc>
          <w:tcPr>
            <w:tcW w:w="3960"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
                <w:bCs/>
                <w:lang w:val="en-GB"/>
              </w:rPr>
            </w:pPr>
            <w:r w:rsidRPr="00E918A7">
              <w:rPr>
                <w:rFonts w:ascii="Times New Roman" w:eastAsia="Times New Roman" w:hAnsi="Times New Roman" w:cs="Times New Roman"/>
                <w:b/>
                <w:bCs/>
                <w:lang w:val="en-GB"/>
              </w:rPr>
              <w:t xml:space="preserve">Balance, June 30, 2013 </w:t>
            </w:r>
          </w:p>
        </w:tc>
        <w:tc>
          <w:tcPr>
            <w:tcW w:w="1362" w:type="dxa"/>
            <w:vAlign w:val="center"/>
          </w:tcPr>
          <w:p w:rsidR="00E918A7" w:rsidRPr="00E918A7" w:rsidRDefault="00E918A7" w:rsidP="0026753F">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13,006,770</w:t>
            </w:r>
          </w:p>
        </w:tc>
        <w:tc>
          <w:tcPr>
            <w:tcW w:w="1706" w:type="dxa"/>
            <w:vAlign w:val="center"/>
          </w:tcPr>
          <w:p w:rsidR="00E918A7" w:rsidRPr="00E918A7" w:rsidRDefault="00E918A7" w:rsidP="0026753F">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         7,142,525</w:t>
            </w:r>
          </w:p>
        </w:tc>
        <w:tc>
          <w:tcPr>
            <w:tcW w:w="1432" w:type="dxa"/>
            <w:vAlign w:val="center"/>
          </w:tcPr>
          <w:p w:rsidR="00E918A7" w:rsidRPr="00E918A7" w:rsidRDefault="00E918A7" w:rsidP="0026753F">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w:t>
            </w:r>
            <w:r w:rsidRPr="00E918A7">
              <w:rPr>
                <w:rFonts w:ascii="Times New Roman" w:eastAsia="Times New Roman" w:hAnsi="Times New Roman" w:cs="Times New Roman"/>
                <w:b/>
                <w:lang w:val="en-GB"/>
              </w:rPr>
              <w:tab/>
              <w:t>183,383</w:t>
            </w:r>
          </w:p>
        </w:tc>
      </w:tr>
      <w:tr w:rsidR="00E918A7" w:rsidRPr="00E918A7" w:rsidTr="0026753F">
        <w:trPr>
          <w:trHeight w:val="535"/>
        </w:trPr>
        <w:tc>
          <w:tcPr>
            <w:tcW w:w="3960"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Shares issued – acquisition of Wildflower Marijuana Inc.</w:t>
            </w:r>
          </w:p>
        </w:tc>
        <w:tc>
          <w:tcPr>
            <w:tcW w:w="1362"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13,000,000</w:t>
            </w:r>
          </w:p>
        </w:tc>
        <w:tc>
          <w:tcPr>
            <w:tcW w:w="1706"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650,000</w:t>
            </w:r>
          </w:p>
        </w:tc>
        <w:tc>
          <w:tcPr>
            <w:tcW w:w="1432"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w:t>
            </w:r>
          </w:p>
        </w:tc>
      </w:tr>
      <w:tr w:rsidR="00E918A7" w:rsidRPr="00E918A7" w:rsidTr="0026753F">
        <w:trPr>
          <w:trHeight w:val="153"/>
        </w:trPr>
        <w:tc>
          <w:tcPr>
            <w:tcW w:w="3960"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 xml:space="preserve">Finder fees </w:t>
            </w:r>
          </w:p>
        </w:tc>
        <w:tc>
          <w:tcPr>
            <w:tcW w:w="1362"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1,000,000</w:t>
            </w:r>
          </w:p>
        </w:tc>
        <w:tc>
          <w:tcPr>
            <w:tcW w:w="1706"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50,000</w:t>
            </w:r>
          </w:p>
        </w:tc>
        <w:tc>
          <w:tcPr>
            <w:tcW w:w="1432"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w:t>
            </w:r>
          </w:p>
        </w:tc>
      </w:tr>
      <w:tr w:rsidR="00E918A7" w:rsidRPr="00E918A7" w:rsidTr="0026753F">
        <w:trPr>
          <w:trHeight w:val="153"/>
        </w:trPr>
        <w:tc>
          <w:tcPr>
            <w:tcW w:w="3960" w:type="dxa"/>
            <w:tcBorders>
              <w:bottom w:val="single" w:sz="8" w:space="0" w:color="auto"/>
            </w:tcBorders>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 xml:space="preserve">Private placement </w:t>
            </w:r>
          </w:p>
        </w:tc>
        <w:tc>
          <w:tcPr>
            <w:tcW w:w="1362" w:type="dxa"/>
            <w:tcBorders>
              <w:bottom w:val="single" w:sz="8" w:space="0" w:color="auto"/>
            </w:tcBorders>
            <w:vAlign w:val="center"/>
          </w:tcPr>
          <w:p w:rsidR="00E918A7" w:rsidRPr="00E918A7" w:rsidRDefault="00E918A7" w:rsidP="0026753F">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sidRPr="00E918A7">
              <w:rPr>
                <w:rFonts w:ascii="Times New Roman" w:eastAsia="Times New Roman" w:hAnsi="Times New Roman" w:cs="Times New Roman"/>
                <w:lang w:val="en-GB"/>
              </w:rPr>
              <w:t>3,000,000</w:t>
            </w:r>
          </w:p>
        </w:tc>
        <w:tc>
          <w:tcPr>
            <w:tcW w:w="1706" w:type="dxa"/>
            <w:tcBorders>
              <w:bottom w:val="single" w:sz="8" w:space="0" w:color="auto"/>
            </w:tcBorders>
            <w:vAlign w:val="center"/>
          </w:tcPr>
          <w:p w:rsidR="00E918A7" w:rsidRPr="00E918A7" w:rsidRDefault="00E918A7" w:rsidP="0026753F">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E918A7">
              <w:rPr>
                <w:rFonts w:ascii="Times New Roman" w:eastAsia="Times New Roman" w:hAnsi="Times New Roman" w:cs="Times New Roman"/>
                <w:lang w:val="en-GB"/>
              </w:rPr>
              <w:t>150,000</w:t>
            </w:r>
          </w:p>
        </w:tc>
        <w:tc>
          <w:tcPr>
            <w:tcW w:w="1432" w:type="dxa"/>
            <w:tcBorders>
              <w:bottom w:val="single" w:sz="8" w:space="0" w:color="auto"/>
            </w:tcBorders>
            <w:vAlign w:val="center"/>
          </w:tcPr>
          <w:p w:rsidR="00E918A7" w:rsidRPr="00E918A7" w:rsidRDefault="00E918A7" w:rsidP="0026753F">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E918A7">
              <w:rPr>
                <w:rFonts w:ascii="Times New Roman" w:eastAsia="Times New Roman" w:hAnsi="Times New Roman" w:cs="Times New Roman"/>
                <w:lang w:val="en-GB"/>
              </w:rPr>
              <w:t>-</w:t>
            </w:r>
          </w:p>
        </w:tc>
      </w:tr>
      <w:tr w:rsidR="00E918A7" w:rsidRPr="00E918A7" w:rsidTr="0026753F">
        <w:trPr>
          <w:trHeight w:val="281"/>
        </w:trPr>
        <w:tc>
          <w:tcPr>
            <w:tcW w:w="3960" w:type="dxa"/>
            <w:tcBorders>
              <w:top w:val="single" w:sz="8" w:space="0" w:color="auto"/>
            </w:tcBorders>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
                <w:bCs/>
                <w:lang w:val="en-GB"/>
              </w:rPr>
            </w:pPr>
            <w:r w:rsidRPr="00E918A7">
              <w:rPr>
                <w:rFonts w:ascii="Times New Roman" w:eastAsia="Times New Roman" w:hAnsi="Times New Roman" w:cs="Times New Roman"/>
                <w:b/>
                <w:bCs/>
                <w:lang w:val="en-GB"/>
              </w:rPr>
              <w:t>Balance, June 30, 2014</w:t>
            </w:r>
          </w:p>
        </w:tc>
        <w:tc>
          <w:tcPr>
            <w:tcW w:w="1362" w:type="dxa"/>
            <w:tcBorders>
              <w:top w:val="single" w:sz="8" w:space="0" w:color="auto"/>
            </w:tcBorders>
            <w:vAlign w:val="center"/>
          </w:tcPr>
          <w:p w:rsidR="00E918A7" w:rsidRPr="00E918A7" w:rsidRDefault="00E918A7" w:rsidP="0026753F">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30,006,770</w:t>
            </w:r>
          </w:p>
        </w:tc>
        <w:tc>
          <w:tcPr>
            <w:tcW w:w="1706" w:type="dxa"/>
            <w:tcBorders>
              <w:top w:val="single" w:sz="8" w:space="0" w:color="auto"/>
            </w:tcBorders>
            <w:vAlign w:val="center"/>
          </w:tcPr>
          <w:p w:rsidR="00E918A7" w:rsidRPr="00E918A7" w:rsidRDefault="00E918A7" w:rsidP="0026753F">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 xml:space="preserve">    7,992,525</w:t>
            </w:r>
          </w:p>
        </w:tc>
        <w:tc>
          <w:tcPr>
            <w:tcW w:w="1432" w:type="dxa"/>
            <w:tcBorders>
              <w:top w:val="single" w:sz="8" w:space="0" w:color="auto"/>
            </w:tcBorders>
            <w:vAlign w:val="center"/>
          </w:tcPr>
          <w:p w:rsidR="00E918A7" w:rsidRPr="00E918A7" w:rsidRDefault="00E918A7" w:rsidP="0026753F">
            <w:pPr>
              <w:tabs>
                <w:tab w:val="left" w:pos="-108"/>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183,383</w:t>
            </w:r>
          </w:p>
        </w:tc>
      </w:tr>
      <w:tr w:rsidR="00E918A7" w:rsidRPr="00E918A7" w:rsidTr="0026753F">
        <w:trPr>
          <w:trHeight w:val="153"/>
        </w:trPr>
        <w:tc>
          <w:tcPr>
            <w:tcW w:w="3960"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Shares issued in deposit</w:t>
            </w:r>
          </w:p>
        </w:tc>
        <w:tc>
          <w:tcPr>
            <w:tcW w:w="1362" w:type="dxa"/>
            <w:vAlign w:val="center"/>
          </w:tcPr>
          <w:p w:rsidR="00E918A7" w:rsidRPr="00E918A7" w:rsidRDefault="00E918A7" w:rsidP="0026753F">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sidRPr="00E918A7">
              <w:rPr>
                <w:rFonts w:ascii="Times New Roman" w:eastAsia="Times New Roman" w:hAnsi="Times New Roman" w:cs="Times New Roman"/>
                <w:lang w:val="en-GB"/>
              </w:rPr>
              <w:t>200,000</w:t>
            </w:r>
          </w:p>
        </w:tc>
        <w:tc>
          <w:tcPr>
            <w:tcW w:w="1706" w:type="dxa"/>
            <w:vAlign w:val="center"/>
          </w:tcPr>
          <w:p w:rsidR="00E918A7" w:rsidRPr="00E918A7" w:rsidRDefault="00E918A7" w:rsidP="0026753F">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E918A7">
              <w:rPr>
                <w:rFonts w:ascii="Times New Roman" w:eastAsia="Times New Roman" w:hAnsi="Times New Roman" w:cs="Times New Roman"/>
                <w:lang w:val="en-GB"/>
              </w:rPr>
              <w:t>30,000</w:t>
            </w:r>
          </w:p>
        </w:tc>
        <w:tc>
          <w:tcPr>
            <w:tcW w:w="1432" w:type="dxa"/>
            <w:vAlign w:val="center"/>
          </w:tcPr>
          <w:p w:rsidR="00E918A7" w:rsidRPr="00E918A7" w:rsidRDefault="00E918A7" w:rsidP="0026753F">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E918A7">
              <w:rPr>
                <w:rFonts w:ascii="Times New Roman" w:eastAsia="Times New Roman" w:hAnsi="Times New Roman" w:cs="Times New Roman"/>
                <w:lang w:val="en-GB"/>
              </w:rPr>
              <w:t>-</w:t>
            </w:r>
          </w:p>
        </w:tc>
      </w:tr>
      <w:tr w:rsidR="00E918A7" w:rsidRPr="00E918A7" w:rsidTr="0026753F">
        <w:trPr>
          <w:trHeight w:val="153"/>
        </w:trPr>
        <w:tc>
          <w:tcPr>
            <w:tcW w:w="3960" w:type="dxa"/>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Share issued for application expenditures</w:t>
            </w:r>
          </w:p>
        </w:tc>
        <w:tc>
          <w:tcPr>
            <w:tcW w:w="1362" w:type="dxa"/>
            <w:vAlign w:val="center"/>
          </w:tcPr>
          <w:p w:rsidR="00E918A7" w:rsidRPr="00E918A7" w:rsidRDefault="00E918A7" w:rsidP="0026753F">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500,000</w:t>
            </w:r>
          </w:p>
        </w:tc>
        <w:tc>
          <w:tcPr>
            <w:tcW w:w="1706" w:type="dxa"/>
            <w:vAlign w:val="center"/>
          </w:tcPr>
          <w:p w:rsidR="00E918A7" w:rsidRPr="00E918A7" w:rsidRDefault="00E918A7" w:rsidP="0026753F">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75,000</w:t>
            </w:r>
          </w:p>
        </w:tc>
        <w:tc>
          <w:tcPr>
            <w:tcW w:w="1432" w:type="dxa"/>
            <w:vAlign w:val="center"/>
          </w:tcPr>
          <w:p w:rsidR="00E918A7" w:rsidRPr="00E918A7" w:rsidRDefault="00E918A7" w:rsidP="0026753F">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p>
        </w:tc>
      </w:tr>
      <w:tr w:rsidR="00E918A7" w:rsidRPr="00E918A7" w:rsidTr="0026753F">
        <w:trPr>
          <w:trHeight w:val="153"/>
        </w:trPr>
        <w:tc>
          <w:tcPr>
            <w:tcW w:w="3960" w:type="dxa"/>
            <w:tcBorders>
              <w:bottom w:val="single" w:sz="8" w:space="0" w:color="auto"/>
            </w:tcBorders>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E918A7">
              <w:rPr>
                <w:rFonts w:ascii="Times New Roman" w:eastAsia="Times New Roman" w:hAnsi="Times New Roman" w:cs="Times New Roman"/>
                <w:bCs/>
                <w:lang w:val="en-GB"/>
              </w:rPr>
              <w:t>Share-based payments</w:t>
            </w:r>
          </w:p>
        </w:tc>
        <w:tc>
          <w:tcPr>
            <w:tcW w:w="1362" w:type="dxa"/>
            <w:tcBorders>
              <w:bottom w:val="single" w:sz="8" w:space="0" w:color="auto"/>
            </w:tcBorders>
            <w:vAlign w:val="center"/>
          </w:tcPr>
          <w:p w:rsidR="00E918A7" w:rsidRPr="00E918A7" w:rsidRDefault="00E918A7" w:rsidP="0026753F">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sidRPr="00E918A7">
              <w:rPr>
                <w:rFonts w:ascii="Times New Roman" w:eastAsia="Times New Roman" w:hAnsi="Times New Roman" w:cs="Times New Roman"/>
                <w:bCs/>
                <w:lang w:val="en-GB"/>
              </w:rPr>
              <w:t>-</w:t>
            </w:r>
          </w:p>
        </w:tc>
        <w:tc>
          <w:tcPr>
            <w:tcW w:w="1706" w:type="dxa"/>
            <w:tcBorders>
              <w:bottom w:val="single" w:sz="8" w:space="0" w:color="auto"/>
            </w:tcBorders>
            <w:vAlign w:val="center"/>
          </w:tcPr>
          <w:p w:rsidR="00E918A7" w:rsidRPr="00E918A7" w:rsidRDefault="00E918A7" w:rsidP="0026753F">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E918A7">
              <w:rPr>
                <w:rFonts w:ascii="Times New Roman" w:eastAsia="Times New Roman" w:hAnsi="Times New Roman" w:cs="Times New Roman"/>
                <w:bCs/>
                <w:lang w:val="en-GB"/>
              </w:rPr>
              <w:t>-</w:t>
            </w:r>
          </w:p>
        </w:tc>
        <w:tc>
          <w:tcPr>
            <w:tcW w:w="1432" w:type="dxa"/>
            <w:tcBorders>
              <w:bottom w:val="single" w:sz="8" w:space="0" w:color="auto"/>
            </w:tcBorders>
            <w:vAlign w:val="center"/>
          </w:tcPr>
          <w:p w:rsidR="00E918A7" w:rsidRPr="00E918A7" w:rsidRDefault="00E918A7" w:rsidP="0026753F">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E918A7">
              <w:rPr>
                <w:rFonts w:ascii="Times New Roman" w:eastAsia="Times New Roman" w:hAnsi="Times New Roman" w:cs="Times New Roman"/>
                <w:lang w:val="en-GB"/>
              </w:rPr>
              <w:t>390,293</w:t>
            </w:r>
          </w:p>
        </w:tc>
      </w:tr>
      <w:tr w:rsidR="00E918A7" w:rsidRPr="00E918A7" w:rsidTr="0026753F">
        <w:trPr>
          <w:trHeight w:val="263"/>
        </w:trPr>
        <w:tc>
          <w:tcPr>
            <w:tcW w:w="3960" w:type="dxa"/>
            <w:tcBorders>
              <w:top w:val="single" w:sz="8" w:space="0" w:color="auto"/>
              <w:bottom w:val="single" w:sz="12" w:space="0" w:color="auto"/>
            </w:tcBorders>
            <w:vAlign w:val="center"/>
          </w:tcPr>
          <w:p w:rsidR="00E918A7" w:rsidRPr="00E918A7" w:rsidRDefault="00E918A7" w:rsidP="0026753F">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
                <w:bCs/>
                <w:lang w:val="en-GB"/>
              </w:rPr>
            </w:pPr>
            <w:r w:rsidRPr="00E918A7">
              <w:rPr>
                <w:rFonts w:ascii="Times New Roman" w:eastAsia="Times New Roman" w:hAnsi="Times New Roman" w:cs="Times New Roman"/>
                <w:b/>
                <w:bCs/>
                <w:lang w:val="en-GB"/>
              </w:rPr>
              <w:t>Balance, September 30, 2014</w:t>
            </w:r>
          </w:p>
        </w:tc>
        <w:tc>
          <w:tcPr>
            <w:tcW w:w="1362" w:type="dxa"/>
            <w:tcBorders>
              <w:top w:val="single" w:sz="8" w:space="0" w:color="auto"/>
              <w:bottom w:val="single" w:sz="12" w:space="0" w:color="auto"/>
            </w:tcBorders>
            <w:vAlign w:val="center"/>
          </w:tcPr>
          <w:p w:rsidR="00E918A7" w:rsidRPr="00E918A7" w:rsidRDefault="00E918A7" w:rsidP="0026753F">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30,706,770</w:t>
            </w:r>
          </w:p>
        </w:tc>
        <w:tc>
          <w:tcPr>
            <w:tcW w:w="1706" w:type="dxa"/>
            <w:tcBorders>
              <w:top w:val="single" w:sz="8" w:space="0" w:color="auto"/>
              <w:bottom w:val="single" w:sz="12" w:space="0" w:color="auto"/>
            </w:tcBorders>
            <w:vAlign w:val="center"/>
          </w:tcPr>
          <w:p w:rsidR="00E918A7" w:rsidRPr="00E918A7" w:rsidRDefault="00E918A7" w:rsidP="0026753F">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         8,097,525</w:t>
            </w:r>
          </w:p>
        </w:tc>
        <w:tc>
          <w:tcPr>
            <w:tcW w:w="1432" w:type="dxa"/>
            <w:tcBorders>
              <w:top w:val="single" w:sz="8" w:space="0" w:color="auto"/>
              <w:bottom w:val="single" w:sz="12" w:space="0" w:color="auto"/>
            </w:tcBorders>
            <w:vAlign w:val="center"/>
          </w:tcPr>
          <w:p w:rsidR="00E918A7" w:rsidRPr="00E918A7" w:rsidRDefault="00E918A7" w:rsidP="0026753F">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E918A7">
              <w:rPr>
                <w:rFonts w:ascii="Times New Roman" w:eastAsia="Times New Roman" w:hAnsi="Times New Roman" w:cs="Times New Roman"/>
                <w:b/>
                <w:lang w:val="en-GB"/>
              </w:rPr>
              <w:t>$       573,676</w:t>
            </w:r>
          </w:p>
        </w:tc>
      </w:tr>
    </w:tbl>
    <w:p w:rsidR="00E918A7" w:rsidRDefault="00E918A7" w:rsidP="0068511A">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68511A" w:rsidRPr="00A7031C" w:rsidRDefault="0068511A" w:rsidP="007140FC">
      <w:pPr>
        <w:tabs>
          <w:tab w:val="left" w:pos="-990"/>
          <w:tab w:val="left" w:pos="-270"/>
          <w:tab w:val="left" w:pos="360"/>
          <w:tab w:val="left" w:pos="54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left="720" w:right="-29"/>
        <w:jc w:val="both"/>
        <w:rPr>
          <w:rFonts w:ascii="Times New Roman" w:eastAsia="Times New Roman" w:hAnsi="Times New Roman" w:cs="Times New Roman"/>
          <w:b/>
          <w:lang w:val="en-GB"/>
        </w:rPr>
      </w:pPr>
      <w:r w:rsidRPr="00A7031C">
        <w:rPr>
          <w:rFonts w:ascii="Times New Roman" w:eastAsia="Times New Roman" w:hAnsi="Times New Roman" w:cs="Times New Roman"/>
          <w:b/>
          <w:lang w:val="en-GB"/>
        </w:rPr>
        <w:t>Escrow</w:t>
      </w:r>
    </w:p>
    <w:p w:rsidR="0068511A" w:rsidRPr="00A7031C" w:rsidRDefault="0068511A" w:rsidP="007140FC">
      <w:pPr>
        <w:tabs>
          <w:tab w:val="left" w:pos="360"/>
          <w:tab w:val="left" w:pos="540"/>
          <w:tab w:val="left" w:pos="1080"/>
          <w:tab w:val="decimal" w:pos="9540"/>
        </w:tabs>
        <w:spacing w:after="0" w:line="240" w:lineRule="auto"/>
        <w:ind w:left="720" w:right="-360"/>
        <w:jc w:val="both"/>
        <w:rPr>
          <w:rFonts w:ascii="Times New Roman" w:eastAsia="Times New Roman" w:hAnsi="Times New Roman" w:cs="Times New Roman"/>
          <w:b/>
          <w:lang w:val="en-GB"/>
        </w:rPr>
      </w:pPr>
    </w:p>
    <w:p w:rsidR="0068511A" w:rsidRPr="00A7031C" w:rsidRDefault="0068511A" w:rsidP="00120E36">
      <w:pPr>
        <w:tabs>
          <w:tab w:val="left" w:pos="360"/>
          <w:tab w:val="left" w:pos="540"/>
          <w:tab w:val="left" w:pos="1080"/>
          <w:tab w:val="decimal" w:pos="9540"/>
        </w:tabs>
        <w:spacing w:after="0" w:line="240" w:lineRule="auto"/>
        <w:ind w:left="720"/>
        <w:jc w:val="both"/>
        <w:rPr>
          <w:rFonts w:ascii="Times New Roman" w:eastAsia="Times New Roman" w:hAnsi="Times New Roman" w:cs="Times New Roman"/>
          <w:lang w:val="en-GB"/>
        </w:rPr>
      </w:pPr>
      <w:r w:rsidRPr="00A7031C">
        <w:rPr>
          <w:rFonts w:ascii="Times New Roman" w:eastAsia="Times New Roman" w:hAnsi="Times New Roman" w:cs="Times New Roman"/>
          <w:lang w:val="en-GB"/>
        </w:rPr>
        <w:t xml:space="preserve">As at </w:t>
      </w:r>
      <w:r w:rsidR="00E918A7" w:rsidRPr="00A7031C">
        <w:rPr>
          <w:rFonts w:ascii="Times New Roman" w:eastAsia="Times New Roman" w:hAnsi="Times New Roman" w:cs="Times New Roman"/>
          <w:lang w:val="en-GB"/>
        </w:rPr>
        <w:t>September</w:t>
      </w:r>
      <w:r w:rsidRPr="00A7031C">
        <w:rPr>
          <w:rFonts w:ascii="Times New Roman" w:eastAsia="Times New Roman" w:hAnsi="Times New Roman" w:cs="Times New Roman"/>
          <w:lang w:val="en-GB"/>
        </w:rPr>
        <w:t xml:space="preserve"> 30, 2014, the Company’s transfer agent held 11,725,000 (2013: 25,000) shares in escrow.  The release of these shares is subject to regulatory approval.</w:t>
      </w:r>
    </w:p>
    <w:p w:rsidR="0068511A" w:rsidRPr="00A7031C" w:rsidRDefault="0068511A" w:rsidP="00120E36">
      <w:pPr>
        <w:tabs>
          <w:tab w:val="left" w:pos="360"/>
          <w:tab w:val="left" w:pos="540"/>
          <w:tab w:val="left" w:pos="1080"/>
          <w:tab w:val="decimal" w:pos="9540"/>
        </w:tabs>
        <w:spacing w:after="0" w:line="240" w:lineRule="auto"/>
        <w:ind w:left="720"/>
        <w:jc w:val="both"/>
        <w:rPr>
          <w:rFonts w:ascii="Times New Roman" w:eastAsia="Times New Roman" w:hAnsi="Times New Roman" w:cs="Times New Roman"/>
          <w:lang w:val="en-GB"/>
        </w:rPr>
      </w:pPr>
    </w:p>
    <w:p w:rsidR="0068511A" w:rsidRPr="00A7031C" w:rsidRDefault="0068511A" w:rsidP="00120E36">
      <w:pPr>
        <w:tabs>
          <w:tab w:val="left" w:pos="-674"/>
          <w:tab w:val="left" w:pos="-270"/>
          <w:tab w:val="left" w:pos="360"/>
          <w:tab w:val="left" w:pos="54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720"/>
        <w:jc w:val="both"/>
        <w:rPr>
          <w:rFonts w:ascii="Times New Roman" w:eastAsia="Times New Roman" w:hAnsi="Times New Roman" w:cs="Times New Roman"/>
          <w:b/>
          <w:lang w:val="en-GB"/>
        </w:rPr>
      </w:pPr>
      <w:r w:rsidRPr="00A7031C">
        <w:rPr>
          <w:rFonts w:ascii="Times New Roman" w:eastAsia="Times New Roman" w:hAnsi="Times New Roman" w:cs="Times New Roman"/>
          <w:b/>
          <w:lang w:val="en-GB"/>
        </w:rPr>
        <w:t>Subscription receivable and refundable</w:t>
      </w:r>
    </w:p>
    <w:p w:rsidR="0068511A" w:rsidRPr="00A7031C" w:rsidRDefault="0068511A" w:rsidP="00120E36">
      <w:pPr>
        <w:tabs>
          <w:tab w:val="left" w:pos="360"/>
          <w:tab w:val="left" w:pos="540"/>
          <w:tab w:val="left" w:pos="1080"/>
        </w:tabs>
        <w:spacing w:after="0" w:line="240" w:lineRule="auto"/>
        <w:ind w:left="720"/>
        <w:jc w:val="both"/>
        <w:rPr>
          <w:rFonts w:ascii="Times New Roman" w:eastAsia="Times New Roman" w:hAnsi="Times New Roman" w:cs="Times New Roman"/>
        </w:rPr>
      </w:pPr>
    </w:p>
    <w:p w:rsidR="0068511A" w:rsidRPr="00A7031C" w:rsidRDefault="0068511A" w:rsidP="00120E36">
      <w:pPr>
        <w:tabs>
          <w:tab w:val="left" w:pos="360"/>
          <w:tab w:val="left" w:pos="540"/>
          <w:tab w:val="left" w:pos="1080"/>
        </w:tabs>
        <w:spacing w:after="0" w:line="240" w:lineRule="auto"/>
        <w:ind w:left="720"/>
        <w:jc w:val="both"/>
        <w:rPr>
          <w:rFonts w:ascii="Times New Roman" w:eastAsia="Times New Roman" w:hAnsi="Times New Roman" w:cs="Times New Roman"/>
        </w:rPr>
      </w:pPr>
      <w:r w:rsidRPr="00A7031C">
        <w:rPr>
          <w:rFonts w:ascii="Times New Roman" w:eastAsia="Times New Roman" w:hAnsi="Times New Roman" w:cs="Times New Roman"/>
        </w:rPr>
        <w:t xml:space="preserve">As at </w:t>
      </w:r>
      <w:r w:rsidR="00E918A7" w:rsidRPr="00A7031C">
        <w:rPr>
          <w:rFonts w:ascii="Times New Roman" w:eastAsia="Times New Roman" w:hAnsi="Times New Roman" w:cs="Times New Roman"/>
        </w:rPr>
        <w:t>September</w:t>
      </w:r>
      <w:r w:rsidRPr="00A7031C">
        <w:rPr>
          <w:rFonts w:ascii="Times New Roman" w:eastAsia="Times New Roman" w:hAnsi="Times New Roman" w:cs="Times New Roman"/>
        </w:rPr>
        <w:t xml:space="preserve"> 30, 2014, the Company had a subscription refundable of $7,500 (2013: $7,500). </w:t>
      </w:r>
    </w:p>
    <w:p w:rsidR="0068511A" w:rsidRPr="00A7031C" w:rsidRDefault="0068511A" w:rsidP="00120E36">
      <w:pPr>
        <w:tabs>
          <w:tab w:val="left" w:pos="360"/>
          <w:tab w:val="left" w:pos="540"/>
          <w:tab w:val="left" w:pos="1080"/>
          <w:tab w:val="decimal" w:pos="9540"/>
        </w:tabs>
        <w:spacing w:after="0" w:line="240" w:lineRule="auto"/>
        <w:ind w:left="720"/>
        <w:jc w:val="both"/>
        <w:rPr>
          <w:rFonts w:ascii="Times New Roman" w:eastAsia="Times New Roman" w:hAnsi="Times New Roman" w:cs="Times New Roman"/>
          <w:lang w:val="en-GB"/>
        </w:rPr>
      </w:pPr>
    </w:p>
    <w:p w:rsidR="00E918A7" w:rsidRPr="00A7031C" w:rsidRDefault="00E918A7" w:rsidP="00120E36">
      <w:pPr>
        <w:tabs>
          <w:tab w:val="left" w:pos="360"/>
          <w:tab w:val="left" w:pos="720"/>
          <w:tab w:val="left" w:pos="1080"/>
          <w:tab w:val="decimal" w:pos="9540"/>
        </w:tabs>
        <w:spacing w:after="0" w:line="240" w:lineRule="auto"/>
        <w:ind w:left="720"/>
        <w:jc w:val="both"/>
        <w:rPr>
          <w:rFonts w:ascii="Times New Roman" w:eastAsia="Times New Roman" w:hAnsi="Times New Roman" w:cs="Times New Roman"/>
        </w:rPr>
      </w:pPr>
      <w:r w:rsidRPr="00A7031C">
        <w:rPr>
          <w:rFonts w:ascii="Times New Roman" w:eastAsia="Times New Roman" w:hAnsi="Times New Roman" w:cs="Times New Roman"/>
        </w:rPr>
        <w:lastRenderedPageBreak/>
        <w:t xml:space="preserve">During the three month period ended September 30, 2014, the Company granted 2,950,000 incentive stock options at an exercise price of $0.20 per share for a period of five years. As of the date hereof, there are 2,950,000 incentive stock options outstanding. </w:t>
      </w:r>
    </w:p>
    <w:p w:rsidR="00E918A7" w:rsidRPr="00A7031C" w:rsidRDefault="00E918A7" w:rsidP="00120E36">
      <w:pPr>
        <w:tabs>
          <w:tab w:val="left" w:pos="360"/>
          <w:tab w:val="left" w:pos="720"/>
          <w:tab w:val="left" w:pos="1080"/>
          <w:tab w:val="decimal" w:pos="9540"/>
        </w:tabs>
        <w:spacing w:after="0" w:line="240" w:lineRule="auto"/>
        <w:ind w:left="720"/>
        <w:jc w:val="both"/>
        <w:rPr>
          <w:rFonts w:ascii="Times New Roman" w:eastAsia="Times New Roman" w:hAnsi="Times New Roman" w:cs="Times New Roman"/>
        </w:rPr>
      </w:pPr>
    </w:p>
    <w:p w:rsidR="0068511A" w:rsidRPr="00A7031C" w:rsidRDefault="0068511A" w:rsidP="00120E36">
      <w:pPr>
        <w:tabs>
          <w:tab w:val="left" w:pos="360"/>
          <w:tab w:val="left" w:pos="720"/>
          <w:tab w:val="left" w:pos="1080"/>
          <w:tab w:val="decimal" w:pos="9540"/>
        </w:tabs>
        <w:spacing w:after="0" w:line="240" w:lineRule="auto"/>
        <w:ind w:left="720"/>
        <w:jc w:val="both"/>
        <w:rPr>
          <w:rFonts w:ascii="Times New Roman" w:eastAsia="Times New Roman" w:hAnsi="Times New Roman" w:cs="Times New Roman"/>
        </w:rPr>
      </w:pPr>
      <w:r w:rsidRPr="00A7031C">
        <w:rPr>
          <w:rFonts w:ascii="Times New Roman" w:eastAsia="Times New Roman" w:hAnsi="Times New Roman" w:cs="Times New Roman"/>
        </w:rPr>
        <w:t xml:space="preserve">The Company did not grant any warrants during the </w:t>
      </w:r>
      <w:r w:rsidR="00E918A7" w:rsidRPr="00A7031C">
        <w:rPr>
          <w:rFonts w:ascii="Times New Roman" w:eastAsia="Times New Roman" w:hAnsi="Times New Roman" w:cs="Times New Roman"/>
        </w:rPr>
        <w:t>period</w:t>
      </w:r>
      <w:r w:rsidRPr="00A7031C">
        <w:rPr>
          <w:rFonts w:ascii="Times New Roman" w:eastAsia="Times New Roman" w:hAnsi="Times New Roman" w:cs="Times New Roman"/>
        </w:rPr>
        <w:t xml:space="preserve">. As at </w:t>
      </w:r>
      <w:r w:rsidR="00E918A7" w:rsidRPr="00A7031C">
        <w:rPr>
          <w:rFonts w:ascii="Times New Roman" w:eastAsia="Times New Roman" w:hAnsi="Times New Roman" w:cs="Times New Roman"/>
        </w:rPr>
        <w:t>September</w:t>
      </w:r>
      <w:r w:rsidRPr="00A7031C">
        <w:rPr>
          <w:rFonts w:ascii="Times New Roman" w:eastAsia="Times New Roman" w:hAnsi="Times New Roman" w:cs="Times New Roman"/>
        </w:rPr>
        <w:t xml:space="preserve"> 30, 2014, there were no outstanding warrants.</w:t>
      </w:r>
    </w:p>
    <w:p w:rsidR="00253C6F" w:rsidRPr="00A7031C" w:rsidRDefault="00253C6F" w:rsidP="00120E36">
      <w:pPr>
        <w:widowControl w:val="0"/>
        <w:tabs>
          <w:tab w:val="center" w:pos="4776"/>
        </w:tabs>
        <w:autoSpaceDE w:val="0"/>
        <w:autoSpaceDN w:val="0"/>
        <w:adjustRightInd w:val="0"/>
        <w:spacing w:after="0" w:line="240" w:lineRule="auto"/>
        <w:ind w:left="720"/>
        <w:jc w:val="both"/>
        <w:rPr>
          <w:rFonts w:ascii="Times New Roman" w:eastAsia="Times New Roman" w:hAnsi="Times New Roman" w:cs="Times New Roman"/>
          <w:lang w:val="en-GB"/>
        </w:rPr>
      </w:pPr>
    </w:p>
    <w:p w:rsidR="00253C6F" w:rsidRPr="00253C6F" w:rsidRDefault="00253C6F" w:rsidP="00120E36">
      <w:pPr>
        <w:spacing w:after="0" w:line="240" w:lineRule="auto"/>
        <w:rPr>
          <w:rFonts w:ascii="Times New Roman" w:eastAsia="Times New Roman" w:hAnsi="Times New Roman" w:cs="Times New Roman"/>
          <w:b/>
        </w:rPr>
      </w:pPr>
      <w:r w:rsidRPr="00253C6F">
        <w:rPr>
          <w:rFonts w:ascii="Times New Roman" w:eastAsia="Times New Roman" w:hAnsi="Times New Roman" w:cs="Times New Roman"/>
          <w:bCs/>
        </w:rPr>
        <w:t>1.1</w:t>
      </w:r>
      <w:r w:rsidR="00A7031C">
        <w:rPr>
          <w:rFonts w:ascii="Times New Roman" w:eastAsia="Times New Roman" w:hAnsi="Times New Roman" w:cs="Times New Roman"/>
          <w:bCs/>
        </w:rPr>
        <w:t>0</w:t>
      </w:r>
      <w:r w:rsidRPr="00253C6F">
        <w:rPr>
          <w:rFonts w:ascii="Times New Roman" w:eastAsia="Times New Roman" w:hAnsi="Times New Roman" w:cs="Times New Roman"/>
          <w:b/>
        </w:rPr>
        <w:tab/>
      </w:r>
      <w:r w:rsidRPr="000478CE">
        <w:rPr>
          <w:rFonts w:ascii="Times New Roman" w:eastAsia="Times New Roman" w:hAnsi="Times New Roman" w:cs="Times New Roman"/>
          <w:b/>
          <w:u w:val="single"/>
        </w:rPr>
        <w:t>Financing</w:t>
      </w:r>
    </w:p>
    <w:p w:rsidR="00253C6F" w:rsidRPr="00253C6F" w:rsidRDefault="00253C6F" w:rsidP="00120E36">
      <w:pPr>
        <w:spacing w:after="0" w:line="240" w:lineRule="auto"/>
        <w:rPr>
          <w:rFonts w:ascii="Times New Roman" w:eastAsia="Times New Roman" w:hAnsi="Times New Roman" w:cs="Times New Roman"/>
        </w:rPr>
      </w:pPr>
    </w:p>
    <w:p w:rsidR="00253C6F" w:rsidRPr="00253C6F" w:rsidRDefault="00E918A7" w:rsidP="00120E36">
      <w:pPr>
        <w:widowControl w:val="0"/>
        <w:autoSpaceDE w:val="0"/>
        <w:autoSpaceDN w:val="0"/>
        <w:adjustRightInd w:val="0"/>
        <w:spacing w:after="0" w:line="240" w:lineRule="auto"/>
        <w:ind w:left="720"/>
        <w:jc w:val="both"/>
        <w:rPr>
          <w:rFonts w:ascii="Times New Roman" w:eastAsia="Times New Roman" w:hAnsi="Times New Roman" w:cs="Times New Roman"/>
          <w:iCs/>
          <w:lang w:val="en-US"/>
        </w:rPr>
      </w:pPr>
      <w:r>
        <w:rPr>
          <w:rFonts w:ascii="Times New Roman" w:eastAsia="Times New Roman" w:hAnsi="Times New Roman" w:cs="Times New Roman"/>
          <w:iCs/>
          <w:lang w:val="en-US"/>
        </w:rPr>
        <w:t>There were 2,950,000 incentive stock options issued and outstanding as at September 30, 2014</w:t>
      </w:r>
      <w:r w:rsidR="00253C6F" w:rsidRPr="00253C6F">
        <w:rPr>
          <w:rFonts w:ascii="Times New Roman" w:eastAsia="Times New Roman" w:hAnsi="Times New Roman" w:cs="Times New Roman"/>
          <w:iCs/>
          <w:lang w:val="en-US"/>
        </w:rPr>
        <w:t xml:space="preserve">.  </w:t>
      </w:r>
    </w:p>
    <w:p w:rsidR="00253C6F" w:rsidRDefault="00253C6F" w:rsidP="00253C6F">
      <w:pPr>
        <w:spacing w:after="0" w:line="240" w:lineRule="auto"/>
        <w:ind w:left="675" w:right="-360"/>
        <w:jc w:val="both"/>
        <w:rPr>
          <w:rFonts w:ascii="Times New Roman" w:eastAsia="Times New Roman" w:hAnsi="Times New Roman" w:cs="Times New Roman"/>
        </w:rPr>
      </w:pPr>
    </w:p>
    <w:p w:rsidR="00784A43" w:rsidRPr="00253C6F" w:rsidRDefault="00784A43" w:rsidP="00A7031C">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On September 25, 2014, the Company announced a private placement of up to 13,333,333 units (“Units”) at a price of $0.15 per Unit for aggregate gross proceeds of $2,000,000. Each Unit shall consist of one common share of the Issuer and one share purchase warrant (“Warrant”). Each whole Warrant will entitle the holder to acquire one common share of the Company at a price of $0.25 for a period of 12 months following closing. Once resale restrictions on the Shares have expired and upon the Company’s shares trading at or above a weighted average trading price of $0.35 for 15 consecutive days, the Company may give notice that the Warrants will expire 30 days from the date of providing such notice</w:t>
      </w:r>
      <w:r w:rsidR="00266CFF">
        <w:rPr>
          <w:rFonts w:ascii="Times New Roman" w:eastAsia="Times New Roman" w:hAnsi="Times New Roman" w:cs="Times New Roman"/>
        </w:rPr>
        <w:t xml:space="preserve">. The financing is subject to regulatory approval. All securities issued pursuant to the placement will be subject to a hold period of four months and one day from the date of closing. </w:t>
      </w:r>
    </w:p>
    <w:p w:rsidR="00120E36" w:rsidRDefault="00120E36" w:rsidP="00253C6F">
      <w:pPr>
        <w:keepNext/>
        <w:keepLines/>
        <w:tabs>
          <w:tab w:val="left" w:pos="-1440"/>
        </w:tabs>
        <w:spacing w:after="0" w:line="240" w:lineRule="auto"/>
        <w:ind w:left="720" w:right="-360" w:hanging="720"/>
        <w:jc w:val="both"/>
        <w:rPr>
          <w:rFonts w:ascii="Times New Roman" w:eastAsia="Times New Roman" w:hAnsi="Times New Roman" w:cs="Times New Roman"/>
        </w:rPr>
      </w:pPr>
    </w:p>
    <w:p w:rsidR="00253C6F" w:rsidRPr="00253C6F" w:rsidRDefault="00A7031C" w:rsidP="00253C6F">
      <w:pPr>
        <w:keepNext/>
        <w:keepLines/>
        <w:tabs>
          <w:tab w:val="left" w:pos="-1440"/>
        </w:tabs>
        <w:spacing w:after="0" w:line="240" w:lineRule="auto"/>
        <w:ind w:left="720" w:right="-360" w:hanging="720"/>
        <w:jc w:val="both"/>
        <w:rPr>
          <w:rFonts w:ascii="Times New Roman" w:eastAsia="Times New Roman" w:hAnsi="Times New Roman" w:cs="Times New Roman"/>
        </w:rPr>
      </w:pPr>
      <w:r>
        <w:rPr>
          <w:rFonts w:ascii="Times New Roman" w:eastAsia="Times New Roman" w:hAnsi="Times New Roman" w:cs="Times New Roman"/>
        </w:rPr>
        <w:t>1.11</w:t>
      </w:r>
      <w:r w:rsidR="00253C6F" w:rsidRPr="00253C6F">
        <w:rPr>
          <w:rFonts w:ascii="Times New Roman" w:eastAsia="Times New Roman" w:hAnsi="Times New Roman" w:cs="Times New Roman"/>
        </w:rPr>
        <w:tab/>
      </w:r>
      <w:r w:rsidR="00253C6F" w:rsidRPr="000478CE">
        <w:rPr>
          <w:rFonts w:ascii="Times New Roman" w:eastAsia="Times New Roman" w:hAnsi="Times New Roman" w:cs="Times New Roman"/>
          <w:b/>
          <w:bCs/>
          <w:u w:val="single"/>
        </w:rPr>
        <w:t>Proposed Transactions</w:t>
      </w:r>
    </w:p>
    <w:p w:rsidR="00253C6F" w:rsidRPr="00253C6F" w:rsidRDefault="00253C6F" w:rsidP="00253C6F">
      <w:pPr>
        <w:keepNext/>
        <w:keepLines/>
        <w:spacing w:after="0" w:line="240" w:lineRule="auto"/>
        <w:ind w:firstLine="720"/>
        <w:jc w:val="both"/>
        <w:rPr>
          <w:rFonts w:ascii="Times New Roman" w:eastAsia="Times New Roman" w:hAnsi="Times New Roman" w:cs="Times New Roman"/>
        </w:rPr>
      </w:pPr>
    </w:p>
    <w:p w:rsidR="00253C6F" w:rsidRPr="00253C6F" w:rsidRDefault="00253C6F" w:rsidP="00253C6F">
      <w:pPr>
        <w:keepNext/>
        <w:keepLines/>
        <w:spacing w:after="0" w:line="240" w:lineRule="auto"/>
        <w:ind w:left="720"/>
        <w:jc w:val="both"/>
        <w:rPr>
          <w:rFonts w:ascii="Times New Roman" w:eastAsia="Times New Roman" w:hAnsi="Times New Roman" w:cs="Times New Roman"/>
        </w:rPr>
      </w:pPr>
      <w:r w:rsidRPr="00253C6F">
        <w:rPr>
          <w:rFonts w:ascii="Times New Roman" w:eastAsia="Times New Roman" w:hAnsi="Times New Roman" w:cs="Times New Roman"/>
        </w:rPr>
        <w:t>There are no proposed transactions at the date of this report.</w:t>
      </w:r>
    </w:p>
    <w:p w:rsidR="00253C6F" w:rsidRPr="00253C6F" w:rsidRDefault="00253C6F" w:rsidP="00253C6F">
      <w:pPr>
        <w:tabs>
          <w:tab w:val="left" w:pos="-1440"/>
        </w:tabs>
        <w:spacing w:after="0" w:line="240" w:lineRule="auto"/>
        <w:ind w:left="720" w:hanging="720"/>
        <w:jc w:val="both"/>
        <w:rPr>
          <w:rFonts w:ascii="Times New Roman" w:eastAsia="Times New Roman" w:hAnsi="Times New Roman" w:cs="Times New Roman"/>
        </w:rPr>
      </w:pPr>
    </w:p>
    <w:p w:rsidR="00253C6F" w:rsidRPr="00253C6F" w:rsidRDefault="00A7031C" w:rsidP="000478CE">
      <w:pPr>
        <w:keepNext/>
        <w:keepLines/>
        <w:tabs>
          <w:tab w:val="left" w:pos="720"/>
        </w:tabs>
        <w:spacing w:after="0" w:line="240" w:lineRule="auto"/>
        <w:rPr>
          <w:rFonts w:ascii="Times New Roman" w:eastAsia="Times New Roman" w:hAnsi="Times New Roman" w:cs="Times New Roman"/>
          <w:bCs/>
          <w:lang w:bidi="fa-IR"/>
        </w:rPr>
      </w:pPr>
      <w:r>
        <w:rPr>
          <w:rFonts w:ascii="Times New Roman" w:eastAsia="Times New Roman" w:hAnsi="Times New Roman" w:cs="Times New Roman"/>
        </w:rPr>
        <w:t>1.12</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lang w:bidi="fa-IR"/>
        </w:rPr>
        <w:t>Future accounting changes</w:t>
      </w:r>
    </w:p>
    <w:p w:rsidR="00253C6F" w:rsidRPr="00253C6F" w:rsidRDefault="00253C6F" w:rsidP="000478CE">
      <w:pPr>
        <w:keepNext/>
        <w:keepLines/>
        <w:tabs>
          <w:tab w:val="left" w:pos="360"/>
          <w:tab w:val="left" w:pos="720"/>
          <w:tab w:val="left" w:pos="1080"/>
        </w:tabs>
        <w:spacing w:after="0" w:line="240" w:lineRule="auto"/>
        <w:ind w:right="-360"/>
        <w:jc w:val="right"/>
        <w:rPr>
          <w:rFonts w:ascii="Times New Roman" w:eastAsia="Times New Roman" w:hAnsi="Times New Roman" w:cs="Times New Roman"/>
          <w:lang w:bidi="fa-IR"/>
        </w:rPr>
      </w:pPr>
    </w:p>
    <w:p w:rsidR="00253C6F" w:rsidRPr="00253C6F" w:rsidRDefault="00253C6F" w:rsidP="000478CE">
      <w:pPr>
        <w:keepNext/>
        <w:keepLines/>
        <w:autoSpaceDE w:val="0"/>
        <w:autoSpaceDN w:val="0"/>
        <w:adjustRightInd w:val="0"/>
        <w:spacing w:after="120" w:line="240" w:lineRule="auto"/>
        <w:ind w:left="720"/>
        <w:jc w:val="both"/>
        <w:rPr>
          <w:rFonts w:ascii="Times New Roman" w:eastAsia="Times New Roman" w:hAnsi="Times New Roman" w:cs="Times New Roman"/>
          <w:iCs/>
          <w:color w:val="000000"/>
          <w:u w:val="single"/>
          <w:lang w:val="en-US" w:bidi="fa-IR"/>
        </w:rPr>
      </w:pPr>
      <w:r w:rsidRPr="00253C6F">
        <w:rPr>
          <w:rFonts w:ascii="Times New Roman" w:eastAsia="Times New Roman" w:hAnsi="Times New Roman" w:cs="Times New Roman"/>
          <w:iCs/>
          <w:color w:val="000000"/>
          <w:u w:val="single"/>
          <w:lang w:val="en-US" w:bidi="fa-IR"/>
        </w:rPr>
        <w:t xml:space="preserve">International financial reporting standards </w:t>
      </w:r>
    </w:p>
    <w:p w:rsidR="00253C6F" w:rsidRPr="00253C6F" w:rsidRDefault="00253C6F" w:rsidP="00120E36">
      <w:pPr>
        <w:keepNext/>
        <w:keepLines/>
        <w:autoSpaceDE w:val="0"/>
        <w:autoSpaceDN w:val="0"/>
        <w:adjustRightInd w:val="0"/>
        <w:spacing w:after="120" w:line="240" w:lineRule="auto"/>
        <w:ind w:left="720"/>
        <w:jc w:val="both"/>
        <w:rPr>
          <w:rFonts w:ascii="Times New Roman" w:eastAsia="Times New Roman" w:hAnsi="Times New Roman" w:cs="Times New Roman"/>
          <w:lang w:val="en-US" w:bidi="fa-IR"/>
        </w:rPr>
      </w:pPr>
      <w:r w:rsidRPr="00253C6F">
        <w:rPr>
          <w:rFonts w:ascii="Times New Roman" w:eastAsia="Times New Roman" w:hAnsi="Times New Roman" w:cs="Times New Roman"/>
          <w:color w:val="000000"/>
          <w:lang w:val="en-US" w:bidi="fa-IR"/>
        </w:rPr>
        <w:t>In 2006, the Canadian Accounting Standards Board (“</w:t>
      </w:r>
      <w:proofErr w:type="spellStart"/>
      <w:r w:rsidRPr="00253C6F">
        <w:rPr>
          <w:rFonts w:ascii="Times New Roman" w:eastAsia="Times New Roman" w:hAnsi="Times New Roman" w:cs="Times New Roman"/>
          <w:color w:val="000000"/>
          <w:lang w:val="en-US" w:bidi="fa-IR"/>
        </w:rPr>
        <w:t>AcSB</w:t>
      </w:r>
      <w:proofErr w:type="spellEnd"/>
      <w:r w:rsidRPr="00253C6F">
        <w:rPr>
          <w:rFonts w:ascii="Times New Roman" w:eastAsia="Times New Roman" w:hAnsi="Times New Roman" w:cs="Times New Roman"/>
          <w:color w:val="000000"/>
          <w:lang w:val="en-US" w:bidi="fa-IR"/>
        </w:rPr>
        <w:t xml:space="preserve">”) published a new strategic plan that will significantly affect financial reporting requirements for Canadian companies. The </w:t>
      </w:r>
      <w:proofErr w:type="spellStart"/>
      <w:r w:rsidRPr="00253C6F">
        <w:rPr>
          <w:rFonts w:ascii="Times New Roman" w:eastAsia="Times New Roman" w:hAnsi="Times New Roman" w:cs="Times New Roman"/>
          <w:color w:val="000000"/>
          <w:lang w:val="en-US" w:bidi="fa-IR"/>
        </w:rPr>
        <w:t>AcSB</w:t>
      </w:r>
      <w:proofErr w:type="spellEnd"/>
      <w:r w:rsidRPr="00253C6F">
        <w:rPr>
          <w:rFonts w:ascii="Times New Roman" w:eastAsia="Times New Roman" w:hAnsi="Times New Roman" w:cs="Times New Roman"/>
          <w:color w:val="000000"/>
          <w:lang w:val="en-US" w:bidi="fa-IR"/>
        </w:rPr>
        <w:t xml:space="preserve"> strategic plan outlines the convergence of Canadian generally accepted accounting principles with IFRS over an expected five year transitional period.   In February 2008, the </w:t>
      </w:r>
      <w:proofErr w:type="spellStart"/>
      <w:r w:rsidRPr="00253C6F">
        <w:rPr>
          <w:rFonts w:ascii="Times New Roman" w:eastAsia="Times New Roman" w:hAnsi="Times New Roman" w:cs="Times New Roman"/>
          <w:color w:val="000000"/>
          <w:lang w:val="en-US" w:bidi="fa-IR"/>
        </w:rPr>
        <w:t>AcSB</w:t>
      </w:r>
      <w:proofErr w:type="spellEnd"/>
      <w:r w:rsidRPr="00253C6F">
        <w:rPr>
          <w:rFonts w:ascii="Times New Roman" w:eastAsia="Times New Roman" w:hAnsi="Times New Roman" w:cs="Times New Roman"/>
          <w:color w:val="000000"/>
          <w:lang w:val="en-US" w:bidi="fa-IR"/>
        </w:rPr>
        <w:t xml:space="preserve"> announced that 2011 is the changeover date for publicly-listed companies to use IFRS, replacing Canada’s own generally accepted accounting principles. The date is for interim and annual financial statements relating to fiscal years beginning on or after January 1, 2011. The transition date of January 1, 2011 requires the restatement for comparative purposes of amounts reported by the Company for the year ended </w:t>
      </w:r>
      <w:r w:rsidRPr="00253C6F">
        <w:rPr>
          <w:rFonts w:ascii="Times New Roman" w:eastAsia="Times New Roman" w:hAnsi="Times New Roman" w:cs="Times New Roman"/>
          <w:lang w:val="en-US" w:bidi="fa-IR"/>
        </w:rPr>
        <w:t>June 30, 2011.</w:t>
      </w:r>
    </w:p>
    <w:p w:rsidR="00253C6F" w:rsidRPr="00253C6F" w:rsidRDefault="00253C6F" w:rsidP="00120E36">
      <w:pPr>
        <w:autoSpaceDE w:val="0"/>
        <w:autoSpaceDN w:val="0"/>
        <w:adjustRightInd w:val="0"/>
        <w:spacing w:after="120" w:line="240" w:lineRule="auto"/>
        <w:ind w:left="720"/>
        <w:jc w:val="both"/>
        <w:rPr>
          <w:rFonts w:ascii="Times New Roman" w:eastAsia="Times New Roman" w:hAnsi="Times New Roman" w:cs="Times New Roman"/>
          <w:color w:val="000000"/>
          <w:lang w:val="en-US" w:bidi="fa-IR"/>
        </w:rPr>
      </w:pPr>
      <w:r w:rsidRPr="00253C6F">
        <w:rPr>
          <w:rFonts w:ascii="Times New Roman" w:eastAsia="Times New Roman" w:hAnsi="Times New Roman" w:cs="Times New Roman"/>
          <w:color w:val="000000"/>
          <w:lang w:val="en-US" w:bidi="fa-IR"/>
        </w:rPr>
        <w:t>The Company has carried out a line-by-line review of its financial statements and assessed IFRS and its adoption for 2011, and it is management’s opinion that, with the possible exception of additional notes and possible format changes, the financial reporting impact of the transition to IFRS will not cause significant changes in the preparation and presentation of the Company’s financial statements.</w:t>
      </w:r>
    </w:p>
    <w:p w:rsidR="00120E36" w:rsidRDefault="00253C6F" w:rsidP="00A7031C">
      <w:pPr>
        <w:keepNext/>
        <w:keepLines/>
        <w:autoSpaceDE w:val="0"/>
        <w:autoSpaceDN w:val="0"/>
        <w:adjustRightInd w:val="0"/>
        <w:spacing w:after="0" w:line="240" w:lineRule="auto"/>
        <w:ind w:left="720"/>
        <w:jc w:val="both"/>
        <w:rPr>
          <w:rFonts w:ascii="Times New Roman" w:eastAsia="Times New Roman" w:hAnsi="Times New Roman" w:cs="Times New Roman"/>
          <w:iCs/>
          <w:color w:val="000000"/>
          <w:u w:val="single"/>
          <w:lang w:val="en-US" w:bidi="fa-IR"/>
        </w:rPr>
      </w:pPr>
      <w:r w:rsidRPr="00253C6F">
        <w:rPr>
          <w:rFonts w:ascii="Times New Roman" w:eastAsia="Times New Roman" w:hAnsi="Times New Roman" w:cs="Times New Roman"/>
          <w:iCs/>
          <w:color w:val="000000"/>
          <w:u w:val="single"/>
          <w:lang w:val="en-US" w:bidi="fa-IR"/>
        </w:rPr>
        <w:lastRenderedPageBreak/>
        <w:t xml:space="preserve">Business combination, consolidated financial statements and non-controlling interest </w:t>
      </w:r>
    </w:p>
    <w:p w:rsidR="00120E36" w:rsidRPr="00253C6F" w:rsidRDefault="00120E36" w:rsidP="00A7031C">
      <w:pPr>
        <w:keepNext/>
        <w:keepLines/>
        <w:autoSpaceDE w:val="0"/>
        <w:autoSpaceDN w:val="0"/>
        <w:adjustRightInd w:val="0"/>
        <w:spacing w:after="0" w:line="240" w:lineRule="auto"/>
        <w:ind w:left="720"/>
        <w:jc w:val="both"/>
        <w:rPr>
          <w:rFonts w:ascii="Times New Roman" w:eastAsia="Times New Roman" w:hAnsi="Times New Roman" w:cs="Times New Roman"/>
          <w:iCs/>
          <w:color w:val="000000"/>
          <w:u w:val="single"/>
          <w:lang w:val="en-US" w:bidi="fa-IR"/>
        </w:rPr>
      </w:pPr>
    </w:p>
    <w:p w:rsidR="00253C6F" w:rsidRPr="00253C6F" w:rsidRDefault="00253C6F" w:rsidP="00A7031C">
      <w:pPr>
        <w:keepNext/>
        <w:keepLines/>
        <w:autoSpaceDE w:val="0"/>
        <w:autoSpaceDN w:val="0"/>
        <w:adjustRightInd w:val="0"/>
        <w:spacing w:after="120" w:line="240" w:lineRule="auto"/>
        <w:ind w:left="720"/>
        <w:jc w:val="both"/>
        <w:rPr>
          <w:rFonts w:ascii="Times New Roman" w:eastAsia="Times New Roman" w:hAnsi="Times New Roman" w:cs="Times New Roman"/>
          <w:color w:val="000000"/>
          <w:lang w:val="en-US" w:bidi="fa-IR"/>
        </w:rPr>
      </w:pPr>
      <w:r w:rsidRPr="00253C6F">
        <w:rPr>
          <w:rFonts w:ascii="Times New Roman" w:eastAsia="Times New Roman" w:hAnsi="Times New Roman" w:cs="Times New Roman"/>
          <w:color w:val="000000"/>
          <w:lang w:val="en-US" w:bidi="fa-IR"/>
        </w:rPr>
        <w:t xml:space="preserve">The CICA issued three new accounting standards in January 2009: Section 1582, Business Combinations, Section 1601, Consolidated Financial Statements and Section 1602, Non-Controlling Interests. These new standards will be effective for fiscal years beginning on or after January 1, 2011. Section 1582 replaces sections 1581 and establishes standards for the accounting for a business combination. It provides the Canadian equivalent to International Financial Reporting Standards IFRS 3 – Business Combinations. The section applies prospectively to business combinations for which the acquisition date is on or after the beginning of the first annual reporting period beginning on or after January 1, 2011. </w:t>
      </w:r>
    </w:p>
    <w:p w:rsidR="00253C6F" w:rsidRPr="00253C6F" w:rsidRDefault="00253C6F" w:rsidP="00A7031C">
      <w:pPr>
        <w:autoSpaceDE w:val="0"/>
        <w:autoSpaceDN w:val="0"/>
        <w:adjustRightInd w:val="0"/>
        <w:spacing w:after="120" w:line="240" w:lineRule="auto"/>
        <w:ind w:left="720"/>
        <w:jc w:val="both"/>
        <w:rPr>
          <w:rFonts w:ascii="Times New Roman" w:eastAsia="Times New Roman" w:hAnsi="Times New Roman" w:cs="Times New Roman"/>
          <w:color w:val="000000"/>
          <w:lang w:val="en-US" w:bidi="fa-IR"/>
        </w:rPr>
      </w:pPr>
      <w:r w:rsidRPr="00253C6F">
        <w:rPr>
          <w:rFonts w:ascii="Times New Roman" w:eastAsia="Times New Roman" w:hAnsi="Times New Roman" w:cs="Times New Roman"/>
          <w:color w:val="000000"/>
          <w:lang w:val="en-US" w:bidi="fa-IR"/>
        </w:rPr>
        <w:t>Sections 1601 and 1602 together replace section 1600, Consolidated Financial Statements. Section 1601, establishes standards for the preparations of consolidated financial statements. Section 1601 applies to interim and annual consolidated financial statements relating to fiscal years beginning on or after January 1, 2011. Section 1602 establishes standards for accounting for a non-controlling interest in a subsidiary in consolidated financial statements subsequent to a business combination. It is equivalent to the corresponding provisions of International Financial Reporting Standards IAS 27 – Consolidated and Separate Financial Statements and applies to interim and annual consolidated financial statements relating to fiscal years beginning on or after January 1, 2011. The Company is assessing the impact of these new accounting standards on its financial statements.</w:t>
      </w:r>
    </w:p>
    <w:p w:rsidR="00253C6F" w:rsidRPr="00253C6F" w:rsidRDefault="00253C6F" w:rsidP="00253C6F">
      <w:pPr>
        <w:spacing w:after="0" w:line="240" w:lineRule="auto"/>
        <w:rPr>
          <w:rFonts w:ascii="Times New Roman" w:eastAsia="MS Mincho" w:hAnsi="Times New Roman" w:cs="Times New Roman"/>
          <w:bCs/>
        </w:rPr>
      </w:pPr>
    </w:p>
    <w:p w:rsidR="00253C6F" w:rsidRPr="00253C6F" w:rsidRDefault="00253C6F" w:rsidP="00253C6F">
      <w:pPr>
        <w:spacing w:after="0" w:line="240" w:lineRule="auto"/>
        <w:rPr>
          <w:rFonts w:ascii="Times New Roman" w:eastAsia="MS Mincho" w:hAnsi="Times New Roman" w:cs="Times New Roman"/>
          <w:b/>
        </w:rPr>
      </w:pPr>
      <w:r w:rsidRPr="00253C6F">
        <w:rPr>
          <w:rFonts w:ascii="Times New Roman" w:eastAsia="MS Mincho" w:hAnsi="Times New Roman" w:cs="Times New Roman"/>
          <w:bCs/>
        </w:rPr>
        <w:t>1.1</w:t>
      </w:r>
      <w:r w:rsidR="00A7031C">
        <w:rPr>
          <w:rFonts w:ascii="Times New Roman" w:eastAsia="MS Mincho" w:hAnsi="Times New Roman" w:cs="Times New Roman"/>
          <w:bCs/>
        </w:rPr>
        <w:t>3</w:t>
      </w:r>
      <w:r w:rsidRPr="00253C6F">
        <w:rPr>
          <w:rFonts w:ascii="Times New Roman" w:eastAsia="MS Mincho" w:hAnsi="Times New Roman" w:cs="Times New Roman"/>
          <w:b/>
        </w:rPr>
        <w:tab/>
      </w:r>
      <w:r w:rsidRPr="00253C6F">
        <w:rPr>
          <w:rFonts w:ascii="Times New Roman" w:eastAsia="MS Mincho" w:hAnsi="Times New Roman" w:cs="Times New Roman"/>
          <w:b/>
          <w:u w:val="single"/>
        </w:rPr>
        <w:t>Forward Looking Statements</w:t>
      </w:r>
    </w:p>
    <w:p w:rsidR="00253C6F" w:rsidRPr="00253C6F" w:rsidRDefault="00253C6F" w:rsidP="00253C6F">
      <w:pPr>
        <w:spacing w:after="0" w:line="240" w:lineRule="auto"/>
        <w:rPr>
          <w:rFonts w:ascii="Times New Roman" w:eastAsia="MS Mincho" w:hAnsi="Times New Roman" w:cs="Times New Roman"/>
        </w:rPr>
      </w:pPr>
    </w:p>
    <w:p w:rsidR="00253C6F" w:rsidRPr="00253C6F" w:rsidRDefault="00253C6F" w:rsidP="00266CFF">
      <w:pPr>
        <w:autoSpaceDE w:val="0"/>
        <w:autoSpaceDN w:val="0"/>
        <w:adjustRightInd w:val="0"/>
        <w:spacing w:after="0" w:line="240" w:lineRule="auto"/>
        <w:ind w:left="720"/>
        <w:jc w:val="both"/>
        <w:rPr>
          <w:rFonts w:ascii="Times New Roman" w:eastAsia="Calibri" w:hAnsi="Times New Roman" w:cs="Times New Roman"/>
          <w:lang w:val="en-US" w:bidi="fa-IR"/>
        </w:rPr>
      </w:pPr>
      <w:r w:rsidRPr="00253C6F">
        <w:rPr>
          <w:rFonts w:ascii="Times New Roman" w:eastAsia="Calibri" w:hAnsi="Times New Roman" w:cs="Times New Roman"/>
          <w:lang w:val="en-US" w:bidi="fa-IR"/>
        </w:rPr>
        <w:t>Statements throughout this MD&amp;A that are not historical facts may be considered “forward-looking statements.” Some of the statements contained herein including, without limitation, financial and business prospects and financial outlooks may be forward-looking statements which reflect management’s expectations regarding future plans and intentions, growth, results of operations, performance and business prospects and opportunities. Words such as “may”, “will”, “should”, “could”, “anticipate”, “believe”, “expect”, “intend”, “plan”, “potential”, “continue” and similar expressions have been used to identify these forward-looking statements. These statements reflect management’s current beliefs and are based on information currently available to management.</w:t>
      </w:r>
    </w:p>
    <w:p w:rsidR="00253C6F" w:rsidRPr="00253C6F" w:rsidRDefault="00253C6F" w:rsidP="00120E36">
      <w:pPr>
        <w:autoSpaceDE w:val="0"/>
        <w:autoSpaceDN w:val="0"/>
        <w:adjustRightInd w:val="0"/>
        <w:spacing w:after="0" w:line="240" w:lineRule="auto"/>
        <w:ind w:left="720"/>
        <w:rPr>
          <w:rFonts w:ascii="Times" w:eastAsia="Calibri" w:hAnsi="Times" w:cs="Times"/>
          <w:lang w:val="en-US" w:bidi="fa-IR"/>
        </w:rPr>
      </w:pPr>
    </w:p>
    <w:p w:rsidR="00253C6F" w:rsidRPr="00253C6F" w:rsidRDefault="00253C6F" w:rsidP="00120E36">
      <w:pPr>
        <w:autoSpaceDE w:val="0"/>
        <w:autoSpaceDN w:val="0"/>
        <w:adjustRightInd w:val="0"/>
        <w:spacing w:after="0" w:line="240" w:lineRule="auto"/>
        <w:ind w:left="720"/>
        <w:jc w:val="both"/>
        <w:rPr>
          <w:rFonts w:ascii="Times New Roman" w:eastAsia="Calibri" w:hAnsi="Times New Roman" w:cs="Times New Roman"/>
          <w:lang w:val="en-US" w:bidi="fa-IR"/>
        </w:rPr>
      </w:pPr>
      <w:r w:rsidRPr="00253C6F">
        <w:rPr>
          <w:rFonts w:ascii="Times New Roman" w:eastAsia="Calibri" w:hAnsi="Times New Roman" w:cs="Times New Roman"/>
          <w:lang w:val="en-US" w:bidi="fa-IR"/>
        </w:rPr>
        <w:t>Readers are cautioned not to place undue reliance on these forward-looking statements as the Company’s actual results, performance or achievements may differ materially from any future results, performance or achievements expressed or implied by such forward-looking statements if known or unknown risks, uncertainties or other factors affect the Company's business, or if the Company’s estimates or assumptions prove inaccurate. Therefore, the Company cannot provide any assurance that forward-looking statements will materialize.</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rPr>
          <w:rFonts w:ascii="Times New Roman" w:eastAsia="Times New Roman" w:hAnsi="Times New Roman" w:cs="Times New Roman"/>
          <w:lang w:bidi="fa-IR"/>
        </w:rPr>
      </w:pPr>
      <w:r w:rsidRPr="00253C6F">
        <w:rPr>
          <w:rFonts w:ascii="Times New Roman" w:eastAsia="Times New Roman" w:hAnsi="Times New Roman" w:cs="Times New Roman"/>
          <w:lang w:bidi="fa-IR"/>
        </w:rPr>
        <w:t>In particular, this MD&amp;A contains forward-looking statements pertaining to the following:</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rPr>
          <w:rFonts w:ascii="Times New Roman" w:eastAsia="Times New Roman" w:hAnsi="Times New Roman" w:cs="Times New Roman"/>
          <w:lang w:bidi="fa-IR"/>
        </w:rPr>
      </w:pPr>
      <w:r w:rsidRPr="00253C6F">
        <w:rPr>
          <w:rFonts w:ascii="Times New Roman" w:eastAsia="Times New Roman" w:hAnsi="Times New Roman" w:cs="Times New Roman"/>
          <w:lang w:bidi="fa-IR"/>
        </w:rPr>
        <w:t>(</w:t>
      </w:r>
      <w:proofErr w:type="spellStart"/>
      <w:r w:rsidRPr="00253C6F">
        <w:rPr>
          <w:rFonts w:ascii="Times New Roman" w:eastAsia="Times New Roman" w:hAnsi="Times New Roman" w:cs="Times New Roman"/>
          <w:lang w:bidi="fa-IR"/>
        </w:rPr>
        <w:t>i</w:t>
      </w:r>
      <w:proofErr w:type="spellEnd"/>
      <w:r w:rsidRPr="00253C6F">
        <w:rPr>
          <w:rFonts w:ascii="Times New Roman" w:eastAsia="Times New Roman" w:hAnsi="Times New Roman" w:cs="Times New Roman"/>
          <w:lang w:bidi="fa-IR"/>
        </w:rPr>
        <w:t xml:space="preserve">) </w:t>
      </w:r>
      <w:r w:rsidRPr="00253C6F">
        <w:rPr>
          <w:rFonts w:ascii="Times New Roman" w:eastAsia="Times New Roman" w:hAnsi="Times New Roman" w:cs="Times New Roman"/>
          <w:lang w:bidi="fa-IR"/>
        </w:rPr>
        <w:tab/>
      </w:r>
      <w:proofErr w:type="gramStart"/>
      <w:r w:rsidRPr="00253C6F">
        <w:rPr>
          <w:rFonts w:ascii="Times New Roman" w:eastAsia="Times New Roman" w:hAnsi="Times New Roman" w:cs="Times New Roman"/>
          <w:lang w:bidi="fa-IR"/>
        </w:rPr>
        <w:t>projections</w:t>
      </w:r>
      <w:proofErr w:type="gramEnd"/>
      <w:r w:rsidRPr="00253C6F">
        <w:rPr>
          <w:rFonts w:ascii="Times New Roman" w:eastAsia="Times New Roman" w:hAnsi="Times New Roman" w:cs="Times New Roman"/>
          <w:lang w:bidi="fa-IR"/>
        </w:rPr>
        <w:t xml:space="preserve"> of market prices and costs;</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lastRenderedPageBreak/>
        <w:t>(ii)</w:t>
      </w:r>
      <w:r w:rsidRPr="00253C6F">
        <w:rPr>
          <w:rFonts w:ascii="Times New Roman" w:eastAsia="Times New Roman" w:hAnsi="Times New Roman" w:cs="Times New Roman"/>
          <w:lang w:bidi="fa-IR"/>
        </w:rPr>
        <w:tab/>
      </w:r>
      <w:proofErr w:type="gramStart"/>
      <w:r w:rsidRPr="00253C6F">
        <w:rPr>
          <w:rFonts w:ascii="Times New Roman" w:eastAsia="Times New Roman" w:hAnsi="Times New Roman" w:cs="Times New Roman"/>
          <w:lang w:bidi="fa-IR"/>
        </w:rPr>
        <w:t>expectations</w:t>
      </w:r>
      <w:proofErr w:type="gramEnd"/>
      <w:r w:rsidRPr="00253C6F">
        <w:rPr>
          <w:rFonts w:ascii="Times New Roman" w:eastAsia="Times New Roman" w:hAnsi="Times New Roman" w:cs="Times New Roman"/>
          <w:lang w:bidi="fa-IR"/>
        </w:rPr>
        <w:t xml:space="preserve"> regarding the ability to raise capital and to conduct exploration and      development; and</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(iii) </w:t>
      </w:r>
      <w:r w:rsidRPr="00253C6F">
        <w:rPr>
          <w:rFonts w:ascii="Times New Roman" w:eastAsia="Times New Roman" w:hAnsi="Times New Roman" w:cs="Times New Roman"/>
          <w:lang w:bidi="fa-IR"/>
        </w:rPr>
        <w:tab/>
      </w:r>
      <w:proofErr w:type="gramStart"/>
      <w:r w:rsidRPr="00253C6F">
        <w:rPr>
          <w:rFonts w:ascii="Times New Roman" w:eastAsia="Times New Roman" w:hAnsi="Times New Roman" w:cs="Times New Roman"/>
          <w:lang w:bidi="fa-IR"/>
        </w:rPr>
        <w:t>expectations</w:t>
      </w:r>
      <w:proofErr w:type="gramEnd"/>
      <w:r w:rsidRPr="00253C6F">
        <w:rPr>
          <w:rFonts w:ascii="Times New Roman" w:eastAsia="Times New Roman" w:hAnsi="Times New Roman" w:cs="Times New Roman"/>
          <w:lang w:bidi="fa-IR"/>
        </w:rPr>
        <w:t xml:space="preserve"> regarding recoverability of loan to </w:t>
      </w:r>
      <w:proofErr w:type="spellStart"/>
      <w:r w:rsidRPr="00253C6F">
        <w:rPr>
          <w:rFonts w:ascii="Times New Roman" w:eastAsia="Times New Roman" w:hAnsi="Times New Roman" w:cs="Times New Roman"/>
          <w:lang w:bidi="fa-IR"/>
        </w:rPr>
        <w:t>Suntech</w:t>
      </w:r>
      <w:proofErr w:type="spellEnd"/>
      <w:r w:rsidRPr="00253C6F">
        <w:rPr>
          <w:rFonts w:ascii="Times New Roman" w:eastAsia="Times New Roman" w:hAnsi="Times New Roman" w:cs="Times New Roman"/>
          <w:lang w:bidi="fa-IR"/>
        </w:rPr>
        <w:t xml:space="preserve"> and </w:t>
      </w:r>
      <w:proofErr w:type="spellStart"/>
      <w:r w:rsidRPr="00253C6F">
        <w:rPr>
          <w:rFonts w:ascii="Times New Roman" w:eastAsia="Times New Roman" w:hAnsi="Times New Roman" w:cs="Times New Roman"/>
          <w:lang w:bidi="fa-IR"/>
        </w:rPr>
        <w:t>Suntech’s</w:t>
      </w:r>
      <w:proofErr w:type="spellEnd"/>
      <w:r w:rsidRPr="00253C6F">
        <w:rPr>
          <w:rFonts w:ascii="Times New Roman" w:eastAsia="Times New Roman" w:hAnsi="Times New Roman" w:cs="Times New Roman"/>
          <w:lang w:bidi="fa-IR"/>
        </w:rPr>
        <w:t xml:space="preserve"> ability to raise financing by going public.</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jc w:val="both"/>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The material assumptions that were applied in making the forward-looking statements in this MD&amp;A include the execution of the Company’s existing plans with respect to </w:t>
      </w:r>
      <w:proofErr w:type="spellStart"/>
      <w:r w:rsidRPr="00253C6F">
        <w:rPr>
          <w:rFonts w:ascii="Times New Roman" w:eastAsia="Times New Roman" w:hAnsi="Times New Roman" w:cs="Times New Roman"/>
          <w:lang w:bidi="fa-IR"/>
        </w:rPr>
        <w:t>Suntech</w:t>
      </w:r>
      <w:proofErr w:type="spellEnd"/>
      <w:r w:rsidRPr="00253C6F">
        <w:rPr>
          <w:rFonts w:ascii="Times New Roman" w:eastAsia="Times New Roman" w:hAnsi="Times New Roman" w:cs="Times New Roman"/>
          <w:lang w:bidi="fa-IR"/>
        </w:rPr>
        <w:t xml:space="preserve"> which may change due to changes in the views of the Company or if new information arises which make it prudent to change such plans.</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jc w:val="both"/>
        <w:rPr>
          <w:rFonts w:ascii="Times New Roman" w:eastAsia="Times New Roman" w:hAnsi="Times New Roman" w:cs="Times New Roman"/>
          <w:lang w:bidi="fa-IR"/>
        </w:rPr>
      </w:pPr>
      <w:r w:rsidRPr="00253C6F">
        <w:rPr>
          <w:rFonts w:ascii="Times New Roman" w:eastAsia="Times New Roman" w:hAnsi="Times New Roman" w:cs="Times New Roman"/>
          <w:lang w:bidi="fa-IR"/>
        </w:rPr>
        <w:t>The actual results could differ materially from those anticipated in these forward-looking statements as a result of the risk factors set forth below and elsewhere in this MD&amp;A, which could materially affect the valuation of the company’s marketable securities</w:t>
      </w:r>
      <w:r w:rsidR="00266CFF">
        <w:rPr>
          <w:rFonts w:ascii="Times New Roman" w:eastAsia="Times New Roman" w:hAnsi="Times New Roman" w:cs="Times New Roman"/>
          <w:lang w:bidi="fa-IR"/>
        </w:rPr>
        <w:t>:</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66CFF" w:rsidRDefault="00253C6F" w:rsidP="00266CFF">
      <w:pPr>
        <w:pStyle w:val="ListParagraph"/>
        <w:numPr>
          <w:ilvl w:val="0"/>
          <w:numId w:val="8"/>
        </w:numPr>
        <w:spacing w:after="0" w:line="240" w:lineRule="auto"/>
        <w:rPr>
          <w:rFonts w:ascii="Times New Roman" w:eastAsia="Times New Roman" w:hAnsi="Times New Roman" w:cs="Times New Roman"/>
          <w:lang w:bidi="fa-IR"/>
        </w:rPr>
      </w:pPr>
      <w:r w:rsidRPr="00266CFF">
        <w:rPr>
          <w:rFonts w:ascii="Times New Roman" w:eastAsia="Times New Roman" w:hAnsi="Times New Roman" w:cs="Times New Roman"/>
          <w:lang w:bidi="fa-IR"/>
        </w:rPr>
        <w:t>volatility in market prices for oil and natural gas;</w:t>
      </w:r>
    </w:p>
    <w:p w:rsidR="00253C6F" w:rsidRPr="00253C6F" w:rsidRDefault="00253C6F" w:rsidP="00120E36">
      <w:pPr>
        <w:spacing w:after="0" w:line="240" w:lineRule="auto"/>
        <w:ind w:left="720"/>
        <w:rPr>
          <w:rFonts w:ascii="Times New Roman" w:eastAsia="Times New Roman" w:hAnsi="Times New Roman" w:cs="Times New Roman"/>
          <w:sz w:val="20"/>
          <w:szCs w:val="24"/>
          <w:lang w:bidi="fa-IR"/>
        </w:rPr>
      </w:pPr>
      <w:r w:rsidRPr="00253C6F">
        <w:rPr>
          <w:rFonts w:ascii="Times New Roman" w:eastAsia="Times New Roman" w:hAnsi="Times New Roman" w:cs="Times New Roman"/>
          <w:lang w:bidi="fa-IR"/>
        </w:rPr>
        <w:t xml:space="preserve">(ii) </w:t>
      </w:r>
      <w:r w:rsidRPr="00253C6F">
        <w:rPr>
          <w:rFonts w:ascii="Times New Roman" w:eastAsia="Times New Roman" w:hAnsi="Times New Roman" w:cs="Times New Roman"/>
          <w:lang w:bidi="fa-IR"/>
        </w:rPr>
        <w:tab/>
      </w:r>
      <w:proofErr w:type="gramStart"/>
      <w:r w:rsidRPr="00253C6F">
        <w:rPr>
          <w:rFonts w:ascii="Times New Roman" w:eastAsia="Times New Roman" w:hAnsi="Times New Roman" w:cs="Times New Roman"/>
          <w:lang w:bidi="fa-IR"/>
        </w:rPr>
        <w:t>liabilities</w:t>
      </w:r>
      <w:proofErr w:type="gramEnd"/>
      <w:r w:rsidRPr="00253C6F">
        <w:rPr>
          <w:rFonts w:ascii="Times New Roman" w:eastAsia="Times New Roman" w:hAnsi="Times New Roman" w:cs="Times New Roman"/>
          <w:lang w:bidi="fa-IR"/>
        </w:rPr>
        <w:t xml:space="preserve"> inherent in oil and natural gas operations;</w:t>
      </w:r>
    </w:p>
    <w:p w:rsidR="00253C6F" w:rsidRPr="00253C6F" w:rsidRDefault="00253C6F" w:rsidP="00B9254A">
      <w:pPr>
        <w:autoSpaceDE w:val="0"/>
        <w:autoSpaceDN w:val="0"/>
        <w:adjustRightInd w:val="0"/>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(iii) </w:t>
      </w:r>
      <w:r w:rsidRPr="00253C6F">
        <w:rPr>
          <w:rFonts w:ascii="Times New Roman" w:eastAsia="Times New Roman" w:hAnsi="Times New Roman" w:cs="Times New Roman"/>
          <w:lang w:bidi="fa-IR"/>
        </w:rPr>
        <w:tab/>
      </w:r>
      <w:proofErr w:type="gramStart"/>
      <w:r w:rsidRPr="00253C6F">
        <w:rPr>
          <w:rFonts w:ascii="Times New Roman" w:eastAsia="Times New Roman" w:hAnsi="Times New Roman" w:cs="Times New Roman"/>
          <w:lang w:bidi="fa-IR"/>
        </w:rPr>
        <w:t>uncertainties</w:t>
      </w:r>
      <w:proofErr w:type="gramEnd"/>
      <w:r w:rsidRPr="00253C6F">
        <w:rPr>
          <w:rFonts w:ascii="Times New Roman" w:eastAsia="Times New Roman" w:hAnsi="Times New Roman" w:cs="Times New Roman"/>
          <w:lang w:bidi="fa-IR"/>
        </w:rPr>
        <w:t xml:space="preserve"> associated with estimating oil and natural gas reserves competition for, among other things, capital, acquisitions of reserves, undeveloped lands and skilled personnel;</w:t>
      </w:r>
    </w:p>
    <w:p w:rsidR="00253C6F" w:rsidRPr="00253C6F" w:rsidRDefault="00253C6F" w:rsidP="00120E36">
      <w:pPr>
        <w:spacing w:after="0" w:line="240" w:lineRule="auto"/>
        <w:ind w:left="1440" w:hanging="720"/>
        <w:jc w:val="both"/>
        <w:rPr>
          <w:rFonts w:ascii="Times New Roman" w:eastAsia="Times New Roman" w:hAnsi="Times New Roman" w:cs="Times New Roman"/>
          <w:lang w:val="en-US" w:bidi="fa-IR"/>
        </w:rPr>
      </w:pPr>
      <w:r w:rsidRPr="00253C6F">
        <w:rPr>
          <w:rFonts w:ascii="Times New Roman" w:eastAsia="Times New Roman" w:hAnsi="Times New Roman" w:cs="Times New Roman"/>
          <w:lang w:val="en-US" w:bidi="fa-IR"/>
        </w:rPr>
        <w:t xml:space="preserve">(iv) </w:t>
      </w:r>
      <w:r w:rsidRPr="00253C6F">
        <w:rPr>
          <w:rFonts w:ascii="Times New Roman" w:eastAsia="Times New Roman" w:hAnsi="Times New Roman" w:cs="Times New Roman"/>
          <w:lang w:val="en-US" w:bidi="fa-IR"/>
        </w:rPr>
        <w:tab/>
      </w:r>
      <w:proofErr w:type="gramStart"/>
      <w:r w:rsidRPr="00253C6F">
        <w:rPr>
          <w:rFonts w:ascii="Times New Roman" w:eastAsia="Times New Roman" w:hAnsi="Times New Roman" w:cs="Times New Roman"/>
          <w:lang w:val="en-US" w:bidi="fa-IR"/>
        </w:rPr>
        <w:t>incorrect</w:t>
      </w:r>
      <w:proofErr w:type="gramEnd"/>
      <w:r w:rsidRPr="00253C6F">
        <w:rPr>
          <w:rFonts w:ascii="Times New Roman" w:eastAsia="Times New Roman" w:hAnsi="Times New Roman" w:cs="Times New Roman"/>
          <w:lang w:val="en-US" w:bidi="fa-IR"/>
        </w:rPr>
        <w:t xml:space="preserve"> assessments of the value of acquisitions;</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(v) </w:t>
      </w:r>
      <w:r w:rsidRPr="00253C6F">
        <w:rPr>
          <w:rFonts w:ascii="Times New Roman" w:eastAsia="Times New Roman" w:hAnsi="Times New Roman" w:cs="Times New Roman"/>
          <w:lang w:bidi="fa-IR"/>
        </w:rPr>
        <w:tab/>
      </w:r>
      <w:proofErr w:type="gramStart"/>
      <w:r w:rsidRPr="00253C6F">
        <w:rPr>
          <w:rFonts w:ascii="Times New Roman" w:eastAsia="Times New Roman" w:hAnsi="Times New Roman" w:cs="Times New Roman"/>
          <w:lang w:bidi="fa-IR"/>
        </w:rPr>
        <w:t>geological</w:t>
      </w:r>
      <w:proofErr w:type="gramEnd"/>
      <w:r w:rsidRPr="00253C6F">
        <w:rPr>
          <w:rFonts w:ascii="Times New Roman" w:eastAsia="Times New Roman" w:hAnsi="Times New Roman" w:cs="Times New Roman"/>
          <w:lang w:bidi="fa-IR"/>
        </w:rPr>
        <w:t>, technical, drilling and processing problems; and</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(vi) </w:t>
      </w:r>
      <w:r w:rsidRPr="00253C6F">
        <w:rPr>
          <w:rFonts w:ascii="Times New Roman" w:eastAsia="Times New Roman" w:hAnsi="Times New Roman" w:cs="Times New Roman"/>
          <w:lang w:bidi="fa-IR"/>
        </w:rPr>
        <w:tab/>
      </w:r>
      <w:proofErr w:type="gramStart"/>
      <w:r w:rsidRPr="00253C6F">
        <w:rPr>
          <w:rFonts w:ascii="Times New Roman" w:eastAsia="Times New Roman" w:hAnsi="Times New Roman" w:cs="Times New Roman"/>
          <w:lang w:bidi="fa-IR"/>
        </w:rPr>
        <w:t>changes</w:t>
      </w:r>
      <w:proofErr w:type="gramEnd"/>
      <w:r w:rsidRPr="00253C6F">
        <w:rPr>
          <w:rFonts w:ascii="Times New Roman" w:eastAsia="Times New Roman" w:hAnsi="Times New Roman" w:cs="Times New Roman"/>
          <w:lang w:bidi="fa-IR"/>
        </w:rPr>
        <w:t xml:space="preserve"> in legislation or regulatory changes relating to the oil and natural gas industry.</w:t>
      </w:r>
    </w:p>
    <w:p w:rsidR="00253C6F" w:rsidRPr="00266CFF" w:rsidRDefault="00253C6F" w:rsidP="00120E36">
      <w:pPr>
        <w:spacing w:after="0" w:line="240" w:lineRule="auto"/>
        <w:rPr>
          <w:rFonts w:ascii="Times New Roman" w:eastAsia="MS Mincho" w:hAnsi="Times New Roman" w:cs="Times New Roman"/>
          <w:sz w:val="12"/>
          <w:szCs w:val="12"/>
        </w:rPr>
      </w:pPr>
    </w:p>
    <w:p w:rsidR="00253C6F" w:rsidRPr="00253C6F" w:rsidRDefault="00253C6F" w:rsidP="00266CFF">
      <w:pPr>
        <w:spacing w:after="0" w:line="240" w:lineRule="auto"/>
        <w:ind w:left="720"/>
        <w:jc w:val="both"/>
        <w:rPr>
          <w:rFonts w:ascii="Times New Roman" w:eastAsia="Times New Roman" w:hAnsi="Times New Roman" w:cs="Times New Roman"/>
          <w:lang w:val="en-US" w:bidi="fa-IR"/>
        </w:rPr>
      </w:pPr>
      <w:r w:rsidRPr="00253C6F">
        <w:rPr>
          <w:rFonts w:ascii="Times New Roman" w:eastAsia="Times New Roman" w:hAnsi="Times New Roman" w:cs="Times New Roman"/>
          <w:lang w:val="en-US" w:bidi="fa-IR"/>
        </w:rPr>
        <w:t>Statements relating to “reserves” or “resources” are deemed to be forward-looking statements, as they involve the implied assessment, based on certain estimates and assumptions, which the resources and reserves described, can be profitably produced in the future. Readers are cautioned that the foregoing lists of factors are not exhaustive. The forward-looking statements contained in this MD&amp;A are expressly qualified by this cautionary statement. As a consequence, actual results may differ materially from those anticipated in the forward-looking statements and the Company is under no obligation to update unless required by applicable securities laws.</w:t>
      </w:r>
    </w:p>
    <w:p w:rsidR="00253C6F" w:rsidRPr="00266CFF" w:rsidRDefault="00253C6F" w:rsidP="00120E36">
      <w:pPr>
        <w:spacing w:after="0" w:line="240" w:lineRule="auto"/>
        <w:rPr>
          <w:rFonts w:ascii="Times New Roman" w:eastAsia="MS Mincho" w:hAnsi="Times New Roman" w:cs="Times New Roman"/>
          <w:bCs/>
          <w:sz w:val="12"/>
          <w:szCs w:val="12"/>
        </w:rPr>
      </w:pPr>
    </w:p>
    <w:p w:rsidR="00253C6F" w:rsidRPr="00253C6F" w:rsidRDefault="00253C6F" w:rsidP="00120E36">
      <w:pPr>
        <w:keepNext/>
        <w:keepLines/>
        <w:spacing w:after="0" w:line="240" w:lineRule="auto"/>
        <w:rPr>
          <w:rFonts w:ascii="Times New Roman" w:eastAsia="MS Mincho" w:hAnsi="Times New Roman" w:cs="Times New Roman"/>
          <w:b/>
        </w:rPr>
      </w:pPr>
      <w:r w:rsidRPr="00253C6F">
        <w:rPr>
          <w:rFonts w:ascii="Times New Roman" w:eastAsia="MS Mincho" w:hAnsi="Times New Roman" w:cs="Times New Roman"/>
          <w:bCs/>
        </w:rPr>
        <w:t>1.1</w:t>
      </w:r>
      <w:r w:rsidR="00A7031C">
        <w:rPr>
          <w:rFonts w:ascii="Times New Roman" w:eastAsia="MS Mincho" w:hAnsi="Times New Roman" w:cs="Times New Roman"/>
          <w:bCs/>
        </w:rPr>
        <w:t>4</w:t>
      </w:r>
      <w:r w:rsidRPr="00253C6F">
        <w:rPr>
          <w:rFonts w:ascii="Times New Roman" w:eastAsia="MS Mincho" w:hAnsi="Times New Roman" w:cs="Times New Roman"/>
          <w:b/>
        </w:rPr>
        <w:tab/>
      </w:r>
      <w:r w:rsidRPr="00253C6F">
        <w:rPr>
          <w:rFonts w:ascii="Times New Roman" w:eastAsia="MS Mincho" w:hAnsi="Times New Roman" w:cs="Times New Roman"/>
          <w:b/>
          <w:u w:val="single"/>
        </w:rPr>
        <w:t>Risks and Uncertainties</w:t>
      </w:r>
    </w:p>
    <w:p w:rsidR="00253C6F" w:rsidRPr="00266CFF" w:rsidRDefault="00253C6F" w:rsidP="00120E36">
      <w:pPr>
        <w:keepNext/>
        <w:keepLines/>
        <w:widowControl w:val="0"/>
        <w:autoSpaceDE w:val="0"/>
        <w:autoSpaceDN w:val="0"/>
        <w:adjustRightInd w:val="0"/>
        <w:spacing w:after="0" w:line="240" w:lineRule="auto"/>
        <w:rPr>
          <w:rFonts w:ascii="Times New Roman" w:eastAsia="MS Mincho" w:hAnsi="Times New Roman" w:cs="Times New Roman"/>
          <w:sz w:val="12"/>
          <w:szCs w:val="12"/>
          <w:lang w:val="en-US"/>
        </w:rPr>
      </w:pPr>
    </w:p>
    <w:p w:rsidR="00253C6F" w:rsidRPr="00253C6F" w:rsidRDefault="00932F93" w:rsidP="00120E36">
      <w:pPr>
        <w:keepNext/>
        <w:keepLines/>
        <w:widowControl w:val="0"/>
        <w:autoSpaceDE w:val="0"/>
        <w:autoSpaceDN w:val="0"/>
        <w:adjustRightInd w:val="0"/>
        <w:spacing w:after="0" w:line="240" w:lineRule="auto"/>
        <w:ind w:left="720"/>
        <w:jc w:val="both"/>
        <w:rPr>
          <w:rFonts w:ascii="Times New Roman" w:eastAsia="MS Mincho" w:hAnsi="Times New Roman" w:cs="Times New Roman"/>
          <w:lang w:val="en-US"/>
        </w:rPr>
      </w:pPr>
      <w:r>
        <w:rPr>
          <w:rFonts w:ascii="Times New Roman" w:eastAsia="MS Mincho" w:hAnsi="Times New Roman" w:cs="Times New Roman"/>
          <w:lang w:val="en-US"/>
        </w:rPr>
        <w:t xml:space="preserve">The process for granting a license to grow medicinal marijuana is very stringent and risky.  </w:t>
      </w:r>
      <w:r w:rsidR="00B9254A">
        <w:rPr>
          <w:rFonts w:ascii="Times New Roman" w:eastAsia="MS Mincho" w:hAnsi="Times New Roman" w:cs="Times New Roman"/>
          <w:lang w:val="en-US"/>
        </w:rPr>
        <w:t>T</w:t>
      </w:r>
      <w:r>
        <w:rPr>
          <w:rFonts w:ascii="Times New Roman" w:eastAsia="MS Mincho" w:hAnsi="Times New Roman" w:cs="Times New Roman"/>
          <w:lang w:val="en-US"/>
        </w:rPr>
        <w:t>here can be no assurance the Company the Company will be granted a license</w:t>
      </w:r>
      <w:r w:rsidR="00253C6F" w:rsidRPr="00932F93">
        <w:rPr>
          <w:rFonts w:ascii="Times New Roman" w:eastAsia="MS Mincho" w:hAnsi="Times New Roman" w:cs="Times New Roman"/>
          <w:lang w:val="en-US"/>
        </w:rPr>
        <w:t xml:space="preserve">. </w:t>
      </w:r>
    </w:p>
    <w:p w:rsidR="00253C6F" w:rsidRPr="00253C6F" w:rsidRDefault="00253C6F" w:rsidP="00253C6F">
      <w:pPr>
        <w:spacing w:after="0" w:line="240" w:lineRule="auto"/>
        <w:ind w:left="720" w:right="-360"/>
        <w:jc w:val="both"/>
        <w:rPr>
          <w:rFonts w:ascii="Times New Roman" w:eastAsia="Times New Roman" w:hAnsi="Times New Roman" w:cs="Times New Roman"/>
        </w:rPr>
      </w:pPr>
    </w:p>
    <w:p w:rsidR="00485823" w:rsidRPr="00F20FD8" w:rsidRDefault="00485823" w:rsidP="00485823">
      <w:pPr>
        <w:keepNext/>
        <w:spacing w:after="0" w:line="240" w:lineRule="auto"/>
        <w:ind w:left="720"/>
        <w:jc w:val="both"/>
        <w:rPr>
          <w:rFonts w:ascii="Times New Roman" w:eastAsia="Calibri" w:hAnsi="Times New Roman" w:cs="Times New Roman"/>
          <w:lang w:val="en-US"/>
        </w:rPr>
      </w:pPr>
      <w:r w:rsidRPr="007B766C">
        <w:rPr>
          <w:rFonts w:ascii="Times New Roman" w:eastAsia="Calibri" w:hAnsi="Times New Roman" w:cs="Times New Roman"/>
          <w:b/>
          <w:bCs/>
          <w:i/>
          <w:lang w:val="en-US"/>
        </w:rPr>
        <w:t>Reliance on License</w:t>
      </w:r>
      <w:r>
        <w:rPr>
          <w:rFonts w:ascii="Times New Roman" w:hAnsi="Times New Roman"/>
          <w:bCs/>
          <w:lang w:val="en-US"/>
        </w:rPr>
        <w:t xml:space="preserve"> - </w:t>
      </w:r>
      <w:r w:rsidRPr="007B766C">
        <w:rPr>
          <w:rFonts w:ascii="Times New Roman" w:eastAsia="Calibri" w:hAnsi="Times New Roman" w:cs="Times New Roman"/>
          <w:lang w:val="en-US"/>
        </w:rPr>
        <w:t xml:space="preserve">The </w:t>
      </w:r>
      <w:r>
        <w:rPr>
          <w:rFonts w:ascii="Times New Roman" w:hAnsi="Times New Roman"/>
          <w:lang w:val="en-US"/>
        </w:rPr>
        <w:t>Company’s</w:t>
      </w:r>
      <w:r w:rsidRPr="007B766C">
        <w:rPr>
          <w:rFonts w:ascii="Times New Roman" w:eastAsia="Calibri" w:hAnsi="Times New Roman" w:cs="Times New Roman"/>
          <w:lang w:val="en-US"/>
        </w:rPr>
        <w:t xml:space="preserve"> ability to grow, store and sell medical marijuana in Canada is dependent on the </w:t>
      </w:r>
      <w:r>
        <w:rPr>
          <w:rFonts w:ascii="Times New Roman" w:hAnsi="Times New Roman"/>
          <w:lang w:val="en-US"/>
        </w:rPr>
        <w:t>Company</w:t>
      </w:r>
      <w:r w:rsidRPr="007B766C">
        <w:rPr>
          <w:rFonts w:ascii="Times New Roman" w:eastAsia="Calibri" w:hAnsi="Times New Roman" w:cs="Times New Roman"/>
          <w:lang w:val="en-US"/>
        </w:rPr>
        <w:t xml:space="preserve">’s ability to obtain a License from Health Canada.  The </w:t>
      </w:r>
      <w:r>
        <w:rPr>
          <w:rFonts w:ascii="Times New Roman" w:hAnsi="Times New Roman"/>
          <w:lang w:val="en-US"/>
        </w:rPr>
        <w:t>Company</w:t>
      </w:r>
      <w:r w:rsidRPr="007B766C">
        <w:rPr>
          <w:rFonts w:ascii="Times New Roman" w:eastAsia="Calibri" w:hAnsi="Times New Roman" w:cs="Times New Roman"/>
          <w:lang w:val="en-US"/>
        </w:rPr>
        <w:t xml:space="preserve"> does not currently hold a License.  Although the </w:t>
      </w:r>
      <w:r>
        <w:rPr>
          <w:rFonts w:ascii="Times New Roman" w:hAnsi="Times New Roman"/>
          <w:lang w:val="en-US"/>
        </w:rPr>
        <w:t>Company</w:t>
      </w:r>
      <w:r w:rsidRPr="007B766C">
        <w:rPr>
          <w:rFonts w:ascii="Times New Roman" w:eastAsia="Calibri" w:hAnsi="Times New Roman" w:cs="Times New Roman"/>
          <w:lang w:val="en-US"/>
        </w:rPr>
        <w:t xml:space="preserve"> believes it will meet the requirements of MMPR </w:t>
      </w:r>
      <w:r w:rsidRPr="00F20FD8">
        <w:rPr>
          <w:rFonts w:ascii="Times New Roman" w:eastAsia="Calibri" w:hAnsi="Times New Roman" w:cs="Times New Roman"/>
          <w:lang w:val="en-US"/>
        </w:rPr>
        <w:t xml:space="preserve">for the License, there can be no guarantee that it will.  Even if the </w:t>
      </w:r>
      <w:r>
        <w:rPr>
          <w:rFonts w:ascii="Times New Roman" w:hAnsi="Times New Roman"/>
          <w:lang w:val="en-US"/>
        </w:rPr>
        <w:t>Company</w:t>
      </w:r>
      <w:r w:rsidRPr="00F20FD8">
        <w:rPr>
          <w:rFonts w:ascii="Times New Roman" w:eastAsia="Calibri" w:hAnsi="Times New Roman" w:cs="Times New Roman"/>
          <w:lang w:val="en-US"/>
        </w:rPr>
        <w:t xml:space="preserve"> is able to obtain a License, failure to comply with the requirements of the License or any failure to maintain the License would have a material adverse impact on the business, financial condition and operating results of the </w:t>
      </w:r>
      <w:r>
        <w:rPr>
          <w:rFonts w:ascii="Times New Roman" w:hAnsi="Times New Roman"/>
          <w:lang w:val="en-US"/>
        </w:rPr>
        <w:t>Company</w:t>
      </w:r>
      <w:r w:rsidRPr="00F20FD8">
        <w:rPr>
          <w:rFonts w:ascii="Times New Roman" w:eastAsia="Calibri" w:hAnsi="Times New Roman" w:cs="Times New Roman"/>
          <w:lang w:val="en-US"/>
        </w:rPr>
        <w:t xml:space="preserve">.  In addition, there can be no guarantee that Health Canada will extend or renew the License or, if it is extended or renewed, that it will be extended or renewed on the same or similar terms.  Should Health Canada not extend or renew the License or should it renew the License on different terms, the business, financial condition and results of the operation of the </w:t>
      </w:r>
      <w:r>
        <w:rPr>
          <w:rFonts w:ascii="Times New Roman" w:hAnsi="Times New Roman"/>
          <w:lang w:val="en-US"/>
        </w:rPr>
        <w:t>Company</w:t>
      </w:r>
      <w:r w:rsidRPr="00F20FD8">
        <w:rPr>
          <w:rFonts w:ascii="Times New Roman" w:eastAsia="Calibri" w:hAnsi="Times New Roman" w:cs="Times New Roman"/>
          <w:lang w:val="en-US"/>
        </w:rPr>
        <w:t xml:space="preserve"> would be materially adversely affected.</w:t>
      </w:r>
    </w:p>
    <w:p w:rsidR="00253C6F" w:rsidRPr="00266CFF" w:rsidRDefault="00253C6F" w:rsidP="00253C6F">
      <w:pPr>
        <w:widowControl w:val="0"/>
        <w:spacing w:after="0" w:line="240" w:lineRule="auto"/>
        <w:ind w:left="709" w:right="-360"/>
        <w:jc w:val="both"/>
        <w:rPr>
          <w:rFonts w:ascii="Times New Roman" w:eastAsia="MS Mincho" w:hAnsi="Times New Roman" w:cs="Times New Roman"/>
          <w:b/>
          <w:bCs/>
          <w:snapToGrid w:val="0"/>
          <w:sz w:val="12"/>
          <w:szCs w:val="12"/>
          <w:lang w:val="en-US" w:eastAsia="de-DE"/>
        </w:rPr>
      </w:pPr>
    </w:p>
    <w:p w:rsidR="00485823" w:rsidRPr="00F20FD8" w:rsidRDefault="00485823" w:rsidP="00485823">
      <w:pPr>
        <w:keepNext/>
        <w:spacing w:after="0" w:line="240" w:lineRule="auto"/>
        <w:ind w:left="720"/>
        <w:jc w:val="both"/>
        <w:rPr>
          <w:rFonts w:ascii="Times New Roman" w:eastAsia="Calibri" w:hAnsi="Times New Roman" w:cs="Times New Roman"/>
          <w:lang w:val="en-US"/>
        </w:rPr>
      </w:pPr>
      <w:r w:rsidRPr="001170E1">
        <w:rPr>
          <w:rFonts w:ascii="Times New Roman" w:eastAsia="Calibri" w:hAnsi="Times New Roman" w:cs="Times New Roman"/>
          <w:b/>
          <w:bCs/>
          <w:i/>
          <w:lang w:val="en-US"/>
        </w:rPr>
        <w:lastRenderedPageBreak/>
        <w:t>Factors which may Prevent Realization of Business Objectives</w:t>
      </w:r>
      <w:r>
        <w:rPr>
          <w:rFonts w:ascii="Times New Roman" w:hAnsi="Times New Roman"/>
          <w:bCs/>
          <w:lang w:val="en-US"/>
        </w:rPr>
        <w:t xml:space="preserve"> - </w:t>
      </w:r>
      <w:r w:rsidRPr="00F20FD8">
        <w:rPr>
          <w:rFonts w:ascii="Times New Roman" w:eastAsia="Calibri" w:hAnsi="Times New Roman" w:cs="Times New Roman"/>
          <w:lang w:val="en-US"/>
        </w:rPr>
        <w:t xml:space="preserve">The </w:t>
      </w:r>
      <w:r>
        <w:rPr>
          <w:rFonts w:ascii="Times New Roman" w:hAnsi="Times New Roman"/>
          <w:lang w:val="en-US"/>
        </w:rPr>
        <w:t>Company</w:t>
      </w:r>
      <w:r w:rsidRPr="00F20FD8">
        <w:rPr>
          <w:rFonts w:ascii="Times New Roman" w:eastAsia="Calibri" w:hAnsi="Times New Roman" w:cs="Times New Roman"/>
          <w:lang w:val="en-US"/>
        </w:rPr>
        <w:t xml:space="preserve"> is currently in the early development stage.  </w:t>
      </w:r>
      <w:r>
        <w:rPr>
          <w:rFonts w:ascii="Times New Roman" w:hAnsi="Times New Roman"/>
          <w:lang w:val="en-US"/>
        </w:rPr>
        <w:t>The growing f</w:t>
      </w:r>
      <w:r w:rsidRPr="00F20FD8">
        <w:rPr>
          <w:rFonts w:ascii="Times New Roman" w:eastAsia="Calibri" w:hAnsi="Times New Roman" w:cs="Times New Roman"/>
          <w:lang w:val="en-US"/>
        </w:rPr>
        <w:t xml:space="preserve">acility has not yet been constructed and growing operations have not commenced.  Adverse changes or developments affecting construction of the </w:t>
      </w:r>
      <w:r>
        <w:rPr>
          <w:rFonts w:ascii="Times New Roman" w:hAnsi="Times New Roman"/>
          <w:lang w:val="en-US"/>
        </w:rPr>
        <w:t>growing f</w:t>
      </w:r>
      <w:r w:rsidRPr="00F20FD8">
        <w:rPr>
          <w:rFonts w:ascii="Times New Roman" w:eastAsia="Calibri" w:hAnsi="Times New Roman" w:cs="Times New Roman"/>
          <w:lang w:val="en-US"/>
        </w:rPr>
        <w:t xml:space="preserve">acility and commencement of production could have a material and adverse effect on the </w:t>
      </w:r>
      <w:r>
        <w:rPr>
          <w:rFonts w:ascii="Times New Roman" w:hAnsi="Times New Roman"/>
          <w:lang w:val="en-US"/>
        </w:rPr>
        <w:t>Company</w:t>
      </w:r>
      <w:r w:rsidRPr="00F20FD8">
        <w:rPr>
          <w:rFonts w:ascii="Times New Roman" w:eastAsia="Calibri" w:hAnsi="Times New Roman" w:cs="Times New Roman"/>
          <w:lang w:val="en-US"/>
        </w:rPr>
        <w:t>’s business, financial condition and prospects.  There is a risk that these additional resources will not be achieved on time, on budget, or at all, as they can be adversely affected by a variety of factors</w:t>
      </w:r>
      <w:r>
        <w:rPr>
          <w:rFonts w:ascii="Times New Roman" w:hAnsi="Times New Roman"/>
          <w:lang w:val="en-US"/>
        </w:rPr>
        <w:t xml:space="preserve"> such as</w:t>
      </w:r>
      <w:r w:rsidR="00F2365A">
        <w:rPr>
          <w:rFonts w:ascii="Times New Roman" w:eastAsia="Calibri" w:hAnsi="Times New Roman" w:cs="Times New Roman"/>
          <w:lang w:val="en-US"/>
        </w:rPr>
        <w:t>:</w:t>
      </w:r>
    </w:p>
    <w:p w:rsidR="00485823" w:rsidRPr="00266CFF" w:rsidRDefault="00485823" w:rsidP="00485823">
      <w:pPr>
        <w:spacing w:after="0" w:line="240" w:lineRule="auto"/>
        <w:jc w:val="both"/>
        <w:rPr>
          <w:rFonts w:ascii="Times New Roman" w:eastAsia="Calibri" w:hAnsi="Times New Roman" w:cs="Times New Roman"/>
          <w:sz w:val="12"/>
          <w:szCs w:val="12"/>
          <w:lang w:val="en-US"/>
        </w:rPr>
      </w:pPr>
    </w:p>
    <w:p w:rsidR="00485823"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delays in obtaining, or conditions imposed by, regulatory approvals;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plant design errors;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environmental pollution;</w:t>
      </w:r>
    </w:p>
    <w:p w:rsidR="00485823"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non-performance by third party contractors;</w:t>
      </w:r>
      <w:r w:rsidRPr="00F20FD8">
        <w:rPr>
          <w:rFonts w:ascii="Times New Roman" w:eastAsia="Calibri" w:hAnsi="Times New Roman" w:cs="Times New Roman"/>
          <w:lang w:val="en-US"/>
        </w:rPr>
        <w:tab/>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 xml:space="preserve">increases in materials or </w:t>
      </w:r>
      <w:proofErr w:type="spellStart"/>
      <w:r w:rsidRPr="00F20FD8">
        <w:rPr>
          <w:rFonts w:ascii="Times New Roman" w:eastAsia="Calibri" w:hAnsi="Times New Roman" w:cs="Times New Roman"/>
          <w:lang w:val="en-US"/>
        </w:rPr>
        <w:t>labour</w:t>
      </w:r>
      <w:proofErr w:type="spellEnd"/>
      <w:r w:rsidRPr="00F20FD8">
        <w:rPr>
          <w:rFonts w:ascii="Times New Roman" w:eastAsia="Calibri" w:hAnsi="Times New Roman" w:cs="Times New Roman"/>
          <w:lang w:val="en-US"/>
        </w:rPr>
        <w:t xml:space="preserve"> costs;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construction performance falling below expected levels of output or efficiency;</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breakdown, aging or failure of equipment or processes;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contractor or operator errors;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proofErr w:type="spellStart"/>
      <w:r w:rsidRPr="00F20FD8">
        <w:rPr>
          <w:rFonts w:ascii="Times New Roman" w:eastAsia="Calibri" w:hAnsi="Times New Roman" w:cs="Times New Roman"/>
          <w:lang w:val="en-US"/>
        </w:rPr>
        <w:t>labour</w:t>
      </w:r>
      <w:proofErr w:type="spellEnd"/>
      <w:r w:rsidRPr="00F20FD8">
        <w:rPr>
          <w:rFonts w:ascii="Times New Roman" w:eastAsia="Calibri" w:hAnsi="Times New Roman" w:cs="Times New Roman"/>
          <w:lang w:val="en-US"/>
        </w:rPr>
        <w:t xml:space="preserve"> disputes, disruptions or declines in productivity;</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inability to attract sufficient numbers of qualified workers;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disruption in the supply of energy and utilities; and</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proofErr w:type="gramStart"/>
      <w:r w:rsidRPr="00F20FD8">
        <w:rPr>
          <w:rFonts w:ascii="Times New Roman" w:eastAsia="Calibri" w:hAnsi="Times New Roman" w:cs="Times New Roman"/>
          <w:lang w:val="en-US"/>
        </w:rPr>
        <w:t>major</w:t>
      </w:r>
      <w:proofErr w:type="gramEnd"/>
      <w:r w:rsidRPr="00F20FD8">
        <w:rPr>
          <w:rFonts w:ascii="Times New Roman" w:eastAsia="Calibri" w:hAnsi="Times New Roman" w:cs="Times New Roman"/>
          <w:lang w:val="en-US"/>
        </w:rPr>
        <w:t xml:space="preserve"> incidents and/or catastrophic events such as fires, explosions, earthquakes or storms.</w:t>
      </w:r>
    </w:p>
    <w:p w:rsidR="00485823" w:rsidRPr="00F20FD8" w:rsidRDefault="00485823" w:rsidP="00485823">
      <w:pPr>
        <w:spacing w:after="0" w:line="240" w:lineRule="auto"/>
        <w:jc w:val="both"/>
        <w:rPr>
          <w:rFonts w:ascii="Times New Roman" w:eastAsia="Calibri" w:hAnsi="Times New Roman" w:cs="Times New Roman"/>
          <w:lang w:val="en-US"/>
        </w:rPr>
      </w:pPr>
    </w:p>
    <w:p w:rsidR="00485823" w:rsidRPr="00266CFF" w:rsidRDefault="00485823" w:rsidP="00266CFF">
      <w:pPr>
        <w:spacing w:after="0" w:line="240" w:lineRule="auto"/>
        <w:ind w:left="720"/>
        <w:jc w:val="both"/>
        <w:rPr>
          <w:rFonts w:ascii="Times New Roman" w:eastAsia="Calibri" w:hAnsi="Times New Roman" w:cs="Times New Roman"/>
          <w:lang w:val="en-US"/>
        </w:rPr>
      </w:pPr>
      <w:r w:rsidRPr="00F20FD8">
        <w:rPr>
          <w:rFonts w:ascii="Times New Roman" w:eastAsia="Calibri" w:hAnsi="Times New Roman" w:cs="Times New Roman"/>
          <w:lang w:val="en-US"/>
        </w:rPr>
        <w:t xml:space="preserve">It is also possible that the final costs of the constructing the </w:t>
      </w:r>
      <w:r>
        <w:rPr>
          <w:rFonts w:ascii="Times New Roman" w:hAnsi="Times New Roman"/>
          <w:lang w:val="en-US"/>
        </w:rPr>
        <w:t>growing f</w:t>
      </w:r>
      <w:r w:rsidRPr="00F20FD8">
        <w:rPr>
          <w:rFonts w:ascii="Times New Roman" w:eastAsia="Calibri" w:hAnsi="Times New Roman" w:cs="Times New Roman"/>
          <w:lang w:val="en-US"/>
        </w:rPr>
        <w:t xml:space="preserve">acility and commencing production may be significantly greater than anticipated by the </w:t>
      </w:r>
      <w:r>
        <w:rPr>
          <w:rFonts w:ascii="Times New Roman" w:hAnsi="Times New Roman"/>
          <w:lang w:val="en-US"/>
        </w:rPr>
        <w:t xml:space="preserve">Company’s </w:t>
      </w:r>
      <w:r w:rsidRPr="00F20FD8">
        <w:rPr>
          <w:rFonts w:ascii="Times New Roman" w:eastAsia="Calibri" w:hAnsi="Times New Roman" w:cs="Times New Roman"/>
          <w:lang w:val="en-US"/>
        </w:rPr>
        <w:t xml:space="preserve">management, and may be greater than funds available to the </w:t>
      </w:r>
      <w:r>
        <w:rPr>
          <w:rFonts w:ascii="Times New Roman" w:hAnsi="Times New Roman"/>
          <w:lang w:val="en-US"/>
        </w:rPr>
        <w:t>Company</w:t>
      </w:r>
      <w:r w:rsidRPr="00F20FD8">
        <w:rPr>
          <w:rFonts w:ascii="Times New Roman" w:eastAsia="Calibri" w:hAnsi="Times New Roman" w:cs="Times New Roman"/>
          <w:lang w:val="en-US"/>
        </w:rPr>
        <w:t xml:space="preserve">, in which circumstance the </w:t>
      </w:r>
      <w:r>
        <w:rPr>
          <w:rFonts w:ascii="Times New Roman" w:hAnsi="Times New Roman"/>
          <w:lang w:val="en-US"/>
        </w:rPr>
        <w:t>Company</w:t>
      </w:r>
      <w:r w:rsidRPr="00F20FD8">
        <w:rPr>
          <w:rFonts w:ascii="Times New Roman" w:eastAsia="Calibri" w:hAnsi="Times New Roman" w:cs="Times New Roman"/>
          <w:lang w:val="en-US"/>
        </w:rPr>
        <w:t xml:space="preserve"> may curtail, or extend the timeframes for completing, its business plans.  This could have an adverse effect on the financial results of the </w:t>
      </w:r>
      <w:r>
        <w:rPr>
          <w:rFonts w:ascii="Times New Roman" w:hAnsi="Times New Roman"/>
          <w:lang w:val="en-US"/>
        </w:rPr>
        <w:t>Company</w:t>
      </w:r>
      <w:r w:rsidRPr="00F20FD8">
        <w:rPr>
          <w:rFonts w:ascii="Times New Roman" w:eastAsia="Calibri" w:hAnsi="Times New Roman" w:cs="Times New Roman"/>
          <w:lang w:val="en-US"/>
        </w:rPr>
        <w:t>.</w:t>
      </w:r>
    </w:p>
    <w:p w:rsidR="00485823" w:rsidRDefault="00485823" w:rsidP="00120E36">
      <w:pPr>
        <w:spacing w:after="0" w:line="240" w:lineRule="auto"/>
        <w:ind w:left="720"/>
        <w:jc w:val="both"/>
        <w:rPr>
          <w:rFonts w:ascii="Times New Roman" w:hAnsi="Times New Roman"/>
          <w:lang w:val="en-US"/>
        </w:rPr>
      </w:pPr>
    </w:p>
    <w:p w:rsidR="00485823" w:rsidRDefault="00485823" w:rsidP="00485823">
      <w:pPr>
        <w:keepNext/>
        <w:spacing w:after="0" w:line="240" w:lineRule="auto"/>
        <w:ind w:left="720"/>
        <w:jc w:val="both"/>
        <w:rPr>
          <w:rFonts w:ascii="Times New Roman" w:hAnsi="Times New Roman"/>
          <w:lang w:val="en-US"/>
        </w:rPr>
      </w:pPr>
      <w:r w:rsidRPr="001170E1">
        <w:rPr>
          <w:rFonts w:ascii="Times New Roman" w:eastAsia="Calibri" w:hAnsi="Times New Roman" w:cs="Times New Roman"/>
          <w:b/>
          <w:bCs/>
          <w:i/>
          <w:lang w:val="en-US"/>
        </w:rPr>
        <w:t>Regulatory Risks</w:t>
      </w:r>
      <w:r>
        <w:rPr>
          <w:rFonts w:ascii="Times New Roman" w:hAnsi="Times New Roman"/>
          <w:bCs/>
          <w:lang w:val="en-US"/>
        </w:rPr>
        <w:t xml:space="preserve"> - </w:t>
      </w:r>
      <w:r w:rsidRPr="00F20FD8">
        <w:rPr>
          <w:rFonts w:ascii="Times New Roman" w:eastAsia="Calibri" w:hAnsi="Times New Roman" w:cs="Times New Roman"/>
          <w:lang w:val="en-US"/>
        </w:rPr>
        <w:t xml:space="preserve">The activities of the </w:t>
      </w:r>
      <w:r>
        <w:rPr>
          <w:rFonts w:ascii="Times New Roman" w:hAnsi="Times New Roman"/>
          <w:lang w:val="en-US"/>
        </w:rPr>
        <w:t>Company</w:t>
      </w:r>
      <w:r w:rsidRPr="00F20FD8">
        <w:rPr>
          <w:rFonts w:ascii="Times New Roman" w:eastAsia="Calibri" w:hAnsi="Times New Roman" w:cs="Times New Roman"/>
          <w:lang w:val="en-US"/>
        </w:rPr>
        <w:t xml:space="preserve"> will be subject to intense regulation by governmental authorities, particularly Health Canada.  Achievement of the </w:t>
      </w:r>
      <w:r>
        <w:rPr>
          <w:rFonts w:ascii="Times New Roman" w:hAnsi="Times New Roman"/>
          <w:lang w:val="en-US"/>
        </w:rPr>
        <w:t>Company</w:t>
      </w:r>
      <w:r w:rsidRPr="00F20FD8">
        <w:rPr>
          <w:rFonts w:ascii="Times New Roman" w:eastAsia="Calibri" w:hAnsi="Times New Roman" w:cs="Times New Roman"/>
          <w:lang w:val="en-US"/>
        </w:rPr>
        <w:t xml:space="preserve">’s business objectives are contingent, in part, upon compliance with regulatory requirements enacted by these governmental authorities and obtaining all regulatory approvals, where necessary, for the sale of its products.  The </w:t>
      </w:r>
      <w:r>
        <w:rPr>
          <w:rFonts w:ascii="Times New Roman" w:hAnsi="Times New Roman"/>
          <w:lang w:val="en-US"/>
        </w:rPr>
        <w:t>Company</w:t>
      </w:r>
      <w:r w:rsidRPr="00F20FD8">
        <w:rPr>
          <w:rFonts w:ascii="Times New Roman" w:eastAsia="Calibri" w:hAnsi="Times New Roman" w:cs="Times New Roman"/>
          <w:lang w:val="en-US"/>
        </w:rPr>
        <w:t xml:space="preserve">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the </w:t>
      </w:r>
      <w:r>
        <w:rPr>
          <w:rFonts w:ascii="Times New Roman" w:hAnsi="Times New Roman"/>
          <w:lang w:val="en-US"/>
        </w:rPr>
        <w:t>Company</w:t>
      </w:r>
      <w:r w:rsidRPr="00F20FD8">
        <w:rPr>
          <w:rFonts w:ascii="Times New Roman" w:eastAsia="Calibri" w:hAnsi="Times New Roman" w:cs="Times New Roman"/>
          <w:lang w:val="en-US"/>
        </w:rPr>
        <w:t>.</w:t>
      </w:r>
    </w:p>
    <w:p w:rsidR="00485823" w:rsidRPr="00F20FD8" w:rsidRDefault="00485823" w:rsidP="00485823">
      <w:pPr>
        <w:spacing w:after="0" w:line="240" w:lineRule="auto"/>
        <w:jc w:val="both"/>
        <w:rPr>
          <w:rFonts w:ascii="Times New Roman" w:eastAsia="Calibri" w:hAnsi="Times New Roman" w:cs="Times New Roman"/>
          <w:lang w:val="en-US"/>
        </w:rPr>
      </w:pPr>
    </w:p>
    <w:p w:rsidR="00253C6F" w:rsidRPr="00253C6F" w:rsidRDefault="00253C6F" w:rsidP="00253C6F">
      <w:pPr>
        <w:spacing w:after="0" w:line="240" w:lineRule="auto"/>
        <w:jc w:val="both"/>
        <w:rPr>
          <w:rFonts w:ascii="Times New Roman" w:eastAsia="Arial Unicode MS" w:hAnsi="Times New Roman" w:cs="Times New Roman"/>
          <w:b/>
          <w:bCs/>
          <w:lang w:val="en-US"/>
        </w:rPr>
      </w:pPr>
      <w:r w:rsidRPr="00253C6F">
        <w:rPr>
          <w:rFonts w:ascii="Times New Roman" w:eastAsia="Times New Roman" w:hAnsi="Times New Roman" w:cs="Times New Roman"/>
          <w:lang w:val="en-US"/>
        </w:rPr>
        <w:t>1.1</w:t>
      </w:r>
      <w:r w:rsidR="00A7031C">
        <w:rPr>
          <w:rFonts w:ascii="Times New Roman" w:eastAsia="Times New Roman" w:hAnsi="Times New Roman" w:cs="Times New Roman"/>
          <w:lang w:val="en-US"/>
        </w:rPr>
        <w:t>5</w:t>
      </w:r>
      <w:r w:rsidRPr="00253C6F">
        <w:rPr>
          <w:rFonts w:ascii="Times New Roman" w:eastAsia="Times New Roman" w:hAnsi="Times New Roman" w:cs="Times New Roman"/>
          <w:b/>
          <w:bCs/>
          <w:lang w:val="en-US"/>
        </w:rPr>
        <w:tab/>
      </w:r>
      <w:r w:rsidRPr="00253C6F">
        <w:rPr>
          <w:rFonts w:ascii="Times New Roman" w:eastAsia="Times New Roman" w:hAnsi="Times New Roman" w:cs="Times New Roman"/>
          <w:b/>
          <w:bCs/>
          <w:u w:val="single"/>
          <w:lang w:val="en-US"/>
        </w:rPr>
        <w:t>Disclosure Controls and Procedures</w:t>
      </w:r>
    </w:p>
    <w:p w:rsidR="00253C6F" w:rsidRPr="00253C6F" w:rsidRDefault="00253C6F" w:rsidP="00253C6F">
      <w:pPr>
        <w:spacing w:after="0" w:line="240" w:lineRule="auto"/>
        <w:jc w:val="both"/>
        <w:rPr>
          <w:rFonts w:ascii="Times New Roman" w:eastAsia="Times New Roman" w:hAnsi="Times New Roman" w:cs="Times New Roman"/>
          <w:lang w:val="en-US"/>
        </w:rPr>
      </w:pPr>
    </w:p>
    <w:p w:rsidR="00253C6F" w:rsidRPr="00253C6F" w:rsidRDefault="00253C6F" w:rsidP="00120E36">
      <w:pPr>
        <w:spacing w:after="0" w:line="240" w:lineRule="auto"/>
        <w:ind w:left="720"/>
        <w:jc w:val="both"/>
        <w:rPr>
          <w:rFonts w:ascii="Times New Roman" w:eastAsia="Times New Roman" w:hAnsi="Times New Roman" w:cs="Times New Roman"/>
          <w:lang w:val="en-US"/>
        </w:rPr>
      </w:pPr>
      <w:r w:rsidRPr="00253C6F">
        <w:rPr>
          <w:rFonts w:ascii="Times New Roman" w:eastAsia="Times New Roman" w:hAnsi="Times New Roman" w:cs="Times New Roman"/>
          <w:lang w:val="en-US"/>
        </w:rPr>
        <w:t>Disclosure controls and procedures are designed to provide reasonable assurance that material information is gathered and reported to senior management, including the Chief Executive Officer and Chief Financial Officer, as appropriate to permit timely decisions regarding public disclosure.</w:t>
      </w:r>
    </w:p>
    <w:p w:rsidR="00253C6F" w:rsidRPr="00253C6F" w:rsidRDefault="00253C6F" w:rsidP="00120E36">
      <w:pPr>
        <w:spacing w:after="0" w:line="240" w:lineRule="auto"/>
        <w:jc w:val="both"/>
        <w:rPr>
          <w:rFonts w:ascii="Times New Roman" w:eastAsia="Times New Roman" w:hAnsi="Times New Roman" w:cs="Times New Roman"/>
          <w:lang w:val="en-US"/>
        </w:rPr>
      </w:pPr>
    </w:p>
    <w:p w:rsidR="00253C6F" w:rsidRPr="00253C6F" w:rsidRDefault="00253C6F" w:rsidP="00120E36">
      <w:pPr>
        <w:tabs>
          <w:tab w:val="left" w:pos="-1440"/>
        </w:tabs>
        <w:spacing w:after="0" w:line="240" w:lineRule="auto"/>
        <w:ind w:left="720"/>
        <w:jc w:val="both"/>
        <w:rPr>
          <w:rFonts w:ascii="Times New Roman" w:eastAsia="Times New Roman" w:hAnsi="Times New Roman" w:cs="Times New Roman"/>
        </w:rPr>
      </w:pPr>
      <w:r w:rsidRPr="00253C6F">
        <w:rPr>
          <w:rFonts w:ascii="Times New Roman" w:eastAsia="Times New Roman" w:hAnsi="Times New Roman" w:cs="Times New Roman"/>
        </w:rPr>
        <w:lastRenderedPageBreak/>
        <w:t xml:space="preserve">Management, including the Chief Executive Officer and Chief Financial Officer, has evaluated the effectiveness of the design and operation of our disclosure controls and procedures as of </w:t>
      </w:r>
      <w:r w:rsidR="00F2365A">
        <w:rPr>
          <w:rFonts w:ascii="Times New Roman" w:eastAsia="Times New Roman" w:hAnsi="Times New Roman" w:cs="Times New Roman"/>
        </w:rPr>
        <w:t>September</w:t>
      </w:r>
      <w:r w:rsidRPr="00253C6F">
        <w:rPr>
          <w:rFonts w:ascii="Times New Roman" w:eastAsia="Times New Roman" w:hAnsi="Times New Roman" w:cs="Times New Roman"/>
        </w:rPr>
        <w:t xml:space="preserve"> 30, 201</w:t>
      </w:r>
      <w:r w:rsidR="00D71C06">
        <w:rPr>
          <w:rFonts w:ascii="Times New Roman" w:eastAsia="Times New Roman" w:hAnsi="Times New Roman" w:cs="Times New Roman"/>
        </w:rPr>
        <w:t>4</w:t>
      </w:r>
      <w:r w:rsidRPr="00253C6F">
        <w:rPr>
          <w:rFonts w:ascii="Times New Roman" w:eastAsia="Times New Roman" w:hAnsi="Times New Roman" w:cs="Times New Roman"/>
        </w:rPr>
        <w:t xml:space="preserve">.  Based on this evaluation, the Chief Executive Officer and Chief Financial Officer have concluded that the Company’s disclosure controls and </w:t>
      </w:r>
      <w:proofErr w:type="gramStart"/>
      <w:r w:rsidRPr="00253C6F">
        <w:rPr>
          <w:rFonts w:ascii="Times New Roman" w:eastAsia="Times New Roman" w:hAnsi="Times New Roman" w:cs="Times New Roman"/>
        </w:rPr>
        <w:t>procedures,</w:t>
      </w:r>
      <w:proofErr w:type="gramEnd"/>
      <w:r w:rsidRPr="00253C6F">
        <w:rPr>
          <w:rFonts w:ascii="Times New Roman" w:eastAsia="Times New Roman" w:hAnsi="Times New Roman" w:cs="Times New Roman"/>
        </w:rPr>
        <w:t xml:space="preserve"> are effective to ensure that information required to be disclosed in reports that are filed or submitted under Canadian securities legislation are recorded, processed, summarized and reported within the time period specified in those rules.</w:t>
      </w:r>
    </w:p>
    <w:p w:rsidR="00266CFF" w:rsidRDefault="00266CFF" w:rsidP="00253C6F">
      <w:pPr>
        <w:tabs>
          <w:tab w:val="left" w:pos="-1440"/>
        </w:tabs>
        <w:spacing w:after="0" w:line="240" w:lineRule="auto"/>
        <w:ind w:left="720" w:hanging="720"/>
        <w:jc w:val="both"/>
        <w:rPr>
          <w:rFonts w:ascii="Times New Roman" w:eastAsia="Times New Roman" w:hAnsi="Times New Roman" w:cs="Times New Roman"/>
        </w:rPr>
      </w:pPr>
    </w:p>
    <w:p w:rsidR="00253C6F" w:rsidRPr="00253C6F" w:rsidRDefault="00253C6F" w:rsidP="00253C6F">
      <w:pPr>
        <w:tabs>
          <w:tab w:val="left" w:pos="-1440"/>
        </w:tabs>
        <w:spacing w:after="0" w:line="240" w:lineRule="auto"/>
        <w:ind w:left="720" w:hanging="720"/>
        <w:jc w:val="both"/>
        <w:rPr>
          <w:rFonts w:ascii="Times New Roman" w:eastAsia="Times New Roman" w:hAnsi="Times New Roman" w:cs="Times New Roman"/>
        </w:rPr>
      </w:pPr>
      <w:r w:rsidRPr="00253C6F">
        <w:rPr>
          <w:rFonts w:ascii="Times New Roman" w:eastAsia="Times New Roman" w:hAnsi="Times New Roman" w:cs="Times New Roman"/>
        </w:rPr>
        <w:t>1.17</w:t>
      </w:r>
      <w:r w:rsidR="00A7031C">
        <w:rPr>
          <w:rFonts w:ascii="Times New Roman" w:eastAsia="Times New Roman" w:hAnsi="Times New Roman" w:cs="Times New Roman"/>
        </w:rPr>
        <w:t>6</w:t>
      </w:r>
      <w:r w:rsidRPr="00253C6F">
        <w:rPr>
          <w:rFonts w:ascii="Times New Roman" w:eastAsia="Times New Roman" w:hAnsi="Times New Roman" w:cs="Times New Roman"/>
        </w:rPr>
        <w:tab/>
      </w:r>
      <w:r w:rsidRPr="00253C6F">
        <w:rPr>
          <w:rFonts w:ascii="Times New Roman" w:eastAsia="Times New Roman" w:hAnsi="Times New Roman" w:cs="Times New Roman"/>
          <w:b/>
          <w:bCs/>
          <w:u w:val="single"/>
        </w:rPr>
        <w:t>Other MD&amp;A Requirements</w:t>
      </w:r>
    </w:p>
    <w:p w:rsidR="00253C6F" w:rsidRPr="00253C6F" w:rsidRDefault="00253C6F" w:rsidP="00253C6F">
      <w:pPr>
        <w:spacing w:after="0" w:line="240" w:lineRule="auto"/>
        <w:jc w:val="both"/>
        <w:rPr>
          <w:rFonts w:ascii="Times New Roman" w:eastAsia="Times New Roman" w:hAnsi="Times New Roman" w:cs="Times New Roman"/>
        </w:rPr>
      </w:pPr>
    </w:p>
    <w:p w:rsidR="00253C6F" w:rsidRDefault="00253C6F" w:rsidP="00253C6F">
      <w:pPr>
        <w:spacing w:after="0" w:line="240" w:lineRule="auto"/>
        <w:ind w:left="720"/>
        <w:jc w:val="both"/>
        <w:rPr>
          <w:rFonts w:ascii="Times New Roman" w:eastAsia="Times New Roman" w:hAnsi="Times New Roman" w:cs="Times New Roman"/>
          <w:color w:val="0000FF"/>
          <w:u w:val="single"/>
        </w:rPr>
      </w:pPr>
      <w:r w:rsidRPr="00253C6F">
        <w:rPr>
          <w:rFonts w:ascii="Times New Roman" w:eastAsia="Times New Roman" w:hAnsi="Times New Roman" w:cs="Times New Roman"/>
        </w:rPr>
        <w:t>Additional information relating to</w:t>
      </w:r>
      <w:r w:rsidR="00BA7F69">
        <w:rPr>
          <w:rFonts w:ascii="Times New Roman" w:eastAsia="Times New Roman" w:hAnsi="Times New Roman" w:cs="Times New Roman"/>
        </w:rPr>
        <w:t xml:space="preserve"> Wildflower Marijuana Inc., (f</w:t>
      </w:r>
      <w:r w:rsidR="00D71C06">
        <w:rPr>
          <w:rFonts w:ascii="Times New Roman" w:eastAsia="Times New Roman" w:hAnsi="Times New Roman" w:cs="Times New Roman"/>
        </w:rPr>
        <w:t>ormerly</w:t>
      </w:r>
      <w:r w:rsidRPr="00253C6F">
        <w:rPr>
          <w:rFonts w:ascii="Times New Roman" w:eastAsia="Times New Roman" w:hAnsi="Times New Roman" w:cs="Times New Roman"/>
        </w:rPr>
        <w:t xml:space="preserve"> </w:t>
      </w:r>
      <w:proofErr w:type="spellStart"/>
      <w:r w:rsidRPr="00253C6F">
        <w:rPr>
          <w:rFonts w:ascii="Times New Roman" w:eastAsia="Times New Roman" w:hAnsi="Times New Roman" w:cs="Times New Roman"/>
        </w:rPr>
        <w:t>Sunorca</w:t>
      </w:r>
      <w:proofErr w:type="spellEnd"/>
      <w:r w:rsidRPr="00253C6F">
        <w:rPr>
          <w:rFonts w:ascii="Times New Roman" w:eastAsia="Times New Roman" w:hAnsi="Times New Roman" w:cs="Times New Roman"/>
        </w:rPr>
        <w:t xml:space="preserve"> Development Corp.</w:t>
      </w:r>
      <w:r w:rsidR="00D71C06">
        <w:rPr>
          <w:rFonts w:ascii="Times New Roman" w:eastAsia="Times New Roman" w:hAnsi="Times New Roman" w:cs="Times New Roman"/>
        </w:rPr>
        <w:t>)</w:t>
      </w:r>
      <w:r w:rsidRPr="00253C6F">
        <w:rPr>
          <w:rFonts w:ascii="Times New Roman" w:eastAsia="Times New Roman" w:hAnsi="Times New Roman" w:cs="Times New Roman"/>
        </w:rPr>
        <w:t xml:space="preserve"> can be found on SEDAR at </w:t>
      </w:r>
      <w:hyperlink r:id="rId8" w:history="1">
        <w:r w:rsidRPr="00253C6F">
          <w:rPr>
            <w:rFonts w:ascii="Times New Roman" w:eastAsia="Times New Roman" w:hAnsi="Times New Roman" w:cs="Times New Roman"/>
            <w:color w:val="0000FF"/>
            <w:u w:val="single"/>
          </w:rPr>
          <w:t>www.sedar.com</w:t>
        </w:r>
      </w:hyperlink>
      <w:r w:rsidRPr="00253C6F">
        <w:rPr>
          <w:rFonts w:ascii="Times New Roman" w:eastAsia="Times New Roman" w:hAnsi="Times New Roman" w:cs="Times New Roman"/>
          <w:color w:val="0000FF"/>
          <w:u w:val="single"/>
        </w:rPr>
        <w:t>., or at the Company’s head office at:</w:t>
      </w:r>
    </w:p>
    <w:p w:rsidR="00120E36" w:rsidRPr="00253C6F" w:rsidRDefault="00120E36" w:rsidP="00253C6F">
      <w:pPr>
        <w:spacing w:after="0" w:line="240" w:lineRule="auto"/>
        <w:ind w:left="720"/>
        <w:jc w:val="both"/>
        <w:rPr>
          <w:rFonts w:ascii="Times New Roman" w:eastAsia="Times New Roman" w:hAnsi="Times New Roman" w:cs="Times New Roman"/>
        </w:rPr>
      </w:pPr>
    </w:p>
    <w:p w:rsidR="00253C6F" w:rsidRPr="00253C6F" w:rsidRDefault="00D71C06" w:rsidP="00253C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711-675 W. Hastings Street,</w:t>
      </w:r>
      <w:r w:rsidR="00253C6F" w:rsidRPr="00253C6F">
        <w:rPr>
          <w:rFonts w:ascii="Times New Roman" w:eastAsia="Times New Roman" w:hAnsi="Times New Roman" w:cs="Times New Roman"/>
          <w:sz w:val="20"/>
          <w:szCs w:val="20"/>
        </w:rPr>
        <w:t xml:space="preserve"> Vancouver, British Columbia </w:t>
      </w:r>
      <w:r>
        <w:rPr>
          <w:rFonts w:ascii="Times New Roman" w:eastAsia="Times New Roman" w:hAnsi="Times New Roman" w:cs="Times New Roman"/>
          <w:sz w:val="20"/>
          <w:szCs w:val="20"/>
        </w:rPr>
        <w:t>V6B 1N2</w:t>
      </w:r>
    </w:p>
    <w:p w:rsidR="007A42A1" w:rsidRPr="00266CFF" w:rsidRDefault="00253C6F" w:rsidP="00266CFF">
      <w:pPr>
        <w:spacing w:after="0" w:line="240" w:lineRule="auto"/>
        <w:jc w:val="center"/>
        <w:rPr>
          <w:rFonts w:ascii="Times New Roman" w:eastAsia="Times New Roman" w:hAnsi="Times New Roman" w:cs="Times New Roman"/>
          <w:sz w:val="24"/>
          <w:szCs w:val="24"/>
        </w:rPr>
      </w:pPr>
      <w:r w:rsidRPr="00253C6F">
        <w:rPr>
          <w:rFonts w:ascii="Times New Roman" w:eastAsia="Times New Roman" w:hAnsi="Times New Roman" w:cs="Times New Roman"/>
          <w:sz w:val="20"/>
          <w:szCs w:val="20"/>
        </w:rPr>
        <w:t xml:space="preserve">Telephone:  (604) </w:t>
      </w:r>
      <w:r w:rsidR="00D71C06">
        <w:rPr>
          <w:rFonts w:ascii="Times New Roman" w:eastAsia="Times New Roman" w:hAnsi="Times New Roman" w:cs="Times New Roman"/>
          <w:sz w:val="20"/>
          <w:szCs w:val="20"/>
        </w:rPr>
        <w:t xml:space="preserve">559-0420,   Fax  (604) </w:t>
      </w:r>
      <w:r w:rsidR="00C63E7B">
        <w:rPr>
          <w:rFonts w:ascii="Times New Roman" w:eastAsia="Times New Roman" w:hAnsi="Times New Roman" w:cs="Times New Roman"/>
          <w:sz w:val="20"/>
          <w:szCs w:val="20"/>
        </w:rPr>
        <w:t>559-4443</w:t>
      </w:r>
      <w:bookmarkStart w:id="0" w:name="_GoBack"/>
      <w:bookmarkEnd w:id="0"/>
    </w:p>
    <w:sectPr w:rsidR="007A42A1" w:rsidRPr="00266CFF" w:rsidSect="00BC22C1">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77" w:rsidRDefault="00076377" w:rsidP="00AF4291">
      <w:pPr>
        <w:spacing w:after="0" w:line="240" w:lineRule="auto"/>
      </w:pPr>
      <w:r>
        <w:separator/>
      </w:r>
    </w:p>
  </w:endnote>
  <w:endnote w:type="continuationSeparator" w:id="0">
    <w:p w:rsidR="00076377" w:rsidRDefault="00076377" w:rsidP="00AF4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6C" w:rsidRDefault="005C406C">
    <w:pPr>
      <w:pStyle w:val="Footer"/>
      <w:tabs>
        <w:tab w:val="right" w:pos="10065"/>
      </w:tabs>
      <w:jc w:val="both"/>
      <w:rPr>
        <w:rFonts w:ascii="Arial" w:hAnsi="Arial" w:cs="Arial"/>
        <w:sz w:val="18"/>
        <w:szCs w:val="18"/>
      </w:rPr>
    </w:pPr>
    <w:r>
      <w:rPr>
        <w:rFonts w:ascii="Arial" w:hAnsi="Arial" w:cs="Arial"/>
        <w:sz w:val="18"/>
        <w:szCs w:val="18"/>
      </w:rPr>
      <w:t>_____________________________________________________________________________________</w:t>
    </w:r>
  </w:p>
  <w:p w:rsidR="005C406C" w:rsidRDefault="005C406C">
    <w:pPr>
      <w:pStyle w:val="Footer"/>
      <w:tabs>
        <w:tab w:val="clear" w:pos="4680"/>
        <w:tab w:val="center" w:pos="4678"/>
      </w:tabs>
      <w:jc w:val="both"/>
      <w:rPr>
        <w:sz w:val="20"/>
        <w:szCs w:val="18"/>
      </w:rPr>
    </w:pPr>
    <w:r>
      <w:rPr>
        <w:sz w:val="20"/>
        <w:szCs w:val="18"/>
      </w:rPr>
      <w:t>Wildflower Marijuana Inc.</w:t>
    </w:r>
    <w:r>
      <w:rPr>
        <w:sz w:val="20"/>
        <w:szCs w:val="18"/>
      </w:rPr>
      <w:tab/>
      <w:t xml:space="preserve">Page </w:t>
    </w:r>
    <w:r w:rsidR="00E12E91">
      <w:rPr>
        <w:sz w:val="20"/>
        <w:szCs w:val="18"/>
      </w:rPr>
      <w:fldChar w:fldCharType="begin"/>
    </w:r>
    <w:r>
      <w:rPr>
        <w:sz w:val="20"/>
        <w:szCs w:val="18"/>
      </w:rPr>
      <w:instrText xml:space="preserve"> PAGE </w:instrText>
    </w:r>
    <w:r w:rsidR="00E12E91">
      <w:rPr>
        <w:sz w:val="20"/>
        <w:szCs w:val="18"/>
      </w:rPr>
      <w:fldChar w:fldCharType="separate"/>
    </w:r>
    <w:r w:rsidR="00F72E92">
      <w:rPr>
        <w:noProof/>
        <w:sz w:val="20"/>
        <w:szCs w:val="18"/>
      </w:rPr>
      <w:t>1</w:t>
    </w:r>
    <w:r w:rsidR="00E12E91">
      <w:rPr>
        <w:sz w:val="20"/>
        <w:szCs w:val="18"/>
      </w:rPr>
      <w:fldChar w:fldCharType="end"/>
    </w:r>
    <w:r>
      <w:rPr>
        <w:sz w:val="20"/>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77" w:rsidRDefault="00076377" w:rsidP="00AF4291">
      <w:pPr>
        <w:spacing w:after="0" w:line="240" w:lineRule="auto"/>
      </w:pPr>
      <w:r>
        <w:separator/>
      </w:r>
    </w:p>
  </w:footnote>
  <w:footnote w:type="continuationSeparator" w:id="0">
    <w:p w:rsidR="00076377" w:rsidRDefault="00076377" w:rsidP="00AF4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6C" w:rsidRDefault="005C406C" w:rsidP="00AF4291">
    <w:pPr>
      <w:tabs>
        <w:tab w:val="left" w:pos="-1440"/>
      </w:tabs>
      <w:spacing w:after="0" w:line="240" w:lineRule="auto"/>
      <w:ind w:left="3600" w:right="-360" w:hanging="3600"/>
      <w:rPr>
        <w:b/>
        <w:bCs/>
        <w:smallCaps/>
        <w:sz w:val="28"/>
        <w:szCs w:val="28"/>
      </w:rPr>
    </w:pPr>
    <w:r>
      <w:rPr>
        <w:b/>
        <w:bCs/>
        <w:smallCaps/>
        <w:sz w:val="28"/>
        <w:szCs w:val="28"/>
      </w:rPr>
      <w:t>WILDFLOWER MARIJUANA INC.,</w:t>
    </w:r>
  </w:p>
  <w:p w:rsidR="005C406C" w:rsidRPr="00AF4291" w:rsidRDefault="005C406C" w:rsidP="00AF4291">
    <w:pPr>
      <w:tabs>
        <w:tab w:val="left" w:pos="-1440"/>
      </w:tabs>
      <w:spacing w:after="0" w:line="240" w:lineRule="auto"/>
      <w:ind w:left="3600" w:right="-360" w:hanging="3600"/>
      <w:rPr>
        <w:bCs/>
        <w:i/>
        <w:iCs/>
        <w:smallCaps/>
        <w:sz w:val="24"/>
        <w:szCs w:val="24"/>
      </w:rPr>
    </w:pPr>
    <w:r w:rsidRPr="00AF4291">
      <w:rPr>
        <w:bCs/>
        <w:smallCaps/>
        <w:sz w:val="24"/>
        <w:szCs w:val="24"/>
      </w:rPr>
      <w:t>(FORMERLY SUNORCA DEVELOPMENT CORP.)</w:t>
    </w:r>
  </w:p>
  <w:p w:rsidR="005C406C" w:rsidRDefault="005C406C" w:rsidP="00AF4291">
    <w:pPr>
      <w:pStyle w:val="Header"/>
      <w:ind w:right="-360"/>
      <w:rPr>
        <w:b/>
        <w:bCs/>
        <w:smallCaps/>
      </w:rPr>
    </w:pPr>
    <w:r>
      <w:rPr>
        <w:smallCaps/>
      </w:rPr>
      <w:t>THREE MONTHS ENDED SEPTEMBER 30, 2014</w:t>
    </w:r>
  </w:p>
  <w:p w:rsidR="005C406C" w:rsidRDefault="005C406C" w:rsidP="00AF4291">
    <w:pPr>
      <w:pStyle w:val="Header"/>
      <w:pBdr>
        <w:bottom w:val="single" w:sz="18" w:space="1" w:color="auto"/>
      </w:pBdr>
      <w:tabs>
        <w:tab w:val="right" w:pos="9781"/>
      </w:tabs>
      <w:ind w:right="-360"/>
      <w:rPr>
        <w:b/>
        <w:bCs/>
        <w:smallCaps/>
      </w:rPr>
    </w:pPr>
    <w:r>
      <w:rPr>
        <w:b/>
        <w:bCs/>
        <w:szCs w:val="28"/>
      </w:rPr>
      <w:t>Management Discussion and Analysis of Financial Position and Results of Operations</w:t>
    </w:r>
    <w:r>
      <w:rPr>
        <w:b/>
        <w:bCs/>
        <w:smallCap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499"/>
    <w:multiLevelType w:val="hybridMultilevel"/>
    <w:tmpl w:val="B73E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4C37AD"/>
    <w:multiLevelType w:val="hybridMultilevel"/>
    <w:tmpl w:val="213409F0"/>
    <w:lvl w:ilvl="0" w:tplc="601CA2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0566B2"/>
    <w:multiLevelType w:val="hybridMultilevel"/>
    <w:tmpl w:val="F6D6F35C"/>
    <w:lvl w:ilvl="0" w:tplc="1D98D2E4">
      <w:start w:val="3"/>
      <w:numFmt w:val="lowerLetter"/>
      <w:lvlText w:val="%1)"/>
      <w:lvlJc w:val="left"/>
      <w:pPr>
        <w:ind w:left="135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D4B0AC1"/>
    <w:multiLevelType w:val="hybridMultilevel"/>
    <w:tmpl w:val="A0B8515C"/>
    <w:lvl w:ilvl="0" w:tplc="601CA2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2025F"/>
    <w:multiLevelType w:val="hybridMultilevel"/>
    <w:tmpl w:val="61C6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2697F"/>
    <w:multiLevelType w:val="hybridMultilevel"/>
    <w:tmpl w:val="D0B0980C"/>
    <w:lvl w:ilvl="0" w:tplc="11C2C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59606B"/>
    <w:multiLevelType w:val="hybridMultilevel"/>
    <w:tmpl w:val="5394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702F6F"/>
    <w:multiLevelType w:val="hybridMultilevel"/>
    <w:tmpl w:val="D10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3C6F"/>
    <w:rsid w:val="000348EA"/>
    <w:rsid w:val="00036A6F"/>
    <w:rsid w:val="000478CE"/>
    <w:rsid w:val="00076377"/>
    <w:rsid w:val="00120E36"/>
    <w:rsid w:val="001A1734"/>
    <w:rsid w:val="001F0B05"/>
    <w:rsid w:val="00253C6F"/>
    <w:rsid w:val="00266CFF"/>
    <w:rsid w:val="00426F88"/>
    <w:rsid w:val="00485823"/>
    <w:rsid w:val="004A7038"/>
    <w:rsid w:val="005C406C"/>
    <w:rsid w:val="005E4651"/>
    <w:rsid w:val="00652F62"/>
    <w:rsid w:val="0068511A"/>
    <w:rsid w:val="006A3477"/>
    <w:rsid w:val="007140FC"/>
    <w:rsid w:val="00784A43"/>
    <w:rsid w:val="007A42A1"/>
    <w:rsid w:val="007B6172"/>
    <w:rsid w:val="007C4B86"/>
    <w:rsid w:val="007D2095"/>
    <w:rsid w:val="008469A5"/>
    <w:rsid w:val="00854A53"/>
    <w:rsid w:val="00872198"/>
    <w:rsid w:val="00932F93"/>
    <w:rsid w:val="00A34368"/>
    <w:rsid w:val="00A7031C"/>
    <w:rsid w:val="00A97740"/>
    <w:rsid w:val="00AE6651"/>
    <w:rsid w:val="00AF4291"/>
    <w:rsid w:val="00B47936"/>
    <w:rsid w:val="00B9254A"/>
    <w:rsid w:val="00BA7F69"/>
    <w:rsid w:val="00BC22C1"/>
    <w:rsid w:val="00BD3A91"/>
    <w:rsid w:val="00C12597"/>
    <w:rsid w:val="00C5680B"/>
    <w:rsid w:val="00C63E7B"/>
    <w:rsid w:val="00CC4AC6"/>
    <w:rsid w:val="00D510E7"/>
    <w:rsid w:val="00D71C06"/>
    <w:rsid w:val="00DA55D0"/>
    <w:rsid w:val="00DC2B4C"/>
    <w:rsid w:val="00DC4B0A"/>
    <w:rsid w:val="00DE3C92"/>
    <w:rsid w:val="00E12E91"/>
    <w:rsid w:val="00E918A7"/>
    <w:rsid w:val="00F2365A"/>
    <w:rsid w:val="00F72AFA"/>
    <w:rsid w:val="00F72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6F"/>
  </w:style>
  <w:style w:type="paragraph" w:styleId="Header">
    <w:name w:val="header"/>
    <w:basedOn w:val="Normal"/>
    <w:link w:val="HeaderChar"/>
    <w:uiPriority w:val="99"/>
    <w:unhideWhenUsed/>
    <w:rsid w:val="0025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6F"/>
  </w:style>
  <w:style w:type="character" w:styleId="Hyperlink">
    <w:name w:val="Hyperlink"/>
    <w:basedOn w:val="DefaultParagraphFont"/>
    <w:rsid w:val="000348EA"/>
    <w:rPr>
      <w:color w:val="0000FF"/>
      <w:u w:val="single"/>
    </w:rPr>
  </w:style>
  <w:style w:type="paragraph" w:customStyle="1" w:styleId="Default">
    <w:name w:val="Default"/>
    <w:rsid w:val="001A173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F0B05"/>
    <w:pPr>
      <w:ind w:left="720"/>
      <w:contextualSpacing/>
    </w:pPr>
  </w:style>
  <w:style w:type="paragraph" w:styleId="BalloonText">
    <w:name w:val="Balloon Text"/>
    <w:basedOn w:val="Normal"/>
    <w:link w:val="BalloonTextChar"/>
    <w:uiPriority w:val="99"/>
    <w:semiHidden/>
    <w:unhideWhenUsed/>
    <w:rsid w:val="00DA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6F"/>
  </w:style>
  <w:style w:type="paragraph" w:styleId="Header">
    <w:name w:val="header"/>
    <w:basedOn w:val="Normal"/>
    <w:link w:val="HeaderChar"/>
    <w:uiPriority w:val="99"/>
    <w:unhideWhenUsed/>
    <w:rsid w:val="0025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6F"/>
  </w:style>
  <w:style w:type="character" w:styleId="Hyperlink">
    <w:name w:val="Hyperlink"/>
    <w:basedOn w:val="DefaultParagraphFont"/>
    <w:rsid w:val="000348EA"/>
    <w:rPr>
      <w:color w:val="0000FF"/>
      <w:u w:val="single"/>
    </w:rPr>
  </w:style>
  <w:style w:type="paragraph" w:customStyle="1" w:styleId="Default">
    <w:name w:val="Default"/>
    <w:rsid w:val="001A173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F0B05"/>
    <w:pPr>
      <w:ind w:left="720"/>
      <w:contextualSpacing/>
    </w:pPr>
  </w:style>
  <w:style w:type="paragraph" w:styleId="BalloonText">
    <w:name w:val="Balloon Text"/>
    <w:basedOn w:val="Normal"/>
    <w:link w:val="BalloonTextChar"/>
    <w:uiPriority w:val="99"/>
    <w:semiHidden/>
    <w:unhideWhenUsed/>
    <w:rsid w:val="00DA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lc.gov.bc.ca/alc/DownloadAsset?assetId=28F687FC8AB640CFB33D46FB3F1B30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Meghji</dc:creator>
  <cp:lastModifiedBy>stephen pearce</cp:lastModifiedBy>
  <cp:revision>3</cp:revision>
  <cp:lastPrinted>2014-11-26T06:00:00Z</cp:lastPrinted>
  <dcterms:created xsi:type="dcterms:W3CDTF">2014-11-26T20:22:00Z</dcterms:created>
  <dcterms:modified xsi:type="dcterms:W3CDTF">2014-12-02T19:23:00Z</dcterms:modified>
</cp:coreProperties>
</file>