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7E26B" w14:textId="77777777" w:rsidR="007E278E" w:rsidRPr="007E278E" w:rsidRDefault="007E278E" w:rsidP="007E278E">
      <w:pPr>
        <w:autoSpaceDE w:val="0"/>
        <w:autoSpaceDN w:val="0"/>
        <w:adjustRightInd w:val="0"/>
        <w:jc w:val="center"/>
        <w:outlineLvl w:val="0"/>
        <w:rPr>
          <w:b/>
          <w:bCs/>
          <w:sz w:val="28"/>
          <w:szCs w:val="28"/>
          <w:u w:val="single"/>
          <w:lang w:val="en-CA" w:eastAsia="en-CA"/>
        </w:rPr>
      </w:pPr>
      <w:r w:rsidRPr="007E278E">
        <w:rPr>
          <w:b/>
          <w:bCs/>
          <w:sz w:val="28"/>
          <w:szCs w:val="28"/>
          <w:u w:val="single"/>
          <w:lang w:val="en-CA" w:eastAsia="en-CA"/>
        </w:rPr>
        <w:t>PRESS RELEASE</w:t>
      </w:r>
    </w:p>
    <w:p w14:paraId="7366252B" w14:textId="77777777" w:rsidR="007E278E" w:rsidRPr="007E278E" w:rsidRDefault="007E278E" w:rsidP="007E278E">
      <w:pPr>
        <w:autoSpaceDE w:val="0"/>
        <w:autoSpaceDN w:val="0"/>
        <w:adjustRightInd w:val="0"/>
        <w:jc w:val="center"/>
        <w:outlineLvl w:val="0"/>
        <w:rPr>
          <w:b/>
          <w:bCs/>
          <w:u w:val="single"/>
          <w:lang w:val="en-CA" w:eastAsia="en-CA"/>
        </w:rPr>
      </w:pPr>
    </w:p>
    <w:p w14:paraId="30ACDE07" w14:textId="77777777" w:rsidR="007E278E" w:rsidRPr="007E278E" w:rsidRDefault="007E278E" w:rsidP="007E278E">
      <w:pPr>
        <w:autoSpaceDE w:val="0"/>
        <w:autoSpaceDN w:val="0"/>
        <w:adjustRightInd w:val="0"/>
        <w:jc w:val="center"/>
        <w:outlineLvl w:val="0"/>
        <w:rPr>
          <w:b/>
          <w:bCs/>
          <w:sz w:val="28"/>
          <w:szCs w:val="28"/>
          <w:lang w:val="en-CA" w:eastAsia="en-CA"/>
        </w:rPr>
      </w:pPr>
      <w:r w:rsidRPr="007E278E">
        <w:rPr>
          <w:b/>
          <w:bCs/>
          <w:sz w:val="28"/>
          <w:szCs w:val="28"/>
          <w:lang w:val="en-CA" w:eastAsia="en-CA"/>
        </w:rPr>
        <w:t>RENFORTH RESOURCES INC.</w:t>
      </w:r>
    </w:p>
    <w:p w14:paraId="72CE92AC" w14:textId="77777777" w:rsidR="007E278E" w:rsidRPr="007E278E" w:rsidRDefault="007E278E" w:rsidP="007E278E">
      <w:pPr>
        <w:autoSpaceDE w:val="0"/>
        <w:autoSpaceDN w:val="0"/>
        <w:adjustRightInd w:val="0"/>
        <w:jc w:val="center"/>
        <w:outlineLvl w:val="0"/>
        <w:rPr>
          <w:sz w:val="16"/>
          <w:szCs w:val="16"/>
          <w:lang w:val="en-CA" w:eastAsia="en-CA"/>
        </w:rPr>
      </w:pPr>
      <w:r w:rsidRPr="007E278E">
        <w:rPr>
          <w:sz w:val="16"/>
          <w:szCs w:val="16"/>
          <w:lang w:val="en-CA" w:eastAsia="en-CA"/>
        </w:rPr>
        <w:t>65 Front Street East, Suite 304, Toronto, Ontario, M5E 1B5</w:t>
      </w:r>
    </w:p>
    <w:p w14:paraId="79DDD268" w14:textId="77777777" w:rsidR="007E278E" w:rsidRPr="007E278E" w:rsidRDefault="007E278E" w:rsidP="007E278E">
      <w:pPr>
        <w:rPr>
          <w:b/>
          <w:sz w:val="20"/>
          <w:szCs w:val="20"/>
        </w:rPr>
      </w:pPr>
    </w:p>
    <w:p w14:paraId="041C09CD" w14:textId="77777777" w:rsidR="003D18AC" w:rsidRPr="007E278E" w:rsidRDefault="003D18AC" w:rsidP="007E278E">
      <w:pPr>
        <w:jc w:val="center"/>
        <w:rPr>
          <w:b/>
          <w:sz w:val="28"/>
          <w:szCs w:val="28"/>
        </w:rPr>
      </w:pPr>
      <w:proofErr w:type="spellStart"/>
      <w:r w:rsidRPr="007E278E">
        <w:rPr>
          <w:b/>
          <w:sz w:val="28"/>
          <w:szCs w:val="28"/>
        </w:rPr>
        <w:t>Renforth</w:t>
      </w:r>
      <w:proofErr w:type="spellEnd"/>
      <w:r w:rsidR="00332B6C" w:rsidRPr="007E278E">
        <w:rPr>
          <w:b/>
          <w:sz w:val="28"/>
          <w:szCs w:val="28"/>
        </w:rPr>
        <w:t xml:space="preserve"> </w:t>
      </w:r>
      <w:r w:rsidR="0005746F" w:rsidRPr="007E278E">
        <w:rPr>
          <w:b/>
          <w:sz w:val="28"/>
          <w:szCs w:val="28"/>
        </w:rPr>
        <w:t>C</w:t>
      </w:r>
      <w:r w:rsidR="00332B6C" w:rsidRPr="007E278E">
        <w:rPr>
          <w:b/>
          <w:sz w:val="28"/>
          <w:szCs w:val="28"/>
        </w:rPr>
        <w:t xml:space="preserve">hannel </w:t>
      </w:r>
      <w:r w:rsidR="0005746F" w:rsidRPr="007E278E">
        <w:rPr>
          <w:b/>
          <w:sz w:val="28"/>
          <w:szCs w:val="28"/>
        </w:rPr>
        <w:t>S</w:t>
      </w:r>
      <w:r w:rsidR="00332B6C" w:rsidRPr="007E278E">
        <w:rPr>
          <w:b/>
          <w:sz w:val="28"/>
          <w:szCs w:val="28"/>
        </w:rPr>
        <w:t>ampling cuts</w:t>
      </w:r>
      <w:r w:rsidRPr="007E278E">
        <w:rPr>
          <w:b/>
          <w:sz w:val="28"/>
          <w:szCs w:val="28"/>
        </w:rPr>
        <w:t xml:space="preserve"> 22.1 g/t Au </w:t>
      </w:r>
      <w:r w:rsidR="00332B6C" w:rsidRPr="007E278E">
        <w:rPr>
          <w:b/>
          <w:sz w:val="28"/>
          <w:szCs w:val="28"/>
        </w:rPr>
        <w:t xml:space="preserve">over 0.3 m on its </w:t>
      </w:r>
      <w:r w:rsidRPr="007E278E">
        <w:rPr>
          <w:b/>
          <w:sz w:val="28"/>
          <w:szCs w:val="28"/>
        </w:rPr>
        <w:t>Nixon-</w:t>
      </w:r>
      <w:proofErr w:type="spellStart"/>
      <w:r w:rsidRPr="007E278E">
        <w:rPr>
          <w:b/>
          <w:sz w:val="28"/>
          <w:szCs w:val="28"/>
        </w:rPr>
        <w:t>Bartleman</w:t>
      </w:r>
      <w:proofErr w:type="spellEnd"/>
      <w:r w:rsidR="00332B6C" w:rsidRPr="007E278E">
        <w:rPr>
          <w:b/>
          <w:sz w:val="28"/>
          <w:szCs w:val="28"/>
        </w:rPr>
        <w:t xml:space="preserve"> Property</w:t>
      </w:r>
    </w:p>
    <w:p w14:paraId="42B09D2B" w14:textId="77777777" w:rsidR="00332B6C" w:rsidRPr="006D35A5" w:rsidRDefault="00332B6C" w:rsidP="003D18AC">
      <w:pPr>
        <w:rPr>
          <w:sz w:val="22"/>
          <w:szCs w:val="22"/>
        </w:rPr>
      </w:pPr>
    </w:p>
    <w:p w14:paraId="0C8A4E18" w14:textId="504AA255" w:rsidR="003D18AC" w:rsidRPr="006D35A5" w:rsidRDefault="00865705" w:rsidP="007E278E">
      <w:pPr>
        <w:jc w:val="both"/>
        <w:rPr>
          <w:sz w:val="22"/>
          <w:szCs w:val="22"/>
        </w:rPr>
      </w:pPr>
      <w:r>
        <w:rPr>
          <w:b/>
          <w:sz w:val="22"/>
          <w:szCs w:val="22"/>
        </w:rPr>
        <w:t>Toronto – September 9</w:t>
      </w:r>
      <w:bookmarkStart w:id="0" w:name="_GoBack"/>
      <w:bookmarkEnd w:id="0"/>
      <w:r w:rsidR="006D35A5" w:rsidRPr="006D35A5">
        <w:rPr>
          <w:b/>
          <w:sz w:val="22"/>
          <w:szCs w:val="22"/>
        </w:rPr>
        <w:t>, 2014 – Renforth Resources Inc. (CSE: RFR)</w:t>
      </w:r>
      <w:r w:rsidR="006D35A5" w:rsidRPr="006D35A5">
        <w:rPr>
          <w:sz w:val="22"/>
          <w:szCs w:val="22"/>
        </w:rPr>
        <w:t xml:space="preserve"> (“</w:t>
      </w:r>
      <w:r w:rsidR="006D35A5" w:rsidRPr="006D35A5">
        <w:rPr>
          <w:b/>
          <w:sz w:val="22"/>
          <w:szCs w:val="22"/>
        </w:rPr>
        <w:t>Renforth</w:t>
      </w:r>
      <w:r w:rsidR="006D35A5" w:rsidRPr="006D35A5">
        <w:rPr>
          <w:sz w:val="22"/>
          <w:szCs w:val="22"/>
        </w:rPr>
        <w:t>” or the “</w:t>
      </w:r>
      <w:r w:rsidR="006D35A5" w:rsidRPr="006D35A5">
        <w:rPr>
          <w:b/>
          <w:sz w:val="22"/>
          <w:szCs w:val="22"/>
        </w:rPr>
        <w:t>Company</w:t>
      </w:r>
      <w:r w:rsidR="006D35A5" w:rsidRPr="006D35A5">
        <w:rPr>
          <w:sz w:val="22"/>
          <w:szCs w:val="22"/>
        </w:rPr>
        <w:t>”)</w:t>
      </w:r>
      <w:r w:rsidR="003D18AC" w:rsidRPr="006D35A5">
        <w:rPr>
          <w:sz w:val="22"/>
          <w:szCs w:val="22"/>
        </w:rPr>
        <w:t xml:space="preserve"> is pleased to report that it has completed a reconnaissance </w:t>
      </w:r>
      <w:r w:rsidR="00332B6C" w:rsidRPr="006D35A5">
        <w:rPr>
          <w:sz w:val="22"/>
          <w:szCs w:val="22"/>
        </w:rPr>
        <w:t xml:space="preserve">mapping and </w:t>
      </w:r>
      <w:r w:rsidR="003D18AC" w:rsidRPr="006D35A5">
        <w:rPr>
          <w:sz w:val="22"/>
          <w:szCs w:val="22"/>
        </w:rPr>
        <w:t>channel sampling program on its Nix</w:t>
      </w:r>
      <w:r w:rsidR="00C505F3" w:rsidRPr="006D35A5">
        <w:rPr>
          <w:sz w:val="22"/>
          <w:szCs w:val="22"/>
        </w:rPr>
        <w:t>on-</w:t>
      </w:r>
      <w:proofErr w:type="spellStart"/>
      <w:r w:rsidR="00C505F3" w:rsidRPr="006D35A5">
        <w:rPr>
          <w:sz w:val="22"/>
          <w:szCs w:val="22"/>
        </w:rPr>
        <w:t>Bartleman</w:t>
      </w:r>
      <w:proofErr w:type="spellEnd"/>
      <w:r w:rsidR="00C505F3" w:rsidRPr="006D35A5">
        <w:rPr>
          <w:sz w:val="22"/>
          <w:szCs w:val="22"/>
        </w:rPr>
        <w:t xml:space="preserve"> gold property, in Keefer and Hillary</w:t>
      </w:r>
      <w:r w:rsidR="003D18AC" w:rsidRPr="006D35A5">
        <w:rPr>
          <w:sz w:val="22"/>
          <w:szCs w:val="22"/>
        </w:rPr>
        <w:t xml:space="preserve"> Township</w:t>
      </w:r>
      <w:r w:rsidR="00C505F3" w:rsidRPr="006D35A5">
        <w:rPr>
          <w:sz w:val="22"/>
          <w:szCs w:val="22"/>
        </w:rPr>
        <w:t>s</w:t>
      </w:r>
      <w:r w:rsidR="003D18AC" w:rsidRPr="006D35A5">
        <w:rPr>
          <w:sz w:val="22"/>
          <w:szCs w:val="22"/>
        </w:rPr>
        <w:t xml:space="preserve">, </w:t>
      </w:r>
      <w:r w:rsidR="00C505F3" w:rsidRPr="006D35A5">
        <w:rPr>
          <w:sz w:val="22"/>
          <w:szCs w:val="22"/>
        </w:rPr>
        <w:t xml:space="preserve">west of Timmins, </w:t>
      </w:r>
      <w:r w:rsidR="003D18AC" w:rsidRPr="006D35A5">
        <w:rPr>
          <w:sz w:val="22"/>
          <w:szCs w:val="22"/>
        </w:rPr>
        <w:t>Ontario</w:t>
      </w:r>
      <w:r w:rsidR="00C505F3" w:rsidRPr="006D35A5">
        <w:rPr>
          <w:sz w:val="22"/>
          <w:szCs w:val="22"/>
        </w:rPr>
        <w:t xml:space="preserve"> (see acquisition press release Aug. 5, 2014)</w:t>
      </w:r>
      <w:r w:rsidR="003D18AC" w:rsidRPr="006D35A5">
        <w:rPr>
          <w:sz w:val="22"/>
          <w:szCs w:val="22"/>
        </w:rPr>
        <w:t>.  The property straddles the Porcupine</w:t>
      </w:r>
      <w:r w:rsidR="000D69EB" w:rsidRPr="006D35A5">
        <w:rPr>
          <w:sz w:val="22"/>
          <w:szCs w:val="22"/>
        </w:rPr>
        <w:t>-Destor</w:t>
      </w:r>
      <w:r w:rsidR="003D18AC" w:rsidRPr="006D35A5">
        <w:rPr>
          <w:sz w:val="22"/>
          <w:szCs w:val="22"/>
        </w:rPr>
        <w:t xml:space="preserve"> Fault Zone (“PDFZ”), which has produced over </w:t>
      </w:r>
      <w:r w:rsidR="00332B6C" w:rsidRPr="006D35A5">
        <w:rPr>
          <w:sz w:val="22"/>
          <w:szCs w:val="22"/>
        </w:rPr>
        <w:t xml:space="preserve">110 </w:t>
      </w:r>
      <w:r w:rsidR="003D18AC" w:rsidRPr="006D35A5">
        <w:rPr>
          <w:sz w:val="22"/>
          <w:szCs w:val="22"/>
        </w:rPr>
        <w:t>million ounces of gold</w:t>
      </w:r>
      <w:r w:rsidR="0005746F" w:rsidRPr="006D35A5">
        <w:rPr>
          <w:sz w:val="22"/>
          <w:szCs w:val="22"/>
        </w:rPr>
        <w:t xml:space="preserve"> since the early 1900’s</w:t>
      </w:r>
      <w:r w:rsidR="003D18AC" w:rsidRPr="006D35A5">
        <w:rPr>
          <w:sz w:val="22"/>
          <w:szCs w:val="22"/>
        </w:rPr>
        <w:t>.</w:t>
      </w:r>
    </w:p>
    <w:p w14:paraId="30E2AF88" w14:textId="77777777" w:rsidR="003D18AC" w:rsidRPr="006D35A5" w:rsidRDefault="003D18AC" w:rsidP="007E278E">
      <w:pPr>
        <w:jc w:val="both"/>
        <w:rPr>
          <w:sz w:val="22"/>
          <w:szCs w:val="22"/>
        </w:rPr>
      </w:pPr>
    </w:p>
    <w:p w14:paraId="0374D2D2" w14:textId="77777777" w:rsidR="003D18AC" w:rsidRPr="006D35A5" w:rsidRDefault="003D18AC" w:rsidP="007E278E">
      <w:pPr>
        <w:jc w:val="both"/>
        <w:rPr>
          <w:sz w:val="22"/>
          <w:szCs w:val="22"/>
        </w:rPr>
      </w:pPr>
      <w:r w:rsidRPr="006D35A5">
        <w:rPr>
          <w:sz w:val="22"/>
          <w:szCs w:val="22"/>
        </w:rPr>
        <w:t xml:space="preserve">Several historic trenches were located on the property within the </w:t>
      </w:r>
      <w:r w:rsidR="00C505F3" w:rsidRPr="006D35A5">
        <w:rPr>
          <w:sz w:val="22"/>
          <w:szCs w:val="22"/>
        </w:rPr>
        <w:t xml:space="preserve">previously stripped </w:t>
      </w:r>
      <w:r w:rsidRPr="006D35A5">
        <w:rPr>
          <w:sz w:val="22"/>
          <w:szCs w:val="22"/>
        </w:rPr>
        <w:t>mineralized zone and were sampled to validate the historic assay results.  The most significant channel sample assay interval</w:t>
      </w:r>
      <w:r w:rsidR="00C505F3" w:rsidRPr="006D35A5">
        <w:rPr>
          <w:sz w:val="22"/>
          <w:szCs w:val="22"/>
        </w:rPr>
        <w:t xml:space="preserve"> within the stripped area returned 9.4 g/t Au.  Interestingly, Renforth obtained a channel sample outside of the historically stripped area which </w:t>
      </w:r>
      <w:r w:rsidRPr="006D35A5">
        <w:rPr>
          <w:sz w:val="22"/>
          <w:szCs w:val="22"/>
        </w:rPr>
        <w:t>returned 22.1 g/t gold over 0.3 metres.  This interval comprises part of a larger interval</w:t>
      </w:r>
      <w:r w:rsidR="0005746F" w:rsidRPr="006D35A5">
        <w:rPr>
          <w:sz w:val="22"/>
          <w:szCs w:val="22"/>
        </w:rPr>
        <w:t>,</w:t>
      </w:r>
      <w:r w:rsidRPr="006D35A5">
        <w:rPr>
          <w:sz w:val="22"/>
          <w:szCs w:val="22"/>
        </w:rPr>
        <w:t xml:space="preserve"> which a</w:t>
      </w:r>
      <w:r w:rsidR="00C505F3" w:rsidRPr="006D35A5">
        <w:rPr>
          <w:sz w:val="22"/>
          <w:szCs w:val="22"/>
        </w:rPr>
        <w:t>veraged 13g/t gold o</w:t>
      </w:r>
      <w:r w:rsidRPr="006D35A5">
        <w:rPr>
          <w:sz w:val="22"/>
          <w:szCs w:val="22"/>
        </w:rPr>
        <w:t xml:space="preserve">ver 0.6 metres. </w:t>
      </w:r>
    </w:p>
    <w:p w14:paraId="33C870AC" w14:textId="77777777" w:rsidR="00B62A90" w:rsidRPr="006D35A5" w:rsidRDefault="00B62A90" w:rsidP="007E278E">
      <w:pPr>
        <w:jc w:val="both"/>
        <w:rPr>
          <w:sz w:val="22"/>
          <w:szCs w:val="22"/>
        </w:rPr>
      </w:pPr>
    </w:p>
    <w:p w14:paraId="2B973AAC" w14:textId="77777777" w:rsidR="00B62A90" w:rsidRPr="006D35A5" w:rsidRDefault="00B62A90" w:rsidP="007E278E">
      <w:pPr>
        <w:jc w:val="both"/>
        <w:rPr>
          <w:sz w:val="22"/>
          <w:szCs w:val="22"/>
        </w:rPr>
      </w:pPr>
      <w:r w:rsidRPr="006D35A5">
        <w:rPr>
          <w:sz w:val="22"/>
          <w:szCs w:val="22"/>
        </w:rPr>
        <w:t xml:space="preserve">The results of this program have validated the historic assays and have increased the size of the historic gold bearing zone, </w:t>
      </w:r>
      <w:r w:rsidR="00C505F3" w:rsidRPr="006D35A5">
        <w:rPr>
          <w:sz w:val="22"/>
          <w:szCs w:val="22"/>
        </w:rPr>
        <w:t xml:space="preserve">from a previous length of 200 </w:t>
      </w:r>
      <w:proofErr w:type="spellStart"/>
      <w:r w:rsidR="00C505F3" w:rsidRPr="006D35A5">
        <w:rPr>
          <w:sz w:val="22"/>
          <w:szCs w:val="22"/>
        </w:rPr>
        <w:t>metres</w:t>
      </w:r>
      <w:proofErr w:type="spellEnd"/>
      <w:r w:rsidR="00C505F3" w:rsidRPr="006D35A5">
        <w:rPr>
          <w:sz w:val="22"/>
          <w:szCs w:val="22"/>
        </w:rPr>
        <w:t xml:space="preserve"> to a length which is now over 450 </w:t>
      </w:r>
      <w:proofErr w:type="spellStart"/>
      <w:r w:rsidR="00C505F3" w:rsidRPr="006D35A5">
        <w:rPr>
          <w:sz w:val="22"/>
          <w:szCs w:val="22"/>
        </w:rPr>
        <w:t>metres</w:t>
      </w:r>
      <w:proofErr w:type="spellEnd"/>
      <w:r w:rsidR="00C505F3" w:rsidRPr="006D35A5">
        <w:rPr>
          <w:sz w:val="22"/>
          <w:szCs w:val="22"/>
        </w:rPr>
        <w:t>.</w:t>
      </w:r>
    </w:p>
    <w:p w14:paraId="63B29733" w14:textId="77777777" w:rsidR="003D18AC" w:rsidRPr="006D35A5" w:rsidRDefault="003D18AC" w:rsidP="003D18AC">
      <w:pPr>
        <w:rPr>
          <w:sz w:val="22"/>
          <w:szCs w:val="22"/>
        </w:rPr>
      </w:pPr>
    </w:p>
    <w:p w14:paraId="555F5AA4" w14:textId="77777777" w:rsidR="00523013" w:rsidRPr="006D35A5" w:rsidRDefault="003D18AC" w:rsidP="003D18AC">
      <w:pPr>
        <w:rPr>
          <w:sz w:val="22"/>
          <w:szCs w:val="22"/>
        </w:rPr>
      </w:pPr>
      <w:r w:rsidRPr="006D35A5">
        <w:rPr>
          <w:sz w:val="22"/>
          <w:szCs w:val="22"/>
        </w:rPr>
        <w:t>The results of this program are present on the following figure;</w:t>
      </w:r>
    </w:p>
    <w:p w14:paraId="46251A9F" w14:textId="26718485" w:rsidR="003D18AC" w:rsidRPr="006D35A5" w:rsidRDefault="006E1202" w:rsidP="003D18AC">
      <w:pPr>
        <w:rPr>
          <w:sz w:val="22"/>
          <w:szCs w:val="22"/>
        </w:rPr>
      </w:pPr>
      <w:r w:rsidRPr="006D35A5">
        <w:rPr>
          <w:noProof/>
          <w:sz w:val="22"/>
          <w:szCs w:val="22"/>
        </w:rPr>
        <w:lastRenderedPageBreak/>
        <w:drawing>
          <wp:inline distT="0" distB="0" distL="0" distR="0" wp14:anchorId="6BF5A5E6" wp14:editId="0A5D9249">
            <wp:extent cx="5710575" cy="4917440"/>
            <wp:effectExtent l="0" t="0" r="444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x-Bart shaft area assays press release map + legend.png"/>
                    <pic:cNvPicPr/>
                  </pic:nvPicPr>
                  <pic:blipFill>
                    <a:blip r:embed="rId5">
                      <a:extLst>
                        <a:ext uri="{28A0092B-C50C-407E-A947-70E740481C1C}">
                          <a14:useLocalDpi xmlns:a14="http://schemas.microsoft.com/office/drawing/2010/main" val="0"/>
                        </a:ext>
                      </a:extLst>
                    </a:blip>
                    <a:stretch>
                      <a:fillRect/>
                    </a:stretch>
                  </pic:blipFill>
                  <pic:spPr>
                    <a:xfrm>
                      <a:off x="0" y="0"/>
                      <a:ext cx="5710575" cy="4917440"/>
                    </a:xfrm>
                    <a:prstGeom prst="rect">
                      <a:avLst/>
                    </a:prstGeom>
                  </pic:spPr>
                </pic:pic>
              </a:graphicData>
            </a:graphic>
          </wp:inline>
        </w:drawing>
      </w:r>
    </w:p>
    <w:p w14:paraId="187B25D3" w14:textId="77777777" w:rsidR="003D18AC" w:rsidRPr="006D35A5" w:rsidRDefault="003D18AC" w:rsidP="003D18AC">
      <w:pPr>
        <w:rPr>
          <w:sz w:val="22"/>
          <w:szCs w:val="22"/>
        </w:rPr>
      </w:pPr>
    </w:p>
    <w:p w14:paraId="4B8F63B6" w14:textId="52C37392" w:rsidR="00C149F2" w:rsidRPr="006D35A5" w:rsidRDefault="006E1202" w:rsidP="007E278E">
      <w:pPr>
        <w:jc w:val="both"/>
        <w:rPr>
          <w:sz w:val="22"/>
          <w:szCs w:val="22"/>
        </w:rPr>
      </w:pPr>
      <w:r w:rsidRPr="006D35A5">
        <w:rPr>
          <w:b/>
          <w:sz w:val="22"/>
          <w:szCs w:val="22"/>
        </w:rPr>
        <w:t xml:space="preserve"> </w:t>
      </w:r>
      <w:r w:rsidR="00037098" w:rsidRPr="006D35A5">
        <w:rPr>
          <w:b/>
          <w:sz w:val="22"/>
          <w:szCs w:val="22"/>
        </w:rPr>
        <w:t>“</w:t>
      </w:r>
      <w:r w:rsidR="00B357BB" w:rsidRPr="006D35A5">
        <w:rPr>
          <w:b/>
          <w:sz w:val="22"/>
          <w:szCs w:val="22"/>
        </w:rPr>
        <w:t xml:space="preserve">The </w:t>
      </w:r>
      <w:r w:rsidR="007E278E">
        <w:rPr>
          <w:b/>
          <w:sz w:val="22"/>
          <w:szCs w:val="22"/>
        </w:rPr>
        <w:t>Nixon-</w:t>
      </w:r>
      <w:proofErr w:type="spellStart"/>
      <w:r w:rsidR="007E278E">
        <w:rPr>
          <w:b/>
          <w:sz w:val="22"/>
          <w:szCs w:val="22"/>
        </w:rPr>
        <w:t>Bartleman</w:t>
      </w:r>
      <w:proofErr w:type="spellEnd"/>
      <w:r w:rsidR="007E278E">
        <w:rPr>
          <w:b/>
          <w:sz w:val="22"/>
          <w:szCs w:val="22"/>
        </w:rPr>
        <w:t xml:space="preserve"> Property hosts </w:t>
      </w:r>
      <w:r w:rsidR="00037098" w:rsidRPr="006D35A5">
        <w:rPr>
          <w:b/>
          <w:sz w:val="22"/>
          <w:szCs w:val="22"/>
        </w:rPr>
        <w:t>classic structurally controlled gold mine</w:t>
      </w:r>
      <w:r w:rsidR="00B357BB" w:rsidRPr="006D35A5">
        <w:rPr>
          <w:b/>
          <w:sz w:val="22"/>
          <w:szCs w:val="22"/>
        </w:rPr>
        <w:t>r</w:t>
      </w:r>
      <w:r w:rsidR="00037098" w:rsidRPr="006D35A5">
        <w:rPr>
          <w:b/>
          <w:sz w:val="22"/>
          <w:szCs w:val="22"/>
        </w:rPr>
        <w:t>alization, the full extent of which has been largely ignored</w:t>
      </w:r>
      <w:r w:rsidR="00C149F2" w:rsidRPr="006D35A5">
        <w:rPr>
          <w:sz w:val="22"/>
          <w:szCs w:val="22"/>
        </w:rPr>
        <w:t xml:space="preserve">.   We are quite optimistic that there is much </w:t>
      </w:r>
      <w:r w:rsidR="00B357BB" w:rsidRPr="006D35A5">
        <w:rPr>
          <w:sz w:val="22"/>
          <w:szCs w:val="22"/>
        </w:rPr>
        <w:t xml:space="preserve">more to learn at this property as </w:t>
      </w:r>
      <w:r w:rsidR="00C149F2" w:rsidRPr="006D35A5">
        <w:rPr>
          <w:sz w:val="22"/>
          <w:szCs w:val="22"/>
        </w:rPr>
        <w:t>the full potential of this property, given its setting within such a prolific structure, has not been defined.  Additional exploration will be undertaken as funding permits in order to better define the structural setting of the main showing and explore known mineralized structures elsewhere on the property.  We will focus on the formulation of a structural interpretation conscious of the gold-bearing nature of the cross-cutting features.  This structural setting has proven fruitful in this camp and has not been examined on this property as yet.” states Nicole Brewster, President and CEO of Renforth.</w:t>
      </w:r>
    </w:p>
    <w:p w14:paraId="56F12A70" w14:textId="77777777" w:rsidR="00C149F2" w:rsidRPr="006D35A5" w:rsidRDefault="00C149F2" w:rsidP="007E278E">
      <w:pPr>
        <w:jc w:val="both"/>
        <w:rPr>
          <w:sz w:val="22"/>
          <w:szCs w:val="22"/>
        </w:rPr>
      </w:pPr>
    </w:p>
    <w:p w14:paraId="7CF5E50C" w14:textId="77777777" w:rsidR="00C149F2" w:rsidRPr="006D35A5" w:rsidRDefault="00C149F2" w:rsidP="007E278E">
      <w:pPr>
        <w:jc w:val="both"/>
        <w:rPr>
          <w:sz w:val="22"/>
          <w:szCs w:val="22"/>
        </w:rPr>
      </w:pPr>
      <w:r w:rsidRPr="006D35A5">
        <w:rPr>
          <w:sz w:val="22"/>
          <w:szCs w:val="22"/>
        </w:rPr>
        <w:t>Renforth has commenced a compilation of all historic information, both publicly filed and in private hands, which can be located on this property.  With the large volume of accessible information available Renforth is confident that the results of this compilation will be helpful in</w:t>
      </w:r>
      <w:r w:rsidR="00C505F3" w:rsidRPr="006D35A5">
        <w:rPr>
          <w:sz w:val="22"/>
          <w:szCs w:val="22"/>
        </w:rPr>
        <w:t xml:space="preserve"> </w:t>
      </w:r>
      <w:r w:rsidRPr="006D35A5">
        <w:rPr>
          <w:sz w:val="22"/>
          <w:szCs w:val="22"/>
        </w:rPr>
        <w:t>future exploration on the property.</w:t>
      </w:r>
    </w:p>
    <w:p w14:paraId="0060FFD0" w14:textId="77777777" w:rsidR="00C149F2" w:rsidRPr="006D35A5" w:rsidRDefault="00C149F2" w:rsidP="007E278E">
      <w:pPr>
        <w:jc w:val="both"/>
        <w:rPr>
          <w:sz w:val="22"/>
          <w:szCs w:val="22"/>
        </w:rPr>
      </w:pPr>
    </w:p>
    <w:p w14:paraId="27E23B88" w14:textId="64DC056F" w:rsidR="00C149F2" w:rsidRPr="006D35A5" w:rsidRDefault="006E1202" w:rsidP="007E278E">
      <w:pPr>
        <w:jc w:val="both"/>
        <w:rPr>
          <w:rFonts w:eastAsiaTheme="minorHAnsi" w:cs="Calibri"/>
          <w:iCs/>
          <w:sz w:val="22"/>
          <w:szCs w:val="22"/>
        </w:rPr>
      </w:pPr>
      <w:r w:rsidRPr="006D35A5">
        <w:rPr>
          <w:rFonts w:eastAsiaTheme="minorHAnsi" w:cs="Calibri"/>
          <w:iCs/>
          <w:sz w:val="22"/>
          <w:szCs w:val="22"/>
        </w:rPr>
        <w:t xml:space="preserve">Samples referred to in this press release were obtained in the field by, or under the supervision of, Brian H. Newton </w:t>
      </w:r>
      <w:proofErr w:type="spellStart"/>
      <w:r w:rsidRPr="006D35A5">
        <w:rPr>
          <w:rFonts w:eastAsiaTheme="minorHAnsi" w:cs="Calibri"/>
          <w:iCs/>
          <w:sz w:val="22"/>
          <w:szCs w:val="22"/>
        </w:rPr>
        <w:t>P.Geo</w:t>
      </w:r>
      <w:proofErr w:type="spellEnd"/>
      <w:r w:rsidRPr="006D35A5">
        <w:rPr>
          <w:rFonts w:eastAsiaTheme="minorHAnsi" w:cs="Calibri"/>
          <w:iCs/>
          <w:sz w:val="22"/>
          <w:szCs w:val="22"/>
        </w:rPr>
        <w:t xml:space="preserve">, a “qualified person” pursuant to the guidelines set out in National Instrument 43-101.  Once obtained the samples were bagged and tagged and personally delivered  to </w:t>
      </w:r>
      <w:proofErr w:type="spellStart"/>
      <w:r w:rsidRPr="006D35A5">
        <w:rPr>
          <w:rFonts w:eastAsiaTheme="minorHAnsi" w:cs="Calibri"/>
          <w:iCs/>
          <w:sz w:val="22"/>
          <w:szCs w:val="22"/>
        </w:rPr>
        <w:t>Agat</w:t>
      </w:r>
      <w:proofErr w:type="spellEnd"/>
      <w:r w:rsidRPr="006D35A5">
        <w:rPr>
          <w:rFonts w:eastAsiaTheme="minorHAnsi" w:cs="Calibri"/>
          <w:iCs/>
          <w:sz w:val="22"/>
          <w:szCs w:val="22"/>
        </w:rPr>
        <w:t xml:space="preserve"> Laboratories in Sudbury where they underwent analysis procedure 202-052 to fire assay for gold,  a gravimetric finish was used for </w:t>
      </w:r>
      <w:proofErr w:type="spellStart"/>
      <w:r w:rsidRPr="006D35A5">
        <w:rPr>
          <w:rFonts w:eastAsiaTheme="minorHAnsi" w:cs="Calibri"/>
          <w:iCs/>
          <w:sz w:val="22"/>
          <w:szCs w:val="22"/>
        </w:rPr>
        <w:t>overlimits</w:t>
      </w:r>
      <w:proofErr w:type="spellEnd"/>
      <w:r w:rsidRPr="006D35A5">
        <w:rPr>
          <w:rFonts w:eastAsiaTheme="minorHAnsi" w:cs="Calibri"/>
          <w:iCs/>
          <w:sz w:val="22"/>
          <w:szCs w:val="22"/>
        </w:rPr>
        <w:t xml:space="preserve">.  Mr. Brian H. Newton </w:t>
      </w:r>
      <w:proofErr w:type="spellStart"/>
      <w:r w:rsidRPr="006D35A5">
        <w:rPr>
          <w:rFonts w:eastAsiaTheme="minorHAnsi" w:cs="Calibri"/>
          <w:iCs/>
          <w:sz w:val="22"/>
          <w:szCs w:val="22"/>
        </w:rPr>
        <w:t>P.Geo</w:t>
      </w:r>
      <w:proofErr w:type="spellEnd"/>
      <w:r w:rsidRPr="006D35A5">
        <w:rPr>
          <w:rFonts w:eastAsiaTheme="minorHAnsi" w:cs="Calibri"/>
          <w:iCs/>
          <w:sz w:val="22"/>
          <w:szCs w:val="22"/>
        </w:rPr>
        <w:t xml:space="preserve"> has reviewed and approved the technical contents of this press release.</w:t>
      </w:r>
    </w:p>
    <w:p w14:paraId="28468767" w14:textId="77777777" w:rsidR="006D35A5" w:rsidRPr="006D35A5" w:rsidRDefault="006D35A5" w:rsidP="003D18AC">
      <w:pPr>
        <w:rPr>
          <w:rFonts w:eastAsiaTheme="minorHAnsi" w:cs="Calibri"/>
          <w:iCs/>
          <w:sz w:val="22"/>
          <w:szCs w:val="22"/>
        </w:rPr>
      </w:pPr>
    </w:p>
    <w:p w14:paraId="0FD12A13" w14:textId="77777777" w:rsidR="006D35A5" w:rsidRPr="006D35A5" w:rsidRDefault="006D35A5" w:rsidP="006D35A5">
      <w:pPr>
        <w:autoSpaceDE w:val="0"/>
        <w:autoSpaceDN w:val="0"/>
        <w:adjustRightInd w:val="0"/>
        <w:jc w:val="both"/>
        <w:rPr>
          <w:rFonts w:ascii="Cambria" w:hAnsi="Cambria"/>
          <w:b/>
          <w:color w:val="000000"/>
          <w:sz w:val="22"/>
          <w:szCs w:val="22"/>
        </w:rPr>
      </w:pPr>
      <w:r w:rsidRPr="006D35A5">
        <w:rPr>
          <w:rFonts w:ascii="Cambria" w:hAnsi="Cambria"/>
          <w:b/>
          <w:color w:val="000000"/>
          <w:sz w:val="22"/>
          <w:szCs w:val="22"/>
        </w:rPr>
        <w:t xml:space="preserve">ABOUT RENFORTH </w:t>
      </w:r>
    </w:p>
    <w:p w14:paraId="6647E694" w14:textId="77777777" w:rsidR="006D35A5" w:rsidRPr="006D35A5" w:rsidRDefault="006D35A5" w:rsidP="006D35A5">
      <w:pPr>
        <w:jc w:val="both"/>
        <w:rPr>
          <w:rFonts w:ascii="Cambria" w:hAnsi="Cambria"/>
          <w:color w:val="000000"/>
          <w:sz w:val="22"/>
          <w:szCs w:val="22"/>
        </w:rPr>
      </w:pPr>
    </w:p>
    <w:p w14:paraId="6F65A723" w14:textId="77777777" w:rsidR="006D35A5" w:rsidRPr="006D35A5" w:rsidRDefault="006D35A5" w:rsidP="006D35A5">
      <w:pPr>
        <w:jc w:val="both"/>
        <w:rPr>
          <w:rFonts w:ascii="Cambria" w:hAnsi="Cambria"/>
          <w:color w:val="000000"/>
          <w:sz w:val="22"/>
          <w:szCs w:val="22"/>
        </w:rPr>
      </w:pPr>
      <w:r w:rsidRPr="006D35A5">
        <w:rPr>
          <w:rFonts w:ascii="Cambria" w:hAnsi="Cambria"/>
          <w:color w:val="000000"/>
          <w:sz w:val="22"/>
          <w:szCs w:val="22"/>
        </w:rPr>
        <w:t>Renforth Resources Inc. is a Toronto-based gold exploration company with interests in two of Canada’s gold exploration camps, the New Alger project located on the Cadillac Break outside of Rouyn, Quebec and the Nixon-</w:t>
      </w:r>
      <w:proofErr w:type="spellStart"/>
      <w:r w:rsidRPr="006D35A5">
        <w:rPr>
          <w:rFonts w:ascii="Cambria" w:hAnsi="Cambria"/>
          <w:color w:val="000000"/>
          <w:sz w:val="22"/>
          <w:szCs w:val="22"/>
        </w:rPr>
        <w:t>Bartleman</w:t>
      </w:r>
      <w:proofErr w:type="spellEnd"/>
      <w:r w:rsidRPr="006D35A5">
        <w:rPr>
          <w:rFonts w:ascii="Cambria" w:hAnsi="Cambria"/>
          <w:color w:val="000000"/>
          <w:sz w:val="22"/>
          <w:szCs w:val="22"/>
        </w:rPr>
        <w:t xml:space="preserve"> project, located on the Porcupine-</w:t>
      </w:r>
      <w:proofErr w:type="spellStart"/>
      <w:r w:rsidRPr="006D35A5">
        <w:rPr>
          <w:rFonts w:ascii="Cambria" w:hAnsi="Cambria"/>
          <w:color w:val="000000"/>
          <w:sz w:val="22"/>
          <w:szCs w:val="22"/>
        </w:rPr>
        <w:t>Destor</w:t>
      </w:r>
      <w:proofErr w:type="spellEnd"/>
      <w:r w:rsidRPr="006D35A5">
        <w:rPr>
          <w:rFonts w:ascii="Cambria" w:hAnsi="Cambria"/>
          <w:color w:val="000000"/>
          <w:sz w:val="22"/>
          <w:szCs w:val="22"/>
        </w:rPr>
        <w:t xml:space="preserve"> fault in the West Timmins Mining area.</w:t>
      </w:r>
    </w:p>
    <w:p w14:paraId="29C9CEB8" w14:textId="77777777" w:rsidR="006D35A5" w:rsidRPr="006D35A5" w:rsidRDefault="006D35A5" w:rsidP="006D35A5">
      <w:pPr>
        <w:spacing w:before="100" w:beforeAutospacing="1" w:after="120"/>
        <w:rPr>
          <w:rFonts w:ascii="Cambria" w:hAnsi="Cambria"/>
          <w:color w:val="000000"/>
          <w:sz w:val="22"/>
          <w:szCs w:val="22"/>
        </w:rPr>
      </w:pPr>
      <w:r w:rsidRPr="006D35A5">
        <w:rPr>
          <w:rFonts w:ascii="Cambria" w:hAnsi="Cambria"/>
          <w:color w:val="000000"/>
          <w:sz w:val="22"/>
          <w:szCs w:val="22"/>
        </w:rPr>
        <w:t>For further information please contact:</w:t>
      </w:r>
    </w:p>
    <w:p w14:paraId="3E0C3CFD" w14:textId="77777777" w:rsidR="006D35A5" w:rsidRPr="006D35A5" w:rsidRDefault="006D35A5" w:rsidP="006D35A5">
      <w:pPr>
        <w:autoSpaceDE w:val="0"/>
        <w:autoSpaceDN w:val="0"/>
        <w:adjustRightInd w:val="0"/>
        <w:outlineLvl w:val="0"/>
        <w:rPr>
          <w:rFonts w:ascii="Cambria" w:hAnsi="Cambria"/>
          <w:b/>
          <w:color w:val="000000"/>
          <w:sz w:val="22"/>
          <w:szCs w:val="22"/>
          <w:lang w:val="en-CA" w:eastAsia="en-CA"/>
        </w:rPr>
      </w:pPr>
      <w:r w:rsidRPr="006D35A5">
        <w:rPr>
          <w:rFonts w:ascii="Cambria" w:hAnsi="Cambria"/>
          <w:b/>
          <w:color w:val="000000"/>
          <w:sz w:val="22"/>
          <w:szCs w:val="22"/>
          <w:lang w:val="en-CA" w:eastAsia="en-CA"/>
        </w:rPr>
        <w:t>Renforth Resources Inc.</w:t>
      </w:r>
    </w:p>
    <w:p w14:paraId="768C8F12" w14:textId="77777777" w:rsidR="006D35A5" w:rsidRPr="006D35A5" w:rsidRDefault="006D35A5" w:rsidP="006D35A5">
      <w:pPr>
        <w:autoSpaceDE w:val="0"/>
        <w:autoSpaceDN w:val="0"/>
        <w:adjustRightInd w:val="0"/>
        <w:outlineLvl w:val="0"/>
        <w:rPr>
          <w:rFonts w:ascii="Cambria" w:hAnsi="Cambria"/>
          <w:bCs/>
          <w:color w:val="000000"/>
          <w:sz w:val="22"/>
          <w:szCs w:val="22"/>
          <w:lang w:val="en-CA" w:eastAsia="en-CA"/>
        </w:rPr>
      </w:pPr>
      <w:r w:rsidRPr="006D35A5">
        <w:rPr>
          <w:rFonts w:ascii="Cambria" w:hAnsi="Cambria"/>
          <w:bCs/>
          <w:color w:val="000000"/>
          <w:sz w:val="22"/>
          <w:szCs w:val="22"/>
          <w:lang w:val="en-CA" w:eastAsia="en-CA"/>
        </w:rPr>
        <w:t>Nicole Brewster</w:t>
      </w:r>
    </w:p>
    <w:p w14:paraId="0959AB97" w14:textId="77777777" w:rsidR="006D35A5" w:rsidRPr="006D35A5" w:rsidRDefault="006D35A5" w:rsidP="006D35A5">
      <w:pPr>
        <w:autoSpaceDE w:val="0"/>
        <w:autoSpaceDN w:val="0"/>
        <w:adjustRightInd w:val="0"/>
        <w:outlineLvl w:val="0"/>
        <w:rPr>
          <w:rFonts w:ascii="Cambria" w:hAnsi="Cambria"/>
          <w:color w:val="000000"/>
          <w:sz w:val="22"/>
          <w:szCs w:val="22"/>
          <w:lang w:val="en-CA" w:eastAsia="en-CA"/>
        </w:rPr>
      </w:pPr>
      <w:r w:rsidRPr="006D35A5">
        <w:rPr>
          <w:rFonts w:ascii="Cambria" w:hAnsi="Cambria"/>
          <w:color w:val="000000"/>
          <w:sz w:val="22"/>
          <w:szCs w:val="22"/>
          <w:lang w:val="en-CA" w:eastAsia="en-CA"/>
        </w:rPr>
        <w:t>President and Chief Executive Officer</w:t>
      </w:r>
    </w:p>
    <w:p w14:paraId="501871AF" w14:textId="77777777" w:rsidR="006D35A5" w:rsidRPr="006D35A5" w:rsidRDefault="006D35A5" w:rsidP="006D35A5">
      <w:pPr>
        <w:autoSpaceDE w:val="0"/>
        <w:autoSpaceDN w:val="0"/>
        <w:adjustRightInd w:val="0"/>
        <w:rPr>
          <w:rFonts w:ascii="Cambria" w:hAnsi="Cambria"/>
          <w:color w:val="000000"/>
          <w:sz w:val="22"/>
          <w:szCs w:val="22"/>
          <w:lang w:val="fr-CA" w:eastAsia="en-CA"/>
        </w:rPr>
      </w:pPr>
      <w:r w:rsidRPr="006D35A5">
        <w:rPr>
          <w:rFonts w:ascii="Cambria" w:hAnsi="Cambria"/>
          <w:bCs/>
          <w:color w:val="000000"/>
          <w:sz w:val="22"/>
          <w:szCs w:val="22"/>
          <w:lang w:val="fr-CA" w:eastAsia="en-CA"/>
        </w:rPr>
        <w:t xml:space="preserve">T: </w:t>
      </w:r>
      <w:r w:rsidRPr="006D35A5">
        <w:rPr>
          <w:rFonts w:ascii="Cambria" w:hAnsi="Cambria"/>
          <w:color w:val="000000"/>
          <w:sz w:val="22"/>
          <w:szCs w:val="22"/>
          <w:lang w:val="fr-CA" w:eastAsia="en-CA"/>
        </w:rPr>
        <w:t xml:space="preserve">(416) 368.5049   </w:t>
      </w:r>
    </w:p>
    <w:p w14:paraId="54CE1865" w14:textId="77777777" w:rsidR="006D35A5" w:rsidRPr="006D35A5" w:rsidRDefault="006D35A5" w:rsidP="006D35A5">
      <w:pPr>
        <w:autoSpaceDE w:val="0"/>
        <w:autoSpaceDN w:val="0"/>
        <w:adjustRightInd w:val="0"/>
        <w:rPr>
          <w:rFonts w:ascii="Cambria" w:hAnsi="Cambria"/>
          <w:color w:val="000000"/>
          <w:sz w:val="22"/>
          <w:szCs w:val="22"/>
          <w:lang w:val="fr-CA" w:eastAsia="en-CA"/>
        </w:rPr>
      </w:pPr>
      <w:r w:rsidRPr="006D35A5">
        <w:rPr>
          <w:rFonts w:ascii="Cambria" w:hAnsi="Cambria"/>
          <w:bCs/>
          <w:color w:val="000000"/>
          <w:sz w:val="22"/>
          <w:szCs w:val="22"/>
          <w:lang w:val="fr-CA" w:eastAsia="en-CA"/>
        </w:rPr>
        <w:t xml:space="preserve">E: </w:t>
      </w:r>
      <w:r w:rsidRPr="006D35A5">
        <w:rPr>
          <w:rFonts w:ascii="Cambria" w:hAnsi="Cambria"/>
          <w:color w:val="000000"/>
          <w:sz w:val="22"/>
          <w:szCs w:val="22"/>
          <w:lang w:val="fr-CA" w:eastAsia="en-CA"/>
        </w:rPr>
        <w:t xml:space="preserve">nicole@renforthresources.com </w:t>
      </w:r>
    </w:p>
    <w:p w14:paraId="018AC206" w14:textId="77777777" w:rsidR="006D35A5" w:rsidRPr="006D35A5" w:rsidRDefault="006D35A5" w:rsidP="006D35A5">
      <w:pPr>
        <w:autoSpaceDE w:val="0"/>
        <w:autoSpaceDN w:val="0"/>
        <w:adjustRightInd w:val="0"/>
        <w:jc w:val="center"/>
        <w:rPr>
          <w:rFonts w:ascii="Cambria" w:hAnsi="Cambria"/>
          <w:color w:val="000000"/>
          <w:sz w:val="22"/>
          <w:szCs w:val="22"/>
          <w:lang w:val="fr-CA" w:eastAsia="en-CA"/>
        </w:rPr>
      </w:pPr>
    </w:p>
    <w:p w14:paraId="4341FFCD" w14:textId="77777777" w:rsidR="006D35A5" w:rsidRPr="006D35A5" w:rsidRDefault="006D35A5" w:rsidP="006D35A5">
      <w:pPr>
        <w:autoSpaceDE w:val="0"/>
        <w:autoSpaceDN w:val="0"/>
        <w:adjustRightInd w:val="0"/>
        <w:jc w:val="center"/>
        <w:rPr>
          <w:rFonts w:ascii="Cambria" w:hAnsi="Cambria"/>
          <w:color w:val="000000"/>
          <w:sz w:val="22"/>
          <w:szCs w:val="22"/>
          <w:lang w:val="en-CA" w:eastAsia="en-CA"/>
        </w:rPr>
      </w:pPr>
      <w:r w:rsidRPr="006D35A5">
        <w:rPr>
          <w:rFonts w:ascii="Cambria" w:hAnsi="Cambria"/>
          <w:i/>
          <w:color w:val="000000"/>
          <w:sz w:val="22"/>
          <w:szCs w:val="22"/>
          <w:lang w:val="en-CA" w:eastAsia="en-CA"/>
        </w:rPr>
        <w:t>No securities regulatory authority has approved or disapproved of the contents of this news release.</w:t>
      </w:r>
    </w:p>
    <w:p w14:paraId="55FF27F9" w14:textId="77777777" w:rsidR="006D35A5" w:rsidRPr="006D35A5" w:rsidRDefault="006D35A5" w:rsidP="006D35A5">
      <w:pPr>
        <w:pStyle w:val="Default"/>
        <w:rPr>
          <w:rFonts w:asciiTheme="minorHAnsi" w:hAnsiTheme="minorHAnsi"/>
          <w:sz w:val="22"/>
          <w:szCs w:val="22"/>
        </w:rPr>
      </w:pPr>
    </w:p>
    <w:p w14:paraId="38AD7238" w14:textId="77777777" w:rsidR="006D35A5" w:rsidRPr="006D35A5" w:rsidRDefault="006D35A5" w:rsidP="006D35A5">
      <w:pPr>
        <w:pStyle w:val="Default"/>
        <w:rPr>
          <w:rFonts w:asciiTheme="minorHAnsi" w:hAnsiTheme="minorHAnsi"/>
          <w:sz w:val="22"/>
          <w:szCs w:val="22"/>
          <w:u w:val="single"/>
        </w:rPr>
      </w:pPr>
      <w:r w:rsidRPr="006D35A5">
        <w:rPr>
          <w:rFonts w:asciiTheme="minorHAnsi" w:hAnsiTheme="minorHAnsi"/>
          <w:sz w:val="22"/>
          <w:szCs w:val="22"/>
          <w:u w:val="single"/>
        </w:rPr>
        <w:t xml:space="preserve">Forward Looking Statements </w:t>
      </w:r>
    </w:p>
    <w:p w14:paraId="7103A45C" w14:textId="77777777" w:rsidR="006D35A5" w:rsidRPr="006D35A5" w:rsidRDefault="006D35A5" w:rsidP="006D35A5">
      <w:pPr>
        <w:pStyle w:val="Default"/>
        <w:rPr>
          <w:rFonts w:asciiTheme="minorHAnsi" w:hAnsiTheme="minorHAnsi"/>
          <w:sz w:val="22"/>
          <w:szCs w:val="22"/>
        </w:rPr>
      </w:pPr>
    </w:p>
    <w:p w14:paraId="33C54B58" w14:textId="32EA4A18" w:rsidR="006D35A5" w:rsidRPr="006D35A5" w:rsidRDefault="006D35A5" w:rsidP="006D35A5">
      <w:pPr>
        <w:rPr>
          <w:sz w:val="22"/>
          <w:szCs w:val="22"/>
        </w:rPr>
      </w:pPr>
      <w:r w:rsidRPr="006D35A5">
        <w:rPr>
          <w:sz w:val="22"/>
          <w:szCs w:val="22"/>
        </w:rPr>
        <w:t xml:space="preserve">This news release contains forward-looking statements and information under applicable securities laws.  All statements, other than statements of historical fact, are forward looking. Forward-looking statements are frequently identified by such words as ‘may’, ‘will’, ‘plan’, ‘expect’, ‘believe’, ‘anticipate’, ‘estimate’, ‘intend’ and similar words referring to future events and results. Such statements and information are based on the current opinions and expectations of management. All forward-looking information is inherently uncertain and subject to a variety of assumptions, risks and uncertainties, including the speculative nature of mineral exploration and development, fluctuating commodity prices, the risks of obtaining necessary approvals, licenses and permits and the availability of financing, as described in more detail in the Company’s securities filings available at www.sedar.com. Actual events or results may differ materially from those projected in the forward-looking statements and the reader is cautioned against placing undue reliance thereon. Forward-looking information speaks only as of the date on which it is provided and the Company assumes no obligation to revise or update these forward-looking statements except as required by applicable law. </w:t>
      </w:r>
    </w:p>
    <w:p w14:paraId="32E8346E" w14:textId="77777777" w:rsidR="006D35A5" w:rsidRPr="006D35A5" w:rsidRDefault="006D35A5" w:rsidP="006D35A5">
      <w:pPr>
        <w:jc w:val="both"/>
        <w:rPr>
          <w:sz w:val="22"/>
          <w:szCs w:val="22"/>
        </w:rPr>
      </w:pPr>
    </w:p>
    <w:p w14:paraId="1130220D" w14:textId="77777777" w:rsidR="006D35A5" w:rsidRPr="006D35A5" w:rsidRDefault="006D35A5" w:rsidP="006D35A5">
      <w:pPr>
        <w:jc w:val="both"/>
        <w:rPr>
          <w:sz w:val="22"/>
          <w:szCs w:val="22"/>
        </w:rPr>
      </w:pPr>
    </w:p>
    <w:p w14:paraId="34C54ABE" w14:textId="77777777" w:rsidR="006D35A5" w:rsidRPr="006D35A5" w:rsidRDefault="006D35A5" w:rsidP="003D18AC">
      <w:pPr>
        <w:rPr>
          <w:sz w:val="22"/>
          <w:szCs w:val="22"/>
        </w:rPr>
      </w:pPr>
    </w:p>
    <w:sectPr w:rsidR="006D35A5" w:rsidRPr="006D35A5" w:rsidSect="005230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AC"/>
    <w:rsid w:val="00037098"/>
    <w:rsid w:val="0005746F"/>
    <w:rsid w:val="000D69EB"/>
    <w:rsid w:val="002B2915"/>
    <w:rsid w:val="00332B6C"/>
    <w:rsid w:val="003D18AC"/>
    <w:rsid w:val="00523013"/>
    <w:rsid w:val="005E0306"/>
    <w:rsid w:val="00630389"/>
    <w:rsid w:val="006D35A5"/>
    <w:rsid w:val="006E1202"/>
    <w:rsid w:val="007E278E"/>
    <w:rsid w:val="007F1AE4"/>
    <w:rsid w:val="00865705"/>
    <w:rsid w:val="00A64121"/>
    <w:rsid w:val="00B357BB"/>
    <w:rsid w:val="00B62A90"/>
    <w:rsid w:val="00C149F2"/>
    <w:rsid w:val="00C505F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1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A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8AC"/>
    <w:rPr>
      <w:rFonts w:ascii="Tahoma" w:hAnsi="Tahoma" w:cs="Tahoma"/>
      <w:sz w:val="16"/>
      <w:szCs w:val="16"/>
    </w:rPr>
  </w:style>
  <w:style w:type="character" w:customStyle="1" w:styleId="BalloonTextChar">
    <w:name w:val="Balloon Text Char"/>
    <w:basedOn w:val="DefaultParagraphFont"/>
    <w:link w:val="BalloonText"/>
    <w:uiPriority w:val="99"/>
    <w:semiHidden/>
    <w:rsid w:val="003D18AC"/>
    <w:rPr>
      <w:rFonts w:ascii="Tahoma" w:eastAsiaTheme="minorEastAsia" w:hAnsi="Tahoma" w:cs="Tahoma"/>
      <w:sz w:val="16"/>
      <w:szCs w:val="16"/>
      <w:lang w:val="en-US"/>
    </w:rPr>
  </w:style>
  <w:style w:type="paragraph" w:customStyle="1" w:styleId="Default">
    <w:name w:val="Default"/>
    <w:rsid w:val="006D35A5"/>
    <w:pPr>
      <w:autoSpaceDE w:val="0"/>
      <w:autoSpaceDN w:val="0"/>
      <w:adjustRightInd w:val="0"/>
      <w:spacing w:after="0" w:line="240" w:lineRule="auto"/>
    </w:pPr>
    <w:rPr>
      <w:rFonts w:ascii="Arial" w:eastAsiaTheme="minorEastAsia" w:hAnsi="Arial" w:cs="Arial"/>
      <w:color w:val="000000"/>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A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8AC"/>
    <w:rPr>
      <w:rFonts w:ascii="Tahoma" w:hAnsi="Tahoma" w:cs="Tahoma"/>
      <w:sz w:val="16"/>
      <w:szCs w:val="16"/>
    </w:rPr>
  </w:style>
  <w:style w:type="character" w:customStyle="1" w:styleId="BalloonTextChar">
    <w:name w:val="Balloon Text Char"/>
    <w:basedOn w:val="DefaultParagraphFont"/>
    <w:link w:val="BalloonText"/>
    <w:uiPriority w:val="99"/>
    <w:semiHidden/>
    <w:rsid w:val="003D18AC"/>
    <w:rPr>
      <w:rFonts w:ascii="Tahoma" w:eastAsiaTheme="minorEastAsia" w:hAnsi="Tahoma" w:cs="Tahoma"/>
      <w:sz w:val="16"/>
      <w:szCs w:val="16"/>
      <w:lang w:val="en-US"/>
    </w:rPr>
  </w:style>
  <w:style w:type="paragraph" w:customStyle="1" w:styleId="Default">
    <w:name w:val="Default"/>
    <w:rsid w:val="006D35A5"/>
    <w:pPr>
      <w:autoSpaceDE w:val="0"/>
      <w:autoSpaceDN w:val="0"/>
      <w:adjustRightInd w:val="0"/>
      <w:spacing w:after="0" w:line="240" w:lineRule="auto"/>
    </w:pPr>
    <w:rPr>
      <w:rFonts w:ascii="Arial" w:eastAsiaTheme="minorEastAsia" w:hAnsi="Arial" w:cs="Arial"/>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kyle appleby</cp:lastModifiedBy>
  <cp:revision>4</cp:revision>
  <dcterms:created xsi:type="dcterms:W3CDTF">2014-09-09T17:16:00Z</dcterms:created>
  <dcterms:modified xsi:type="dcterms:W3CDTF">2014-09-09T17:34:00Z</dcterms:modified>
</cp:coreProperties>
</file>