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ind w:left="0" w:firstLine="0"/>
        <w:contextualSpacing w:val="0"/>
      </w:pPr>
      <w:r w:rsidRPr="00000000" w:rsidR="00000000" w:rsidDel="00000000">
        <w:rPr>
          <w:rFonts w:cs="Garamond" w:hAnsi="Garamond" w:eastAsia="Garamond" w:ascii="Garamond"/>
          <w:b w:val="1"/>
          <w:sz w:val="22"/>
          <w:highlight w:val="white"/>
          <w:vertAlign w:val="baseline"/>
          <w:rtl w:val="0"/>
        </w:rPr>
        <w:t xml:space="preserve">FOR IMMEDIATE RELEASE</w:t>
        <w:tab/>
        <w:tab/>
        <w:t xml:space="preserve">CONTACT: </w:t>
        <w:tab/>
        <w:t xml:space="preserve">Matt DiDio, VP Sales and Marketing</w:t>
      </w:r>
      <w:r w:rsidRPr="00000000" w:rsidR="00000000" w:rsidDel="00000000">
        <w:rPr>
          <w:rFonts w:cs="Garamond" w:hAnsi="Garamond" w:eastAsia="Garamond" w:ascii="Garamond"/>
          <w:sz w:val="22"/>
          <w:highlight w:val="white"/>
          <w:vertAlign w:val="baseline"/>
          <w:rtl w:val="0"/>
        </w:rPr>
        <w:tab/>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Fonts w:cs="Garamond" w:hAnsi="Garamond" w:eastAsia="Garamond" w:ascii="Garamond"/>
          <w:sz w:val="22"/>
          <w:highlight w:val="white"/>
          <w:vertAlign w:val="baseline"/>
          <w:rtl w:val="0"/>
        </w:rPr>
        <w:tab/>
        <w:tab/>
        <w:tab/>
        <w:tab/>
        <w:tab/>
        <w:tab/>
        <w:tab/>
        <w:tab/>
        <w:t xml:space="preserve">mdidio@axiosma.com</w:t>
        <w:tab/>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Fonts w:cs="Garamond" w:hAnsi="Garamond" w:eastAsia="Garamond" w:ascii="Garamond"/>
          <w:sz w:val="22"/>
          <w:highlight w:val="white"/>
          <w:vertAlign w:val="baseline"/>
          <w:rtl w:val="0"/>
        </w:rPr>
        <w:tab/>
        <w:tab/>
        <w:tab/>
        <w:tab/>
        <w:tab/>
        <w:tab/>
        <w:tab/>
        <w:tab/>
        <w:t xml:space="preserve">877.762.9467 x201</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Fonts w:cs="Garamond" w:hAnsi="Garamond" w:eastAsia="Garamond" w:ascii="Garamond"/>
          <w:sz w:val="22"/>
          <w:highlight w:val="white"/>
          <w:vertAlign w:val="baseline"/>
          <w:rtl w:val="0"/>
        </w:rPr>
        <w:tab/>
        <w:tab/>
        <w:tab/>
        <w:tab/>
        <w:tab/>
        <w:tab/>
        <w:tab/>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Fonts w:cs="Garamond" w:hAnsi="Garamond" w:eastAsia="Garamond" w:ascii="Garamond"/>
          <w:sz w:val="22"/>
          <w:highlight w:val="white"/>
          <w:vertAlign w:val="baseline"/>
          <w:rtl w:val="0"/>
        </w:rPr>
        <w:tab/>
        <w:tab/>
        <w:tab/>
        <w:tab/>
        <w:tab/>
        <w:tab/>
        <w:tab/>
        <w:tab/>
      </w:r>
      <w:r w:rsidRPr="00000000" w:rsidR="00000000" w:rsidDel="00000000">
        <w:rPr>
          <w:rtl w:val="0"/>
        </w:rPr>
      </w:r>
    </w:p>
    <w:p w:rsidP="00000000" w:rsidRPr="00000000" w:rsidR="00000000" w:rsidDel="00000000" w:rsidRDefault="00000000">
      <w:pPr>
        <w:spacing w:lineRule="auto" w:after="40"/>
        <w:contextualSpacing w:val="0"/>
        <w:jc w:val="center"/>
        <w:rPr/>
      </w:pPr>
      <w:r w:rsidRPr="00000000" w:rsidR="00000000" w:rsidDel="00000000">
        <w:rPr>
          <w:rFonts w:cs="Garamond" w:hAnsi="Garamond" w:eastAsia="Garamond" w:ascii="Garamond"/>
          <w:b w:val="1"/>
          <w:sz w:val="32"/>
          <w:highlight w:val="white"/>
          <w:vertAlign w:val="baseline"/>
          <w:rtl w:val="0"/>
        </w:rPr>
        <w:t xml:space="preserve">Axios Mobile Assets Corp. </w:t>
      </w:r>
      <w:r w:rsidRPr="00000000" w:rsidR="00000000" w:rsidDel="00000000">
        <w:rPr>
          <w:rFonts w:cs="Garamond" w:hAnsi="Garamond" w:eastAsia="Garamond" w:ascii="Garamond"/>
          <w:b w:val="1"/>
          <w:sz w:val="28"/>
          <w:highlight w:val="white"/>
          <w:rtl w:val="0"/>
        </w:rPr>
        <w:t xml:space="preserve">Appoints New President of Axios Logistics Solutions Inc.</w:t>
      </w:r>
    </w:p>
    <w:p w:rsidP="00000000" w:rsidRPr="00000000" w:rsidR="00000000" w:rsidDel="00000000" w:rsidRDefault="00000000">
      <w:pPr>
        <w:spacing w:lineRule="auto" w:after="0"/>
        <w:contextualSpacing w:val="0"/>
        <w:jc w:val="center"/>
      </w:pPr>
      <w:r w:rsidRPr="00000000" w:rsidR="00000000" w:rsidDel="00000000">
        <w:rPr>
          <w:rFonts w:cs="Garamond" w:hAnsi="Garamond" w:eastAsia="Garamond" w:ascii="Garamond"/>
          <w:b w:val="1"/>
          <w:sz w:val="32"/>
          <w:highlight w:val="white"/>
          <w:rtl w:val="0"/>
        </w:rPr>
        <w:t xml:space="preserve"> </w:t>
      </w:r>
      <w:r w:rsidRPr="00000000" w:rsidR="00000000" w:rsidDel="00000000">
        <w:rPr>
          <w:rFonts w:cs="Garamond" w:hAnsi="Garamond" w:eastAsia="Garamond" w:ascii="Garamond"/>
          <w:b w:val="1"/>
          <w:i w:val="1"/>
          <w:sz w:val="32"/>
          <w:highlight w:val="white"/>
          <w:rtl w:val="0"/>
        </w:rPr>
        <w:t xml:space="preserve"> </w:t>
      </w:r>
    </w:p>
    <w:p w:rsidP="00000000" w:rsidRPr="00000000" w:rsidR="00000000" w:rsidDel="00000000" w:rsidRDefault="00000000">
      <w:pPr>
        <w:spacing w:lineRule="auto" w:after="0" w:before="0"/>
        <w:ind w:left="0" w:firstLine="0"/>
        <w:contextualSpacing w:val="0"/>
      </w:pPr>
      <w:r w:rsidRPr="00000000" w:rsidR="00000000" w:rsidDel="00000000">
        <w:rPr>
          <w:rFonts w:cs="Times New Roman" w:hAnsi="Times New Roman" w:eastAsia="Times New Roman" w:ascii="Times New Roman"/>
          <w:highlight w:val="white"/>
          <w:rtl w:val="0"/>
        </w:rPr>
        <w:t xml:space="preserve">VAUGHAN, Ontario, May 13, 2014 –Axios Mobile Assets Corporation’s (CSX: AXA) vertical integration strategy of offering multiple logistics services has been completed with today’s announcement of the appointment of David J. Wickwire as President of its wholly-owned subsidiary, Axios Logistics Solutions Inc.. His responsibilities will include strategic planning, business development, operations management, and organizational development of the logistics and pooling business of Axios.  Wickwire currently serves as President and CEO of Mobius Business Solutions, LLC. The Axios Corporate Board has  approved Wickwire’s appointment.</w:t>
      </w:r>
    </w:p>
    <w:p w:rsidP="00000000" w:rsidRPr="00000000" w:rsidR="00000000" w:rsidDel="00000000" w:rsidRDefault="00000000">
      <w:pPr>
        <w:spacing w:lineRule="auto" w:after="0" w:before="0"/>
        <w:ind w:left="0" w:firstLine="0"/>
        <w:contextualSpacing w:val="0"/>
        <w:rPr/>
      </w:pPr>
      <w:r w:rsidRPr="00000000" w:rsidR="00000000" w:rsidDel="00000000">
        <w:rPr>
          <w:rtl w:val="0"/>
        </w:rPr>
      </w:r>
    </w:p>
    <w:p w:rsidP="00000000" w:rsidRPr="00000000" w:rsidR="00000000" w:rsidDel="00000000" w:rsidRDefault="00000000">
      <w:pPr>
        <w:spacing w:lineRule="auto" w:after="0" w:before="0"/>
        <w:ind w:left="0" w:firstLine="0"/>
        <w:contextualSpacing w:val="0"/>
      </w:pPr>
      <w:r w:rsidRPr="00000000" w:rsidR="00000000" w:rsidDel="00000000">
        <w:rPr>
          <w:rFonts w:cs="Times New Roman" w:hAnsi="Times New Roman" w:eastAsia="Times New Roman" w:ascii="Times New Roman"/>
          <w:highlight w:val="white"/>
          <w:rtl w:val="0"/>
        </w:rPr>
        <w:t xml:space="preserve">Wickwire brings to Axios a proven track record of achieved enterprise growth in the logistics and supply chain industries including freight management and reverse logistics activities. He is a highly qualified leader with significant understanding of the logistics, secondary packaging, and supply chain sectors. In addition to his industry knowledge and connections, Wickwire is an experienced entrepreneur who has successfully developed companies from the ground up.</w:t>
      </w:r>
    </w:p>
    <w:p w:rsidP="00000000" w:rsidRPr="00000000" w:rsidR="00000000" w:rsidDel="00000000" w:rsidRDefault="00000000">
      <w:pPr>
        <w:spacing w:lineRule="auto" w:after="0" w:before="0"/>
        <w:ind w:left="0" w:firstLine="0"/>
        <w:contextualSpacing w:val="0"/>
        <w:rPr/>
      </w:pPr>
      <w:r w:rsidRPr="00000000" w:rsidR="00000000" w:rsidDel="00000000">
        <w:rPr>
          <w:rtl w:val="0"/>
        </w:rPr>
      </w:r>
    </w:p>
    <w:p w:rsidP="00000000" w:rsidRPr="00000000" w:rsidR="00000000" w:rsidDel="00000000" w:rsidRDefault="00000000">
      <w:pPr>
        <w:spacing w:lineRule="auto" w:after="0" w:before="0"/>
        <w:ind w:left="0" w:firstLine="0"/>
        <w:contextualSpacing w:val="0"/>
      </w:pPr>
      <w:r w:rsidRPr="00000000" w:rsidR="00000000" w:rsidDel="00000000">
        <w:rPr>
          <w:rFonts w:cs="Times New Roman" w:hAnsi="Times New Roman" w:eastAsia="Times New Roman" w:ascii="Times New Roman"/>
          <w:highlight w:val="white"/>
          <w:rtl w:val="0"/>
        </w:rPr>
        <w:t xml:space="preserve">After a successful stint public accounting, he held high-level finance and operations positions within the platform management industry including Executive VP and CFO with a national pallet management company.</w:t>
      </w:r>
    </w:p>
    <w:p w:rsidP="00000000" w:rsidRPr="00000000" w:rsidR="00000000" w:rsidDel="00000000" w:rsidRDefault="00000000">
      <w:pPr>
        <w:spacing w:lineRule="auto" w:after="0" w:before="0"/>
        <w:ind w:left="0" w:firstLine="0"/>
        <w:contextualSpacing w:val="0"/>
        <w:rPr/>
      </w:pPr>
      <w:r w:rsidRPr="00000000" w:rsidR="00000000" w:rsidDel="00000000">
        <w:rPr>
          <w:rtl w:val="0"/>
        </w:rPr>
      </w:r>
    </w:p>
    <w:p w:rsidP="00000000" w:rsidRPr="00000000" w:rsidR="00000000" w:rsidDel="00000000" w:rsidRDefault="00000000">
      <w:pPr>
        <w:spacing w:lineRule="auto" w:after="0" w:before="0"/>
        <w:ind w:left="0" w:firstLine="0"/>
        <w:contextualSpacing w:val="0"/>
      </w:pPr>
      <w:r w:rsidRPr="00000000" w:rsidR="00000000" w:rsidDel="00000000">
        <w:rPr>
          <w:rFonts w:cs="Times New Roman" w:hAnsi="Times New Roman" w:eastAsia="Times New Roman" w:ascii="Times New Roman"/>
          <w:highlight w:val="white"/>
          <w:rtl w:val="0"/>
        </w:rPr>
        <w:t xml:space="preserve"> “We are excited to have Dave head up our Pooling and Logistics  Division and become part of the Axios Mobile Assets  team. Dave’s expertise in the logistics arena is a perfect compliment to our pallet platform solution and will assist in maximizing our platforms value and overall client value proposition. With Mr. Wickwire’s addition, Axios can become the fully integrated logistics solution and service that clients have been seeking, the level of data and transparency within our solution will unlock multiple 3PL, vendor and retailer opportunities for potential savings.” stated Rich MacDonald , President and CEO of Axios Mobile Assets Corp.</w:t>
      </w:r>
    </w:p>
    <w:p w:rsidP="00000000" w:rsidRPr="00000000" w:rsidR="00000000" w:rsidDel="00000000" w:rsidRDefault="00000000">
      <w:pPr>
        <w:spacing w:lineRule="auto" w:after="0" w:before="0"/>
        <w:ind w:left="0" w:firstLine="0"/>
        <w:contextualSpacing w:val="0"/>
        <w:rPr/>
      </w:pPr>
      <w:r w:rsidRPr="00000000" w:rsidR="00000000" w:rsidDel="00000000">
        <w:rPr>
          <w:rtl w:val="0"/>
        </w:rPr>
      </w:r>
    </w:p>
    <w:p w:rsidP="00000000" w:rsidRPr="00000000" w:rsidR="00000000" w:rsidDel="00000000" w:rsidRDefault="00000000">
      <w:pPr>
        <w:spacing w:lineRule="auto" w:after="0" w:before="0"/>
        <w:ind w:left="0" w:firstLine="0"/>
        <w:contextualSpacing w:val="0"/>
        <w:rPr/>
      </w:pPr>
      <w:r w:rsidRPr="00000000" w:rsidR="00000000" w:rsidDel="00000000">
        <w:rPr>
          <w:rFonts w:cs="Times New Roman" w:hAnsi="Times New Roman" w:eastAsia="Times New Roman" w:ascii="Times New Roman"/>
          <w:highlight w:val="white"/>
          <w:rtl w:val="0"/>
        </w:rPr>
        <w:t xml:space="preserve">Wickwire joined Axios Logistics Solutions Inc. effective May 1, 2014.</w:t>
      </w:r>
    </w:p>
    <w:p w:rsidP="00000000" w:rsidRPr="00000000" w:rsidR="00000000" w:rsidDel="00000000" w:rsidRDefault="00000000">
      <w:pPr>
        <w:spacing w:lineRule="auto" w:after="0" w:before="0"/>
        <w:ind w:left="0" w:firstLine="0"/>
        <w:contextualSpacing w:val="0"/>
      </w:pPr>
      <w:r w:rsidRPr="00000000" w:rsidR="00000000" w:rsidDel="00000000">
        <w:rPr>
          <w:rFonts w:cs="Times New Roman" w:hAnsi="Times New Roman" w:eastAsia="Times New Roman" w:ascii="Times New Roman"/>
          <w:highlight w:val="white"/>
          <w:rtl w:val="0"/>
        </w:rPr>
        <w:t xml:space="preserve">  </w:t>
      </w:r>
    </w:p>
    <w:p w:rsidP="00000000" w:rsidRPr="00000000" w:rsidR="00000000" w:rsidDel="00000000" w:rsidRDefault="00000000">
      <w:pPr>
        <w:spacing w:lineRule="auto" w:after="0" w:before="0"/>
        <w:ind w:left="0" w:firstLine="0"/>
        <w:contextualSpacing w:val="0"/>
        <w:rPr/>
      </w:pPr>
      <w:r w:rsidRPr="00000000" w:rsidR="00000000" w:rsidDel="00000000">
        <w:rPr>
          <w:rFonts w:cs="Times New Roman" w:hAnsi="Times New Roman" w:eastAsia="Times New Roman" w:ascii="Times New Roman"/>
          <w:b w:val="1"/>
          <w:sz w:val="22"/>
          <w:highlight w:val="white"/>
          <w:rtl w:val="0"/>
        </w:rPr>
        <w:t xml:space="preserve">About Axios Mobile Assets</w:t>
      </w:r>
    </w:p>
    <w:p w:rsidP="00000000" w:rsidRPr="00000000" w:rsidR="00000000" w:rsidDel="00000000" w:rsidRDefault="00000000">
      <w:pPr>
        <w:spacing w:lineRule="auto" w:after="0"/>
        <w:contextualSpacing w:val="0"/>
        <w:rPr/>
      </w:pPr>
      <w:r w:rsidRPr="00000000" w:rsidR="00000000" w:rsidDel="00000000">
        <w:rPr>
          <w:rFonts w:cs="Times New Roman" w:hAnsi="Times New Roman" w:eastAsia="Times New Roman" w:ascii="Times New Roman"/>
          <w:sz w:val="22"/>
          <w:highlight w:val="white"/>
          <w:rtl w:val="0"/>
        </w:rPr>
        <w:t xml:space="preserve">Axios Mobile Assets Corp. is a logistics enabler, providing greater supply chain visibility. The Axios Solution features next generation lightweight composite pallet technology. The Axios Solution, when applied with its proprietary tracking and information system delivers actionable data and metrics for the users  in the value chain.  The Axios Solution is gaining market acceptance at Vendors and Retailers based on its unique attributes: lower total cost, longer useful life, and customized configurations. The Axios Solution will increase sustainability performance for its users through the generation and subsequent retirement of carbon credits. It is also possible to monetize the generated credits to provide users with an additional revenue stream, to assist in the overall reduction of cost within their supply chain. Axios was incorporated under the Business Corporations Act (Ontario) and is a reporting issuer in the Province of Ontario. Axios is traded on the Canadian Securities Exchange (CSE) under the symbol AXA.</w:t>
      </w:r>
    </w:p>
    <w:p w:rsidP="00000000" w:rsidRPr="00000000" w:rsidR="00000000" w:rsidDel="00000000" w:rsidRDefault="00000000">
      <w:pPr>
        <w:spacing w:lineRule="auto" w:after="0"/>
        <w:contextualSpacing w:val="0"/>
        <w:rPr/>
      </w:pPr>
      <w:r w:rsidRPr="00000000" w:rsidR="00000000" w:rsidDel="00000000">
        <w:rPr>
          <w:rFonts w:cs="Times New Roman" w:hAnsi="Times New Roman" w:eastAsia="Times New Roman" w:ascii="Times New Roman"/>
          <w:sz w:val="22"/>
          <w:highlight w:val="white"/>
          <w:rtl w:val="0"/>
        </w:rPr>
        <w:t xml:space="preserve"> </w:t>
      </w:r>
    </w:p>
    <w:p w:rsidP="00000000" w:rsidRPr="00000000" w:rsidR="00000000" w:rsidDel="00000000" w:rsidRDefault="00000000">
      <w:pPr>
        <w:spacing w:lineRule="auto" w:after="0"/>
        <w:contextualSpacing w:val="0"/>
      </w:pPr>
      <w:r w:rsidRPr="00000000" w:rsidR="00000000" w:rsidDel="00000000">
        <w:rPr>
          <w:rFonts w:cs="Times New Roman" w:hAnsi="Times New Roman" w:eastAsia="Times New Roman" w:ascii="Times New Roman"/>
          <w:sz w:val="22"/>
          <w:highlight w:val="white"/>
          <w:rtl w:val="0"/>
        </w:rPr>
        <w:t xml:space="preserve"> Further information concerning the Company can be found at</w:t>
      </w:r>
      <w:hyperlink r:id="rId5">
        <w:r w:rsidRPr="00000000" w:rsidR="00000000" w:rsidDel="00000000">
          <w:rPr>
            <w:rFonts w:cs="Times New Roman" w:hAnsi="Times New Roman" w:eastAsia="Times New Roman" w:ascii="Times New Roman"/>
            <w:sz w:val="22"/>
            <w:highlight w:val="white"/>
            <w:rtl w:val="0"/>
          </w:rPr>
          <w:t xml:space="preserve"> </w:t>
        </w:r>
      </w:hyperlink>
      <w:hyperlink r:id="rId6">
        <w:r w:rsidRPr="00000000" w:rsidR="00000000" w:rsidDel="00000000">
          <w:rPr>
            <w:rFonts w:cs="Times New Roman" w:hAnsi="Times New Roman" w:eastAsia="Times New Roman" w:ascii="Times New Roman"/>
            <w:color w:val="1155cc"/>
            <w:sz w:val="22"/>
            <w:highlight w:val="white"/>
            <w:u w:val="single"/>
            <w:rtl w:val="0"/>
          </w:rPr>
          <w:t xml:space="preserve">www.axiosma.com</w:t>
        </w:r>
      </w:hyperlink>
      <w:r w:rsidRPr="00000000" w:rsidR="00000000" w:rsidDel="00000000">
        <w:rPr>
          <w:rFonts w:cs="Times New Roman" w:hAnsi="Times New Roman" w:eastAsia="Times New Roman" w:ascii="Times New Roman"/>
          <w:sz w:val="22"/>
          <w:highlight w:val="white"/>
          <w:rtl w:val="0"/>
        </w:rPr>
        <w:t xml:space="preserve">,</w:t>
      </w:r>
      <w:hyperlink r:id="rId7">
        <w:r w:rsidRPr="00000000" w:rsidR="00000000" w:rsidDel="00000000">
          <w:rPr>
            <w:rFonts w:cs="Times New Roman" w:hAnsi="Times New Roman" w:eastAsia="Times New Roman" w:ascii="Times New Roman"/>
            <w:sz w:val="22"/>
            <w:highlight w:val="white"/>
            <w:rtl w:val="0"/>
          </w:rPr>
          <w:t xml:space="preserve"> </w:t>
        </w:r>
      </w:hyperlink>
      <w:hyperlink r:id="rId8">
        <w:r w:rsidRPr="00000000" w:rsidR="00000000" w:rsidDel="00000000">
          <w:rPr>
            <w:rFonts w:cs="Times New Roman" w:hAnsi="Times New Roman" w:eastAsia="Times New Roman" w:ascii="Times New Roman"/>
            <w:color w:val="1155cc"/>
            <w:sz w:val="22"/>
            <w:highlight w:val="white"/>
            <w:u w:val="single"/>
            <w:rtl w:val="0"/>
          </w:rPr>
          <w:t xml:space="preserve">www.sedar.com</w:t>
        </w:r>
      </w:hyperlink>
      <w:r w:rsidRPr="00000000" w:rsidR="00000000" w:rsidDel="00000000">
        <w:rPr>
          <w:rFonts w:cs="Times New Roman" w:hAnsi="Times New Roman" w:eastAsia="Times New Roman" w:ascii="Times New Roman"/>
          <w:sz w:val="22"/>
          <w:highlight w:val="white"/>
          <w:rtl w:val="0"/>
        </w:rPr>
        <w:t xml:space="preserve"> and</w:t>
      </w:r>
      <w:hyperlink r:id="rId9">
        <w:r w:rsidRPr="00000000" w:rsidR="00000000" w:rsidDel="00000000">
          <w:rPr>
            <w:rFonts w:cs="Times New Roman" w:hAnsi="Times New Roman" w:eastAsia="Times New Roman" w:ascii="Times New Roman"/>
            <w:sz w:val="22"/>
            <w:highlight w:val="white"/>
            <w:rtl w:val="0"/>
          </w:rPr>
          <w:t xml:space="preserve"> </w:t>
        </w:r>
      </w:hyperlink>
      <w:hyperlink r:id="rId10">
        <w:r w:rsidRPr="00000000" w:rsidR="00000000" w:rsidDel="00000000">
          <w:rPr>
            <w:rFonts w:cs="Times New Roman" w:hAnsi="Times New Roman" w:eastAsia="Times New Roman" w:ascii="Times New Roman"/>
            <w:color w:val="1155cc"/>
            <w:sz w:val="22"/>
            <w:highlight w:val="white"/>
            <w:u w:val="single"/>
            <w:rtl w:val="0"/>
          </w:rPr>
          <w:t xml:space="preserve">www.cnsx.ca</w:t>
        </w:r>
      </w:hyperlink>
      <w:r w:rsidRPr="00000000" w:rsidR="00000000" w:rsidDel="00000000">
        <w:rPr>
          <w:rFonts w:cs="Times New Roman" w:hAnsi="Times New Roman" w:eastAsia="Times New Roman" w:ascii="Times New Roman"/>
          <w:sz w:val="22"/>
          <w:highlight w:val="white"/>
          <w:rtl w:val="0"/>
        </w:rPr>
        <w:t xml:space="preserve">.</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rPr/>
      </w:pPr>
      <w:r w:rsidRPr="00000000" w:rsidR="00000000" w:rsidDel="00000000">
        <w:rPr>
          <w:rFonts w:cs="Garamond" w:hAnsi="Garamond" w:eastAsia="Garamond" w:ascii="Garamond"/>
          <w:b w:val="1"/>
          <w:sz w:val="22"/>
          <w:highlight w:val="white"/>
          <w:rtl w:val="0"/>
        </w:rPr>
        <w:t xml:space="preserve">Forward-Looking Statements</w:t>
      </w:r>
    </w:p>
    <w:p w:rsidP="00000000" w:rsidRPr="00000000" w:rsidR="00000000" w:rsidDel="00000000" w:rsidRDefault="00000000">
      <w:pPr>
        <w:spacing w:lineRule="auto" w:after="0"/>
        <w:contextualSpacing w:val="0"/>
        <w:rPr/>
      </w:pPr>
      <w:r w:rsidRPr="00000000" w:rsidR="00000000" w:rsidDel="00000000">
        <w:rPr>
          <w:rFonts w:cs="Garamond" w:hAnsi="Garamond" w:eastAsia="Garamond" w:ascii="Garamond"/>
          <w:sz w:val="22"/>
          <w:highlight w:val="white"/>
          <w:rtl w:val="0"/>
        </w:rPr>
        <w:t xml:space="preserve">This press release contains forward-looking statements within the meaning of the Private Securities Litigation Reform Act of 1995. All statements included in this report and the documents that we incorporate by reference, are forward-looking statements and can generally be identified by words such as “will,” “allow,” “outlook,” or the negative of these terms, and other comparable terminology. Various risks and other factors could cause actual results, and actual events that occur, to differ materially from those contemplated by the forward looking statements, such as whether Axios and the pallet management company are able to agree on the terms of a definitive supply agreement, and whether Axios is able to meet price, performance, quality and delivery requirements. Axios undertakes no obligation to update the information in this press release to reflect events or circumstances after the date hereof or to reflect the occurrence of anticipated or unanticipated events.</w:t>
      </w:r>
    </w:p>
    <w:p w:rsidP="00000000" w:rsidRPr="00000000" w:rsidR="00000000" w:rsidDel="00000000" w:rsidRDefault="00000000">
      <w:pPr>
        <w:spacing w:lineRule="auto" w:after="0"/>
        <w:contextualSpacing w:val="0"/>
      </w:pPr>
      <w:r w:rsidRPr="00000000" w:rsidR="00000000" w:rsidDel="00000000">
        <w:rPr>
          <w:rtl w:val="0"/>
        </w:rPr>
      </w:r>
    </w:p>
    <w:sectPr>
      <w:headerReference r:id="rId11" w:type="default"/>
      <w:footerReference r:id="rId12" w:type="default"/>
      <w:pgSz w:w="14220" w:h="18400"/>
      <w:pgMar w:left="1800" w:right="1800" w:top="1973"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aramond"/>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right"/>
    </w:pPr>
    <w:r w:rsidRPr="00000000" w:rsidR="00000000" w:rsidDel="00000000">
      <w:drawing>
        <wp:inline distR="114300" distT="0" distB="0" distL="114300">
          <wp:extent cy="252730" cx="836930"/>
          <wp:effectExtent t="0" b="0" r="0" l="0"/>
          <wp:docPr id="2" name="image00.jpg" descr="Description: Description: Description: Macintosh HD:Users:marc:Desktop:AXIOS.FINALmj.jpg"/>
          <a:graphic>
            <a:graphicData uri="http://schemas.openxmlformats.org/drawingml/2006/picture">
              <pic:pic>
                <pic:nvPicPr>
                  <pic:cNvPr id="0" name="image00.jpg" descr="Description: Description: Description: Macintosh HD:Users:marc:Desktop:AXIOS.FINALmj.jpg"/>
                  <pic:cNvPicPr preferRelativeResize="0"/>
                </pic:nvPicPr>
                <pic:blipFill>
                  <a:blip r:embed="rId1"/>
                  <a:srcRect t="0" b="0" r="0" l="0"/>
                  <a:stretch>
                    <a:fillRect/>
                  </a:stretch>
                </pic:blipFill>
                <pic:spPr>
                  <a:xfrm>
                    <a:ext cy="252730" cx="836930"/>
                  </a:xfrm>
                  <a:prstGeom prst="rect"/>
                  <a:ln/>
                </pic:spPr>
              </pic:pic>
            </a:graphicData>
          </a:graphic>
        </wp:inline>
      </w:drawing>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contextualSpacing w:val="0"/>
    </w:pPr>
    <w:r w:rsidRPr="00000000" w:rsidR="00000000" w:rsidDel="00000000">
      <w:drawing>
        <wp:inline distR="114300" distT="0" distB="0" distL="114300">
          <wp:extent cy="508000" cx="1684655"/>
          <wp:effectExtent t="0" b="0" r="0" l="0"/>
          <wp:docPr id="1" name="image01.jpg" descr="Description: Description: Description: Macintosh HD:Users:marc:Desktop:AXIOS.FINALmj.jpg"/>
          <a:graphic>
            <a:graphicData uri="http://schemas.openxmlformats.org/drawingml/2006/picture">
              <pic:pic>
                <pic:nvPicPr>
                  <pic:cNvPr id="0" name="image01.jpg" descr="Description: Description: Description: Macintosh HD:Users:marc:Desktop:AXIOS.FINALmj.jpg"/>
                  <pic:cNvPicPr preferRelativeResize="0"/>
                </pic:nvPicPr>
                <pic:blipFill>
                  <a:blip r:embed="rId1"/>
                  <a:srcRect t="0" b="0" r="0" l="0"/>
                  <a:stretch>
                    <a:fillRect/>
                  </a:stretch>
                </pic:blipFill>
                <pic:spPr>
                  <a:xfrm>
                    <a:ext cy="508000" cx="1684655"/>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http://www.cnsx.ca" Type="http://schemas.openxmlformats.org/officeDocument/2006/relationships/hyperlink" TargetMode="External" Id="rId10"/><Relationship Target="styles.xml" Type="http://schemas.openxmlformats.org/officeDocument/2006/relationships/styles" Id="rId4"/><Relationship Target="header1.xml" Type="http://schemas.openxmlformats.org/officeDocument/2006/relationships/header" Id="rId11"/><Relationship Target="numbering.xml" Type="http://schemas.openxmlformats.org/officeDocument/2006/relationships/numbering" Id="rId3"/><Relationship Target="http://www.cnsx.ca/" Type="http://schemas.openxmlformats.org/officeDocument/2006/relationships/hyperlink" TargetMode="External" Id="rId9"/><Relationship Target="http://www.axiosma.com/" Type="http://schemas.openxmlformats.org/officeDocument/2006/relationships/hyperlink" TargetMode="External" Id="rId6"/><Relationship Target="http://www.axiosma.com/" Type="http://schemas.openxmlformats.org/officeDocument/2006/relationships/hyperlink" TargetMode="External" Id="rId5"/><Relationship Target="http://www.sedar.com/" Type="http://schemas.openxmlformats.org/officeDocument/2006/relationships/hyperlink" TargetMode="External" Id="rId8"/><Relationship Target="http://www.sedar.com/"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media/image00.jpg" Type="http://schemas.openxmlformats.org/officeDocument/2006/relationships/image" Id="rId1"/></Relationships>
</file>

<file path=word/_rels/header1.xml.rels><?xml version="1.0" encoding="UTF-8" standalone="yes"?><Relationships xmlns="http://schemas.openxmlformats.org/package/2006/relationships"><Relationship Target="media/image01.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Axios Announces David Wickwire.docx</dc:title>
</cp:coreProperties>
</file>