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B33" w14:textId="77777777" w:rsidR="000C1AB4" w:rsidRPr="00F6314A" w:rsidRDefault="000C1AB4" w:rsidP="000C1AB4">
      <w:pPr>
        <w:jc w:val="center"/>
        <w:rPr>
          <w:b/>
          <w:sz w:val="28"/>
          <w:szCs w:val="28"/>
        </w:rPr>
      </w:pPr>
      <w:r w:rsidRPr="00F6314A">
        <w:rPr>
          <w:b/>
          <w:sz w:val="28"/>
          <w:szCs w:val="28"/>
        </w:rPr>
        <w:t xml:space="preserve">International Commercial Television, Inc. Reports </w:t>
      </w:r>
    </w:p>
    <w:p w14:paraId="7FC54707" w14:textId="77777777" w:rsidR="000C1AB4" w:rsidRPr="00F6314A" w:rsidRDefault="00D95155" w:rsidP="000C1AB4">
      <w:pPr>
        <w:jc w:val="center"/>
        <w:rPr>
          <w:b/>
          <w:sz w:val="28"/>
          <w:szCs w:val="28"/>
        </w:rPr>
      </w:pPr>
      <w:r w:rsidRPr="00F6314A">
        <w:rPr>
          <w:b/>
          <w:sz w:val="28"/>
          <w:szCs w:val="28"/>
        </w:rPr>
        <w:t>First Quarter 2014</w:t>
      </w:r>
      <w:r w:rsidR="000C1AB4" w:rsidRPr="00F6314A">
        <w:rPr>
          <w:b/>
          <w:sz w:val="28"/>
          <w:szCs w:val="28"/>
        </w:rPr>
        <w:t xml:space="preserve"> Financial Results</w:t>
      </w:r>
    </w:p>
    <w:p w14:paraId="4E42E023" w14:textId="77777777" w:rsidR="000C1AB4" w:rsidRPr="00F6314A" w:rsidRDefault="000C1AB4" w:rsidP="000C1AB4">
      <w:pPr>
        <w:jc w:val="center"/>
        <w:rPr>
          <w:b/>
        </w:rPr>
      </w:pPr>
    </w:p>
    <w:p w14:paraId="769D7DA5" w14:textId="6332D0EF" w:rsidR="008E6C0A" w:rsidRPr="00F6314A" w:rsidRDefault="00C140C7" w:rsidP="000C1AB4">
      <w:pPr>
        <w:jc w:val="center"/>
        <w:rPr>
          <w:b/>
          <w:i/>
        </w:rPr>
      </w:pPr>
      <w:r w:rsidRPr="00F6314A">
        <w:rPr>
          <w:b/>
          <w:i/>
        </w:rPr>
        <w:t>Re-Branding Corporate Name to ICTV Brands</w:t>
      </w:r>
    </w:p>
    <w:p w14:paraId="12EA2877" w14:textId="5011890D" w:rsidR="007514A7" w:rsidRPr="00F6314A" w:rsidRDefault="007514A7" w:rsidP="000C1AB4">
      <w:pPr>
        <w:jc w:val="center"/>
        <w:rPr>
          <w:b/>
          <w:i/>
        </w:rPr>
      </w:pPr>
      <w:r w:rsidRPr="00F6314A">
        <w:rPr>
          <w:b/>
          <w:i/>
        </w:rPr>
        <w:t>Expa</w:t>
      </w:r>
      <w:r w:rsidR="00C140C7" w:rsidRPr="00F6314A">
        <w:rPr>
          <w:b/>
          <w:i/>
        </w:rPr>
        <w:t xml:space="preserve">nded Product Portfolio for </w:t>
      </w:r>
      <w:r w:rsidRPr="00F6314A">
        <w:rPr>
          <w:b/>
          <w:i/>
        </w:rPr>
        <w:t>Growth</w:t>
      </w:r>
    </w:p>
    <w:p w14:paraId="3C1F2B15" w14:textId="77777777" w:rsidR="000C1AB4" w:rsidRPr="00F6314A" w:rsidRDefault="000C1AB4" w:rsidP="000C1AB4">
      <w:pPr>
        <w:jc w:val="center"/>
        <w:rPr>
          <w:b/>
          <w:i/>
        </w:rPr>
      </w:pPr>
      <w:r w:rsidRPr="00F6314A">
        <w:rPr>
          <w:b/>
          <w:i/>
        </w:rPr>
        <w:t>Conference Call Begins</w:t>
      </w:r>
      <w:r w:rsidR="002C59BC" w:rsidRPr="00F6314A">
        <w:rPr>
          <w:b/>
          <w:i/>
        </w:rPr>
        <w:t xml:space="preserve"> Today at 4:30pm EDT</w:t>
      </w:r>
    </w:p>
    <w:p w14:paraId="12C493E8" w14:textId="77777777" w:rsidR="000C1AB4" w:rsidRPr="00F6314A" w:rsidRDefault="000C1AB4" w:rsidP="000C1AB4">
      <w:pPr>
        <w:jc w:val="both"/>
      </w:pPr>
    </w:p>
    <w:p w14:paraId="1A6AE581" w14:textId="7EA459A1" w:rsidR="000C1AB4" w:rsidRPr="00F6314A" w:rsidRDefault="000C1AB4" w:rsidP="000C1AB4">
      <w:pPr>
        <w:jc w:val="both"/>
      </w:pPr>
      <w:r w:rsidRPr="00F6314A">
        <w:t>Wayne, PA -- (</w:t>
      </w:r>
      <w:r w:rsidR="000F1072" w:rsidRPr="00F6314A">
        <w:t>Marketwired</w:t>
      </w:r>
      <w:r w:rsidRPr="00F6314A">
        <w:t>)</w:t>
      </w:r>
      <w:r w:rsidR="000F1072" w:rsidRPr="00F6314A">
        <w:t xml:space="preserve"> </w:t>
      </w:r>
      <w:r w:rsidR="00F63403" w:rsidRPr="00F6314A">
        <w:t>–</w:t>
      </w:r>
      <w:r w:rsidR="00C140C7" w:rsidRPr="00F6314A">
        <w:t xml:space="preserve"> May 13</w:t>
      </w:r>
      <w:r w:rsidR="00F63403" w:rsidRPr="00F6314A">
        <w:t>, 2014</w:t>
      </w:r>
      <w:r w:rsidRPr="00F6314A">
        <w:t xml:space="preserve"> – International Commercial Television, Inc. (ICTL), (or “ICTV”), a direct response marketing and branding company focused on the health</w:t>
      </w:r>
      <w:r w:rsidR="00CF72FD" w:rsidRPr="00F6314A">
        <w:t>, wellness</w:t>
      </w:r>
      <w:r w:rsidRPr="00F6314A">
        <w:t xml:space="preserve"> and beauty sector, today reported financial results for the three </w:t>
      </w:r>
      <w:r w:rsidR="00C140C7" w:rsidRPr="00F6314A">
        <w:t>months ended March</w:t>
      </w:r>
      <w:r w:rsidR="00F63403" w:rsidRPr="00F6314A">
        <w:t xml:space="preserve"> 31</w:t>
      </w:r>
      <w:r w:rsidR="00C140C7" w:rsidRPr="00F6314A">
        <w:t>, 2014</w:t>
      </w:r>
      <w:r w:rsidRPr="00F6314A">
        <w:t xml:space="preserve">.   </w:t>
      </w:r>
    </w:p>
    <w:p w14:paraId="60746929" w14:textId="77777777" w:rsidR="000C1AB4" w:rsidRPr="00F6314A" w:rsidRDefault="000C1AB4" w:rsidP="000C1AB4">
      <w:pPr>
        <w:jc w:val="both"/>
      </w:pPr>
    </w:p>
    <w:p w14:paraId="6CF3394F" w14:textId="5A1CB0F1" w:rsidR="00621620" w:rsidRPr="00F6314A" w:rsidRDefault="00C140C7" w:rsidP="00621620">
      <w:pPr>
        <w:jc w:val="both"/>
        <w:rPr>
          <w:b/>
        </w:rPr>
      </w:pPr>
      <w:r w:rsidRPr="00F6314A">
        <w:rPr>
          <w:b/>
        </w:rPr>
        <w:t>First Quarter 2014</w:t>
      </w:r>
      <w:r w:rsidR="00621620" w:rsidRPr="00F6314A">
        <w:rPr>
          <w:b/>
        </w:rPr>
        <w:t xml:space="preserve"> Highlights:</w:t>
      </w:r>
    </w:p>
    <w:p w14:paraId="78A0B25C" w14:textId="6D1FCE5D" w:rsidR="009F6BFB" w:rsidRDefault="009F6BFB" w:rsidP="00F658AC">
      <w:pPr>
        <w:pStyle w:val="HTMLPreformatted"/>
        <w:numPr>
          <w:ilvl w:val="0"/>
          <w:numId w:val="1"/>
        </w:numPr>
        <w:tabs>
          <w:tab w:val="clear" w:pos="916"/>
        </w:tabs>
        <w:jc w:val="both"/>
        <w:rPr>
          <w:rFonts w:ascii="Times New Roman" w:hAnsi="Times New Roman"/>
          <w:sz w:val="24"/>
        </w:rPr>
      </w:pPr>
      <w:r w:rsidRPr="00F6314A">
        <w:rPr>
          <w:rFonts w:ascii="Times New Roman" w:hAnsi="Times New Roman"/>
          <w:sz w:val="24"/>
        </w:rPr>
        <w:t>Building product portfolio to achieve target of becoming a $100mm+ revenue company in the next 2-3 years</w:t>
      </w:r>
    </w:p>
    <w:p w14:paraId="0E088B0B" w14:textId="0817396F" w:rsidR="00F658AC" w:rsidRPr="00F658AC" w:rsidRDefault="00F658AC" w:rsidP="00F658AC">
      <w:pPr>
        <w:pStyle w:val="HTMLPreformatted"/>
        <w:numPr>
          <w:ilvl w:val="0"/>
          <w:numId w:val="1"/>
        </w:numPr>
        <w:tabs>
          <w:tab w:val="clear" w:pos="916"/>
        </w:tabs>
        <w:jc w:val="both"/>
        <w:rPr>
          <w:rFonts w:ascii="Times New Roman" w:hAnsi="Times New Roman"/>
          <w:sz w:val="24"/>
        </w:rPr>
      </w:pPr>
      <w:r>
        <w:rPr>
          <w:rFonts w:ascii="Times New Roman" w:hAnsi="Times New Roman"/>
          <w:sz w:val="24"/>
        </w:rPr>
        <w:t>Operating loss included $436,000 of non-cash expenses and incremental investment, which were immaterial in the comparable year quarter</w:t>
      </w:r>
    </w:p>
    <w:p w14:paraId="74592EC9" w14:textId="12F9941B" w:rsidR="00C140C7" w:rsidRPr="00F6314A" w:rsidRDefault="00C140C7" w:rsidP="00C140C7">
      <w:pPr>
        <w:pStyle w:val="ListParagraph"/>
        <w:numPr>
          <w:ilvl w:val="0"/>
          <w:numId w:val="1"/>
        </w:numPr>
        <w:spacing w:before="0" w:beforeAutospacing="0" w:after="0" w:afterAutospacing="0"/>
        <w:jc w:val="both"/>
        <w:rPr>
          <w:rFonts w:ascii="Times New Roman" w:eastAsia="Times New Roman" w:hAnsi="Times New Roman" w:cs="Times New Roman"/>
          <w:sz w:val="24"/>
          <w:szCs w:val="24"/>
        </w:rPr>
      </w:pPr>
      <w:r w:rsidRPr="00F6314A">
        <w:rPr>
          <w:rFonts w:ascii="Times New Roman" w:hAnsi="Times New Roman"/>
          <w:sz w:val="24"/>
        </w:rPr>
        <w:t>DermaWand next-generation device on track to be ready in 2</w:t>
      </w:r>
      <w:r w:rsidRPr="00F6314A">
        <w:rPr>
          <w:rFonts w:ascii="Times New Roman" w:hAnsi="Times New Roman"/>
          <w:sz w:val="24"/>
          <w:vertAlign w:val="superscript"/>
        </w:rPr>
        <w:t>nd</w:t>
      </w:r>
      <w:r w:rsidRPr="00F6314A">
        <w:rPr>
          <w:rFonts w:ascii="Times New Roman" w:hAnsi="Times New Roman"/>
          <w:sz w:val="24"/>
        </w:rPr>
        <w:t xml:space="preserve"> half of 2014</w:t>
      </w:r>
    </w:p>
    <w:p w14:paraId="4872BA12" w14:textId="4D9F310C" w:rsidR="00C140C7" w:rsidRDefault="00C140C7" w:rsidP="00C140C7">
      <w:pPr>
        <w:pStyle w:val="HTMLPreformatted"/>
        <w:numPr>
          <w:ilvl w:val="0"/>
          <w:numId w:val="1"/>
        </w:numPr>
        <w:tabs>
          <w:tab w:val="clear" w:pos="916"/>
        </w:tabs>
        <w:jc w:val="both"/>
        <w:rPr>
          <w:rFonts w:ascii="Times New Roman" w:hAnsi="Times New Roman"/>
          <w:sz w:val="24"/>
        </w:rPr>
      </w:pPr>
      <w:r w:rsidRPr="00F6314A">
        <w:rPr>
          <w:rFonts w:ascii="Times New Roman" w:hAnsi="Times New Roman"/>
          <w:sz w:val="24"/>
        </w:rPr>
        <w:t>DermaWand DRTV launching directly in Canada</w:t>
      </w:r>
      <w:r w:rsidR="00A1631D" w:rsidRPr="00F6314A">
        <w:rPr>
          <w:rFonts w:ascii="Times New Roman" w:hAnsi="Times New Roman"/>
          <w:sz w:val="24"/>
        </w:rPr>
        <w:t>; generating $</w:t>
      </w:r>
      <w:r w:rsidR="004C7BB9" w:rsidRPr="00F6314A">
        <w:rPr>
          <w:rFonts w:ascii="Times New Roman" w:hAnsi="Times New Roman"/>
          <w:sz w:val="24"/>
        </w:rPr>
        <w:t>670</w:t>
      </w:r>
      <w:r w:rsidR="00A1631D" w:rsidRPr="00F6314A">
        <w:rPr>
          <w:rFonts w:ascii="Times New Roman" w:hAnsi="Times New Roman"/>
          <w:sz w:val="24"/>
        </w:rPr>
        <w:t>,000 in revenue</w:t>
      </w:r>
    </w:p>
    <w:p w14:paraId="4B778372" w14:textId="565F94D3" w:rsidR="00F658AC" w:rsidRPr="00F6314A" w:rsidRDefault="00F658AC" w:rsidP="00C140C7">
      <w:pPr>
        <w:pStyle w:val="HTMLPreformatted"/>
        <w:numPr>
          <w:ilvl w:val="0"/>
          <w:numId w:val="1"/>
        </w:numPr>
        <w:tabs>
          <w:tab w:val="clear" w:pos="916"/>
        </w:tabs>
        <w:jc w:val="both"/>
        <w:rPr>
          <w:rFonts w:ascii="Times New Roman" w:hAnsi="Times New Roman"/>
          <w:sz w:val="24"/>
        </w:rPr>
      </w:pPr>
      <w:r>
        <w:rPr>
          <w:rFonts w:ascii="Times New Roman" w:hAnsi="Times New Roman"/>
          <w:sz w:val="24"/>
        </w:rPr>
        <w:t>Mexico distribution partner’s continued success with having purchased 100,000 Der</w:t>
      </w:r>
      <w:r w:rsidR="00BC6D63">
        <w:rPr>
          <w:rFonts w:ascii="Times New Roman" w:hAnsi="Times New Roman"/>
          <w:sz w:val="24"/>
        </w:rPr>
        <w:t>maWand units since October 2013</w:t>
      </w:r>
    </w:p>
    <w:p w14:paraId="46988825" w14:textId="26F57D84" w:rsidR="00621620" w:rsidRPr="00F6314A" w:rsidRDefault="00621620" w:rsidP="00C140C7">
      <w:pPr>
        <w:pStyle w:val="ListParagraph"/>
        <w:numPr>
          <w:ilvl w:val="0"/>
          <w:numId w:val="1"/>
        </w:numPr>
        <w:spacing w:before="0" w:beforeAutospacing="0" w:after="0" w:afterAutospacing="0"/>
        <w:jc w:val="both"/>
        <w:rPr>
          <w:rFonts w:ascii="Times New Roman" w:eastAsia="Times New Roman" w:hAnsi="Times New Roman" w:cs="Times New Roman"/>
          <w:sz w:val="24"/>
          <w:szCs w:val="24"/>
        </w:rPr>
      </w:pPr>
      <w:r w:rsidRPr="00F6314A">
        <w:rPr>
          <w:rFonts w:ascii="Times New Roman" w:eastAsia="Times New Roman" w:hAnsi="Times New Roman" w:cs="Times New Roman"/>
          <w:sz w:val="24"/>
          <w:szCs w:val="24"/>
        </w:rPr>
        <w:t>Continued expansion of DermaVital continuity line</w:t>
      </w:r>
      <w:r w:rsidR="00A1631D" w:rsidRPr="00F6314A">
        <w:rPr>
          <w:rFonts w:ascii="Times New Roman" w:hAnsi="Times New Roman"/>
          <w:sz w:val="24"/>
        </w:rPr>
        <w:t>; demonstrating 19% revenue growth</w:t>
      </w:r>
    </w:p>
    <w:p w14:paraId="14FE0368" w14:textId="77777777" w:rsidR="00C140C7" w:rsidRPr="00F6314A" w:rsidRDefault="00C140C7" w:rsidP="00C140C7">
      <w:pPr>
        <w:pStyle w:val="HTMLPreformatted"/>
        <w:numPr>
          <w:ilvl w:val="0"/>
          <w:numId w:val="1"/>
        </w:numPr>
        <w:tabs>
          <w:tab w:val="clear" w:pos="916"/>
        </w:tabs>
        <w:jc w:val="both"/>
        <w:rPr>
          <w:rFonts w:ascii="Times New Roman" w:hAnsi="Times New Roman"/>
          <w:sz w:val="24"/>
        </w:rPr>
      </w:pPr>
      <w:r w:rsidRPr="00F6314A">
        <w:rPr>
          <w:rFonts w:ascii="Times New Roman" w:hAnsi="Times New Roman"/>
          <w:sz w:val="24"/>
        </w:rPr>
        <w:t>Elastin-rp launch</w:t>
      </w:r>
    </w:p>
    <w:p w14:paraId="6FD55F81" w14:textId="77777777" w:rsidR="00C140C7" w:rsidRPr="00F6314A" w:rsidRDefault="00C140C7" w:rsidP="00C140C7">
      <w:pPr>
        <w:pStyle w:val="HTMLPreformatted"/>
        <w:numPr>
          <w:ilvl w:val="0"/>
          <w:numId w:val="1"/>
        </w:numPr>
        <w:tabs>
          <w:tab w:val="clear" w:pos="916"/>
        </w:tabs>
        <w:jc w:val="both"/>
        <w:rPr>
          <w:rFonts w:ascii="Times New Roman" w:hAnsi="Times New Roman"/>
          <w:sz w:val="24"/>
        </w:rPr>
      </w:pPr>
      <w:r w:rsidRPr="00F6314A">
        <w:rPr>
          <w:rFonts w:ascii="Times New Roman" w:hAnsi="Times New Roman"/>
          <w:sz w:val="24"/>
        </w:rPr>
        <w:t>Coral Actives exclusive licensing agreement</w:t>
      </w:r>
    </w:p>
    <w:p w14:paraId="67BDD6F1" w14:textId="77777777" w:rsidR="00C140C7" w:rsidRPr="00F6314A" w:rsidRDefault="00C140C7" w:rsidP="00C140C7">
      <w:pPr>
        <w:pStyle w:val="HTMLPreformatted"/>
        <w:numPr>
          <w:ilvl w:val="0"/>
          <w:numId w:val="1"/>
        </w:numPr>
        <w:tabs>
          <w:tab w:val="clear" w:pos="916"/>
        </w:tabs>
        <w:jc w:val="both"/>
        <w:rPr>
          <w:rFonts w:ascii="Times New Roman" w:hAnsi="Times New Roman"/>
          <w:sz w:val="24"/>
        </w:rPr>
      </w:pPr>
      <w:r w:rsidRPr="00F6314A">
        <w:rPr>
          <w:rFonts w:ascii="Times New Roman" w:hAnsi="Times New Roman"/>
          <w:sz w:val="24"/>
        </w:rPr>
        <w:t>Hiring Richard King, a seasoned retail director</w:t>
      </w:r>
    </w:p>
    <w:p w14:paraId="3162B5CB" w14:textId="77777777" w:rsidR="009F6BFB" w:rsidRPr="00F6314A" w:rsidRDefault="00C140C7" w:rsidP="009F6BFB">
      <w:pPr>
        <w:pStyle w:val="HTMLPreformatted"/>
        <w:numPr>
          <w:ilvl w:val="0"/>
          <w:numId w:val="1"/>
        </w:numPr>
        <w:tabs>
          <w:tab w:val="clear" w:pos="916"/>
        </w:tabs>
        <w:jc w:val="both"/>
        <w:rPr>
          <w:rFonts w:ascii="Times New Roman" w:hAnsi="Times New Roman"/>
          <w:sz w:val="24"/>
        </w:rPr>
      </w:pPr>
      <w:r w:rsidRPr="00F6314A">
        <w:rPr>
          <w:rFonts w:ascii="Times New Roman" w:hAnsi="Times New Roman"/>
          <w:sz w:val="24"/>
        </w:rPr>
        <w:t>Derma Brilliance positive data from completed clinical study</w:t>
      </w:r>
    </w:p>
    <w:p w14:paraId="1ECDE572" w14:textId="00623027" w:rsidR="00A1631D" w:rsidRPr="00F6314A" w:rsidRDefault="00A1631D" w:rsidP="00A1631D">
      <w:pPr>
        <w:pStyle w:val="ListParagraph"/>
        <w:numPr>
          <w:ilvl w:val="0"/>
          <w:numId w:val="1"/>
        </w:numPr>
        <w:spacing w:before="0" w:beforeAutospacing="0" w:after="0" w:afterAutospacing="0"/>
        <w:jc w:val="both"/>
        <w:rPr>
          <w:rFonts w:ascii="Times New Roman" w:eastAsia="Times New Roman" w:hAnsi="Times New Roman" w:cs="Times New Roman"/>
          <w:sz w:val="24"/>
          <w:szCs w:val="24"/>
        </w:rPr>
      </w:pPr>
      <w:r w:rsidRPr="00F6314A">
        <w:rPr>
          <w:rFonts w:ascii="Times New Roman" w:eastAsia="Times New Roman" w:hAnsi="Times New Roman" w:cs="Times New Roman"/>
          <w:sz w:val="24"/>
          <w:szCs w:val="24"/>
        </w:rPr>
        <w:t>Current working capit</w:t>
      </w:r>
      <w:r w:rsidR="000D2239">
        <w:rPr>
          <w:rFonts w:ascii="Times New Roman" w:eastAsia="Times New Roman" w:hAnsi="Times New Roman" w:cs="Times New Roman"/>
          <w:sz w:val="24"/>
          <w:szCs w:val="24"/>
        </w:rPr>
        <w:t xml:space="preserve">al ratio remains at or above </w:t>
      </w:r>
      <w:r w:rsidRPr="00F6314A">
        <w:rPr>
          <w:rFonts w:ascii="Times New Roman" w:eastAsia="Times New Roman" w:hAnsi="Times New Roman" w:cs="Times New Roman"/>
          <w:sz w:val="24"/>
          <w:szCs w:val="24"/>
        </w:rPr>
        <w:t>2X</w:t>
      </w:r>
    </w:p>
    <w:p w14:paraId="56413653" w14:textId="3C0C79FD" w:rsidR="00A1631D" w:rsidRPr="00F6314A" w:rsidRDefault="00A1631D" w:rsidP="00A1631D">
      <w:pPr>
        <w:pStyle w:val="ListParagraph"/>
        <w:numPr>
          <w:ilvl w:val="0"/>
          <w:numId w:val="1"/>
        </w:numPr>
        <w:spacing w:before="0" w:beforeAutospacing="0" w:after="0" w:afterAutospacing="0"/>
        <w:jc w:val="both"/>
        <w:rPr>
          <w:rFonts w:ascii="Times New Roman" w:eastAsia="Times New Roman" w:hAnsi="Times New Roman" w:cs="Times New Roman"/>
          <w:sz w:val="24"/>
          <w:szCs w:val="24"/>
        </w:rPr>
      </w:pPr>
      <w:r w:rsidRPr="00F6314A">
        <w:rPr>
          <w:rFonts w:ascii="Times New Roman" w:eastAsia="Times New Roman" w:hAnsi="Times New Roman" w:cs="Times New Roman"/>
          <w:sz w:val="24"/>
          <w:szCs w:val="24"/>
        </w:rPr>
        <w:t>Increased cash balance to $1.7 million, from $1.4 million at the end of 2013</w:t>
      </w:r>
    </w:p>
    <w:p w14:paraId="41E020D4" w14:textId="77777777" w:rsidR="005304C1" w:rsidRPr="00F6314A" w:rsidRDefault="005304C1" w:rsidP="000C1AB4">
      <w:pPr>
        <w:jc w:val="both"/>
      </w:pPr>
    </w:p>
    <w:p w14:paraId="51D0C0EC" w14:textId="438CB021" w:rsidR="009F6BFB" w:rsidRPr="00F6314A" w:rsidRDefault="005304C1" w:rsidP="009F6BFB">
      <w:pPr>
        <w:pStyle w:val="HTMLPreformatted"/>
        <w:tabs>
          <w:tab w:val="clear" w:pos="916"/>
          <w:tab w:val="clear" w:pos="1832"/>
          <w:tab w:val="left" w:pos="0"/>
        </w:tabs>
        <w:jc w:val="both"/>
        <w:rPr>
          <w:rFonts w:ascii="Times New Roman" w:hAnsi="Times New Roman" w:cs="Times New Roman"/>
          <w:sz w:val="24"/>
          <w:szCs w:val="24"/>
        </w:rPr>
      </w:pPr>
      <w:r w:rsidRPr="00F6314A">
        <w:rPr>
          <w:rFonts w:ascii="Times New Roman" w:hAnsi="Times New Roman" w:cs="Times New Roman"/>
          <w:sz w:val="24"/>
          <w:szCs w:val="24"/>
        </w:rPr>
        <w:t>Kelvin Claney, Chairman and Chief Executive Officer, stated, “</w:t>
      </w:r>
      <w:r w:rsidR="009F6BFB" w:rsidRPr="00F6314A">
        <w:rPr>
          <w:rFonts w:ascii="Times New Roman" w:hAnsi="Times New Roman" w:cs="Times New Roman"/>
          <w:sz w:val="24"/>
          <w:szCs w:val="24"/>
        </w:rPr>
        <w:t>Our optimism for the remainder of 2014 and into 2015 goes beyond our existing portfolio of branded health and beauty products. Our recent success has spawned numerous introductions and inquiries from inventors and product people in the health and beauty sector. Our pipeline for new products is greater and of higher quality than at any other time i</w:t>
      </w:r>
      <w:r w:rsidR="00E4504C" w:rsidRPr="00F6314A">
        <w:rPr>
          <w:rFonts w:ascii="Times New Roman" w:hAnsi="Times New Roman" w:cs="Times New Roman"/>
          <w:sz w:val="24"/>
          <w:szCs w:val="24"/>
        </w:rPr>
        <w:t xml:space="preserve">n our corporate history. </w:t>
      </w:r>
      <w:r w:rsidR="007D614B" w:rsidRPr="00F6314A">
        <w:rPr>
          <w:rFonts w:ascii="Times New Roman" w:hAnsi="Times New Roman"/>
          <w:sz w:val="24"/>
        </w:rPr>
        <w:t xml:space="preserve">Both our current portfolio of products and our pipeline of opportunities have a nice mix of device with “razor + razor blade” models and recurring revenue continuity models. </w:t>
      </w:r>
      <w:r w:rsidR="00E4504C" w:rsidRPr="00F6314A">
        <w:rPr>
          <w:rFonts w:ascii="Times New Roman" w:hAnsi="Times New Roman" w:cs="Times New Roman"/>
          <w:sz w:val="24"/>
          <w:szCs w:val="24"/>
        </w:rPr>
        <w:t>W</w:t>
      </w:r>
      <w:r w:rsidR="009F6BFB" w:rsidRPr="00F6314A">
        <w:rPr>
          <w:rFonts w:ascii="Times New Roman" w:hAnsi="Times New Roman" w:cs="Times New Roman"/>
          <w:sz w:val="24"/>
          <w:szCs w:val="24"/>
        </w:rPr>
        <w:t>e do expect to continue to invest in such for future growth as we believe that is the be</w:t>
      </w:r>
      <w:r w:rsidR="007D614B" w:rsidRPr="00F6314A">
        <w:rPr>
          <w:rFonts w:ascii="Times New Roman" w:hAnsi="Times New Roman" w:cs="Times New Roman"/>
          <w:sz w:val="24"/>
          <w:szCs w:val="24"/>
        </w:rPr>
        <w:t>st way to reward shareholders. W</w:t>
      </w:r>
      <w:r w:rsidR="009F6BFB" w:rsidRPr="00F6314A">
        <w:rPr>
          <w:rFonts w:ascii="Times New Roman" w:hAnsi="Times New Roman" w:cs="Times New Roman"/>
          <w:sz w:val="24"/>
          <w:szCs w:val="24"/>
        </w:rPr>
        <w:t>e will continue to do so in a conservative and cautious manner. While we expect to hit many single</w:t>
      </w:r>
      <w:r w:rsidR="00AF2E7B">
        <w:rPr>
          <w:rFonts w:ascii="Times New Roman" w:hAnsi="Times New Roman" w:cs="Times New Roman"/>
          <w:sz w:val="24"/>
          <w:szCs w:val="24"/>
        </w:rPr>
        <w:t>s</w:t>
      </w:r>
      <w:r w:rsidR="009F6BFB" w:rsidRPr="00F6314A">
        <w:rPr>
          <w:rFonts w:ascii="Times New Roman" w:hAnsi="Times New Roman" w:cs="Times New Roman"/>
          <w:sz w:val="24"/>
          <w:szCs w:val="24"/>
        </w:rPr>
        <w:t xml:space="preserve"> and doubles, we are optimistic another homerun, such as DermaWand, is within our current portfolio.”</w:t>
      </w:r>
    </w:p>
    <w:p w14:paraId="2822E3BE" w14:textId="77777777" w:rsidR="005304C1" w:rsidRPr="00F6314A" w:rsidRDefault="005304C1" w:rsidP="000C1AB4">
      <w:pPr>
        <w:jc w:val="both"/>
      </w:pPr>
    </w:p>
    <w:p w14:paraId="3417633E" w14:textId="0F6FB4CB" w:rsidR="00921AD3" w:rsidRPr="00F6314A" w:rsidRDefault="00621620" w:rsidP="00F6314A">
      <w:pPr>
        <w:pStyle w:val="NormalWeb"/>
        <w:spacing w:before="0" w:beforeAutospacing="0" w:after="0" w:afterAutospacing="0"/>
        <w:rPr>
          <w:color w:val="000000"/>
          <w:sz w:val="20"/>
          <w:szCs w:val="20"/>
        </w:rPr>
      </w:pPr>
      <w:r w:rsidRPr="00F6314A">
        <w:t>Re</w:t>
      </w:r>
      <w:r w:rsidR="00306236" w:rsidRPr="00F6314A">
        <w:t>venues for the first quarter</w:t>
      </w:r>
      <w:r w:rsidR="004B2149" w:rsidRPr="00F6314A">
        <w:t xml:space="preserve"> ended March</w:t>
      </w:r>
      <w:r w:rsidRPr="00F6314A">
        <w:t xml:space="preserve"> 31</w:t>
      </w:r>
      <w:r w:rsidR="004B2149" w:rsidRPr="00F6314A">
        <w:t>, 2014</w:t>
      </w:r>
      <w:r w:rsidR="00306236" w:rsidRPr="00F6314A">
        <w:t xml:space="preserve"> were </w:t>
      </w:r>
      <w:r w:rsidR="008471E8" w:rsidRPr="00F6314A">
        <w:t>$9.8</w:t>
      </w:r>
      <w:r w:rsidR="00CC363B" w:rsidRPr="00F6314A">
        <w:t xml:space="preserve"> million</w:t>
      </w:r>
      <w:r w:rsidR="00306236" w:rsidRPr="00F6314A">
        <w:t xml:space="preserve">, compared to $12.4 million for the first quarter of 2013. </w:t>
      </w:r>
      <w:r w:rsidR="007D614B" w:rsidRPr="00F6314A">
        <w:t xml:space="preserve">Approximately 10% </w:t>
      </w:r>
      <w:r w:rsidR="002B5FDC" w:rsidRPr="00F6314A">
        <w:t xml:space="preserve">of revenue was generated internationally, not including Canada, which is sold directly and accounted for under domestic revenue. </w:t>
      </w:r>
      <w:r w:rsidR="00306236" w:rsidRPr="00F6314A">
        <w:t>Gross profit margin of 73.7 percent was realized in the first quarter 2014, up from 71.7 percent. Operating loss for the first quarter was $0.5 million, compared to an operating profit of $1.5 million in the first quarter of 201</w:t>
      </w:r>
      <w:r w:rsidR="00B7721D">
        <w:t>3</w:t>
      </w:r>
      <w:r w:rsidR="00306236" w:rsidRPr="00F6314A">
        <w:t xml:space="preserve">. Of note, the operating loss for the first quarter 2014 </w:t>
      </w:r>
      <w:r w:rsidR="00306236" w:rsidRPr="00F6314A">
        <w:lastRenderedPageBreak/>
        <w:t xml:space="preserve">included non-cash expenses and incremental investment (research and development and new production) of </w:t>
      </w:r>
      <w:r w:rsidR="00921AD3" w:rsidRPr="00F6314A">
        <w:t xml:space="preserve">approximately </w:t>
      </w:r>
      <w:r w:rsidR="00306236" w:rsidRPr="00F6314A">
        <w:t>$</w:t>
      </w:r>
      <w:r w:rsidR="00921AD3" w:rsidRPr="00F6314A">
        <w:t>436,000</w:t>
      </w:r>
      <w:r w:rsidR="00306236" w:rsidRPr="00F6314A">
        <w:t xml:space="preserve">, which </w:t>
      </w:r>
      <w:r w:rsidR="00F658AC">
        <w:t>were im</w:t>
      </w:r>
      <w:r w:rsidR="00B83417" w:rsidRPr="00F6314A">
        <w:t xml:space="preserve">material in the first quarter of 2013. These first quarter 2014 expenses were comprised of </w:t>
      </w:r>
      <w:r w:rsidR="00921AD3" w:rsidRPr="00F6314A">
        <w:t>stock based compensation expense of approximately $200,000, product development and clinical testing expenditures of approximately $144,000</w:t>
      </w:r>
      <w:r w:rsidR="00903BAA" w:rsidRPr="00F6314A">
        <w:t>,</w:t>
      </w:r>
      <w:r w:rsidR="00921AD3" w:rsidRPr="00F6314A">
        <w:t xml:space="preserve"> and new production expenses of $92,000</w:t>
      </w:r>
      <w:r w:rsidR="00B83417" w:rsidRPr="00F6314A">
        <w:t xml:space="preserve">. </w:t>
      </w:r>
    </w:p>
    <w:p w14:paraId="13BDA490" w14:textId="77777777" w:rsidR="00921AD3" w:rsidRPr="00F6314A" w:rsidRDefault="00921AD3" w:rsidP="00F6314A">
      <w:pPr>
        <w:pStyle w:val="NormalWeb"/>
        <w:spacing w:before="0" w:beforeAutospacing="0" w:after="0" w:afterAutospacing="0"/>
        <w:rPr>
          <w:color w:val="000000"/>
          <w:sz w:val="20"/>
          <w:szCs w:val="20"/>
        </w:rPr>
      </w:pPr>
    </w:p>
    <w:p w14:paraId="5D87CA3C" w14:textId="1EFD48D3" w:rsidR="000C1AB4" w:rsidRPr="00F6314A" w:rsidRDefault="00B83417" w:rsidP="00F6314A">
      <w:pPr>
        <w:jc w:val="both"/>
      </w:pPr>
      <w:r w:rsidRPr="00F6314A">
        <w:t>N</w:t>
      </w:r>
      <w:r w:rsidR="00306236" w:rsidRPr="00F6314A">
        <w:t xml:space="preserve">et loss for the first quarter </w:t>
      </w:r>
      <w:r w:rsidRPr="00F6314A">
        <w:t xml:space="preserve">was $0.5 million, compared to a net profit of $1.2 million in the first quarter of 2013. </w:t>
      </w:r>
      <w:r w:rsidR="00306236" w:rsidRPr="00F6314A">
        <w:t>The resulting EPS i</w:t>
      </w:r>
      <w:r w:rsidRPr="00F6314A">
        <w:t>s ($0.02), as compared to $0.05</w:t>
      </w:r>
      <w:r w:rsidR="00306236" w:rsidRPr="00F6314A">
        <w:t xml:space="preserve"> </w:t>
      </w:r>
      <w:r w:rsidRPr="00F6314A">
        <w:t xml:space="preserve">in the comparable quarter </w:t>
      </w:r>
      <w:r w:rsidR="00306236" w:rsidRPr="00F6314A">
        <w:t>a year earlier.</w:t>
      </w:r>
      <w:r w:rsidR="00921AD3" w:rsidRPr="00F6314A">
        <w:t xml:space="preserve">  Adjusted earnings before interest, taxes, depreciation, and amortization (EBITDA) was approximately ($304,000).  </w:t>
      </w:r>
    </w:p>
    <w:p w14:paraId="58D25656" w14:textId="77777777" w:rsidR="007D614B" w:rsidRPr="00F6314A" w:rsidRDefault="007D614B" w:rsidP="00306236">
      <w:pPr>
        <w:pStyle w:val="HTMLPreformatted"/>
        <w:tabs>
          <w:tab w:val="clear" w:pos="916"/>
        </w:tabs>
        <w:jc w:val="both"/>
        <w:rPr>
          <w:rFonts w:ascii="Times New Roman" w:hAnsi="Times New Roman" w:cs="Times New Roman"/>
          <w:sz w:val="24"/>
          <w:szCs w:val="24"/>
        </w:rPr>
      </w:pPr>
    </w:p>
    <w:p w14:paraId="589B59F9" w14:textId="1C9967A2" w:rsidR="007D614B" w:rsidRPr="00F6314A" w:rsidRDefault="007D614B" w:rsidP="00306236">
      <w:pPr>
        <w:pStyle w:val="HTMLPreformatted"/>
        <w:tabs>
          <w:tab w:val="clear" w:pos="916"/>
        </w:tabs>
        <w:jc w:val="both"/>
        <w:rPr>
          <w:rFonts w:ascii="Times New Roman" w:hAnsi="Times New Roman" w:cs="Times New Roman"/>
          <w:sz w:val="24"/>
          <w:szCs w:val="24"/>
        </w:rPr>
      </w:pPr>
      <w:r w:rsidRPr="00F6314A">
        <w:rPr>
          <w:rFonts w:ascii="Times New Roman" w:hAnsi="Times New Roman"/>
          <w:sz w:val="24"/>
        </w:rPr>
        <w:t xml:space="preserve">DermaVital, our continuity line of creams and lotions, designed to enhance the DermaWand user results, has continued to ramp as expected, demonstrating 19% growth year-over-year to contribute </w:t>
      </w:r>
      <w:r w:rsidR="00921AD3" w:rsidRPr="00F6314A">
        <w:rPr>
          <w:rFonts w:ascii="Times New Roman" w:hAnsi="Times New Roman"/>
          <w:sz w:val="24"/>
        </w:rPr>
        <w:t xml:space="preserve">revenue of approximately </w:t>
      </w:r>
      <w:r w:rsidRPr="00F6314A">
        <w:rPr>
          <w:rFonts w:ascii="Times New Roman" w:hAnsi="Times New Roman"/>
          <w:sz w:val="24"/>
        </w:rPr>
        <w:t xml:space="preserve">$1.2 </w:t>
      </w:r>
      <w:r w:rsidR="00921AD3" w:rsidRPr="00F6314A">
        <w:rPr>
          <w:rFonts w:ascii="Times New Roman" w:hAnsi="Times New Roman"/>
          <w:sz w:val="24"/>
        </w:rPr>
        <w:t>million</w:t>
      </w:r>
      <w:r w:rsidRPr="00F6314A">
        <w:rPr>
          <w:rFonts w:ascii="Times New Roman" w:hAnsi="Times New Roman"/>
          <w:sz w:val="24"/>
        </w:rPr>
        <w:t xml:space="preserve">. During the first quarter we also launched DermaWand DRTV in Canada, launched elastin-rp, </w:t>
      </w:r>
      <w:r w:rsidRPr="00F6314A">
        <w:rPr>
          <w:rFonts w:ascii="Times New Roman" w:hAnsi="Times New Roman" w:cs="Times New Roman"/>
          <w:sz w:val="24"/>
          <w:szCs w:val="24"/>
        </w:rPr>
        <w:t>a branded system of cosmetic formulations and acquired the exclusive worldwide rights to Coral Actives, a line of acne treatment and skin cleansing products.</w:t>
      </w:r>
    </w:p>
    <w:p w14:paraId="0FF391D3" w14:textId="77777777" w:rsidR="007D614B" w:rsidRPr="00F6314A" w:rsidRDefault="007D614B" w:rsidP="00306236">
      <w:pPr>
        <w:pStyle w:val="HTMLPreformatted"/>
        <w:tabs>
          <w:tab w:val="clear" w:pos="916"/>
        </w:tabs>
        <w:jc w:val="both"/>
        <w:rPr>
          <w:rFonts w:ascii="Times New Roman" w:hAnsi="Times New Roman" w:cs="Times New Roman"/>
          <w:sz w:val="24"/>
          <w:szCs w:val="24"/>
        </w:rPr>
      </w:pPr>
    </w:p>
    <w:p w14:paraId="63D0B591" w14:textId="0AEB8EDB" w:rsidR="007D614B" w:rsidRPr="00F6314A" w:rsidRDefault="007D614B" w:rsidP="007D614B">
      <w:pPr>
        <w:jc w:val="both"/>
      </w:pPr>
      <w:r w:rsidRPr="00F6314A">
        <w:t xml:space="preserve">Elastin-rp, a branded system of cosmetic formulations designed to help improve the elasticity of the skin, thereby diminishing the appearance of fine lines and wrinkles, initially launched in January 2014. In clinical studies, </w:t>
      </w:r>
      <w:r w:rsidR="00500C62">
        <w:t>e</w:t>
      </w:r>
      <w:r w:rsidR="00500C62" w:rsidRPr="00F6314A">
        <w:t>lastin</w:t>
      </w:r>
      <w:r w:rsidRPr="00F6314A">
        <w:t>-rp has proven to increase skin elasticity by 50%, helping to repair, rejuvenate, restore and naturally fi</w:t>
      </w:r>
      <w:r w:rsidR="002B5FDC" w:rsidRPr="00F6314A">
        <w:t xml:space="preserve">ll-in for flawless skin. </w:t>
      </w:r>
      <w:r w:rsidRPr="00F6314A">
        <w:t xml:space="preserve">After spending </w:t>
      </w:r>
      <w:r w:rsidR="00921AD3" w:rsidRPr="00F6314A">
        <w:t xml:space="preserve">approximately </w:t>
      </w:r>
      <w:r w:rsidRPr="00F6314A">
        <w:t xml:space="preserve">$40,000 in media testing </w:t>
      </w:r>
      <w:r w:rsidR="00921AD3" w:rsidRPr="00F6314A">
        <w:t xml:space="preserve">on </w:t>
      </w:r>
      <w:r w:rsidRPr="00F6314A">
        <w:t xml:space="preserve">our initial re-edited </w:t>
      </w:r>
      <w:r w:rsidR="00F658AC">
        <w:t>elastin-rp</w:t>
      </w:r>
      <w:r w:rsidRPr="00F6314A">
        <w:t xml:space="preserve"> infomercial between mid-January and early Marc</w:t>
      </w:r>
      <w:r w:rsidR="002B5FDC" w:rsidRPr="00F6314A">
        <w:t>h, we completed our</w:t>
      </w:r>
      <w:r w:rsidRPr="00F6314A">
        <w:t xml:space="preserve"> second edited version of the elastin infomercial, including a 5 minute sho</w:t>
      </w:r>
      <w:r w:rsidR="002B5FDC" w:rsidRPr="00F6314A">
        <w:t xml:space="preserve">rt-form version. </w:t>
      </w:r>
    </w:p>
    <w:p w14:paraId="382D5027" w14:textId="77777777" w:rsidR="000C1AB4" w:rsidRPr="00F6314A" w:rsidRDefault="000C1AB4" w:rsidP="000C1AB4">
      <w:pPr>
        <w:jc w:val="both"/>
      </w:pPr>
    </w:p>
    <w:p w14:paraId="382A9A83" w14:textId="6ABCBF90" w:rsidR="000C1AB4" w:rsidRPr="00F6314A" w:rsidRDefault="00B83417" w:rsidP="002420A4">
      <w:pPr>
        <w:pStyle w:val="HTMLPreformatted"/>
        <w:tabs>
          <w:tab w:val="clear" w:pos="916"/>
          <w:tab w:val="clear" w:pos="1832"/>
        </w:tabs>
        <w:jc w:val="both"/>
        <w:rPr>
          <w:rFonts w:ascii="Times New Roman" w:hAnsi="Times New Roman" w:cs="Times New Roman"/>
          <w:sz w:val="24"/>
          <w:szCs w:val="24"/>
        </w:rPr>
      </w:pPr>
      <w:r w:rsidRPr="00F6314A">
        <w:rPr>
          <w:rFonts w:ascii="Times New Roman" w:hAnsi="Times New Roman" w:cs="Times New Roman"/>
          <w:sz w:val="24"/>
          <w:szCs w:val="24"/>
        </w:rPr>
        <w:t>As of March</w:t>
      </w:r>
      <w:r w:rsidR="00CC7D7A" w:rsidRPr="00F6314A">
        <w:rPr>
          <w:rFonts w:ascii="Times New Roman" w:hAnsi="Times New Roman" w:cs="Times New Roman"/>
          <w:sz w:val="24"/>
          <w:szCs w:val="24"/>
        </w:rPr>
        <w:t xml:space="preserve"> 31</w:t>
      </w:r>
      <w:r w:rsidRPr="00F6314A">
        <w:rPr>
          <w:rFonts w:ascii="Times New Roman" w:hAnsi="Times New Roman" w:cs="Times New Roman"/>
          <w:sz w:val="24"/>
          <w:szCs w:val="24"/>
        </w:rPr>
        <w:t>, 2014</w:t>
      </w:r>
      <w:r w:rsidR="00CC7D7A" w:rsidRPr="00F6314A">
        <w:rPr>
          <w:rFonts w:ascii="Times New Roman" w:hAnsi="Times New Roman" w:cs="Times New Roman"/>
          <w:sz w:val="24"/>
          <w:szCs w:val="24"/>
        </w:rPr>
        <w:t>,</w:t>
      </w:r>
      <w:r w:rsidRPr="00F6314A">
        <w:rPr>
          <w:rFonts w:ascii="Times New Roman" w:hAnsi="Times New Roman" w:cs="Times New Roman"/>
          <w:sz w:val="24"/>
          <w:szCs w:val="24"/>
        </w:rPr>
        <w:t xml:space="preserve"> the Company had $1.7</w:t>
      </w:r>
      <w:r w:rsidR="00323B79" w:rsidRPr="00F6314A">
        <w:rPr>
          <w:rFonts w:ascii="Times New Roman" w:hAnsi="Times New Roman" w:cs="Times New Roman"/>
          <w:sz w:val="24"/>
          <w:szCs w:val="24"/>
        </w:rPr>
        <w:t xml:space="preserve"> million</w:t>
      </w:r>
      <w:r w:rsidRPr="00F6314A">
        <w:rPr>
          <w:rFonts w:ascii="Times New Roman" w:hAnsi="Times New Roman" w:cs="Times New Roman"/>
          <w:sz w:val="24"/>
          <w:szCs w:val="24"/>
        </w:rPr>
        <w:t xml:space="preserve"> in cash, compared to $1.4 million</w:t>
      </w:r>
      <w:r w:rsidR="000C1AB4" w:rsidRPr="00F6314A">
        <w:rPr>
          <w:rFonts w:ascii="Times New Roman" w:hAnsi="Times New Roman" w:cs="Times New Roman"/>
          <w:sz w:val="24"/>
          <w:szCs w:val="24"/>
        </w:rPr>
        <w:t xml:space="preserve"> at </w:t>
      </w:r>
      <w:r w:rsidRPr="00F6314A">
        <w:rPr>
          <w:rFonts w:ascii="Times New Roman" w:hAnsi="Times New Roman" w:cs="Times New Roman"/>
          <w:sz w:val="24"/>
          <w:szCs w:val="24"/>
        </w:rPr>
        <w:t>December 31, 2013</w:t>
      </w:r>
      <w:r w:rsidR="002420A4" w:rsidRPr="00F6314A">
        <w:rPr>
          <w:rFonts w:ascii="Times New Roman" w:hAnsi="Times New Roman" w:cs="Times New Roman"/>
          <w:sz w:val="24"/>
          <w:szCs w:val="24"/>
        </w:rPr>
        <w:t xml:space="preserve">, and reflects continued investment in expenditures on new product acquisition and development. Our current working capital ratio remains at or above 2X, which demonstrates our solid short-term liquidity. We have also reached a positive shareholders’ equity of approximately $2.1 million, up from a negative $400,000 at year end 2012. The note payable to shareholder was reduced by $200,000 in the first quarter to a balance of $194,000, and subsequently further reduced to $174,000. </w:t>
      </w:r>
      <w:r w:rsidR="000C1AB4" w:rsidRPr="00F6314A">
        <w:rPr>
          <w:rFonts w:ascii="Times New Roman" w:hAnsi="Times New Roman" w:cs="Times New Roman"/>
          <w:sz w:val="24"/>
          <w:szCs w:val="24"/>
        </w:rPr>
        <w:t xml:space="preserve">We generated positive cash flows from operations of approximately </w:t>
      </w:r>
      <w:r w:rsidRPr="00F6314A">
        <w:rPr>
          <w:rFonts w:ascii="Times New Roman" w:hAnsi="Times New Roman" w:cs="Times New Roman"/>
          <w:sz w:val="24"/>
          <w:szCs w:val="24"/>
        </w:rPr>
        <w:t>$225</w:t>
      </w:r>
      <w:r w:rsidR="00DE2F4D" w:rsidRPr="00F6314A">
        <w:rPr>
          <w:rFonts w:ascii="Times New Roman" w:hAnsi="Times New Roman" w:cs="Times New Roman"/>
          <w:sz w:val="24"/>
          <w:szCs w:val="24"/>
        </w:rPr>
        <w:t>,000</w:t>
      </w:r>
      <w:r w:rsidR="00CC7D7A" w:rsidRPr="00F6314A">
        <w:rPr>
          <w:rFonts w:ascii="Times New Roman" w:hAnsi="Times New Roman" w:cs="Times New Roman"/>
          <w:sz w:val="24"/>
          <w:szCs w:val="24"/>
        </w:rPr>
        <w:t xml:space="preserve"> </w:t>
      </w:r>
      <w:r w:rsidRPr="00F6314A">
        <w:rPr>
          <w:rFonts w:ascii="Times New Roman" w:hAnsi="Times New Roman" w:cs="Times New Roman"/>
          <w:sz w:val="24"/>
          <w:szCs w:val="24"/>
        </w:rPr>
        <w:t xml:space="preserve">in the three months ended March 31, 2014.  </w:t>
      </w:r>
    </w:p>
    <w:p w14:paraId="55766E07" w14:textId="77777777" w:rsidR="000C1AB4" w:rsidRPr="00F6314A" w:rsidRDefault="000C1AB4" w:rsidP="000C1AB4">
      <w:pPr>
        <w:jc w:val="both"/>
      </w:pPr>
    </w:p>
    <w:p w14:paraId="0B764E3C" w14:textId="4CF570DD" w:rsidR="004B2149" w:rsidRPr="00F6314A" w:rsidRDefault="000C1AB4" w:rsidP="004B2149">
      <w:pPr>
        <w:pStyle w:val="HTMLPreformatted"/>
        <w:tabs>
          <w:tab w:val="clear" w:pos="916"/>
          <w:tab w:val="clear" w:pos="1832"/>
          <w:tab w:val="left" w:pos="1350"/>
        </w:tabs>
        <w:jc w:val="both"/>
        <w:rPr>
          <w:rFonts w:ascii="Times New Roman" w:hAnsi="Times New Roman" w:cs="Times New Roman"/>
          <w:sz w:val="24"/>
          <w:szCs w:val="24"/>
        </w:rPr>
      </w:pPr>
      <w:r w:rsidRPr="00F6314A">
        <w:rPr>
          <w:rFonts w:ascii="Times New Roman" w:hAnsi="Times New Roman" w:cs="Times New Roman"/>
          <w:sz w:val="24"/>
          <w:szCs w:val="24"/>
        </w:rPr>
        <w:t xml:space="preserve">Richard </w:t>
      </w:r>
      <w:r w:rsidR="005304C1" w:rsidRPr="00F6314A">
        <w:rPr>
          <w:rFonts w:ascii="Times New Roman" w:hAnsi="Times New Roman" w:cs="Times New Roman"/>
          <w:sz w:val="24"/>
          <w:szCs w:val="24"/>
        </w:rPr>
        <w:t>Ransom, President, stated, “</w:t>
      </w:r>
      <w:r w:rsidR="004B2149" w:rsidRPr="00F6314A">
        <w:rPr>
          <w:rFonts w:ascii="Times New Roman" w:hAnsi="Times New Roman" w:cs="Times New Roman"/>
          <w:sz w:val="24"/>
          <w:szCs w:val="24"/>
        </w:rPr>
        <w:t>I am extremely pleased about the progress we have made in proving ourselves with a single product, in DermaWand, and a single marketing/distribution channel of DRTV to expanding to a portfolio of products and multiple marketing/distribution channels in DRTV, Internet/digital, e-commerce, live television shopping and retail. Our soon-to-be new corporate identity of ICTV Brands is targeting continued growth in 2014 and a goal of becoming a $100mm+ revenue company in the next 2-3 years.”</w:t>
      </w:r>
    </w:p>
    <w:p w14:paraId="1BDFFD5E" w14:textId="77777777" w:rsidR="007C3605" w:rsidRPr="00F6314A" w:rsidRDefault="007C3605" w:rsidP="000C1AB4">
      <w:pPr>
        <w:pStyle w:val="NormalWeb"/>
        <w:spacing w:before="0" w:beforeAutospacing="0" w:after="0" w:afterAutospacing="0"/>
        <w:jc w:val="both"/>
        <w:rPr>
          <w:rStyle w:val="yshortcuts"/>
        </w:rPr>
      </w:pPr>
    </w:p>
    <w:p w14:paraId="7B07D05E" w14:textId="77777777" w:rsidR="000C1AB4" w:rsidRPr="00F6314A" w:rsidRDefault="000C1AB4" w:rsidP="000C1AB4">
      <w:pPr>
        <w:jc w:val="both"/>
        <w:rPr>
          <w:u w:val="single"/>
        </w:rPr>
      </w:pPr>
      <w:r w:rsidRPr="00F6314A">
        <w:rPr>
          <w:u w:val="single"/>
        </w:rPr>
        <w:t>Conference Call</w:t>
      </w:r>
    </w:p>
    <w:p w14:paraId="75D1A274" w14:textId="430FF651" w:rsidR="000C1AB4" w:rsidRPr="00F6314A" w:rsidRDefault="000C1AB4" w:rsidP="000C1AB4">
      <w:pPr>
        <w:jc w:val="both"/>
      </w:pPr>
      <w:r w:rsidRPr="00F6314A">
        <w:t>ICTV will hold a confere</w:t>
      </w:r>
      <w:r w:rsidR="00F63403" w:rsidRPr="00F6314A">
        <w:t>nce call</w:t>
      </w:r>
      <w:r w:rsidR="006E4169" w:rsidRPr="00F6314A">
        <w:t xml:space="preserve"> to discuss the Company’s first</w:t>
      </w:r>
      <w:r w:rsidRPr="00F6314A">
        <w:t xml:space="preserve"> quarter 201</w:t>
      </w:r>
      <w:r w:rsidR="00D521A0">
        <w:t>4</w:t>
      </w:r>
      <w:r w:rsidRPr="00F6314A">
        <w:t xml:space="preserve"> results and ans</w:t>
      </w:r>
      <w:r w:rsidR="006E4169" w:rsidRPr="00F6314A">
        <w:t>wer questions today, May 13, 2014</w:t>
      </w:r>
      <w:r w:rsidR="007D3728" w:rsidRPr="00F6314A">
        <w:t>, beginning at 4:30pm EDT</w:t>
      </w:r>
      <w:r w:rsidRPr="00F6314A">
        <w:t>.  The call will be open to the public and will have a corporate update presented by ICTV's Chairman and Chief Executive Off</w:t>
      </w:r>
      <w:r w:rsidR="00321109" w:rsidRPr="00F6314A">
        <w:t xml:space="preserve">icer, Kelvin </w:t>
      </w:r>
      <w:r w:rsidR="00321109" w:rsidRPr="00F6314A">
        <w:lastRenderedPageBreak/>
        <w:t xml:space="preserve">Claney, </w:t>
      </w:r>
      <w:r w:rsidRPr="00F6314A">
        <w:t>Presi</w:t>
      </w:r>
      <w:r w:rsidR="00AF242C" w:rsidRPr="00F6314A">
        <w:t>dent</w:t>
      </w:r>
      <w:r w:rsidRPr="00F6314A">
        <w:t>, Richard Ransom</w:t>
      </w:r>
      <w:r w:rsidR="00321109" w:rsidRPr="00F6314A">
        <w:t xml:space="preserve"> and Chief Financial Officer, Ryan LeBon</w:t>
      </w:r>
      <w:r w:rsidRPr="00F6314A">
        <w:t xml:space="preserve">, followed by a question and answer period. </w:t>
      </w:r>
    </w:p>
    <w:p w14:paraId="0652232C" w14:textId="77777777" w:rsidR="000C1AB4" w:rsidRPr="00F6314A" w:rsidRDefault="000C1AB4" w:rsidP="000C1AB4">
      <w:pPr>
        <w:jc w:val="both"/>
      </w:pPr>
    </w:p>
    <w:p w14:paraId="181BF92C" w14:textId="13B483B0" w:rsidR="000C1AB4" w:rsidRPr="00F6314A" w:rsidRDefault="000C1AB4" w:rsidP="000C1AB4">
      <w:pPr>
        <w:jc w:val="both"/>
      </w:pPr>
      <w:r w:rsidRPr="00F6314A">
        <w:t>The live conference call can be ac</w:t>
      </w:r>
      <w:r w:rsidR="00A1631D" w:rsidRPr="00F6314A">
        <w:t xml:space="preserve">cessed by dialing </w:t>
      </w:r>
      <w:r w:rsidR="00A1631D" w:rsidRPr="00F6314A">
        <w:rPr>
          <w:rFonts w:eastAsiaTheme="minorEastAsia"/>
        </w:rPr>
        <w:t>(866) 952-1908 or (785) 424-1827</w:t>
      </w:r>
      <w:r w:rsidRPr="00F6314A">
        <w:t>. Participants should ask for the </w:t>
      </w:r>
      <w:hyperlink r:id="rId7" w:history="1">
        <w:r w:rsidRPr="00F6314A">
          <w:t>International Commercial Television</w:t>
        </w:r>
      </w:hyperlink>
      <w:r w:rsidRPr="00F6314A">
        <w:t> Earnings Conference Call.  Participants are recommended to dial-in approximately 10 minutes prior to the start of the event. A replay of the call will be available approximately two hours after comp</w:t>
      </w:r>
      <w:r w:rsidR="00F63403" w:rsidRPr="00F6314A">
        <w:t xml:space="preserve">letion through </w:t>
      </w:r>
      <w:r w:rsidR="00A1631D" w:rsidRPr="00F6314A">
        <w:rPr>
          <w:rFonts w:eastAsiaTheme="minorEastAsia"/>
        </w:rPr>
        <w:t>May 27, 2014. To listen to the replay, dial (800) 839-3735 (domestic) or (402) 220-2977 (international).</w:t>
      </w:r>
      <w:r w:rsidR="00A1631D" w:rsidRPr="00F6314A">
        <w:t xml:space="preserve"> </w:t>
      </w:r>
      <w:r w:rsidR="00C8254A" w:rsidRPr="00F6314A">
        <w:t>The conference call transcript will be posted to the Company’</w:t>
      </w:r>
      <w:r w:rsidRPr="00F6314A">
        <w:t>s corporate website (</w:t>
      </w:r>
      <w:hyperlink r:id="rId8" w:tgtFrame="_top" w:history="1">
        <w:r w:rsidRPr="00F6314A">
          <w:t>http://www.ictvonline.com</w:t>
        </w:r>
      </w:hyperlink>
      <w:r w:rsidRPr="00F6314A">
        <w:t>) for those who are unable to attend the live call.</w:t>
      </w:r>
    </w:p>
    <w:p w14:paraId="0432CA94" w14:textId="77777777" w:rsidR="000C1AB4" w:rsidRPr="00F6314A" w:rsidRDefault="000C1AB4" w:rsidP="000C1AB4">
      <w:pPr>
        <w:jc w:val="both"/>
      </w:pPr>
    </w:p>
    <w:p w14:paraId="2B924F15" w14:textId="77777777" w:rsidR="000C1AB4" w:rsidRPr="00F6314A" w:rsidRDefault="000C1AB4" w:rsidP="000C1AB4">
      <w:pPr>
        <w:rPr>
          <w:u w:val="single"/>
        </w:rPr>
      </w:pPr>
      <w:r w:rsidRPr="00F6314A">
        <w:rPr>
          <w:u w:val="single"/>
        </w:rPr>
        <w:t xml:space="preserve">About International Commercial Television, Inc. </w:t>
      </w:r>
    </w:p>
    <w:p w14:paraId="26F09EC3" w14:textId="77777777" w:rsidR="00CF72FD" w:rsidRPr="00F6314A" w:rsidRDefault="00CF72FD" w:rsidP="00CF72FD">
      <w:pPr>
        <w:jc w:val="both"/>
      </w:pPr>
      <w:r w:rsidRPr="00F6314A">
        <w:rPr>
          <w:rFonts w:eastAsiaTheme="minorEastAsia"/>
        </w:rPr>
        <w:t xml:space="preserve">International Commercial Television, Inc. sells various health, wellness and beauty products through infomercials and other channels primarily in the United States. </w:t>
      </w:r>
      <w:r w:rsidRPr="00F6314A">
        <w:t xml:space="preserve">ICTV utilizes a distinctive marketing strategy and multi-channel distribution model to develop, market and sell products through infomercials, live home shopping television, specialty outlets and online shopping. </w:t>
      </w:r>
      <w:r w:rsidRPr="00F6314A">
        <w:rPr>
          <w:rFonts w:eastAsiaTheme="minorEastAsia"/>
        </w:rPr>
        <w:t xml:space="preserve">It offers health and beauty products, including DermaWand, a skin care  device that reduces the appearance of fine lines and wrinkles, and helps improves skin tone and texture; and </w:t>
      </w:r>
      <w:r w:rsidRPr="00F6314A">
        <w:t>DermaVitál</w:t>
      </w:r>
      <w:r w:rsidRPr="00F6314A">
        <w:rPr>
          <w:rFonts w:eastAsiaTheme="minorEastAsia"/>
        </w:rPr>
        <w:t>, a professional quality skin care range that effects superior hydration. International Commercial Television Inc. was founded in 1993 and headquartered in Wayne, Pennsylvania.</w:t>
      </w:r>
    </w:p>
    <w:p w14:paraId="78077946" w14:textId="77777777" w:rsidR="000C1AB4" w:rsidRPr="00F6314A" w:rsidRDefault="000C1AB4" w:rsidP="000C1AB4">
      <w:pPr>
        <w:jc w:val="both"/>
      </w:pPr>
    </w:p>
    <w:p w14:paraId="51C47BD9" w14:textId="77777777" w:rsidR="000C1AB4" w:rsidRPr="00F6314A" w:rsidRDefault="000C1AB4" w:rsidP="000C1AB4">
      <w:pPr>
        <w:rPr>
          <w:u w:val="single"/>
        </w:rPr>
      </w:pPr>
      <w:r w:rsidRPr="00F6314A">
        <w:rPr>
          <w:u w:val="single"/>
        </w:rPr>
        <w:t>Non-GAAP Financial Information</w:t>
      </w:r>
    </w:p>
    <w:p w14:paraId="79D012C3" w14:textId="77777777" w:rsidR="000C1AB4" w:rsidRPr="00F6314A" w:rsidRDefault="000C1AB4" w:rsidP="000C1AB4">
      <w:pPr>
        <w:pStyle w:val="NormalWeb"/>
        <w:spacing w:before="0" w:beforeAutospacing="0"/>
        <w:jc w:val="both"/>
        <w:rPr>
          <w:vertAlign w:val="superscript"/>
        </w:rPr>
      </w:pPr>
      <w:r w:rsidRPr="00F6314A">
        <w:t xml:space="preserve">Adjusted EBITDA is defined as income from continuing operations before depreciation, amortization, interest expense, interest income, and stock-based compensation.  Adjusted EBITDA is not intended to replace operating income, net income, cash flow or other measures of financial performance reported in accordance with generally accepted accounting principles.  Rather, Adjusted EBITDA is an important measure used by management to assess the operating performance of the Company.  Adjusted EBITDA as defined here may not be comparable to similarly titled measures reported by other companies due to differences in accounting policies.  </w:t>
      </w:r>
      <w:r w:rsidRPr="00F6314A">
        <w:rPr>
          <w:vertAlign w:val="superscript"/>
        </w:rPr>
        <w:t xml:space="preserve">               </w:t>
      </w:r>
    </w:p>
    <w:p w14:paraId="3E6CC85D" w14:textId="77777777" w:rsidR="000C1AB4" w:rsidRPr="00F6314A" w:rsidRDefault="000C1AB4" w:rsidP="000C1AB4">
      <w:pPr>
        <w:rPr>
          <w:u w:val="single"/>
        </w:rPr>
      </w:pPr>
      <w:r w:rsidRPr="00F6314A">
        <w:rPr>
          <w:u w:val="single"/>
        </w:rPr>
        <w:t xml:space="preserve">Forward-Looking Statements </w:t>
      </w:r>
    </w:p>
    <w:p w14:paraId="6E4F65A2" w14:textId="77777777" w:rsidR="000C1AB4" w:rsidRPr="00F6314A" w:rsidRDefault="000C1AB4" w:rsidP="000C1AB4">
      <w:pPr>
        <w:jc w:val="both"/>
      </w:pPr>
      <w:r w:rsidRPr="00F6314A">
        <w:t xml:space="preserve">The matters discussed in this press release may contain "forward-looking statements" (as defined in the Private Securities Litigation Reform Act of 1995). The Company intends that the safe harbor provisions of Section 21E of the Securities Exchange Act of 1934, as amended, and Section 27A of the Securities Act of 1933, as amended, apply to forward-looking statements made by ICTV. Undue reliance should not be placed on forward-looking statements as they may involve risks and uncertainties. The actual results that ICTV achieves may differ materially from any forward-looking statements due to such risks and uncertainties. </w:t>
      </w:r>
    </w:p>
    <w:p w14:paraId="76FAED7C" w14:textId="77777777" w:rsidR="000C1AB4" w:rsidRPr="00F6314A" w:rsidRDefault="000C1AB4" w:rsidP="000C1AB4">
      <w:pPr>
        <w:jc w:val="both"/>
      </w:pPr>
    </w:p>
    <w:p w14:paraId="5C7EC259" w14:textId="77777777" w:rsidR="000C1AB4" w:rsidRDefault="000C1AB4" w:rsidP="000C1AB4">
      <w:bookmarkStart w:id="0" w:name="_GoBack"/>
      <w:bookmarkEnd w:id="0"/>
    </w:p>
    <w:p w14:paraId="776DD2C0" w14:textId="77777777" w:rsidR="009027D0" w:rsidRDefault="009027D0" w:rsidP="000C1AB4"/>
    <w:p w14:paraId="4B3B0516" w14:textId="77777777" w:rsidR="009027D0" w:rsidRDefault="009027D0" w:rsidP="000C1AB4"/>
    <w:p w14:paraId="323F0837" w14:textId="77777777" w:rsidR="009027D0" w:rsidRDefault="009027D0" w:rsidP="000C1AB4"/>
    <w:p w14:paraId="372AFD0C" w14:textId="77777777" w:rsidR="009027D0" w:rsidRDefault="009027D0" w:rsidP="000C1AB4"/>
    <w:p w14:paraId="073A91C0" w14:textId="77777777" w:rsidR="009027D0" w:rsidRDefault="009027D0" w:rsidP="000C1AB4"/>
    <w:p w14:paraId="64BEEEE2" w14:textId="77777777" w:rsidR="009027D0" w:rsidRPr="00F6314A" w:rsidRDefault="009027D0" w:rsidP="009027D0">
      <w:pPr>
        <w:rPr>
          <w:b/>
          <w:u w:val="single"/>
        </w:rPr>
      </w:pPr>
      <w:r w:rsidRPr="00F6314A">
        <w:rPr>
          <w:b/>
          <w:u w:val="single"/>
        </w:rPr>
        <w:t>Contact Information</w:t>
      </w:r>
    </w:p>
    <w:p w14:paraId="0BDF514F" w14:textId="77777777" w:rsidR="009027D0" w:rsidRPr="00F6314A" w:rsidRDefault="009027D0" w:rsidP="009027D0">
      <w:pPr>
        <w:widowControl w:val="0"/>
        <w:autoSpaceDE w:val="0"/>
        <w:autoSpaceDN w:val="0"/>
        <w:adjustRightInd w:val="0"/>
      </w:pPr>
      <w:r w:rsidRPr="00F6314A">
        <w:lastRenderedPageBreak/>
        <w:t>International Commercial Television, Inc.</w:t>
      </w:r>
    </w:p>
    <w:p w14:paraId="113F0B2F" w14:textId="77777777" w:rsidR="009027D0" w:rsidRPr="00F6314A" w:rsidRDefault="009027D0" w:rsidP="009027D0">
      <w:pPr>
        <w:widowControl w:val="0"/>
        <w:autoSpaceDE w:val="0"/>
        <w:autoSpaceDN w:val="0"/>
        <w:adjustRightInd w:val="0"/>
      </w:pPr>
      <w:r w:rsidRPr="00F6314A">
        <w:t>Rich Ransom</w:t>
      </w:r>
    </w:p>
    <w:p w14:paraId="3A9CC87D" w14:textId="77777777" w:rsidR="009027D0" w:rsidRPr="00F6314A" w:rsidRDefault="00652E42" w:rsidP="009027D0">
      <w:pPr>
        <w:widowControl w:val="0"/>
        <w:autoSpaceDE w:val="0"/>
        <w:autoSpaceDN w:val="0"/>
        <w:adjustRightInd w:val="0"/>
      </w:pPr>
      <w:hyperlink r:id="rId9" w:history="1">
        <w:r w:rsidR="009027D0" w:rsidRPr="00F6314A">
          <w:t>ransom@ictvonline.com</w:t>
        </w:r>
      </w:hyperlink>
    </w:p>
    <w:p w14:paraId="2BC44904" w14:textId="77777777" w:rsidR="009027D0" w:rsidRPr="00F6314A" w:rsidRDefault="009027D0" w:rsidP="009027D0">
      <w:r w:rsidRPr="00F6314A">
        <w:t>484-598-2313</w:t>
      </w:r>
    </w:p>
    <w:p w14:paraId="2431DD9F" w14:textId="77777777" w:rsidR="009027D0" w:rsidRPr="00F6314A" w:rsidRDefault="009027D0" w:rsidP="009027D0"/>
    <w:p w14:paraId="280FD4F6" w14:textId="77777777" w:rsidR="009027D0" w:rsidRPr="00F6314A" w:rsidRDefault="009027D0" w:rsidP="009027D0">
      <w:r w:rsidRPr="00F6314A">
        <w:t>Hayden IR</w:t>
      </w:r>
    </w:p>
    <w:p w14:paraId="02699DB0" w14:textId="77777777" w:rsidR="009027D0" w:rsidRPr="00F6314A" w:rsidRDefault="00652E42" w:rsidP="009027D0">
      <w:hyperlink r:id="rId10" w:history="1">
        <w:r w:rsidR="009027D0" w:rsidRPr="00F6314A">
          <w:t>hart@haydenir.com</w:t>
        </w:r>
      </w:hyperlink>
    </w:p>
    <w:p w14:paraId="28D324E2" w14:textId="77777777" w:rsidR="009027D0" w:rsidRPr="00F6314A" w:rsidRDefault="009027D0" w:rsidP="009027D0">
      <w:r w:rsidRPr="00F6314A">
        <w:t>917-658-7878</w:t>
      </w:r>
    </w:p>
    <w:p w14:paraId="5D29A388" w14:textId="77777777" w:rsidR="009027D0" w:rsidRDefault="009027D0"/>
    <w:sectPr w:rsidR="009027D0" w:rsidSect="000C1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54E6" w14:textId="77777777" w:rsidR="00652E42" w:rsidRDefault="00652E42" w:rsidP="009027D0">
      <w:r>
        <w:separator/>
      </w:r>
    </w:p>
  </w:endnote>
  <w:endnote w:type="continuationSeparator" w:id="0">
    <w:p w14:paraId="69006F3A" w14:textId="77777777" w:rsidR="00652E42" w:rsidRDefault="00652E42" w:rsidP="0090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2C6B" w14:textId="77777777" w:rsidR="00652E42" w:rsidRDefault="00652E42" w:rsidP="009027D0">
      <w:r>
        <w:separator/>
      </w:r>
    </w:p>
  </w:footnote>
  <w:footnote w:type="continuationSeparator" w:id="0">
    <w:p w14:paraId="422A350D" w14:textId="77777777" w:rsidR="00652E42" w:rsidRDefault="00652E42" w:rsidP="0090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B05E9"/>
    <w:multiLevelType w:val="hybridMultilevel"/>
    <w:tmpl w:val="FAE4B2A4"/>
    <w:lvl w:ilvl="0" w:tplc="04090001">
      <w:start w:val="1"/>
      <w:numFmt w:val="bullet"/>
      <w:lvlText w:val=""/>
      <w:lvlJc w:val="left"/>
      <w:pPr>
        <w:ind w:left="2528" w:hanging="360"/>
      </w:pPr>
      <w:rPr>
        <w:rFonts w:ascii="Symbol" w:hAnsi="Symbol" w:hint="default"/>
      </w:rPr>
    </w:lvl>
    <w:lvl w:ilvl="1" w:tplc="04090003" w:tentative="1">
      <w:start w:val="1"/>
      <w:numFmt w:val="bullet"/>
      <w:lvlText w:val="o"/>
      <w:lvlJc w:val="left"/>
      <w:pPr>
        <w:ind w:left="3248" w:hanging="360"/>
      </w:pPr>
      <w:rPr>
        <w:rFonts w:ascii="Courier New" w:hAnsi="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1">
    <w:nsid w:val="6B34053A"/>
    <w:multiLevelType w:val="hybridMultilevel"/>
    <w:tmpl w:val="47F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A9"/>
    <w:rsid w:val="0004090C"/>
    <w:rsid w:val="000C1AB4"/>
    <w:rsid w:val="000D2239"/>
    <w:rsid w:val="000E1ACE"/>
    <w:rsid w:val="000F1072"/>
    <w:rsid w:val="001C1AC4"/>
    <w:rsid w:val="00203313"/>
    <w:rsid w:val="002420A4"/>
    <w:rsid w:val="00253608"/>
    <w:rsid w:val="002B5FDC"/>
    <w:rsid w:val="002C59BC"/>
    <w:rsid w:val="00306236"/>
    <w:rsid w:val="00312B46"/>
    <w:rsid w:val="00321109"/>
    <w:rsid w:val="00323B79"/>
    <w:rsid w:val="003C6B3F"/>
    <w:rsid w:val="003E0F33"/>
    <w:rsid w:val="00454DD4"/>
    <w:rsid w:val="004B2149"/>
    <w:rsid w:val="004C7BB9"/>
    <w:rsid w:val="00500C62"/>
    <w:rsid w:val="0052763A"/>
    <w:rsid w:val="005304C1"/>
    <w:rsid w:val="00621620"/>
    <w:rsid w:val="00646E10"/>
    <w:rsid w:val="00652E42"/>
    <w:rsid w:val="006E4169"/>
    <w:rsid w:val="006F09AC"/>
    <w:rsid w:val="007108CE"/>
    <w:rsid w:val="007514A7"/>
    <w:rsid w:val="007755C5"/>
    <w:rsid w:val="0078506B"/>
    <w:rsid w:val="007B399E"/>
    <w:rsid w:val="007C3605"/>
    <w:rsid w:val="007C4EE9"/>
    <w:rsid w:val="007D3728"/>
    <w:rsid w:val="007D614B"/>
    <w:rsid w:val="008471E8"/>
    <w:rsid w:val="00896644"/>
    <w:rsid w:val="008B1A52"/>
    <w:rsid w:val="008C4819"/>
    <w:rsid w:val="008E6C0A"/>
    <w:rsid w:val="0090181D"/>
    <w:rsid w:val="009027D0"/>
    <w:rsid w:val="00903BAA"/>
    <w:rsid w:val="00921AD3"/>
    <w:rsid w:val="00926EEC"/>
    <w:rsid w:val="00947644"/>
    <w:rsid w:val="009B4469"/>
    <w:rsid w:val="009D579D"/>
    <w:rsid w:val="009F33CA"/>
    <w:rsid w:val="009F6BFB"/>
    <w:rsid w:val="00A1631D"/>
    <w:rsid w:val="00A47E06"/>
    <w:rsid w:val="00A529DF"/>
    <w:rsid w:val="00AB4A3F"/>
    <w:rsid w:val="00AF242C"/>
    <w:rsid w:val="00AF2E7B"/>
    <w:rsid w:val="00B71457"/>
    <w:rsid w:val="00B7199D"/>
    <w:rsid w:val="00B7721D"/>
    <w:rsid w:val="00B83417"/>
    <w:rsid w:val="00BC28B8"/>
    <w:rsid w:val="00BC6D63"/>
    <w:rsid w:val="00C140C7"/>
    <w:rsid w:val="00C442D0"/>
    <w:rsid w:val="00C8254A"/>
    <w:rsid w:val="00CA7352"/>
    <w:rsid w:val="00CB3CB2"/>
    <w:rsid w:val="00CC363B"/>
    <w:rsid w:val="00CC7D7A"/>
    <w:rsid w:val="00CF0DA9"/>
    <w:rsid w:val="00CF72FD"/>
    <w:rsid w:val="00D521A0"/>
    <w:rsid w:val="00D656EE"/>
    <w:rsid w:val="00D95155"/>
    <w:rsid w:val="00DC6A17"/>
    <w:rsid w:val="00DE27D6"/>
    <w:rsid w:val="00DE2F4D"/>
    <w:rsid w:val="00DF0A08"/>
    <w:rsid w:val="00E14DDB"/>
    <w:rsid w:val="00E403E0"/>
    <w:rsid w:val="00E4504C"/>
    <w:rsid w:val="00E61F90"/>
    <w:rsid w:val="00E64440"/>
    <w:rsid w:val="00E816D0"/>
    <w:rsid w:val="00EB07F5"/>
    <w:rsid w:val="00EC4185"/>
    <w:rsid w:val="00ED6A83"/>
    <w:rsid w:val="00EF0AE4"/>
    <w:rsid w:val="00F25087"/>
    <w:rsid w:val="00F6314A"/>
    <w:rsid w:val="00F63403"/>
    <w:rsid w:val="00F6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BEB38"/>
  <w14:defaultImageDpi w14:val="300"/>
  <w15:docId w15:val="{23A3AE01-DE13-48AA-9384-8423E683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 w:type="character" w:customStyle="1" w:styleId="yshortcuts">
    <w:name w:val="yshortcuts"/>
    <w:basedOn w:val="DefaultParagraphFont"/>
    <w:rsid w:val="000C1AB4"/>
  </w:style>
  <w:style w:type="paragraph" w:styleId="ListParagraph">
    <w:name w:val="List Paragraph"/>
    <w:basedOn w:val="Normal"/>
    <w:uiPriority w:val="34"/>
    <w:qFormat/>
    <w:rsid w:val="000C1AB4"/>
    <w:pPr>
      <w:spacing w:before="100" w:beforeAutospacing="1" w:after="100" w:afterAutospacing="1"/>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C5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9BC"/>
    <w:rPr>
      <w:rFonts w:ascii="Lucida Grande" w:eastAsia="Times New Roman" w:hAnsi="Lucida Grande" w:cs="Lucida Grande"/>
      <w:sz w:val="18"/>
      <w:szCs w:val="18"/>
    </w:rPr>
  </w:style>
  <w:style w:type="paragraph" w:styleId="HTMLPreformatted">
    <w:name w:val="HTML Preformatted"/>
    <w:basedOn w:val="Normal"/>
    <w:link w:val="HTMLPreformattedChar"/>
    <w:rsid w:val="00C1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140C7"/>
    <w:rPr>
      <w:rFonts w:ascii="Courier New" w:eastAsia="Times New Roman" w:hAnsi="Courier New" w:cs="Courier New"/>
      <w:sz w:val="20"/>
      <w:szCs w:val="20"/>
    </w:rPr>
  </w:style>
  <w:style w:type="character" w:customStyle="1" w:styleId="apple-converted-space">
    <w:name w:val="apple-converted-space"/>
    <w:basedOn w:val="DefaultParagraphFont"/>
    <w:rsid w:val="00921AD3"/>
  </w:style>
  <w:style w:type="character" w:styleId="CommentReference">
    <w:name w:val="annotation reference"/>
    <w:basedOn w:val="DefaultParagraphFont"/>
    <w:uiPriority w:val="99"/>
    <w:semiHidden/>
    <w:unhideWhenUsed/>
    <w:rsid w:val="00921AD3"/>
    <w:rPr>
      <w:sz w:val="16"/>
      <w:szCs w:val="16"/>
    </w:rPr>
  </w:style>
  <w:style w:type="paragraph" w:styleId="CommentText">
    <w:name w:val="annotation text"/>
    <w:basedOn w:val="Normal"/>
    <w:link w:val="CommentTextChar"/>
    <w:uiPriority w:val="99"/>
    <w:semiHidden/>
    <w:unhideWhenUsed/>
    <w:rsid w:val="00921AD3"/>
    <w:rPr>
      <w:sz w:val="20"/>
      <w:szCs w:val="20"/>
    </w:rPr>
  </w:style>
  <w:style w:type="character" w:customStyle="1" w:styleId="CommentTextChar">
    <w:name w:val="Comment Text Char"/>
    <w:basedOn w:val="DefaultParagraphFont"/>
    <w:link w:val="CommentText"/>
    <w:uiPriority w:val="99"/>
    <w:semiHidden/>
    <w:rsid w:val="00921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AD3"/>
    <w:rPr>
      <w:b/>
      <w:bCs/>
    </w:rPr>
  </w:style>
  <w:style w:type="character" w:customStyle="1" w:styleId="CommentSubjectChar">
    <w:name w:val="Comment Subject Char"/>
    <w:basedOn w:val="CommentTextChar"/>
    <w:link w:val="CommentSubject"/>
    <w:uiPriority w:val="99"/>
    <w:semiHidden/>
    <w:rsid w:val="00921A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27D0"/>
    <w:pPr>
      <w:tabs>
        <w:tab w:val="center" w:pos="4680"/>
        <w:tab w:val="right" w:pos="9360"/>
      </w:tabs>
    </w:pPr>
  </w:style>
  <w:style w:type="character" w:customStyle="1" w:styleId="HeaderChar">
    <w:name w:val="Header Char"/>
    <w:basedOn w:val="DefaultParagraphFont"/>
    <w:link w:val="Header"/>
    <w:uiPriority w:val="99"/>
    <w:rsid w:val="009027D0"/>
    <w:rPr>
      <w:rFonts w:ascii="Times New Roman" w:eastAsia="Times New Roman" w:hAnsi="Times New Roman" w:cs="Times New Roman"/>
    </w:rPr>
  </w:style>
  <w:style w:type="paragraph" w:styleId="Footer">
    <w:name w:val="footer"/>
    <w:basedOn w:val="Normal"/>
    <w:link w:val="FooterChar"/>
    <w:uiPriority w:val="99"/>
    <w:unhideWhenUsed/>
    <w:rsid w:val="009027D0"/>
    <w:pPr>
      <w:tabs>
        <w:tab w:val="center" w:pos="4680"/>
        <w:tab w:val="right" w:pos="9360"/>
      </w:tabs>
    </w:pPr>
  </w:style>
  <w:style w:type="character" w:customStyle="1" w:styleId="FooterChar">
    <w:name w:val="Footer Char"/>
    <w:basedOn w:val="DefaultParagraphFont"/>
    <w:link w:val="Footer"/>
    <w:uiPriority w:val="99"/>
    <w:rsid w:val="009027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3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com/" TargetMode="External"/><Relationship Id="rId3" Type="http://schemas.openxmlformats.org/officeDocument/2006/relationships/settings" Target="settings.xml"/><Relationship Id="rId7" Type="http://schemas.openxmlformats.org/officeDocument/2006/relationships/hyperlink" Target="http://www.globenewswire.com/newsroom/ctr?d=10056835&amp;l=1&amp;a=International%20Commercial%20Television&amp;u=http%3A%2F%2Fwww.ictvonline.com%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rt@haydenir.com" TargetMode="External"/><Relationship Id="rId4" Type="http://schemas.openxmlformats.org/officeDocument/2006/relationships/webSettings" Target="webSettings.xml"/><Relationship Id="rId9" Type="http://schemas.openxmlformats.org/officeDocument/2006/relationships/hyperlink" Target="mailto:ransom@ictv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dc:creator>
  <cp:keywords/>
  <dc:description/>
  <cp:lastModifiedBy>Scott Darnell</cp:lastModifiedBy>
  <cp:revision>2</cp:revision>
  <cp:lastPrinted>2014-03-26T15:03:00Z</cp:lastPrinted>
  <dcterms:created xsi:type="dcterms:W3CDTF">2014-05-13T17:53:00Z</dcterms:created>
  <dcterms:modified xsi:type="dcterms:W3CDTF">2014-05-13T17:53:00Z</dcterms:modified>
</cp:coreProperties>
</file>