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2B" w:rsidRPr="007D2D6C" w:rsidRDefault="00F0112B" w:rsidP="007D2D6C">
      <w:pPr>
        <w:spacing w:after="0" w:line="240" w:lineRule="auto"/>
        <w:jc w:val="center"/>
        <w:rPr>
          <w:rFonts w:ascii="Arial" w:hAnsi="Arial" w:cs="Arial"/>
          <w:b/>
          <w:sz w:val="28"/>
          <w:szCs w:val="28"/>
        </w:rPr>
      </w:pPr>
      <w:r w:rsidRPr="007D2D6C">
        <w:rPr>
          <w:rFonts w:ascii="Arial" w:hAnsi="Arial" w:cs="Arial"/>
          <w:b/>
          <w:sz w:val="28"/>
          <w:szCs w:val="28"/>
        </w:rPr>
        <w:t>AB</w:t>
      </w:r>
      <w:r>
        <w:rPr>
          <w:rFonts w:ascii="Arial" w:hAnsi="Arial" w:cs="Arial"/>
          <w:b/>
          <w:sz w:val="28"/>
          <w:szCs w:val="28"/>
        </w:rPr>
        <w:t>ATTIS ANNOUNCES GRANT OF OPTION</w:t>
      </w:r>
    </w:p>
    <w:p w:rsidR="00F0112B" w:rsidRPr="007D2D6C" w:rsidRDefault="00F0112B" w:rsidP="007D2D6C">
      <w:pPr>
        <w:spacing w:after="0" w:line="240" w:lineRule="auto"/>
        <w:jc w:val="center"/>
        <w:rPr>
          <w:rFonts w:ascii="Arial" w:hAnsi="Arial" w:cs="Arial"/>
          <w:b/>
          <w:szCs w:val="24"/>
        </w:rPr>
      </w:pPr>
    </w:p>
    <w:p w:rsidR="00F0112B" w:rsidRPr="007D2D6C" w:rsidRDefault="00F0112B" w:rsidP="007D2D6C">
      <w:pPr>
        <w:spacing w:after="0" w:line="240" w:lineRule="auto"/>
        <w:jc w:val="center"/>
        <w:rPr>
          <w:rFonts w:ascii="Arial" w:hAnsi="Arial" w:cs="Arial"/>
          <w:b/>
          <w:szCs w:val="24"/>
        </w:rPr>
      </w:pPr>
    </w:p>
    <w:p w:rsidR="00F0112B" w:rsidRDefault="00F0112B" w:rsidP="00570CF2">
      <w:pPr>
        <w:shd w:val="clear" w:color="auto" w:fill="FFFFFF"/>
        <w:spacing w:after="0" w:line="240" w:lineRule="auto"/>
        <w:jc w:val="both"/>
        <w:rPr>
          <w:rFonts w:ascii="Arial" w:hAnsi="Arial" w:cs="Arial"/>
          <w:szCs w:val="24"/>
        </w:rPr>
      </w:pPr>
      <w:r w:rsidRPr="007D2D6C">
        <w:rPr>
          <w:rFonts w:ascii="Arial" w:hAnsi="Arial" w:cs="Arial"/>
          <w:b/>
          <w:szCs w:val="24"/>
        </w:rPr>
        <w:t xml:space="preserve">Vancouver, BC – </w:t>
      </w:r>
      <w:r w:rsidR="00AA246C">
        <w:rPr>
          <w:rFonts w:ascii="Arial" w:hAnsi="Arial" w:cs="Arial"/>
          <w:b/>
          <w:szCs w:val="24"/>
        </w:rPr>
        <w:t>February 27</w:t>
      </w:r>
      <w:r w:rsidRPr="007D2D6C">
        <w:rPr>
          <w:rFonts w:ascii="Arial" w:hAnsi="Arial" w:cs="Arial"/>
          <w:b/>
          <w:szCs w:val="24"/>
        </w:rPr>
        <w:t xml:space="preserve">, 2014 - </w:t>
      </w:r>
      <w:proofErr w:type="spellStart"/>
      <w:r w:rsidRPr="007D2D6C">
        <w:rPr>
          <w:rFonts w:ascii="Arial" w:hAnsi="Arial" w:cs="Arial"/>
          <w:b/>
          <w:szCs w:val="24"/>
        </w:rPr>
        <w:t>Abattis</w:t>
      </w:r>
      <w:proofErr w:type="spellEnd"/>
      <w:r w:rsidRPr="007D2D6C">
        <w:rPr>
          <w:rFonts w:ascii="Arial" w:hAnsi="Arial" w:cs="Arial"/>
          <w:b/>
          <w:szCs w:val="24"/>
        </w:rPr>
        <w:t xml:space="preserve"> </w:t>
      </w:r>
      <w:proofErr w:type="spellStart"/>
      <w:r w:rsidRPr="007D2D6C">
        <w:rPr>
          <w:rFonts w:ascii="Arial" w:hAnsi="Arial" w:cs="Arial"/>
          <w:b/>
          <w:szCs w:val="24"/>
        </w:rPr>
        <w:t>Bioceuticals</w:t>
      </w:r>
      <w:proofErr w:type="spellEnd"/>
      <w:r w:rsidRPr="007D2D6C">
        <w:rPr>
          <w:rFonts w:ascii="Arial" w:hAnsi="Arial" w:cs="Arial"/>
          <w:b/>
          <w:szCs w:val="24"/>
        </w:rPr>
        <w:t xml:space="preserve"> Corp</w:t>
      </w:r>
      <w:r w:rsidRPr="007D2D6C">
        <w:rPr>
          <w:rFonts w:ascii="Arial" w:hAnsi="Arial" w:cs="Arial"/>
          <w:szCs w:val="24"/>
        </w:rPr>
        <w:t>. (the “Company” or “</w:t>
      </w:r>
      <w:proofErr w:type="spellStart"/>
      <w:r w:rsidRPr="007D2D6C">
        <w:rPr>
          <w:rFonts w:ascii="Arial" w:hAnsi="Arial" w:cs="Arial"/>
          <w:szCs w:val="24"/>
        </w:rPr>
        <w:t>Abattis</w:t>
      </w:r>
      <w:proofErr w:type="spellEnd"/>
      <w:r w:rsidRPr="007D2D6C">
        <w:rPr>
          <w:rFonts w:ascii="Arial" w:hAnsi="Arial" w:cs="Arial"/>
          <w:szCs w:val="24"/>
        </w:rPr>
        <w:t xml:space="preserve">”) (OTC PINK: ATTBF) (CSE: </w:t>
      </w:r>
      <w:r>
        <w:rPr>
          <w:rFonts w:ascii="Arial" w:hAnsi="Arial" w:cs="Arial"/>
          <w:szCs w:val="24"/>
        </w:rPr>
        <w:t>ATT</w:t>
      </w:r>
      <w:r w:rsidRPr="007D2D6C">
        <w:rPr>
          <w:rFonts w:ascii="Arial" w:hAnsi="Arial" w:cs="Arial"/>
          <w:szCs w:val="24"/>
        </w:rPr>
        <w:t xml:space="preserve">) </w:t>
      </w:r>
      <w:r>
        <w:rPr>
          <w:rFonts w:ascii="Arial" w:hAnsi="Arial" w:cs="Arial"/>
          <w:szCs w:val="24"/>
        </w:rPr>
        <w:t xml:space="preserve">wishes to </w:t>
      </w:r>
      <w:r w:rsidRPr="007D2D6C">
        <w:rPr>
          <w:rFonts w:ascii="Arial" w:hAnsi="Arial" w:cs="Arial"/>
          <w:szCs w:val="24"/>
        </w:rPr>
        <w:t xml:space="preserve">announce </w:t>
      </w:r>
      <w:r>
        <w:rPr>
          <w:rFonts w:ascii="Arial" w:hAnsi="Arial" w:cs="Arial"/>
          <w:szCs w:val="24"/>
        </w:rPr>
        <w:t>that it has gran</w:t>
      </w:r>
      <w:r w:rsidR="00AA246C">
        <w:rPr>
          <w:rFonts w:ascii="Arial" w:hAnsi="Arial" w:cs="Arial"/>
          <w:szCs w:val="24"/>
        </w:rPr>
        <w:t>ted incentive stock options to</w:t>
      </w:r>
      <w:r>
        <w:rPr>
          <w:rFonts w:ascii="Arial" w:hAnsi="Arial" w:cs="Arial"/>
          <w:szCs w:val="24"/>
        </w:rPr>
        <w:t xml:space="preserve"> consultant</w:t>
      </w:r>
      <w:r w:rsidR="00AA246C">
        <w:rPr>
          <w:rFonts w:ascii="Arial" w:hAnsi="Arial" w:cs="Arial"/>
          <w:szCs w:val="24"/>
        </w:rPr>
        <w:t>s</w:t>
      </w:r>
      <w:r>
        <w:rPr>
          <w:rFonts w:ascii="Arial" w:hAnsi="Arial" w:cs="Arial"/>
          <w:szCs w:val="24"/>
        </w:rPr>
        <w:t xml:space="preserve"> of </w:t>
      </w:r>
      <w:r w:rsidR="00AA246C">
        <w:rPr>
          <w:rFonts w:ascii="Arial" w:hAnsi="Arial" w:cs="Arial"/>
          <w:szCs w:val="24"/>
        </w:rPr>
        <w:t>the Company to purchase up to 20</w:t>
      </w:r>
      <w:r>
        <w:rPr>
          <w:rFonts w:ascii="Arial" w:hAnsi="Arial" w:cs="Arial"/>
          <w:szCs w:val="24"/>
        </w:rPr>
        <w:t>0,000 common shares of the Company.  The options are exer</w:t>
      </w:r>
      <w:r w:rsidR="00AA246C">
        <w:rPr>
          <w:rFonts w:ascii="Arial" w:hAnsi="Arial" w:cs="Arial"/>
          <w:szCs w:val="24"/>
        </w:rPr>
        <w:t>cisable on or before February 27</w:t>
      </w:r>
      <w:r>
        <w:rPr>
          <w:rFonts w:ascii="Arial" w:hAnsi="Arial" w:cs="Arial"/>
          <w:szCs w:val="24"/>
        </w:rPr>
        <w:t>, 20</w:t>
      </w:r>
      <w:r w:rsidR="00FC6C36">
        <w:rPr>
          <w:rFonts w:ascii="Arial" w:hAnsi="Arial" w:cs="Arial"/>
          <w:szCs w:val="24"/>
        </w:rPr>
        <w:t>19, at an exercise price of $0.3</w:t>
      </w:r>
      <w:r>
        <w:rPr>
          <w:rFonts w:ascii="Arial" w:hAnsi="Arial" w:cs="Arial"/>
          <w:szCs w:val="24"/>
        </w:rPr>
        <w:t>6 per share.</w:t>
      </w:r>
    </w:p>
    <w:p w:rsidR="00F0112B" w:rsidRPr="007D2D6C" w:rsidRDefault="00F0112B" w:rsidP="007D2D6C">
      <w:pPr>
        <w:shd w:val="clear" w:color="auto" w:fill="FFFFFF"/>
        <w:spacing w:after="0" w:line="240" w:lineRule="auto"/>
        <w:jc w:val="both"/>
        <w:rPr>
          <w:rFonts w:ascii="Arial" w:hAnsi="Arial" w:cs="Arial"/>
          <w:szCs w:val="24"/>
          <w:lang w:val="en-CA"/>
        </w:rPr>
      </w:pPr>
    </w:p>
    <w:p w:rsidR="00F0112B" w:rsidRPr="007D2D6C" w:rsidRDefault="00F0112B" w:rsidP="007D2D6C">
      <w:pPr>
        <w:shd w:val="clear" w:color="auto" w:fill="FFFFFF"/>
        <w:spacing w:after="0" w:line="240" w:lineRule="auto"/>
        <w:rPr>
          <w:rFonts w:ascii="Arial" w:hAnsi="Arial" w:cs="Arial"/>
          <w:b/>
          <w:szCs w:val="24"/>
          <w:lang w:val="en-CA"/>
        </w:rPr>
      </w:pPr>
      <w:r w:rsidRPr="007D2D6C">
        <w:rPr>
          <w:rFonts w:ascii="Arial" w:hAnsi="Arial" w:cs="Arial"/>
          <w:b/>
          <w:szCs w:val="24"/>
          <w:lang w:val="en-CA"/>
        </w:rPr>
        <w:t xml:space="preserve">About </w:t>
      </w:r>
      <w:proofErr w:type="spellStart"/>
      <w:r w:rsidRPr="007D2D6C">
        <w:rPr>
          <w:rFonts w:ascii="Arial" w:hAnsi="Arial" w:cs="Arial"/>
          <w:b/>
          <w:szCs w:val="24"/>
          <w:lang w:val="en-CA"/>
        </w:rPr>
        <w:t>Abattis</w:t>
      </w:r>
      <w:proofErr w:type="spellEnd"/>
      <w:r w:rsidRPr="007D2D6C">
        <w:rPr>
          <w:rFonts w:ascii="Arial" w:hAnsi="Arial" w:cs="Arial"/>
          <w:b/>
          <w:szCs w:val="24"/>
          <w:lang w:val="en-CA"/>
        </w:rPr>
        <w:t xml:space="preserve"> </w:t>
      </w:r>
      <w:proofErr w:type="spellStart"/>
      <w:r w:rsidRPr="007D2D6C">
        <w:rPr>
          <w:rFonts w:ascii="Arial" w:hAnsi="Arial" w:cs="Arial"/>
          <w:b/>
          <w:szCs w:val="24"/>
          <w:lang w:val="en-CA"/>
        </w:rPr>
        <w:t>Bioceuticals</w:t>
      </w:r>
      <w:proofErr w:type="spellEnd"/>
      <w:r w:rsidRPr="007D2D6C">
        <w:rPr>
          <w:rFonts w:ascii="Arial" w:hAnsi="Arial" w:cs="Arial"/>
          <w:b/>
          <w:szCs w:val="24"/>
          <w:lang w:val="en-CA"/>
        </w:rPr>
        <w:t xml:space="preserve"> Corp.</w:t>
      </w:r>
    </w:p>
    <w:p w:rsidR="00F0112B" w:rsidRPr="007D2D6C" w:rsidRDefault="00F0112B" w:rsidP="007D2D6C">
      <w:pPr>
        <w:shd w:val="clear" w:color="auto" w:fill="FFFFFF"/>
        <w:spacing w:after="0" w:line="240" w:lineRule="auto"/>
        <w:jc w:val="both"/>
        <w:rPr>
          <w:rFonts w:ascii="Arial" w:hAnsi="Arial" w:cs="Arial"/>
          <w:szCs w:val="24"/>
        </w:rPr>
      </w:pPr>
      <w:proofErr w:type="spellStart"/>
      <w:r w:rsidRPr="007D2D6C">
        <w:rPr>
          <w:rFonts w:ascii="Arial" w:hAnsi="Arial" w:cs="Arial"/>
          <w:szCs w:val="24"/>
          <w:lang w:val="en-CA"/>
        </w:rPr>
        <w:t>Abattis</w:t>
      </w:r>
      <w:proofErr w:type="spellEnd"/>
      <w:r w:rsidRPr="007D2D6C">
        <w:rPr>
          <w:rFonts w:ascii="Arial" w:hAnsi="Arial" w:cs="Arial"/>
          <w:szCs w:val="24"/>
          <w:lang w:val="en-CA"/>
        </w:rPr>
        <w:t xml:space="preserve"> is a specialty biotechnology company with capabilities through its wholly owned subsidiaries of cultivating, licensing and marketing proprietary ingredients, bio-similar compounds, patented equipment and consulting services to medicinal markets in North America. The company is positioned to capitalize on the fast growing trend toward marijuana legalization in the United States and for medicinal use in Canada and international jurisdictions by supplying and partnering with companies to employ its vertical cultivation systems, extraction equipment/technology, and strategic marketing support to licensed growers. The company also has an extensive pipeline of high-quality products and Intellectual Property for the rapidly expanding botanical drug market. We follow strict Standard Operating Protocols and adhere to the Law's of Canada and Foreign Jurisdictions. </w:t>
      </w:r>
      <w:r w:rsidRPr="007D2D6C">
        <w:rPr>
          <w:rFonts w:ascii="Arial" w:hAnsi="Arial" w:cs="Arial"/>
          <w:szCs w:val="24"/>
        </w:rPr>
        <w:t xml:space="preserve">For more information, visit the Company’s website at </w:t>
      </w:r>
      <w:hyperlink r:id="rId7" w:history="1">
        <w:r w:rsidRPr="007D2D6C">
          <w:rPr>
            <w:rStyle w:val="Hyperlink"/>
            <w:rFonts w:ascii="Arial" w:hAnsi="Arial" w:cs="Arial"/>
            <w:szCs w:val="24"/>
          </w:rPr>
          <w:t>www.abattis.com</w:t>
        </w:r>
      </w:hyperlink>
      <w:r w:rsidRPr="007D2D6C">
        <w:rPr>
          <w:rFonts w:ascii="Arial" w:hAnsi="Arial" w:cs="Arial"/>
          <w:szCs w:val="24"/>
        </w:rPr>
        <w:t>.</w:t>
      </w:r>
    </w:p>
    <w:p w:rsidR="00F0112B" w:rsidRPr="007D2D6C" w:rsidRDefault="00F0112B" w:rsidP="007D2D6C">
      <w:pPr>
        <w:shd w:val="clear" w:color="auto" w:fill="FFFFFF"/>
        <w:spacing w:after="0" w:line="240" w:lineRule="auto"/>
        <w:jc w:val="both"/>
        <w:rPr>
          <w:rFonts w:ascii="Arial" w:hAnsi="Arial" w:cs="Arial"/>
          <w:color w:val="000000"/>
          <w:szCs w:val="24"/>
        </w:rPr>
      </w:pPr>
    </w:p>
    <w:p w:rsidR="00F0112B" w:rsidRPr="007D2D6C" w:rsidRDefault="00F0112B" w:rsidP="007D2D6C">
      <w:pPr>
        <w:spacing w:after="0" w:line="240" w:lineRule="auto"/>
        <w:jc w:val="both"/>
        <w:rPr>
          <w:rFonts w:ascii="Arial" w:hAnsi="Arial" w:cs="Arial"/>
          <w:szCs w:val="24"/>
        </w:rPr>
      </w:pPr>
      <w:r w:rsidRPr="007D2D6C">
        <w:rPr>
          <w:rFonts w:ascii="Arial" w:hAnsi="Arial" w:cs="Arial"/>
          <w:szCs w:val="24"/>
        </w:rPr>
        <w:t xml:space="preserve">For further information, contact the Company’s CEO, Michael </w:t>
      </w:r>
      <w:proofErr w:type="spellStart"/>
      <w:r w:rsidRPr="007D2D6C">
        <w:rPr>
          <w:rFonts w:ascii="Arial" w:hAnsi="Arial" w:cs="Arial"/>
          <w:szCs w:val="24"/>
        </w:rPr>
        <w:t>Withrow</w:t>
      </w:r>
      <w:proofErr w:type="spellEnd"/>
      <w:r w:rsidRPr="007D2D6C">
        <w:rPr>
          <w:rFonts w:ascii="Arial" w:hAnsi="Arial" w:cs="Arial"/>
          <w:szCs w:val="24"/>
        </w:rPr>
        <w:t xml:space="preserve"> at (778) 896-6536 or at </w:t>
      </w:r>
      <w:hyperlink r:id="rId8" w:history="1">
        <w:r w:rsidRPr="007D2D6C">
          <w:rPr>
            <w:rStyle w:val="Hyperlink"/>
            <w:rFonts w:ascii="Arial" w:hAnsi="Arial" w:cs="Arial"/>
            <w:szCs w:val="24"/>
          </w:rPr>
          <w:t>mike.withrow@abattis.com</w:t>
        </w:r>
      </w:hyperlink>
      <w:r w:rsidRPr="007D2D6C">
        <w:rPr>
          <w:rFonts w:ascii="Arial" w:hAnsi="Arial" w:cs="Arial"/>
          <w:szCs w:val="24"/>
        </w:rPr>
        <w:t>.</w:t>
      </w:r>
    </w:p>
    <w:p w:rsidR="00F0112B" w:rsidRDefault="00F0112B" w:rsidP="007D2D6C">
      <w:pPr>
        <w:widowControl w:val="0"/>
        <w:autoSpaceDE w:val="0"/>
        <w:autoSpaceDN w:val="0"/>
        <w:adjustRightInd w:val="0"/>
        <w:spacing w:after="0" w:line="240" w:lineRule="auto"/>
        <w:jc w:val="both"/>
        <w:rPr>
          <w:rFonts w:ascii="Arial" w:hAnsi="Arial" w:cs="Arial"/>
          <w:b/>
          <w:i/>
          <w:szCs w:val="24"/>
        </w:rPr>
      </w:pPr>
    </w:p>
    <w:p w:rsidR="00F0112B" w:rsidRDefault="00F0112B" w:rsidP="004E244C">
      <w:pPr>
        <w:shd w:val="clear" w:color="auto" w:fill="FFFFFF"/>
        <w:spacing w:after="0" w:line="240" w:lineRule="auto"/>
        <w:jc w:val="both"/>
        <w:rPr>
          <w:rFonts w:ascii="Arial" w:hAnsi="Arial" w:cs="Arial"/>
          <w:szCs w:val="24"/>
          <w:lang w:val="en-CA"/>
        </w:rPr>
      </w:pPr>
      <w:r>
        <w:rPr>
          <w:rFonts w:ascii="Arial" w:hAnsi="Arial" w:cs="Arial"/>
          <w:szCs w:val="24"/>
          <w:lang w:val="en-CA"/>
        </w:rPr>
        <w:t>ON BEHALF OF THE BOARD</w:t>
      </w:r>
    </w:p>
    <w:p w:rsidR="00F0112B" w:rsidRDefault="00F0112B" w:rsidP="004E244C">
      <w:pPr>
        <w:shd w:val="clear" w:color="auto" w:fill="FFFFFF"/>
        <w:spacing w:after="0" w:line="240" w:lineRule="auto"/>
        <w:jc w:val="both"/>
        <w:rPr>
          <w:rFonts w:ascii="Arial" w:hAnsi="Arial" w:cs="Arial"/>
          <w:szCs w:val="24"/>
          <w:lang w:val="en-CA"/>
        </w:rPr>
      </w:pPr>
    </w:p>
    <w:p w:rsidR="00F0112B" w:rsidRDefault="00F0112B" w:rsidP="004E244C">
      <w:pPr>
        <w:shd w:val="clear" w:color="auto" w:fill="FFFFFF"/>
        <w:spacing w:after="0" w:line="240" w:lineRule="auto"/>
        <w:jc w:val="both"/>
        <w:rPr>
          <w:rFonts w:ascii="Arial" w:hAnsi="Arial" w:cs="Arial"/>
          <w:szCs w:val="24"/>
          <w:lang w:val="en-CA"/>
        </w:rPr>
      </w:pPr>
      <w:r>
        <w:rPr>
          <w:rFonts w:ascii="Arial" w:hAnsi="Arial" w:cs="Arial"/>
          <w:szCs w:val="24"/>
          <w:lang w:val="en-CA"/>
        </w:rPr>
        <w:t>“</w:t>
      </w:r>
      <w:r w:rsidRPr="00673E53">
        <w:rPr>
          <w:rFonts w:ascii="Arial" w:hAnsi="Arial" w:cs="Arial"/>
          <w:i/>
          <w:szCs w:val="24"/>
          <w:lang w:val="en-CA"/>
        </w:rPr>
        <w:t xml:space="preserve">Michael </w:t>
      </w:r>
      <w:proofErr w:type="spellStart"/>
      <w:r w:rsidRPr="00673E53">
        <w:rPr>
          <w:rFonts w:ascii="Arial" w:hAnsi="Arial" w:cs="Arial"/>
          <w:i/>
          <w:szCs w:val="24"/>
          <w:lang w:val="en-CA"/>
        </w:rPr>
        <w:t>Withrow</w:t>
      </w:r>
      <w:proofErr w:type="spellEnd"/>
      <w:r>
        <w:rPr>
          <w:rFonts w:ascii="Arial" w:hAnsi="Arial" w:cs="Arial"/>
          <w:szCs w:val="24"/>
          <w:lang w:val="en-CA"/>
        </w:rPr>
        <w:t>”</w:t>
      </w:r>
    </w:p>
    <w:p w:rsidR="00F0112B" w:rsidRDefault="00F0112B" w:rsidP="004E244C">
      <w:pPr>
        <w:shd w:val="clear" w:color="auto" w:fill="FFFFFF"/>
        <w:spacing w:after="0" w:line="240" w:lineRule="auto"/>
        <w:jc w:val="both"/>
        <w:rPr>
          <w:rFonts w:ascii="Arial" w:hAnsi="Arial" w:cs="Arial"/>
          <w:szCs w:val="24"/>
          <w:lang w:val="en-CA"/>
        </w:rPr>
      </w:pPr>
      <w:r>
        <w:rPr>
          <w:rFonts w:ascii="Arial" w:hAnsi="Arial" w:cs="Arial"/>
          <w:szCs w:val="24"/>
          <w:lang w:val="en-CA"/>
        </w:rPr>
        <w:t>President &amp; CEO</w:t>
      </w:r>
    </w:p>
    <w:p w:rsidR="00F0112B" w:rsidRDefault="00F0112B" w:rsidP="004E244C">
      <w:pPr>
        <w:spacing w:after="0" w:line="240" w:lineRule="auto"/>
        <w:jc w:val="both"/>
        <w:rPr>
          <w:rFonts w:ascii="Arial" w:hAnsi="Arial" w:cs="Arial"/>
          <w:szCs w:val="24"/>
        </w:rPr>
      </w:pPr>
    </w:p>
    <w:p w:rsidR="00F0112B" w:rsidRPr="007D2D6C" w:rsidRDefault="00F0112B" w:rsidP="007D2D6C">
      <w:pPr>
        <w:widowControl w:val="0"/>
        <w:autoSpaceDE w:val="0"/>
        <w:autoSpaceDN w:val="0"/>
        <w:adjustRightInd w:val="0"/>
        <w:spacing w:after="0" w:line="240" w:lineRule="auto"/>
        <w:jc w:val="both"/>
        <w:rPr>
          <w:rFonts w:ascii="Arial" w:hAnsi="Arial" w:cs="Arial"/>
          <w:b/>
          <w:i/>
          <w:szCs w:val="24"/>
        </w:rPr>
      </w:pPr>
    </w:p>
    <w:p w:rsidR="00F0112B" w:rsidRPr="007D2D6C" w:rsidRDefault="00F0112B" w:rsidP="007D2D6C">
      <w:pPr>
        <w:widowControl w:val="0"/>
        <w:autoSpaceDE w:val="0"/>
        <w:autoSpaceDN w:val="0"/>
        <w:adjustRightInd w:val="0"/>
        <w:spacing w:after="0" w:line="240" w:lineRule="auto"/>
        <w:jc w:val="center"/>
        <w:rPr>
          <w:rFonts w:ascii="Arial" w:hAnsi="Arial" w:cs="Arial"/>
          <w:b/>
          <w:i/>
          <w:sz w:val="16"/>
          <w:szCs w:val="16"/>
        </w:rPr>
      </w:pPr>
      <w:r w:rsidRPr="007D2D6C">
        <w:rPr>
          <w:rFonts w:ascii="Arial" w:hAnsi="Arial" w:cs="Arial"/>
          <w:b/>
          <w:i/>
          <w:sz w:val="16"/>
          <w:szCs w:val="16"/>
        </w:rPr>
        <w:t>NEITHER THE CANADIAN SECURITIES EXCHANGE NOR ITS REGULATIONS SERVICES PROVIDER HAVE REVIEWED OR ACCEPT RESPONSIBILITY FOR THE ADEQUACY OR ACCURACY OF THIS RELEASE.</w:t>
      </w:r>
    </w:p>
    <w:p w:rsidR="00F0112B" w:rsidRPr="007D2D6C" w:rsidRDefault="00F0112B" w:rsidP="007D2D6C">
      <w:pPr>
        <w:tabs>
          <w:tab w:val="left" w:pos="-720"/>
          <w:tab w:val="left" w:pos="0"/>
          <w:tab w:val="left" w:pos="720"/>
          <w:tab w:val="left" w:pos="1440"/>
          <w:tab w:val="left" w:pos="2160"/>
          <w:tab w:val="left" w:pos="2880"/>
          <w:tab w:val="left" w:pos="3600"/>
          <w:tab w:val="left" w:pos="4320"/>
          <w:tab w:val="left" w:pos="5040"/>
        </w:tabs>
        <w:spacing w:after="0" w:line="240" w:lineRule="auto"/>
        <w:rPr>
          <w:sz w:val="16"/>
          <w:szCs w:val="16"/>
        </w:rPr>
      </w:pPr>
    </w:p>
    <w:p w:rsidR="00F0112B" w:rsidRPr="007D2D6C" w:rsidRDefault="00F0112B" w:rsidP="007D2D6C">
      <w:pPr>
        <w:autoSpaceDE w:val="0"/>
        <w:autoSpaceDN w:val="0"/>
        <w:adjustRightInd w:val="0"/>
        <w:spacing w:after="0" w:line="240" w:lineRule="auto"/>
        <w:jc w:val="both"/>
        <w:outlineLvl w:val="0"/>
        <w:rPr>
          <w:rFonts w:ascii="Arial" w:hAnsi="Arial" w:cs="Arial"/>
          <w:b/>
          <w:bCs/>
          <w:color w:val="000000"/>
          <w:sz w:val="16"/>
          <w:szCs w:val="16"/>
        </w:rPr>
      </w:pPr>
      <w:r w:rsidRPr="007D2D6C">
        <w:rPr>
          <w:rFonts w:ascii="Arial" w:hAnsi="Arial" w:cs="Arial"/>
          <w:b/>
          <w:bCs/>
          <w:color w:val="000000"/>
          <w:sz w:val="16"/>
          <w:szCs w:val="16"/>
        </w:rPr>
        <w:t>FORWARD LOOKING INFORMATION</w:t>
      </w:r>
    </w:p>
    <w:p w:rsidR="00F0112B" w:rsidRPr="007D2D6C" w:rsidRDefault="00F0112B" w:rsidP="007D2D6C">
      <w:pPr>
        <w:autoSpaceDE w:val="0"/>
        <w:autoSpaceDN w:val="0"/>
        <w:adjustRightInd w:val="0"/>
        <w:spacing w:after="0" w:line="240" w:lineRule="auto"/>
        <w:jc w:val="both"/>
        <w:rPr>
          <w:rFonts w:ascii="Arial" w:hAnsi="Arial" w:cs="Arial"/>
          <w:sz w:val="16"/>
          <w:szCs w:val="16"/>
        </w:rPr>
      </w:pPr>
      <w:r w:rsidRPr="007D2D6C">
        <w:rPr>
          <w:rFonts w:ascii="Arial" w:hAnsi="Arial" w:cs="Arial"/>
          <w:color w:val="000000"/>
          <w:sz w:val="16"/>
          <w:szCs w:val="16"/>
        </w:rPr>
        <w:t xml:space="preserve">This press release contains forward-looking statements. The use of any of the words "anticipate", "continue", "estimate", "expect", "may", "will", "project",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press release. Actual results could differ materially from those currently anticipated due to a number of factors and risks various risk factors discussed in the Company’s Management’s Discussion and Analysis filed under the Company’s profile on </w:t>
      </w:r>
      <w:hyperlink r:id="rId9" w:history="1">
        <w:r w:rsidRPr="007D2D6C">
          <w:rPr>
            <w:rFonts w:ascii="Arial" w:hAnsi="Arial" w:cs="Arial"/>
            <w:color w:val="000000"/>
            <w:sz w:val="16"/>
            <w:szCs w:val="16"/>
          </w:rPr>
          <w:t>www.sedar.com</w:t>
        </w:r>
      </w:hyperlink>
      <w:r w:rsidRPr="007D2D6C">
        <w:rPr>
          <w:rFonts w:ascii="Arial" w:hAnsi="Arial" w:cs="Arial"/>
          <w:color w:val="000000"/>
          <w:sz w:val="16"/>
          <w:szCs w:val="16"/>
        </w:rPr>
        <w:t>.  While the Company may elect to, it does not undertake to update this information at any particular time.</w:t>
      </w:r>
    </w:p>
    <w:sectPr w:rsidR="00F0112B" w:rsidRPr="007D2D6C" w:rsidSect="007D2D6C">
      <w:headerReference w:type="default" r:id="rId10"/>
      <w:footerReference w:type="default" r:id="rId11"/>
      <w:pgSz w:w="12240" w:h="15840"/>
      <w:pgMar w:top="720" w:right="1440" w:bottom="720" w:left="1440" w:header="720" w:footer="3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12B" w:rsidRDefault="00F0112B" w:rsidP="00DA2AE7">
      <w:pPr>
        <w:spacing w:after="0" w:line="240" w:lineRule="auto"/>
      </w:pPr>
      <w:r>
        <w:separator/>
      </w:r>
    </w:p>
  </w:endnote>
  <w:endnote w:type="continuationSeparator" w:id="1">
    <w:p w:rsidR="00F0112B" w:rsidRDefault="00F0112B" w:rsidP="00DA2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Lt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2B" w:rsidRPr="00F762A5" w:rsidRDefault="00F0112B" w:rsidP="00F762A5">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12B" w:rsidRDefault="00F0112B" w:rsidP="00DA2AE7">
      <w:pPr>
        <w:spacing w:after="0" w:line="240" w:lineRule="auto"/>
        <w:rPr>
          <w:noProof/>
        </w:rPr>
      </w:pPr>
      <w:r>
        <w:rPr>
          <w:noProof/>
        </w:rPr>
        <w:separator/>
      </w:r>
    </w:p>
  </w:footnote>
  <w:footnote w:type="continuationSeparator" w:id="1">
    <w:p w:rsidR="00F0112B" w:rsidRDefault="00F0112B" w:rsidP="00DA2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2B" w:rsidRDefault="00AA246C" w:rsidP="00DA2AE7">
    <w:pPr>
      <w:pStyle w:val="Header"/>
      <w:rPr>
        <w:rFonts w:ascii="Calibri" w:hAnsi="Calibri" w:cs="Calibri"/>
        <w:noProof/>
        <w:sz w:val="18"/>
        <w:szCs w:val="18"/>
      </w:rPr>
    </w:pPr>
    <w:r>
      <w:rPr>
        <w:noProof/>
        <w:lang w:val="en-CA" w:eastAsia="en-CA"/>
      </w:rPr>
      <w:drawing>
        <wp:anchor distT="0" distB="0" distL="114300" distR="114300" simplePos="0" relativeHeight="251657216" behindDoc="0" locked="0" layoutInCell="1" allowOverlap="1">
          <wp:simplePos x="0" y="0"/>
          <wp:positionH relativeFrom="column">
            <wp:posOffset>4229100</wp:posOffset>
          </wp:positionH>
          <wp:positionV relativeFrom="paragraph">
            <wp:posOffset>137795</wp:posOffset>
          </wp:positionV>
          <wp:extent cx="2048510" cy="731520"/>
          <wp:effectExtent l="25400" t="0" r="889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48510" cy="731520"/>
                  </a:xfrm>
                  <a:prstGeom prst="rect">
                    <a:avLst/>
                  </a:prstGeom>
                  <a:noFill/>
                </pic:spPr>
              </pic:pic>
            </a:graphicData>
          </a:graphic>
        </wp:anchor>
      </w:drawing>
    </w:r>
  </w:p>
  <w:p w:rsidR="00F0112B" w:rsidRDefault="00F0112B" w:rsidP="00DA2AE7">
    <w:pPr>
      <w:pStyle w:val="Header"/>
      <w:rPr>
        <w:rFonts w:ascii="Calibri" w:hAnsi="Calibri" w:cs="Calibri"/>
        <w:noProof/>
        <w:sz w:val="18"/>
        <w:szCs w:val="18"/>
      </w:rPr>
    </w:pPr>
  </w:p>
  <w:p w:rsidR="00F0112B" w:rsidRPr="00FF3672" w:rsidRDefault="00F0112B" w:rsidP="00DA2AE7">
    <w:pPr>
      <w:pStyle w:val="Header"/>
      <w:rPr>
        <w:rFonts w:ascii="Calibri" w:hAnsi="Calibri" w:cs="Calibri"/>
        <w:noProof/>
        <w:color w:val="64AA28"/>
        <w:sz w:val="20"/>
        <w:szCs w:val="18"/>
      </w:rPr>
    </w:pPr>
    <w:r w:rsidRPr="00FF3672">
      <w:rPr>
        <w:rFonts w:ascii="Calibri" w:hAnsi="Calibri" w:cs="Calibri"/>
        <w:noProof/>
        <w:color w:val="64AA28"/>
        <w:sz w:val="20"/>
        <w:szCs w:val="18"/>
      </w:rPr>
      <w:t xml:space="preserve">Suite </w:t>
    </w:r>
    <w:r>
      <w:rPr>
        <w:rFonts w:ascii="Calibri" w:hAnsi="Calibri" w:cs="Calibri"/>
        <w:noProof/>
        <w:color w:val="64AA28"/>
        <w:sz w:val="20"/>
        <w:szCs w:val="18"/>
      </w:rPr>
      <w:t>1000</w:t>
    </w:r>
    <w:r w:rsidRPr="00FF3672">
      <w:rPr>
        <w:rFonts w:ascii="Calibri" w:hAnsi="Calibri" w:cs="Calibri"/>
        <w:noProof/>
        <w:color w:val="64AA28"/>
        <w:sz w:val="20"/>
        <w:szCs w:val="18"/>
      </w:rPr>
      <w:t xml:space="preserve"> – </w:t>
    </w:r>
    <w:r>
      <w:rPr>
        <w:rFonts w:ascii="Calibri" w:hAnsi="Calibri" w:cs="Calibri"/>
        <w:noProof/>
        <w:color w:val="64AA28"/>
        <w:sz w:val="20"/>
        <w:szCs w:val="18"/>
      </w:rPr>
      <w:t>355 Burrard Street</w:t>
    </w:r>
  </w:p>
  <w:p w:rsidR="00F0112B" w:rsidRPr="00FF3672" w:rsidRDefault="00F0112B" w:rsidP="00DA2AE7">
    <w:pPr>
      <w:pStyle w:val="Header"/>
      <w:rPr>
        <w:rFonts w:ascii="Calibri" w:hAnsi="Calibri" w:cs="Calibri"/>
        <w:noProof/>
        <w:color w:val="64AA28"/>
        <w:sz w:val="20"/>
        <w:szCs w:val="18"/>
      </w:rPr>
    </w:pPr>
    <w:r w:rsidRPr="00FF3672">
      <w:rPr>
        <w:rFonts w:ascii="Calibri" w:hAnsi="Calibri" w:cs="Calibri"/>
        <w:noProof/>
        <w:color w:val="64AA28"/>
        <w:sz w:val="20"/>
        <w:szCs w:val="18"/>
      </w:rPr>
      <w:t xml:space="preserve">Vancouver, BC   V6C </w:t>
    </w:r>
    <w:r>
      <w:rPr>
        <w:rFonts w:ascii="Calibri" w:hAnsi="Calibri" w:cs="Calibri"/>
        <w:noProof/>
        <w:color w:val="64AA28"/>
        <w:sz w:val="20"/>
        <w:szCs w:val="18"/>
      </w:rPr>
      <w:t>2G8</w:t>
    </w:r>
  </w:p>
  <w:p w:rsidR="00F0112B" w:rsidRPr="00FF3672" w:rsidRDefault="00F0112B" w:rsidP="00DA2AE7">
    <w:pPr>
      <w:pStyle w:val="Header"/>
      <w:rPr>
        <w:rFonts w:ascii="Calibri" w:hAnsi="Calibri" w:cs="Calibri"/>
        <w:noProof/>
        <w:color w:val="64AA28"/>
        <w:sz w:val="20"/>
        <w:szCs w:val="18"/>
      </w:rPr>
    </w:pPr>
    <w:r w:rsidRPr="00FF3672">
      <w:rPr>
        <w:rFonts w:ascii="Calibri" w:hAnsi="Calibri" w:cs="Calibri"/>
        <w:noProof/>
        <w:color w:val="64AA28"/>
        <w:sz w:val="20"/>
        <w:szCs w:val="18"/>
      </w:rPr>
      <w:t xml:space="preserve">Tel: </w:t>
    </w:r>
    <w:r>
      <w:rPr>
        <w:rFonts w:ascii="Calibri" w:hAnsi="Calibri" w:cs="Calibri"/>
        <w:noProof/>
        <w:color w:val="64AA28"/>
        <w:sz w:val="20"/>
        <w:szCs w:val="18"/>
      </w:rPr>
      <w:t>778-896-6536</w:t>
    </w:r>
  </w:p>
  <w:p w:rsidR="00F0112B" w:rsidRPr="00FF3672" w:rsidRDefault="00F0112B" w:rsidP="00DA2AE7">
    <w:pPr>
      <w:pStyle w:val="Header"/>
      <w:rPr>
        <w:rFonts w:ascii="Calibri" w:hAnsi="Calibri" w:cs="Calibri"/>
        <w:noProof/>
        <w:color w:val="64AA28"/>
        <w:sz w:val="20"/>
        <w:szCs w:val="18"/>
      </w:rPr>
    </w:pPr>
    <w:r>
      <w:rPr>
        <w:rFonts w:ascii="Calibri" w:hAnsi="Calibri" w:cs="Calibri"/>
        <w:noProof/>
        <w:color w:val="64AA28"/>
        <w:sz w:val="20"/>
        <w:szCs w:val="18"/>
      </w:rPr>
      <w:t>Info@abattis.com</w:t>
    </w:r>
  </w:p>
  <w:p w:rsidR="00F0112B" w:rsidRDefault="00F0112B" w:rsidP="00DA2AE7">
    <w:pPr>
      <w:pStyle w:val="Header"/>
      <w:rPr>
        <w:rFonts w:ascii="Calibri" w:hAnsi="Calibri" w:cs="Calibri"/>
        <w:noProof/>
        <w:color w:val="0AA654"/>
        <w:sz w:val="12"/>
        <w:szCs w:val="12"/>
      </w:rPr>
    </w:pPr>
  </w:p>
  <w:p w:rsidR="00F0112B" w:rsidRDefault="00C72DDA" w:rsidP="00DA2AE7">
    <w:pPr>
      <w:pStyle w:val="Header"/>
      <w:rPr>
        <w:rFonts w:ascii="Calibri" w:hAnsi="Calibri" w:cs="Calibri"/>
        <w:noProof/>
        <w:color w:val="0AA654"/>
        <w:sz w:val="12"/>
        <w:szCs w:val="12"/>
      </w:rPr>
    </w:pPr>
    <w:r w:rsidRPr="00C72DDA">
      <w:rPr>
        <w:noProof/>
        <w:lang w:val="en-CA" w:eastAsia="en-CA"/>
      </w:rPr>
      <w:pict>
        <v:shapetype id="_x0000_t32" coordsize="21600,21600" o:spt="32" o:oned="t" path="m,l21600,21600e" filled="f">
          <v:path arrowok="t" fillok="f" o:connecttype="none"/>
          <o:lock v:ext="edit" shapetype="t"/>
        </v:shapetype>
        <v:shape id="AutoShape 2" o:spid="_x0000_s2050" type="#_x0000_t32" style="position:absolute;margin-left:-82pt;margin-top:4.2pt;width:626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" strokecolor="#64aa28" strokeweight="3pt">
          <v:shadow color="#4e6128" opacity=".5" offset="1pt"/>
        </v:shape>
      </w:pict>
    </w:r>
  </w:p>
  <w:p w:rsidR="00F0112B" w:rsidRDefault="00F0112B" w:rsidP="00DA2A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5FF4"/>
    <w:multiLevelType w:val="hybridMultilevel"/>
    <w:tmpl w:val="F1943BC4"/>
    <w:lvl w:ilvl="0" w:tplc="0409000F">
      <w:start w:val="1"/>
      <w:numFmt w:val="decimal"/>
      <w:lvlText w:val="%1."/>
      <w:lvlJc w:val="left"/>
      <w:pPr>
        <w:tabs>
          <w:tab w:val="num" w:pos="360"/>
        </w:tabs>
        <w:ind w:left="360" w:hanging="360"/>
      </w:pPr>
      <w:rPr>
        <w:rFonts w:cs="Times New Roman"/>
      </w:rPr>
    </w:lvl>
    <w:lvl w:ilvl="1" w:tplc="9ED84A56">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5585116B"/>
    <w:multiLevelType w:val="hybridMultilevel"/>
    <w:tmpl w:val="9A842D98"/>
    <w:lvl w:ilvl="0" w:tplc="75060002">
      <w:start w:val="1"/>
      <w:numFmt w:val="lowerLetter"/>
      <w:lvlText w:val="(%1)"/>
      <w:lvlJc w:val="left"/>
      <w:pPr>
        <w:tabs>
          <w:tab w:val="num" w:pos="1080"/>
        </w:tabs>
        <w:ind w:left="108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20"/>
  <w:displayHorizontalDrawingGridEvery w:val="2"/>
  <w:characterSpacingControl w:val="doNotCompress"/>
  <w:hdrShapeDefaults>
    <o:shapedefaults v:ext="edit" spidmax="2051"/>
    <o:shapelayout v:ext="edit">
      <o:idmap v:ext="edit" data="2"/>
      <o:rules v:ext="edit">
        <o:r id="V:Rule2" type="connector" idref="#AutoShape 2"/>
      </o:rules>
    </o:shapelayout>
  </w:hdrShapeDefaults>
  <w:footnotePr>
    <w:footnote w:id="0"/>
    <w:footnote w:id="1"/>
  </w:footnotePr>
  <w:endnotePr>
    <w:endnote w:id="0"/>
    <w:endnote w:id="1"/>
  </w:endnotePr>
  <w:compat/>
  <w:rsids>
    <w:rsidRoot w:val="00AA05C7"/>
    <w:rsid w:val="00256DB9"/>
    <w:rsid w:val="002946A7"/>
    <w:rsid w:val="002F5452"/>
    <w:rsid w:val="003708C5"/>
    <w:rsid w:val="00430EBA"/>
    <w:rsid w:val="0046786E"/>
    <w:rsid w:val="00473EBC"/>
    <w:rsid w:val="004E244C"/>
    <w:rsid w:val="004E6277"/>
    <w:rsid w:val="00570CF2"/>
    <w:rsid w:val="005865F1"/>
    <w:rsid w:val="005D4007"/>
    <w:rsid w:val="00657261"/>
    <w:rsid w:val="00673E53"/>
    <w:rsid w:val="0068220A"/>
    <w:rsid w:val="006846AD"/>
    <w:rsid w:val="006C7829"/>
    <w:rsid w:val="007308E8"/>
    <w:rsid w:val="00746638"/>
    <w:rsid w:val="007D2D6C"/>
    <w:rsid w:val="00816820"/>
    <w:rsid w:val="00845078"/>
    <w:rsid w:val="0087360C"/>
    <w:rsid w:val="009131CE"/>
    <w:rsid w:val="00915F6D"/>
    <w:rsid w:val="00964300"/>
    <w:rsid w:val="00AA05C7"/>
    <w:rsid w:val="00AA246C"/>
    <w:rsid w:val="00B90ED8"/>
    <w:rsid w:val="00BA1BC7"/>
    <w:rsid w:val="00BA464A"/>
    <w:rsid w:val="00BA78B7"/>
    <w:rsid w:val="00BE7BC9"/>
    <w:rsid w:val="00C72DDA"/>
    <w:rsid w:val="00DA2AE7"/>
    <w:rsid w:val="00E171EC"/>
    <w:rsid w:val="00E5684A"/>
    <w:rsid w:val="00E8341F"/>
    <w:rsid w:val="00F00D4D"/>
    <w:rsid w:val="00F0112B"/>
    <w:rsid w:val="00F44187"/>
    <w:rsid w:val="00F762A5"/>
    <w:rsid w:val="00FC6C36"/>
    <w:rsid w:val="00FD242B"/>
    <w:rsid w:val="00FF3672"/>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utura Lt BT" w:eastAsia="Times New Roman" w:hAnsi="Futura Lt BT"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00D4D"/>
    <w:pPr>
      <w:spacing w:after="200" w:line="276" w:lineRule="auto"/>
    </w:pPr>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5C7"/>
    <w:pPr>
      <w:spacing w:after="0" w:line="240" w:lineRule="auto"/>
    </w:pPr>
    <w:rPr>
      <w:rFonts w:ascii="Tahoma" w:hAnsi="Tahoma"/>
      <w:sz w:val="16"/>
      <w:szCs w:val="16"/>
      <w:lang w:val="en-CA" w:eastAsia="en-CA"/>
    </w:rPr>
  </w:style>
  <w:style w:type="character" w:customStyle="1" w:styleId="BalloonTextChar">
    <w:name w:val="Balloon Text Char"/>
    <w:basedOn w:val="DefaultParagraphFont"/>
    <w:link w:val="BalloonText"/>
    <w:uiPriority w:val="99"/>
    <w:semiHidden/>
    <w:locked/>
    <w:rsid w:val="00AA05C7"/>
    <w:rPr>
      <w:rFonts w:ascii="Tahoma" w:hAnsi="Tahoma"/>
      <w:sz w:val="16"/>
    </w:rPr>
  </w:style>
  <w:style w:type="paragraph" w:styleId="Header">
    <w:name w:val="header"/>
    <w:basedOn w:val="Normal"/>
    <w:link w:val="HeaderChar"/>
    <w:uiPriority w:val="99"/>
    <w:unhideWhenUsed/>
    <w:rsid w:val="00AA05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A05C7"/>
    <w:rPr>
      <w:rFonts w:cs="Times New Roman"/>
    </w:rPr>
  </w:style>
  <w:style w:type="paragraph" w:styleId="Footer">
    <w:name w:val="footer"/>
    <w:basedOn w:val="Normal"/>
    <w:link w:val="FooterChar"/>
    <w:uiPriority w:val="99"/>
    <w:semiHidden/>
    <w:unhideWhenUsed/>
    <w:rsid w:val="00AA05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A05C7"/>
    <w:rPr>
      <w:rFonts w:cs="Times New Roman"/>
    </w:rPr>
  </w:style>
  <w:style w:type="character" w:styleId="Hyperlink">
    <w:name w:val="Hyperlink"/>
    <w:basedOn w:val="DefaultParagraphFont"/>
    <w:uiPriority w:val="99"/>
    <w:unhideWhenUsed/>
    <w:rsid w:val="00AA05C7"/>
    <w:rPr>
      <w:color w:val="0000FF"/>
      <w:u w:val="single"/>
    </w:rPr>
  </w:style>
  <w:style w:type="character" w:styleId="CommentReference">
    <w:name w:val="annotation reference"/>
    <w:basedOn w:val="DefaultParagraphFont"/>
    <w:uiPriority w:val="99"/>
    <w:semiHidden/>
    <w:unhideWhenUsed/>
    <w:rsid w:val="00F00D4D"/>
    <w:rPr>
      <w:sz w:val="16"/>
    </w:rPr>
  </w:style>
  <w:style w:type="paragraph" w:styleId="CommentText">
    <w:name w:val="annotation text"/>
    <w:basedOn w:val="Normal"/>
    <w:link w:val="CommentTextChar"/>
    <w:uiPriority w:val="99"/>
    <w:semiHidden/>
    <w:unhideWhenUsed/>
    <w:rsid w:val="00F00D4D"/>
    <w:pPr>
      <w:spacing w:line="240" w:lineRule="auto"/>
    </w:pPr>
    <w:rPr>
      <w:sz w:val="20"/>
      <w:szCs w:val="20"/>
      <w:lang w:val="en-CA" w:eastAsia="en-CA"/>
    </w:rPr>
  </w:style>
  <w:style w:type="character" w:customStyle="1" w:styleId="CommentTextChar">
    <w:name w:val="Comment Text Char"/>
    <w:basedOn w:val="DefaultParagraphFont"/>
    <w:link w:val="CommentText"/>
    <w:uiPriority w:val="99"/>
    <w:semiHidden/>
    <w:locked/>
    <w:rsid w:val="00F00D4D"/>
    <w:rPr>
      <w:sz w:val="20"/>
    </w:rPr>
  </w:style>
  <w:style w:type="paragraph" w:styleId="CommentSubject">
    <w:name w:val="annotation subject"/>
    <w:basedOn w:val="CommentText"/>
    <w:next w:val="CommentText"/>
    <w:link w:val="CommentSubjectChar"/>
    <w:uiPriority w:val="99"/>
    <w:semiHidden/>
    <w:unhideWhenUsed/>
    <w:rsid w:val="00F00D4D"/>
    <w:rPr>
      <w:b/>
      <w:bCs/>
    </w:rPr>
  </w:style>
  <w:style w:type="character" w:customStyle="1" w:styleId="CommentSubjectChar">
    <w:name w:val="Comment Subject Char"/>
    <w:basedOn w:val="CommentTextChar"/>
    <w:link w:val="CommentSubject"/>
    <w:uiPriority w:val="99"/>
    <w:semiHidden/>
    <w:locked/>
    <w:rsid w:val="00F00D4D"/>
    <w:rPr>
      <w:b/>
    </w:rPr>
  </w:style>
  <w:style w:type="paragraph" w:customStyle="1" w:styleId="Default">
    <w:name w:val="Default"/>
    <w:rsid w:val="00F00D4D"/>
    <w:pPr>
      <w:autoSpaceDE w:val="0"/>
      <w:autoSpaceDN w:val="0"/>
      <w:adjustRightInd w:val="0"/>
    </w:pPr>
    <w:rPr>
      <w:rFonts w:ascii="Times New Roman" w:hAnsi="Times New Roman"/>
      <w:color w:val="000000"/>
      <w:sz w:val="24"/>
      <w:szCs w:val="24"/>
      <w:lang w:val="en-US" w:eastAsia="zh-TW"/>
    </w:rPr>
  </w:style>
</w:styles>
</file>

<file path=word/webSettings.xml><?xml version="1.0" encoding="utf-8"?>
<w:webSettings xmlns:r="http://schemas.openxmlformats.org/officeDocument/2006/relationships" xmlns:w="http://schemas.openxmlformats.org/wordprocessingml/2006/main">
  <w:divs>
    <w:div w:id="416563357">
      <w:marLeft w:val="0"/>
      <w:marRight w:val="0"/>
      <w:marTop w:val="0"/>
      <w:marBottom w:val="0"/>
      <w:divBdr>
        <w:top w:val="none" w:sz="0" w:space="0" w:color="auto"/>
        <w:left w:val="none" w:sz="0" w:space="0" w:color="auto"/>
        <w:bottom w:val="none" w:sz="0" w:space="0" w:color="auto"/>
        <w:right w:val="none" w:sz="0" w:space="0" w:color="auto"/>
      </w:divBdr>
      <w:divsChild>
        <w:div w:id="416563361">
          <w:marLeft w:val="0"/>
          <w:marRight w:val="0"/>
          <w:marTop w:val="0"/>
          <w:marBottom w:val="0"/>
          <w:divBdr>
            <w:top w:val="none" w:sz="0" w:space="0" w:color="auto"/>
            <w:left w:val="none" w:sz="0" w:space="0" w:color="auto"/>
            <w:bottom w:val="none" w:sz="0" w:space="0" w:color="auto"/>
            <w:right w:val="none" w:sz="0" w:space="0" w:color="auto"/>
          </w:divBdr>
          <w:divsChild>
            <w:div w:id="4165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364">
      <w:marLeft w:val="0"/>
      <w:marRight w:val="0"/>
      <w:marTop w:val="0"/>
      <w:marBottom w:val="0"/>
      <w:divBdr>
        <w:top w:val="none" w:sz="0" w:space="0" w:color="auto"/>
        <w:left w:val="none" w:sz="0" w:space="0" w:color="auto"/>
        <w:bottom w:val="none" w:sz="0" w:space="0" w:color="auto"/>
        <w:right w:val="none" w:sz="0" w:space="0" w:color="auto"/>
      </w:divBdr>
      <w:divsChild>
        <w:div w:id="416563359">
          <w:marLeft w:val="0"/>
          <w:marRight w:val="0"/>
          <w:marTop w:val="0"/>
          <w:marBottom w:val="0"/>
          <w:divBdr>
            <w:top w:val="none" w:sz="0" w:space="0" w:color="auto"/>
            <w:left w:val="none" w:sz="0" w:space="0" w:color="auto"/>
            <w:bottom w:val="none" w:sz="0" w:space="0" w:color="auto"/>
            <w:right w:val="none" w:sz="0" w:space="0" w:color="auto"/>
          </w:divBdr>
          <w:divsChild>
            <w:div w:id="416563365">
              <w:marLeft w:val="0"/>
              <w:marRight w:val="0"/>
              <w:marTop w:val="0"/>
              <w:marBottom w:val="0"/>
              <w:divBdr>
                <w:top w:val="none" w:sz="0" w:space="0" w:color="auto"/>
                <w:left w:val="none" w:sz="0" w:space="0" w:color="auto"/>
                <w:bottom w:val="none" w:sz="0" w:space="0" w:color="auto"/>
                <w:right w:val="none" w:sz="0" w:space="0" w:color="auto"/>
              </w:divBdr>
              <w:divsChild>
                <w:div w:id="416563367">
                  <w:marLeft w:val="0"/>
                  <w:marRight w:val="0"/>
                  <w:marTop w:val="0"/>
                  <w:marBottom w:val="0"/>
                  <w:divBdr>
                    <w:top w:val="none" w:sz="0" w:space="0" w:color="auto"/>
                    <w:left w:val="none" w:sz="0" w:space="0" w:color="auto"/>
                    <w:bottom w:val="none" w:sz="0" w:space="0" w:color="auto"/>
                    <w:right w:val="none" w:sz="0" w:space="0" w:color="auto"/>
                  </w:divBdr>
                  <w:divsChild>
                    <w:div w:id="416563363">
                      <w:marLeft w:val="0"/>
                      <w:marRight w:val="0"/>
                      <w:marTop w:val="0"/>
                      <w:marBottom w:val="208"/>
                      <w:divBdr>
                        <w:top w:val="none" w:sz="0" w:space="0" w:color="auto"/>
                        <w:left w:val="none" w:sz="0" w:space="0" w:color="auto"/>
                        <w:bottom w:val="none" w:sz="0" w:space="0" w:color="auto"/>
                        <w:right w:val="none" w:sz="0" w:space="0" w:color="auto"/>
                      </w:divBdr>
                      <w:divsChild>
                        <w:div w:id="416563362">
                          <w:marLeft w:val="0"/>
                          <w:marRight w:val="0"/>
                          <w:marTop w:val="0"/>
                          <w:marBottom w:val="0"/>
                          <w:divBdr>
                            <w:top w:val="single" w:sz="6" w:space="9" w:color="E1E1E1"/>
                            <w:left w:val="single" w:sz="6" w:space="7" w:color="E1E1E1"/>
                            <w:bottom w:val="single" w:sz="6" w:space="10" w:color="E1E1E1"/>
                            <w:right w:val="single" w:sz="6" w:space="7" w:color="E1E1E1"/>
                          </w:divBdr>
                        </w:div>
                      </w:divsChild>
                    </w:div>
                  </w:divsChild>
                </w:div>
              </w:divsChild>
            </w:div>
          </w:divsChild>
        </w:div>
      </w:divsChild>
    </w:div>
    <w:div w:id="416563366">
      <w:marLeft w:val="0"/>
      <w:marRight w:val="0"/>
      <w:marTop w:val="0"/>
      <w:marBottom w:val="0"/>
      <w:divBdr>
        <w:top w:val="none" w:sz="0" w:space="0" w:color="auto"/>
        <w:left w:val="none" w:sz="0" w:space="0" w:color="auto"/>
        <w:bottom w:val="none" w:sz="0" w:space="0" w:color="auto"/>
        <w:right w:val="none" w:sz="0" w:space="0" w:color="auto"/>
      </w:divBdr>
      <w:divsChild>
        <w:div w:id="416563368">
          <w:marLeft w:val="0"/>
          <w:marRight w:val="0"/>
          <w:marTop w:val="0"/>
          <w:marBottom w:val="0"/>
          <w:divBdr>
            <w:top w:val="none" w:sz="0" w:space="0" w:color="auto"/>
            <w:left w:val="none" w:sz="0" w:space="0" w:color="auto"/>
            <w:bottom w:val="none" w:sz="0" w:space="0" w:color="auto"/>
            <w:right w:val="none" w:sz="0" w:space="0" w:color="auto"/>
          </w:divBdr>
          <w:divsChild>
            <w:div w:id="4165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ike.withrow@abatt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atti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d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ABATTIS - News Release Grant of 1,075,000 Options (Feb 18 14) (00053436).DOCX</vt:lpstr>
    </vt:vector>
  </TitlesOfParts>
  <Company>Hewlett-Packard Company</Company>
  <LinksUpToDate>false</LinksUpToDate>
  <CharactersWithSpaces>2968</CharactersWithSpaces>
  <SharedDoc>false</SharedDoc>
  <HLinks>
    <vt:vector size="18" baseType="variant">
      <vt:variant>
        <vt:i4>4194325</vt:i4>
      </vt:variant>
      <vt:variant>
        <vt:i4>6</vt:i4>
      </vt:variant>
      <vt:variant>
        <vt:i4>0</vt:i4>
      </vt:variant>
      <vt:variant>
        <vt:i4>5</vt:i4>
      </vt:variant>
      <vt:variant>
        <vt:lpwstr>http://www.sedar.com/</vt:lpwstr>
      </vt:variant>
      <vt:variant>
        <vt:lpwstr/>
      </vt:variant>
      <vt:variant>
        <vt:i4>5898276</vt:i4>
      </vt:variant>
      <vt:variant>
        <vt:i4>3</vt:i4>
      </vt:variant>
      <vt:variant>
        <vt:i4>0</vt:i4>
      </vt:variant>
      <vt:variant>
        <vt:i4>5</vt:i4>
      </vt:variant>
      <vt:variant>
        <vt:lpwstr>mailto:mike.withrow@abattis.com</vt:lpwstr>
      </vt:variant>
      <vt:variant>
        <vt:lpwstr/>
      </vt:variant>
      <vt:variant>
        <vt:i4>2228334</vt:i4>
      </vt:variant>
      <vt:variant>
        <vt:i4>0</vt:i4>
      </vt:variant>
      <vt:variant>
        <vt:i4>0</vt:i4>
      </vt:variant>
      <vt:variant>
        <vt:i4>5</vt:i4>
      </vt:variant>
      <vt:variant>
        <vt:lpwstr>http://www.abattis.com/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ABATTIS - News Release Grant of 1,075,000 Options (Feb 18 14) (00053436).DOCX</dc:title>
  <dc:subject>00053436;1/Font=8</dc:subject>
  <dc:creator>BWK2</dc:creator>
  <cp:keywords/>
  <dc:description>DO NOT STAMP </dc:description>
  <cp:lastModifiedBy>inquiry.save@outlook.com</cp:lastModifiedBy>
  <cp:revision>2</cp:revision>
  <cp:lastPrinted>2014-01-23T19:27:00Z</cp:lastPrinted>
  <dcterms:created xsi:type="dcterms:W3CDTF">2014-02-28T18:24:00Z</dcterms:created>
  <dcterms:modified xsi:type="dcterms:W3CDTF">2014-02-28T18:24:00Z</dcterms:modified>
</cp:coreProperties>
</file>