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29" w:rsidRPr="001203BC" w:rsidRDefault="000A1529">
      <w:pPr>
        <w:jc w:val="center"/>
        <w:rPr>
          <w:rFonts w:ascii="Arial" w:hAnsi="Arial" w:cs="Arial"/>
          <w:b/>
          <w:sz w:val="24"/>
          <w:szCs w:val="24"/>
        </w:rPr>
      </w:pPr>
      <w:r w:rsidRPr="001203BC">
        <w:rPr>
          <w:rFonts w:ascii="Arial" w:hAnsi="Arial" w:cs="Arial"/>
          <w:b/>
          <w:sz w:val="24"/>
          <w:szCs w:val="24"/>
        </w:rPr>
        <w:t>FORM 2B</w:t>
      </w:r>
    </w:p>
    <w:p w:rsidR="000A1529" w:rsidRPr="001203BC" w:rsidRDefault="000A1529">
      <w:pPr>
        <w:jc w:val="center"/>
        <w:rPr>
          <w:rFonts w:ascii="Arial" w:hAnsi="Arial" w:cs="Arial"/>
          <w:b/>
          <w:sz w:val="24"/>
          <w:szCs w:val="24"/>
        </w:rPr>
      </w:pPr>
    </w:p>
    <w:p w:rsidR="000A1529" w:rsidRPr="001203BC" w:rsidRDefault="00C32D4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203BC">
        <w:rPr>
          <w:rFonts w:ascii="Arial" w:hAnsi="Arial" w:cs="Arial"/>
          <w:b/>
          <w:sz w:val="24"/>
          <w:szCs w:val="24"/>
          <w:u w:val="single"/>
        </w:rPr>
        <w:t>LISTING</w:t>
      </w:r>
      <w:r w:rsidR="000A1529" w:rsidRPr="001203BC">
        <w:rPr>
          <w:rFonts w:ascii="Arial" w:hAnsi="Arial" w:cs="Arial"/>
          <w:b/>
          <w:sz w:val="24"/>
          <w:szCs w:val="24"/>
          <w:u w:val="single"/>
        </w:rPr>
        <w:t xml:space="preserve"> SUMMARY</w:t>
      </w:r>
    </w:p>
    <w:p w:rsidR="000A1529" w:rsidRPr="001203BC" w:rsidRDefault="000A1529">
      <w:pPr>
        <w:rPr>
          <w:rFonts w:ascii="Arial" w:hAnsi="Arial" w:cs="Arial"/>
          <w:sz w:val="24"/>
          <w:szCs w:val="24"/>
        </w:rPr>
      </w:pPr>
    </w:p>
    <w:tbl>
      <w:tblPr>
        <w:tblW w:w="10098" w:type="dxa"/>
        <w:tblLayout w:type="fixed"/>
        <w:tblLook w:val="0000"/>
      </w:tblPr>
      <w:tblGrid>
        <w:gridCol w:w="2178"/>
        <w:gridCol w:w="1530"/>
        <w:gridCol w:w="1530"/>
        <w:gridCol w:w="1350"/>
        <w:gridCol w:w="630"/>
        <w:gridCol w:w="270"/>
        <w:gridCol w:w="1440"/>
        <w:gridCol w:w="1170"/>
      </w:tblGrid>
      <w:tr w:rsidR="000A1529" w:rsidRPr="001203BC" w:rsidTr="00FE405A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Issuer Name:</w:t>
            </w:r>
          </w:p>
          <w:p w:rsidR="001652CE" w:rsidRPr="001203BC" w:rsidRDefault="00F03053" w:rsidP="00597B3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3053">
              <w:rPr>
                <w:rFonts w:ascii="Arial" w:hAnsi="Arial" w:cs="Arial"/>
                <w:b/>
                <w:sz w:val="24"/>
                <w:szCs w:val="24"/>
              </w:rPr>
              <w:t>Cryptanite</w:t>
            </w:r>
            <w:proofErr w:type="spellEnd"/>
            <w:r w:rsidRPr="00F030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053">
              <w:rPr>
                <w:rFonts w:ascii="Arial" w:hAnsi="Arial" w:cs="Arial"/>
                <w:b/>
                <w:sz w:val="24"/>
                <w:szCs w:val="24"/>
              </w:rPr>
              <w:t>Blockchain</w:t>
            </w:r>
            <w:proofErr w:type="spellEnd"/>
            <w:r w:rsidRPr="00F03053">
              <w:rPr>
                <w:rFonts w:ascii="Arial" w:hAnsi="Arial" w:cs="Arial"/>
                <w:b/>
                <w:sz w:val="24"/>
                <w:szCs w:val="24"/>
              </w:rPr>
              <w:t xml:space="preserve"> Technologies Corp.</w:t>
            </w:r>
            <w:r w:rsidR="00597B31">
              <w:rPr>
                <w:rFonts w:ascii="Arial" w:hAnsi="Arial" w:cs="Arial"/>
                <w:b/>
                <w:sz w:val="24"/>
                <w:szCs w:val="24"/>
              </w:rPr>
              <w:t xml:space="preserve"> (formerly,</w:t>
            </w:r>
            <w:r w:rsidR="00597B31" w:rsidRPr="00F030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97B31" w:rsidRPr="00F03053">
              <w:rPr>
                <w:rFonts w:ascii="Arial" w:hAnsi="Arial" w:cs="Arial"/>
                <w:b/>
                <w:sz w:val="24"/>
                <w:szCs w:val="24"/>
              </w:rPr>
              <w:t>Westbay</w:t>
            </w:r>
            <w:proofErr w:type="spellEnd"/>
            <w:r w:rsidR="00597B31" w:rsidRPr="00F03053">
              <w:rPr>
                <w:rFonts w:ascii="Arial" w:hAnsi="Arial" w:cs="Arial"/>
                <w:b/>
                <w:sz w:val="24"/>
                <w:szCs w:val="24"/>
              </w:rPr>
              <w:t xml:space="preserve"> Ventures Inc</w:t>
            </w:r>
            <w:r w:rsidR="00597B3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0305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Pr="001203BC" w:rsidRDefault="00C32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Listing</w:t>
            </w:r>
            <w:r w:rsidR="000A1529" w:rsidRPr="001203BC">
              <w:rPr>
                <w:rFonts w:ascii="Arial" w:hAnsi="Arial" w:cs="Arial"/>
                <w:b/>
                <w:sz w:val="24"/>
                <w:szCs w:val="24"/>
              </w:rPr>
              <w:t xml:space="preserve"> Statement Date:</w:t>
            </w:r>
          </w:p>
          <w:p w:rsidR="000A1529" w:rsidRPr="001203BC" w:rsidRDefault="00F03053" w:rsidP="00EE6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EE6ADC">
              <w:rPr>
                <w:rFonts w:ascii="Arial" w:hAnsi="Arial" w:cs="Arial"/>
                <w:b/>
                <w:sz w:val="24"/>
                <w:szCs w:val="24"/>
              </w:rPr>
              <w:t xml:space="preserve"> 26</w:t>
            </w:r>
            <w:r w:rsidR="001652CE" w:rsidRPr="001203BC">
              <w:rPr>
                <w:rFonts w:ascii="Arial" w:hAnsi="Arial" w:cs="Arial"/>
                <w:b/>
                <w:sz w:val="24"/>
                <w:szCs w:val="24"/>
              </w:rPr>
              <w:t>, 2018</w:t>
            </w:r>
          </w:p>
        </w:tc>
      </w:tr>
      <w:tr w:rsidR="00F63DE3" w:rsidRPr="001203BC" w:rsidTr="001652CE"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E3" w:rsidRPr="001203BC" w:rsidRDefault="00F63D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 xml:space="preserve">Descriptions of </w:t>
            </w:r>
            <w:r w:rsidR="00BD246B" w:rsidRPr="001203B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203BC">
              <w:rPr>
                <w:rFonts w:ascii="Arial" w:hAnsi="Arial" w:cs="Arial"/>
                <w:b/>
                <w:sz w:val="24"/>
                <w:szCs w:val="24"/>
              </w:rPr>
              <w:t>ecurities to be listed:</w:t>
            </w:r>
          </w:p>
          <w:p w:rsidR="001652CE" w:rsidRPr="001203BC" w:rsidRDefault="00165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Common shares without par value.</w:t>
            </w:r>
          </w:p>
        </w:tc>
      </w:tr>
      <w:tr w:rsidR="000A1529" w:rsidRPr="001203BC" w:rsidTr="00FE405A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F03053" w:rsidRPr="001203BC" w:rsidRDefault="00F03053" w:rsidP="00F030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053">
              <w:rPr>
                <w:rFonts w:ascii="Arial" w:hAnsi="Arial" w:cs="Arial"/>
                <w:b/>
                <w:sz w:val="24"/>
                <w:szCs w:val="24"/>
              </w:rPr>
              <w:t>Suite 2050, 1055 Georgia Street</w:t>
            </w:r>
            <w:r w:rsidRPr="00F03053">
              <w:rPr>
                <w:rFonts w:ascii="Arial" w:hAnsi="Arial" w:cs="Arial"/>
                <w:b/>
                <w:sz w:val="24"/>
                <w:szCs w:val="24"/>
              </w:rPr>
              <w:br/>
              <w:t>P.O. Box 11121, Royal Centre</w:t>
            </w:r>
            <w:r w:rsidRPr="00F03053">
              <w:rPr>
                <w:rFonts w:ascii="Arial" w:hAnsi="Arial" w:cs="Arial"/>
                <w:b/>
                <w:sz w:val="24"/>
                <w:szCs w:val="24"/>
              </w:rPr>
              <w:br/>
              <w:t>Vancouver, B.C.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03053">
              <w:rPr>
                <w:rFonts w:ascii="Arial" w:hAnsi="Arial" w:cs="Arial"/>
                <w:b/>
                <w:sz w:val="24"/>
                <w:szCs w:val="24"/>
              </w:rPr>
              <w:t>V6E 3P3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Brief Description of the Issuer's Business:</w:t>
            </w:r>
          </w:p>
          <w:p w:rsidR="001203BC" w:rsidRPr="001203BC" w:rsidRDefault="001203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310" w:rsidRDefault="001203BC" w:rsidP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The Issuer</w:t>
            </w:r>
            <w:r w:rsidR="00523310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523310" w:rsidRPr="00523310">
              <w:rPr>
                <w:rFonts w:ascii="Arial" w:hAnsi="Arial" w:cs="Arial"/>
                <w:b/>
                <w:sz w:val="24"/>
                <w:szCs w:val="24"/>
              </w:rPr>
              <w:t>principal activity has been to review and investigate potential business opportunities in the high tech and resources fields for possible acquisition</w:t>
            </w:r>
            <w:r w:rsidR="00523310">
              <w:rPr>
                <w:rFonts w:ascii="Arial" w:hAnsi="Arial" w:cs="Arial"/>
                <w:b/>
                <w:sz w:val="24"/>
                <w:szCs w:val="24"/>
              </w:rPr>
              <w:t>s.</w:t>
            </w:r>
          </w:p>
          <w:p w:rsidR="001203BC" w:rsidRPr="001203BC" w:rsidRDefault="00523310" w:rsidP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203BC" w:rsidRPr="001203BC">
              <w:rPr>
                <w:rFonts w:ascii="Arial" w:hAnsi="Arial" w:cs="Arial"/>
                <w:b/>
                <w:sz w:val="24"/>
                <w:szCs w:val="24"/>
              </w:rPr>
              <w:t xml:space="preserve">he Resulting Issuer will be engaged in the business of </w:t>
            </w:r>
            <w:r w:rsidRPr="00523310">
              <w:rPr>
                <w:rFonts w:ascii="Arial" w:hAnsi="Arial" w:cs="Arial"/>
                <w:b/>
                <w:sz w:val="24"/>
                <w:szCs w:val="24"/>
              </w:rPr>
              <w:t>development and support of software systems designed to provide innovative financial services to businesses and customers in the high tech field.</w:t>
            </w:r>
            <w:r w:rsidR="001203BC" w:rsidRPr="001203B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A1529" w:rsidRPr="001203BC" w:rsidTr="00FE405A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Company Contact:</w:t>
            </w:r>
          </w:p>
          <w:p w:rsidR="001203BC" w:rsidRPr="001203BC" w:rsidRDefault="00CF5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 Kang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Pr="001203BC" w:rsidRDefault="00F63DE3">
            <w:pPr>
              <w:pStyle w:val="Heading1"/>
              <w:rPr>
                <w:rFonts w:ascii="Arial" w:hAnsi="Arial" w:cs="Arial"/>
                <w:szCs w:val="24"/>
              </w:rPr>
            </w:pPr>
            <w:r w:rsidRPr="001203BC">
              <w:rPr>
                <w:rFonts w:ascii="Arial" w:hAnsi="Arial" w:cs="Arial"/>
                <w:szCs w:val="24"/>
              </w:rPr>
              <w:t xml:space="preserve">Description of </w:t>
            </w:r>
            <w:r w:rsidR="00BD246B" w:rsidRPr="001203BC">
              <w:rPr>
                <w:rFonts w:ascii="Arial" w:hAnsi="Arial" w:cs="Arial"/>
                <w:szCs w:val="24"/>
              </w:rPr>
              <w:t>s</w:t>
            </w:r>
            <w:r w:rsidR="000A1529" w:rsidRPr="001203BC">
              <w:rPr>
                <w:rFonts w:ascii="Arial" w:hAnsi="Arial" w:cs="Arial"/>
                <w:szCs w:val="24"/>
              </w:rPr>
              <w:t xml:space="preserve">ecurities outstanding </w:t>
            </w:r>
          </w:p>
        </w:tc>
      </w:tr>
      <w:tr w:rsidR="000A1529" w:rsidRPr="001203BC" w:rsidTr="00392550">
        <w:trPr>
          <w:cantSplit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523310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604 684-2181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pStyle w:val="Heading1"/>
              <w:rPr>
                <w:rFonts w:ascii="Arial" w:hAnsi="Arial" w:cs="Arial"/>
                <w:szCs w:val="24"/>
              </w:rPr>
            </w:pPr>
            <w:r w:rsidRPr="001203BC">
              <w:rPr>
                <w:rFonts w:ascii="Arial" w:hAnsi="Arial" w:cs="Arial"/>
                <w:szCs w:val="24"/>
              </w:rPr>
              <w:t>Symbol</w:t>
            </w:r>
          </w:p>
          <w:p w:rsidR="000A1529" w:rsidRPr="001203BC" w:rsidRDefault="00597B31" w:rsidP="00597B31">
            <w:pPr>
              <w:rPr>
                <w:rFonts w:ascii="Arial" w:hAnsi="Arial" w:cs="Arial"/>
                <w:szCs w:val="24"/>
              </w:rPr>
            </w:pPr>
            <w:r w:rsidRPr="00597B31">
              <w:rPr>
                <w:rFonts w:ascii="Arial" w:hAnsi="Arial" w:cs="Arial"/>
                <w:b/>
                <w:sz w:val="24"/>
                <w:szCs w:val="24"/>
              </w:rPr>
              <w:t>NITE</w:t>
            </w:r>
            <w:r w:rsidR="00B92371" w:rsidRPr="00B92371">
              <w:rPr>
                <w:rFonts w:ascii="Arial" w:hAnsi="Arial" w:cs="Arial"/>
                <w:b/>
                <w:sz w:val="24"/>
                <w:szCs w:val="24"/>
              </w:rPr>
              <w:t xml:space="preserve"> has been reserved for the resulting issuer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  <w:p w:rsidR="001203BC" w:rsidRPr="001203BC" w:rsidRDefault="00120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Common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1203BC" w:rsidRPr="001203BC" w:rsidRDefault="00F560E1" w:rsidP="00EE6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56,471,844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CUSIP</w:t>
            </w:r>
          </w:p>
          <w:p w:rsidR="001203BC" w:rsidRPr="001203BC" w:rsidRDefault="000C2F8E" w:rsidP="000C2F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F8E">
              <w:rPr>
                <w:rFonts w:ascii="Arial" w:hAnsi="Arial" w:cs="Arial"/>
                <w:b/>
                <w:sz w:val="24"/>
                <w:szCs w:val="24"/>
              </w:rPr>
              <w:t>22905X107</w:t>
            </w:r>
          </w:p>
        </w:tc>
      </w:tr>
      <w:tr w:rsidR="000A1529" w:rsidRPr="001203BC" w:rsidTr="00FE405A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  <w:p w:rsidR="001203BC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604 682-4768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 xml:space="preserve">If the </w:t>
            </w:r>
            <w:r w:rsidR="00C32D40" w:rsidRPr="001203BC">
              <w:rPr>
                <w:rFonts w:ascii="Arial" w:hAnsi="Arial" w:cs="Arial"/>
                <w:b/>
                <w:sz w:val="24"/>
                <w:szCs w:val="24"/>
              </w:rPr>
              <w:t>Listing</w:t>
            </w:r>
            <w:r w:rsidRPr="001203BC">
              <w:rPr>
                <w:rFonts w:ascii="Arial" w:hAnsi="Arial" w:cs="Arial"/>
                <w:b/>
                <w:sz w:val="24"/>
                <w:szCs w:val="24"/>
              </w:rPr>
              <w:t xml:space="preserve"> Statement was required to be filed because an event giving rise to material information has occurred that makes the previous Statement inaccurate or misleading, briefly describe the event:</w:t>
            </w:r>
          </w:p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529" w:rsidRPr="001203BC" w:rsidRDefault="00120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Issuer is proposing a change of business.</w:t>
            </w:r>
          </w:p>
        </w:tc>
      </w:tr>
      <w:tr w:rsidR="000A1529" w:rsidRPr="001203BC" w:rsidTr="00FE405A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1203BC" w:rsidRPr="001203BC" w:rsidRDefault="00CF5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robkang@telus.net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Dates of Press Release and Any Public Filings Concerning the Event:</w:t>
            </w:r>
          </w:p>
          <w:p w:rsidR="000A1529" w:rsidRPr="001203BC" w:rsidRDefault="00EE6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 29, 2017,</w:t>
            </w:r>
            <w:r w:rsidR="00523310">
              <w:rPr>
                <w:rFonts w:ascii="Arial" w:hAnsi="Arial" w:cs="Arial"/>
                <w:b/>
                <w:sz w:val="24"/>
                <w:szCs w:val="24"/>
              </w:rPr>
              <w:t xml:space="preserve"> January 10, 2018</w:t>
            </w:r>
            <w:r>
              <w:rPr>
                <w:rFonts w:ascii="Arial" w:hAnsi="Arial" w:cs="Arial"/>
                <w:b/>
                <w:sz w:val="24"/>
                <w:szCs w:val="24"/>
              </w:rPr>
              <w:t>, February 19, 2018 and February 28, 2018</w:t>
            </w:r>
          </w:p>
        </w:tc>
      </w:tr>
      <w:tr w:rsidR="000A1529" w:rsidRPr="001203BC" w:rsidTr="00FE405A">
        <w:trPr>
          <w:cantSplit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lastRenderedPageBreak/>
              <w:t>Jurisdiction of Incorporation:</w:t>
            </w:r>
          </w:p>
          <w:p w:rsidR="001203BC" w:rsidRPr="001203BC" w:rsidRDefault="00EE6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British Columbia</w:t>
            </w:r>
          </w:p>
        </w:tc>
        <w:tc>
          <w:tcPr>
            <w:tcW w:w="486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Date of Last Shareholders' Meeting and Date of Next Shareholders' Meeting (if scheduled):</w:t>
            </w:r>
          </w:p>
          <w:p w:rsidR="000A1529" w:rsidRPr="001203BC" w:rsidRDefault="003E1ABE" w:rsidP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last annual general meeting of shareholders was held on </w:t>
            </w:r>
            <w:r w:rsidR="00523310">
              <w:rPr>
                <w:rFonts w:ascii="Arial" w:hAnsi="Arial" w:cs="Arial"/>
                <w:b/>
                <w:sz w:val="24"/>
                <w:szCs w:val="24"/>
              </w:rPr>
              <w:t>December 19</w:t>
            </w:r>
            <w:r w:rsidRPr="003E1ABE">
              <w:rPr>
                <w:rFonts w:ascii="Arial" w:hAnsi="Arial" w:cs="Arial"/>
                <w:b/>
                <w:sz w:val="24"/>
                <w:szCs w:val="24"/>
              </w:rPr>
              <w:t>, 2017</w:t>
            </w:r>
            <w:r>
              <w:rPr>
                <w:rFonts w:ascii="Arial" w:hAnsi="Arial" w:cs="Arial"/>
                <w:b/>
                <w:sz w:val="24"/>
                <w:szCs w:val="24"/>
              </w:rPr>
              <w:t>.  The next shareholders’ meeting has not been scheduled.</w:t>
            </w:r>
          </w:p>
        </w:tc>
      </w:tr>
      <w:tr w:rsidR="000A1529" w:rsidRPr="001203BC" w:rsidTr="00FE405A">
        <w:trPr>
          <w:cantSplit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120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Website:</w:t>
            </w:r>
          </w:p>
          <w:p w:rsidR="001203BC" w:rsidRPr="001203BC" w:rsidRDefault="00CF5536" w:rsidP="00EE6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www.cryptanite.com</w:t>
            </w:r>
          </w:p>
        </w:tc>
        <w:tc>
          <w:tcPr>
            <w:tcW w:w="486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529" w:rsidRPr="001203BC" w:rsidTr="00FE405A">
        <w:trPr>
          <w:cantSplit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Fiscal Year End:</w:t>
            </w:r>
          </w:p>
          <w:p w:rsidR="000A1529" w:rsidRPr="001203BC" w:rsidRDefault="00EE6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31</w:t>
            </w:r>
          </w:p>
        </w:tc>
        <w:tc>
          <w:tcPr>
            <w:tcW w:w="4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529" w:rsidRPr="001203BC" w:rsidTr="00FE405A">
        <w:trPr>
          <w:cantSplit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Financial Information as at :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 xml:space="preserve"> November 30, 2017 (Pro Forma)</w:t>
            </w:r>
          </w:p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Board of Directors:</w:t>
            </w:r>
          </w:p>
          <w:p w:rsidR="003E1ABE" w:rsidRPr="00523310" w:rsidRDefault="00523310">
            <w:pPr>
              <w:rPr>
                <w:rFonts w:ascii="Arial" w:hAnsi="Arial"/>
                <w:sz w:val="22"/>
                <w:szCs w:val="22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John Eagleton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23310">
              <w:rPr>
                <w:rFonts w:ascii="Arial" w:hAnsi="Arial" w:cs="Arial"/>
                <w:b/>
                <w:sz w:val="24"/>
                <w:szCs w:val="24"/>
              </w:rPr>
              <w:t xml:space="preserve">Maria </w:t>
            </w:r>
            <w:proofErr w:type="spellStart"/>
            <w:r w:rsidRPr="00523310">
              <w:rPr>
                <w:rFonts w:ascii="Arial" w:hAnsi="Arial" w:cs="Arial"/>
                <w:b/>
                <w:sz w:val="24"/>
                <w:szCs w:val="24"/>
              </w:rPr>
              <w:t>Nosikova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Jack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Donenfeld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23310">
              <w:rPr>
                <w:rFonts w:ascii="Arial" w:hAnsi="Arial" w:cs="Arial"/>
                <w:b/>
                <w:sz w:val="24"/>
                <w:szCs w:val="24"/>
              </w:rPr>
              <w:t>Praveen Varshney</w:t>
            </w:r>
          </w:p>
        </w:tc>
      </w:tr>
      <w:tr w:rsidR="000A1529" w:rsidRPr="001203BC" w:rsidTr="00FE405A">
        <w:trPr>
          <w:cantSplit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  <w:u w:val="single"/>
              </w:rPr>
              <w:t>[Current]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  <w:u w:val="single"/>
              </w:rPr>
              <w:t>[Previous ]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0A1529" w:rsidRPr="001203BC" w:rsidTr="00FE405A">
        <w:trPr>
          <w:cantSplit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Current Assets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4,466,811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</w:tcPr>
          <w:p w:rsidR="000A1529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John Eagleton</w:t>
            </w:r>
          </w:p>
        </w:tc>
        <w:tc>
          <w:tcPr>
            <w:tcW w:w="2880" w:type="dxa"/>
            <w:gridSpan w:val="3"/>
            <w:tcBorders>
              <w:left w:val="nil"/>
              <w:right w:val="single" w:sz="4" w:space="0" w:color="auto"/>
            </w:tcBorders>
          </w:tcPr>
          <w:p w:rsidR="000A1529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Chief Executive Officer, President and Director</w:t>
            </w:r>
          </w:p>
        </w:tc>
      </w:tr>
      <w:tr w:rsidR="000A1529" w:rsidRPr="001203BC" w:rsidTr="00FE405A">
        <w:trPr>
          <w:cantSplit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Working Capital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4,382,843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</w:tcPr>
          <w:p w:rsidR="000A1529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 xml:space="preserve">Maria </w:t>
            </w:r>
            <w:proofErr w:type="spellStart"/>
            <w:r w:rsidRPr="00523310">
              <w:rPr>
                <w:rFonts w:ascii="Arial" w:hAnsi="Arial" w:cs="Arial"/>
                <w:b/>
                <w:sz w:val="24"/>
                <w:szCs w:val="24"/>
              </w:rPr>
              <w:t>Nosikova</w:t>
            </w:r>
            <w:proofErr w:type="spellEnd"/>
          </w:p>
        </w:tc>
        <w:tc>
          <w:tcPr>
            <w:tcW w:w="2880" w:type="dxa"/>
            <w:gridSpan w:val="3"/>
            <w:tcBorders>
              <w:left w:val="nil"/>
              <w:right w:val="single" w:sz="4" w:space="0" w:color="auto"/>
            </w:tcBorders>
          </w:tcPr>
          <w:p w:rsidR="000A1529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Chief Operating Officer and Director</w:t>
            </w:r>
          </w:p>
        </w:tc>
      </w:tr>
      <w:tr w:rsidR="000A1529" w:rsidRPr="001203BC" w:rsidTr="00FE405A">
        <w:trPr>
          <w:cantSplit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Total assets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4,470,057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</w:tcPr>
          <w:p w:rsidR="000A1529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Rob Kang</w:t>
            </w:r>
          </w:p>
        </w:tc>
        <w:tc>
          <w:tcPr>
            <w:tcW w:w="2880" w:type="dxa"/>
            <w:gridSpan w:val="3"/>
            <w:tcBorders>
              <w:left w:val="nil"/>
              <w:right w:val="single" w:sz="4" w:space="0" w:color="auto"/>
            </w:tcBorders>
          </w:tcPr>
          <w:p w:rsidR="000A1529" w:rsidRPr="001203BC" w:rsidRDefault="00523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10">
              <w:rPr>
                <w:rFonts w:ascii="Arial" w:hAnsi="Arial" w:cs="Arial"/>
                <w:b/>
                <w:sz w:val="24"/>
                <w:szCs w:val="24"/>
              </w:rPr>
              <w:t>Chief Financial Officer and Corporate Secretary</w:t>
            </w:r>
          </w:p>
        </w:tc>
      </w:tr>
      <w:tr w:rsidR="000A1529" w:rsidRPr="001203BC" w:rsidTr="00FE405A">
        <w:trPr>
          <w:cantSplit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Long-term liabilities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E04D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$nil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E04D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529" w:rsidRPr="001203BC" w:rsidTr="00FE405A">
        <w:trPr>
          <w:cantSplit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Shareholders</w:t>
            </w:r>
            <w:r w:rsidR="00BD246B" w:rsidRPr="001203BC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1203BC">
              <w:rPr>
                <w:rFonts w:ascii="Arial" w:hAnsi="Arial" w:cs="Arial"/>
                <w:b/>
                <w:sz w:val="24"/>
                <w:szCs w:val="24"/>
              </w:rPr>
              <w:t xml:space="preserve"> equity 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4,386,090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B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04DC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Pr="001203BC" w:rsidRDefault="000A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1529" w:rsidRPr="001203BC" w:rsidRDefault="000A1529">
      <w:pPr>
        <w:rPr>
          <w:rFonts w:ascii="Arial" w:hAnsi="Arial" w:cs="Arial"/>
          <w:sz w:val="24"/>
          <w:szCs w:val="24"/>
        </w:rPr>
      </w:pPr>
    </w:p>
    <w:sectPr w:rsidR="000A1529" w:rsidRPr="001203BC" w:rsidSect="00140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144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BE" w:rsidRDefault="003E1ABE">
      <w:r>
        <w:separator/>
      </w:r>
    </w:p>
  </w:endnote>
  <w:endnote w:type="continuationSeparator" w:id="0">
    <w:p w:rsidR="003E1ABE" w:rsidRDefault="003E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E" w:rsidRDefault="003E1A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E" w:rsidRDefault="003E1AB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bookmarkStart w:id="0" w:name="_GoBack"/>
    <w:bookmarkEnd w:id="0"/>
  </w:p>
  <w:p w:rsidR="003E1ABE" w:rsidRDefault="005D3E93" w:rsidP="00A223E1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 w:rsidRPr="005D3E93">
      <w:rPr>
        <w:b/>
        <w:noProof/>
        <w:lang w:val="en-CA" w:eastAsia="en-CA"/>
      </w:rPr>
      <w:pict>
        <v:line id="Line 4" o:spid="_x0000_s9217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</w:pict>
    </w:r>
    <w:r w:rsidR="003E1ABE">
      <w:rPr>
        <w:rFonts w:ascii="Arial" w:hAnsi="Arial" w:cs="Arial"/>
        <w:b/>
      </w:rPr>
      <w:t>FORM 2B – LISTING SUMMARY</w:t>
    </w:r>
  </w:p>
  <w:p w:rsidR="003E1ABE" w:rsidRDefault="003E1ABE" w:rsidP="00A223E1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3E1ABE" w:rsidRDefault="005D3E93" w:rsidP="00AB5124">
    <w:pPr>
      <w:pStyle w:val="Footer"/>
      <w:rPr>
        <w:rStyle w:val="PageNumber"/>
        <w:rFonts w:ascii="Arial" w:hAnsi="Arial" w:cs="Arial"/>
        <w:sz w:val="16"/>
        <w:szCs w:val="16"/>
      </w:rPr>
    </w:pPr>
    <w:fldSimple w:instr=" DOCPROPERTY &quot;DocID&quot; \* MERGEFORMAT ">
      <w:r w:rsidR="00F03053">
        <w:t>LEGAL_28682458.1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E" w:rsidRDefault="003E1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BE" w:rsidRDefault="003E1ABE">
      <w:r>
        <w:separator/>
      </w:r>
    </w:p>
  </w:footnote>
  <w:footnote w:type="continuationSeparator" w:id="0">
    <w:p w:rsidR="003E1ABE" w:rsidRDefault="003E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E" w:rsidRDefault="003E1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E" w:rsidRDefault="003E1ABE" w:rsidP="009441E6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E" w:rsidRDefault="003E1A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w:rsids>
    <w:rsidRoot w:val="00322582"/>
    <w:rsid w:val="00013655"/>
    <w:rsid w:val="000A1529"/>
    <w:rsid w:val="000C2F8E"/>
    <w:rsid w:val="0011640C"/>
    <w:rsid w:val="001203BC"/>
    <w:rsid w:val="001336F2"/>
    <w:rsid w:val="00140515"/>
    <w:rsid w:val="001652CE"/>
    <w:rsid w:val="001A78E8"/>
    <w:rsid w:val="002868DD"/>
    <w:rsid w:val="002C44E0"/>
    <w:rsid w:val="00314A66"/>
    <w:rsid w:val="00322582"/>
    <w:rsid w:val="00345BD4"/>
    <w:rsid w:val="00392550"/>
    <w:rsid w:val="003E04F0"/>
    <w:rsid w:val="003E1ABE"/>
    <w:rsid w:val="004320F1"/>
    <w:rsid w:val="004E5452"/>
    <w:rsid w:val="00522DB2"/>
    <w:rsid w:val="00523310"/>
    <w:rsid w:val="00597B31"/>
    <w:rsid w:val="005B2F2A"/>
    <w:rsid w:val="005D3E93"/>
    <w:rsid w:val="005E4331"/>
    <w:rsid w:val="005F0916"/>
    <w:rsid w:val="00672480"/>
    <w:rsid w:val="006A562E"/>
    <w:rsid w:val="006F208F"/>
    <w:rsid w:val="007260CB"/>
    <w:rsid w:val="00727502"/>
    <w:rsid w:val="007A0D90"/>
    <w:rsid w:val="0083069A"/>
    <w:rsid w:val="00853159"/>
    <w:rsid w:val="00861AD7"/>
    <w:rsid w:val="00921C54"/>
    <w:rsid w:val="009441E6"/>
    <w:rsid w:val="0096549E"/>
    <w:rsid w:val="009C7377"/>
    <w:rsid w:val="00A223E1"/>
    <w:rsid w:val="00AB5124"/>
    <w:rsid w:val="00B42E4C"/>
    <w:rsid w:val="00B92371"/>
    <w:rsid w:val="00BD246B"/>
    <w:rsid w:val="00BD3316"/>
    <w:rsid w:val="00C153E6"/>
    <w:rsid w:val="00C32D40"/>
    <w:rsid w:val="00C94B61"/>
    <w:rsid w:val="00CF5536"/>
    <w:rsid w:val="00D16963"/>
    <w:rsid w:val="00DF154C"/>
    <w:rsid w:val="00E04DC8"/>
    <w:rsid w:val="00E27403"/>
    <w:rsid w:val="00E846FF"/>
    <w:rsid w:val="00E91882"/>
    <w:rsid w:val="00E923BE"/>
    <w:rsid w:val="00EA06D3"/>
    <w:rsid w:val="00EA7476"/>
    <w:rsid w:val="00EE6ADC"/>
    <w:rsid w:val="00F03053"/>
    <w:rsid w:val="00F139CC"/>
    <w:rsid w:val="00F560E1"/>
    <w:rsid w:val="00F63DE3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F1"/>
  </w:style>
  <w:style w:type="paragraph" w:styleId="Heading1">
    <w:name w:val="heading 1"/>
    <w:basedOn w:val="Normal"/>
    <w:next w:val="Normal"/>
    <w:qFormat/>
    <w:rsid w:val="004320F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320F1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4320F1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rsid w:val="00432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0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0F1"/>
  </w:style>
  <w:style w:type="paragraph" w:styleId="BalloonText">
    <w:name w:val="Balloon Text"/>
    <w:basedOn w:val="Normal"/>
    <w:semiHidden/>
    <w:rsid w:val="004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0DB9-20BF-4DA2-B0DB-C2E514E5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1909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Company]</vt:lpstr>
    </vt:vector>
  </TitlesOfParts>
  <Company>CNSX Markets Inc.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Company]</dc:title>
  <dc:subject/>
  <dc:creator>CNSX Markets Inc.</dc:creator>
  <cp:keywords/>
  <cp:lastModifiedBy>jdw</cp:lastModifiedBy>
  <cp:revision>11</cp:revision>
  <cp:lastPrinted>2004-05-10T18:19:00Z</cp:lastPrinted>
  <dcterms:created xsi:type="dcterms:W3CDTF">2018-02-20T19:31:00Z</dcterms:created>
  <dcterms:modified xsi:type="dcterms:W3CDTF">2018-03-07T06:04:00Z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LEGAL_28682458.1</vt:lpwstr>
  </property>
</Properties>
</file>