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BDE0" w14:textId="31EABB50" w:rsidR="00F240D7" w:rsidRPr="009547BA" w:rsidRDefault="00F240D7" w:rsidP="00A153DD">
      <w:pPr>
        <w:spacing w:after="0"/>
        <w:jc w:val="center"/>
        <w:rPr>
          <w:b/>
          <w:bCs/>
          <w:sz w:val="28"/>
          <w:szCs w:val="28"/>
        </w:rPr>
      </w:pPr>
      <w:r w:rsidRPr="009547BA">
        <w:rPr>
          <w:b/>
          <w:bCs/>
          <w:sz w:val="28"/>
          <w:szCs w:val="28"/>
        </w:rPr>
        <w:t xml:space="preserve">Wesana Announces </w:t>
      </w:r>
      <w:r w:rsidR="009547BA">
        <w:rPr>
          <w:b/>
          <w:bCs/>
          <w:sz w:val="28"/>
          <w:szCs w:val="28"/>
        </w:rPr>
        <w:t>Second</w:t>
      </w:r>
      <w:r w:rsidRPr="009547BA">
        <w:rPr>
          <w:b/>
          <w:bCs/>
          <w:sz w:val="28"/>
          <w:szCs w:val="28"/>
        </w:rPr>
        <w:t xml:space="preserve"> Quarter </w:t>
      </w:r>
      <w:r w:rsidR="00587EC3">
        <w:rPr>
          <w:b/>
          <w:bCs/>
          <w:sz w:val="28"/>
          <w:szCs w:val="28"/>
        </w:rPr>
        <w:t>2022 Financial Results</w:t>
      </w:r>
    </w:p>
    <w:p w14:paraId="2452159F" w14:textId="77777777" w:rsidR="00CF4971" w:rsidRDefault="00CF4971" w:rsidP="00CF4971"/>
    <w:p w14:paraId="7C14380B" w14:textId="3B84375F" w:rsidR="00CF4971" w:rsidRDefault="00CF4971" w:rsidP="00CF4971">
      <w:pPr>
        <w:jc w:val="both"/>
        <w:rPr>
          <w:rFonts w:ascii="Calibri" w:eastAsia="Calibri" w:hAnsi="Calibri" w:cs="Calibri"/>
        </w:rPr>
      </w:pPr>
      <w:r w:rsidRPr="00CB1684">
        <w:rPr>
          <w:rFonts w:ascii="Calibri" w:eastAsia="Calibri" w:hAnsi="Calibri" w:cs="Calibri"/>
        </w:rPr>
        <w:t xml:space="preserve">CHICAGO and TORONTO, </w:t>
      </w:r>
      <w:r w:rsidR="009547BA">
        <w:rPr>
          <w:rFonts w:ascii="Calibri" w:eastAsia="Calibri" w:hAnsi="Calibri" w:cs="Calibri"/>
        </w:rPr>
        <w:t xml:space="preserve">August </w:t>
      </w:r>
      <w:r w:rsidR="00294CD8">
        <w:rPr>
          <w:rFonts w:ascii="Calibri" w:eastAsia="Calibri" w:hAnsi="Calibri" w:cs="Calibri"/>
        </w:rPr>
        <w:t>29</w:t>
      </w:r>
      <w:r w:rsidR="00294CD8" w:rsidRPr="00294CD8">
        <w:rPr>
          <w:rFonts w:ascii="Calibri" w:eastAsia="Calibri" w:hAnsi="Calibri" w:cs="Calibri"/>
          <w:vertAlign w:val="superscript"/>
        </w:rPr>
        <w:t>th</w:t>
      </w:r>
      <w:r>
        <w:rPr>
          <w:rFonts w:ascii="Calibri" w:eastAsia="Calibri" w:hAnsi="Calibri" w:cs="Calibri"/>
        </w:rPr>
        <w:t>, 2022</w:t>
      </w:r>
      <w:r w:rsidRPr="00CB1684">
        <w:rPr>
          <w:rFonts w:ascii="Calibri" w:eastAsia="Calibri" w:hAnsi="Calibri" w:cs="Calibri"/>
        </w:rPr>
        <w:t xml:space="preserve"> -- </w:t>
      </w:r>
      <w:r w:rsidRPr="00CB1684">
        <w:rPr>
          <w:rFonts w:ascii="Calibri" w:eastAsia="Calibri" w:hAnsi="Calibri" w:cs="Calibri"/>
          <w:b/>
          <w:bCs/>
        </w:rPr>
        <w:t>Wesana Health Holdings Inc.</w:t>
      </w:r>
      <w:r w:rsidRPr="00CB1684">
        <w:rPr>
          <w:rFonts w:ascii="Calibri" w:eastAsia="Calibri" w:hAnsi="Calibri" w:cs="Calibri"/>
        </w:rPr>
        <w:t> </w:t>
      </w:r>
      <w:r w:rsidRPr="00CB1684">
        <w:rPr>
          <w:rFonts w:ascii="Calibri" w:eastAsia="Calibri" w:hAnsi="Calibri" w:cs="Calibri"/>
          <w:b/>
          <w:bCs/>
        </w:rPr>
        <w:t>(“Wesana” or the “Company”) (CSE: WESA; OTCQB: WSNAF), </w:t>
      </w:r>
      <w:r w:rsidRPr="00CB1684">
        <w:rPr>
          <w:rFonts w:ascii="Calibri" w:eastAsia="Calibri" w:hAnsi="Calibri" w:cs="Calibri"/>
        </w:rPr>
        <w:t xml:space="preserve">a data-driven life sciences company focused on developing the novel </w:t>
      </w:r>
      <w:r w:rsidRPr="00520397">
        <w:rPr>
          <w:rFonts w:ascii="Calibri" w:eastAsia="Calibri" w:hAnsi="Calibri" w:cs="Calibri"/>
        </w:rPr>
        <w:t>therapies of tomorrow and delivering new care paradigms today,</w:t>
      </w:r>
      <w:r>
        <w:rPr>
          <w:rFonts w:ascii="Calibri" w:eastAsia="Calibri" w:hAnsi="Calibri" w:cs="Calibri"/>
        </w:rPr>
        <w:t xml:space="preserve"> has today announced its </w:t>
      </w:r>
      <w:r w:rsidR="000015BB">
        <w:rPr>
          <w:rFonts w:ascii="Calibri" w:eastAsia="Calibri" w:hAnsi="Calibri" w:cs="Calibri"/>
        </w:rPr>
        <w:t>second</w:t>
      </w:r>
      <w:r w:rsidR="009F0DA2">
        <w:rPr>
          <w:rFonts w:ascii="Calibri" w:eastAsia="Calibri" w:hAnsi="Calibri" w:cs="Calibri"/>
        </w:rPr>
        <w:t xml:space="preserve"> quarter 2022 financial results</w:t>
      </w:r>
      <w:r>
        <w:rPr>
          <w:rFonts w:ascii="Calibri" w:eastAsia="Calibri" w:hAnsi="Calibri" w:cs="Calibri"/>
        </w:rPr>
        <w:t xml:space="preserve">. </w:t>
      </w:r>
    </w:p>
    <w:p w14:paraId="146F62A0" w14:textId="2672A0A1" w:rsidR="00326060" w:rsidRDefault="00BC1506" w:rsidP="00355C3F">
      <w:pPr>
        <w:jc w:val="both"/>
        <w:rPr>
          <w:b/>
          <w:bCs/>
        </w:rPr>
      </w:pPr>
      <w:r>
        <w:rPr>
          <w:b/>
          <w:bCs/>
        </w:rPr>
        <w:t>H</w:t>
      </w:r>
      <w:r w:rsidR="00E43030" w:rsidRPr="005F463C">
        <w:rPr>
          <w:b/>
          <w:bCs/>
        </w:rPr>
        <w:t xml:space="preserve">1 </w:t>
      </w:r>
      <w:r w:rsidR="005F463C" w:rsidRPr="005F463C">
        <w:rPr>
          <w:b/>
          <w:bCs/>
        </w:rPr>
        <w:t>2022 Highlights</w:t>
      </w:r>
    </w:p>
    <w:p w14:paraId="68551693" w14:textId="5789E71F" w:rsidR="00B63316" w:rsidRPr="00B63316" w:rsidRDefault="00B63316" w:rsidP="00B63316">
      <w:pPr>
        <w:pStyle w:val="ListParagraph"/>
        <w:numPr>
          <w:ilvl w:val="0"/>
          <w:numId w:val="6"/>
        </w:numPr>
        <w:rPr>
          <w:rFonts w:ascii="Calibri" w:eastAsia="Calibri" w:hAnsi="Calibri" w:cs="Calibri"/>
        </w:rPr>
      </w:pPr>
      <w:r w:rsidRPr="00825D5F" w:rsidDel="003D1259">
        <w:rPr>
          <w:rFonts w:ascii="Calibri" w:eastAsia="Calibri" w:hAnsi="Calibri" w:cs="Calibri"/>
        </w:rPr>
        <w:t xml:space="preserve">Received positive feedback from </w:t>
      </w:r>
      <w:r w:rsidRPr="00825D5F">
        <w:rPr>
          <w:rFonts w:eastAsia="Times New Roman" w:cstheme="minorHAnsi"/>
          <w:color w:val="000000"/>
        </w:rPr>
        <w:t xml:space="preserve">pre-Investigational New Drug (“IND”) </w:t>
      </w:r>
      <w:r w:rsidRPr="00825D5F" w:rsidDel="003D1259">
        <w:rPr>
          <w:rFonts w:ascii="Calibri" w:eastAsia="Calibri" w:hAnsi="Calibri" w:cs="Calibri"/>
        </w:rPr>
        <w:t xml:space="preserve">meeting with </w:t>
      </w:r>
      <w:r w:rsidRPr="00825D5F">
        <w:rPr>
          <w:rFonts w:ascii="Calibri" w:eastAsia="Calibri" w:hAnsi="Calibri" w:cs="Calibri"/>
        </w:rPr>
        <w:t>U.S. Food and Drug Administration (“FDA</w:t>
      </w:r>
      <w:proofErr w:type="gramStart"/>
      <w:r w:rsidRPr="00825D5F">
        <w:rPr>
          <w:rFonts w:ascii="Calibri" w:eastAsia="Calibri" w:hAnsi="Calibri" w:cs="Calibri"/>
        </w:rPr>
        <w:t xml:space="preserve">”) </w:t>
      </w:r>
      <w:r w:rsidRPr="00825D5F" w:rsidDel="003D1259">
        <w:rPr>
          <w:rFonts w:ascii="Calibri" w:eastAsia="Calibri" w:hAnsi="Calibri" w:cs="Calibri"/>
        </w:rPr>
        <w:t xml:space="preserve"> on</w:t>
      </w:r>
      <w:proofErr w:type="gramEnd"/>
      <w:r w:rsidRPr="00825D5F" w:rsidDel="003D1259">
        <w:rPr>
          <w:rFonts w:ascii="Calibri" w:eastAsia="Calibri" w:hAnsi="Calibri" w:cs="Calibri"/>
        </w:rPr>
        <w:t xml:space="preserve"> SANA-013</w:t>
      </w:r>
    </w:p>
    <w:p w14:paraId="789D571D" w14:textId="48F7DFE4" w:rsidR="00E7546D" w:rsidRPr="00825D5F" w:rsidRDefault="003A410D" w:rsidP="00E7546D">
      <w:pPr>
        <w:pStyle w:val="ListParagraph"/>
        <w:numPr>
          <w:ilvl w:val="0"/>
          <w:numId w:val="6"/>
        </w:numPr>
        <w:jc w:val="both"/>
      </w:pPr>
      <w:r w:rsidRPr="00825D5F">
        <w:t xml:space="preserve">Expanded </w:t>
      </w:r>
      <w:r w:rsidR="003D21C1" w:rsidRPr="00825D5F">
        <w:t xml:space="preserve">the lead indication for SANA-013 to </w:t>
      </w:r>
      <w:r w:rsidR="00905926" w:rsidRPr="00825D5F">
        <w:t>Major Depressive Disorder and exploring other complementary orphan indications</w:t>
      </w:r>
    </w:p>
    <w:p w14:paraId="7ADA358D" w14:textId="4DA7D35E" w:rsidR="00944858" w:rsidRPr="00825D5F" w:rsidRDefault="005F2DC1" w:rsidP="00A430F4">
      <w:pPr>
        <w:pStyle w:val="ListParagraph"/>
        <w:numPr>
          <w:ilvl w:val="0"/>
          <w:numId w:val="6"/>
        </w:numPr>
        <w:jc w:val="both"/>
      </w:pPr>
      <w:r>
        <w:t>Accelerating</w:t>
      </w:r>
      <w:r w:rsidR="001C7CD5" w:rsidRPr="00825D5F">
        <w:t xml:space="preserve"> the clinical development of SANA-013 </w:t>
      </w:r>
      <w:r>
        <w:t xml:space="preserve">by </w:t>
      </w:r>
      <w:proofErr w:type="spellStart"/>
      <w:r>
        <w:t>intiating</w:t>
      </w:r>
      <w:proofErr w:type="spellEnd"/>
      <w:r w:rsidR="001C7CD5" w:rsidRPr="00825D5F">
        <w:t xml:space="preserve"> a </w:t>
      </w:r>
      <w:r w:rsidR="00677C66" w:rsidRPr="00825D5F">
        <w:t xml:space="preserve">Phase 1b/2a study in H1 2023, subject to the availability of capital </w:t>
      </w:r>
    </w:p>
    <w:p w14:paraId="35372D41" w14:textId="32E6A682" w:rsidR="00451B0E" w:rsidRPr="00825D5F" w:rsidRDefault="00451B0E" w:rsidP="00451B0E">
      <w:pPr>
        <w:pStyle w:val="ListParagraph"/>
        <w:numPr>
          <w:ilvl w:val="0"/>
          <w:numId w:val="6"/>
        </w:numPr>
        <w:rPr>
          <w:rFonts w:ascii="Calibri" w:eastAsia="Calibri" w:hAnsi="Calibri" w:cs="Calibri"/>
        </w:rPr>
      </w:pPr>
      <w:r>
        <w:rPr>
          <w:rFonts w:ascii="Calibri" w:eastAsia="Calibri" w:hAnsi="Calibri" w:cs="Calibri"/>
        </w:rPr>
        <w:t xml:space="preserve">Conducted pre-clinical studies supporting that </w:t>
      </w:r>
      <w:r w:rsidRPr="00825D5F" w:rsidDel="003D1259">
        <w:rPr>
          <w:rFonts w:ascii="Calibri" w:eastAsia="Calibri" w:hAnsi="Calibri" w:cs="Calibri"/>
        </w:rPr>
        <w:t>psilocybin potentiates</w:t>
      </w:r>
      <w:r>
        <w:rPr>
          <w:rFonts w:ascii="Calibri" w:eastAsia="Calibri" w:hAnsi="Calibri" w:cs="Calibri"/>
        </w:rPr>
        <w:t xml:space="preserve"> the</w:t>
      </w:r>
      <w:r w:rsidRPr="00825D5F" w:rsidDel="003D1259">
        <w:rPr>
          <w:rFonts w:ascii="Calibri" w:eastAsia="Calibri" w:hAnsi="Calibri" w:cs="Calibri"/>
        </w:rPr>
        <w:t xml:space="preserve"> impact of</w:t>
      </w:r>
      <w:r w:rsidR="00F41634">
        <w:rPr>
          <w:rFonts w:ascii="Calibri" w:eastAsia="Calibri" w:hAnsi="Calibri" w:cs="Calibri"/>
        </w:rPr>
        <w:t xml:space="preserve"> an</w:t>
      </w:r>
      <w:r w:rsidRPr="00825D5F" w:rsidDel="003D1259">
        <w:rPr>
          <w:rFonts w:ascii="Calibri" w:eastAsia="Calibri" w:hAnsi="Calibri" w:cs="Calibri"/>
        </w:rPr>
        <w:t xml:space="preserve"> anti-depressant</w:t>
      </w:r>
    </w:p>
    <w:p w14:paraId="20CFE9CA" w14:textId="483699B0" w:rsidR="00451B0E" w:rsidRPr="00825D5F" w:rsidRDefault="00451B0E" w:rsidP="00451B0E">
      <w:pPr>
        <w:pStyle w:val="ListParagraph"/>
        <w:numPr>
          <w:ilvl w:val="0"/>
          <w:numId w:val="6"/>
        </w:numPr>
        <w:shd w:val="clear" w:color="auto" w:fill="FFFFFF"/>
        <w:spacing w:after="300" w:line="240" w:lineRule="auto"/>
        <w:rPr>
          <w:rFonts w:eastAsia="Times New Roman" w:cstheme="minorHAnsi"/>
          <w:color w:val="000000"/>
        </w:rPr>
      </w:pPr>
      <w:r>
        <w:rPr>
          <w:rFonts w:eastAsia="Times New Roman" w:cstheme="minorHAnsi"/>
          <w:color w:val="000000"/>
        </w:rPr>
        <w:t>Generated data</w:t>
      </w:r>
      <w:r w:rsidRPr="00825D5F">
        <w:rPr>
          <w:rFonts w:eastAsia="Times New Roman" w:cstheme="minorHAnsi"/>
          <w:color w:val="000000"/>
        </w:rPr>
        <w:t xml:space="preserve"> from </w:t>
      </w:r>
      <w:r w:rsidR="00340E32">
        <w:rPr>
          <w:rFonts w:eastAsia="Times New Roman" w:cstheme="minorHAnsi"/>
          <w:color w:val="000000"/>
        </w:rPr>
        <w:t>an</w:t>
      </w:r>
      <w:r w:rsidRPr="00825D5F">
        <w:rPr>
          <w:rFonts w:eastAsia="Times New Roman" w:cstheme="minorHAnsi"/>
          <w:color w:val="000000"/>
        </w:rPr>
        <w:t xml:space="preserve">imal </w:t>
      </w:r>
      <w:r w:rsidR="00340E32">
        <w:rPr>
          <w:rFonts w:eastAsia="Times New Roman" w:cstheme="minorHAnsi"/>
          <w:color w:val="000000"/>
        </w:rPr>
        <w:t>s</w:t>
      </w:r>
      <w:r w:rsidR="00340E32" w:rsidRPr="00825D5F">
        <w:rPr>
          <w:rFonts w:eastAsia="Times New Roman" w:cstheme="minorHAnsi"/>
          <w:color w:val="000000"/>
        </w:rPr>
        <w:t xml:space="preserve">tudy </w:t>
      </w:r>
      <w:r>
        <w:rPr>
          <w:rFonts w:eastAsia="Times New Roman" w:cstheme="minorHAnsi"/>
          <w:color w:val="000000"/>
        </w:rPr>
        <w:t xml:space="preserve">in support </w:t>
      </w:r>
      <w:r w:rsidRPr="00825D5F">
        <w:rPr>
          <w:rFonts w:eastAsia="Times New Roman" w:cstheme="minorHAnsi"/>
          <w:color w:val="000000"/>
        </w:rPr>
        <w:t>o</w:t>
      </w:r>
      <w:r>
        <w:rPr>
          <w:rFonts w:eastAsia="Times New Roman" w:cstheme="minorHAnsi"/>
          <w:color w:val="000000"/>
        </w:rPr>
        <w:t>f a</w:t>
      </w:r>
      <w:r w:rsidRPr="00825D5F">
        <w:rPr>
          <w:rFonts w:eastAsia="Times New Roman" w:cstheme="minorHAnsi"/>
          <w:color w:val="000000"/>
        </w:rPr>
        <w:t xml:space="preserve"> </w:t>
      </w:r>
      <w:r>
        <w:rPr>
          <w:rFonts w:eastAsia="Times New Roman" w:cstheme="minorHAnsi"/>
          <w:color w:val="000000"/>
        </w:rPr>
        <w:t>n</w:t>
      </w:r>
      <w:r w:rsidRPr="00825D5F">
        <w:rPr>
          <w:rFonts w:eastAsia="Times New Roman" w:cstheme="minorHAnsi"/>
          <w:color w:val="000000"/>
        </w:rPr>
        <w:t xml:space="preserve">ovel </w:t>
      </w:r>
      <w:r>
        <w:rPr>
          <w:rFonts w:eastAsia="Times New Roman" w:cstheme="minorHAnsi"/>
          <w:color w:val="000000"/>
        </w:rPr>
        <w:t>d</w:t>
      </w:r>
      <w:r w:rsidRPr="00825D5F">
        <w:rPr>
          <w:rFonts w:eastAsia="Times New Roman" w:cstheme="minorHAnsi"/>
          <w:color w:val="000000"/>
        </w:rPr>
        <w:t xml:space="preserve">epression </w:t>
      </w:r>
      <w:r>
        <w:rPr>
          <w:rFonts w:eastAsia="Times New Roman" w:cstheme="minorHAnsi"/>
          <w:color w:val="000000"/>
        </w:rPr>
        <w:t>t</w:t>
      </w:r>
      <w:r w:rsidRPr="00825D5F">
        <w:rPr>
          <w:rFonts w:eastAsia="Times New Roman" w:cstheme="minorHAnsi"/>
          <w:color w:val="000000"/>
        </w:rPr>
        <w:t xml:space="preserve">reatment </w:t>
      </w:r>
      <w:r>
        <w:rPr>
          <w:rFonts w:eastAsia="Times New Roman" w:cstheme="minorHAnsi"/>
          <w:color w:val="000000"/>
        </w:rPr>
        <w:t>p</w:t>
      </w:r>
      <w:r w:rsidRPr="00825D5F">
        <w:rPr>
          <w:rFonts w:eastAsia="Times New Roman" w:cstheme="minorHAnsi"/>
          <w:color w:val="000000"/>
        </w:rPr>
        <w:t xml:space="preserve">rotocol </w:t>
      </w:r>
      <w:r>
        <w:rPr>
          <w:rFonts w:eastAsia="Times New Roman" w:cstheme="minorHAnsi"/>
          <w:color w:val="000000"/>
        </w:rPr>
        <w:t>c</w:t>
      </w:r>
      <w:r w:rsidRPr="00825D5F">
        <w:rPr>
          <w:rFonts w:eastAsia="Times New Roman" w:cstheme="minorHAnsi"/>
          <w:color w:val="000000"/>
        </w:rPr>
        <w:t xml:space="preserve">ombining </w:t>
      </w:r>
      <w:r>
        <w:rPr>
          <w:rFonts w:eastAsia="Times New Roman" w:cstheme="minorHAnsi"/>
          <w:color w:val="000000"/>
        </w:rPr>
        <w:t>p</w:t>
      </w:r>
      <w:r w:rsidRPr="00825D5F">
        <w:rPr>
          <w:rFonts w:eastAsia="Times New Roman" w:cstheme="minorHAnsi"/>
          <w:color w:val="000000"/>
        </w:rPr>
        <w:t xml:space="preserve">silocybin and </w:t>
      </w:r>
      <w:r>
        <w:rPr>
          <w:rFonts w:eastAsia="Times New Roman" w:cstheme="minorHAnsi"/>
          <w:color w:val="000000"/>
        </w:rPr>
        <w:t>c</w:t>
      </w:r>
      <w:r w:rsidRPr="00825D5F">
        <w:rPr>
          <w:rFonts w:eastAsia="Times New Roman" w:cstheme="minorHAnsi"/>
          <w:color w:val="000000"/>
        </w:rPr>
        <w:t>annabidiol</w:t>
      </w:r>
    </w:p>
    <w:p w14:paraId="7A085874" w14:textId="25EB6794" w:rsidR="00A430F4" w:rsidRDefault="00251BC8" w:rsidP="00A430F4">
      <w:pPr>
        <w:pStyle w:val="ListParagraph"/>
        <w:numPr>
          <w:ilvl w:val="0"/>
          <w:numId w:val="6"/>
        </w:numPr>
        <w:jc w:val="both"/>
      </w:pPr>
      <w:r>
        <w:t>L</w:t>
      </w:r>
      <w:r w:rsidR="00A430F4" w:rsidRPr="00825D5F">
        <w:t>aunched strategic review of Care Delivery Assets</w:t>
      </w:r>
      <w:r w:rsidR="004A424A" w:rsidRPr="00825D5F">
        <w:t>, including Wesana Clinics, Psytech Connect and Wesana Solutions</w:t>
      </w:r>
    </w:p>
    <w:p w14:paraId="108B7ACE" w14:textId="465892B3" w:rsidR="00F44710" w:rsidRPr="00825D5F" w:rsidRDefault="00F44710" w:rsidP="00A430F4">
      <w:pPr>
        <w:pStyle w:val="ListParagraph"/>
        <w:numPr>
          <w:ilvl w:val="0"/>
          <w:numId w:val="6"/>
        </w:numPr>
        <w:jc w:val="both"/>
      </w:pPr>
      <w:r>
        <w:t xml:space="preserve">Successfully reduced </w:t>
      </w:r>
      <w:r w:rsidR="00D413B6">
        <w:t xml:space="preserve">annual </w:t>
      </w:r>
      <w:r>
        <w:t>operating expenses by over $</w:t>
      </w:r>
      <w:r w:rsidR="00E13E8B">
        <w:t>2.1</w:t>
      </w:r>
      <w:r w:rsidR="00D413B6">
        <w:t>M</w:t>
      </w:r>
      <w:r>
        <w:t xml:space="preserve"> </w:t>
      </w:r>
    </w:p>
    <w:p w14:paraId="0F1CEEE9" w14:textId="369EE6AD" w:rsidR="005F463C" w:rsidRDefault="00A872E4" w:rsidP="00A679CF">
      <w:pPr>
        <w:rPr>
          <w:b/>
          <w:bCs/>
        </w:rPr>
      </w:pPr>
      <w:r w:rsidRPr="00A679CF">
        <w:rPr>
          <w:b/>
          <w:bCs/>
        </w:rPr>
        <w:t>Select Consolidated Financial Information</w:t>
      </w:r>
    </w:p>
    <w:p w14:paraId="507D72FD" w14:textId="3565B88D" w:rsidR="00D14CBE" w:rsidRPr="00A679CF" w:rsidRDefault="00B70C6F" w:rsidP="009547BA">
      <w:pPr>
        <w:jc w:val="both"/>
        <w:rPr>
          <w:b/>
          <w:bCs/>
        </w:rPr>
      </w:pPr>
      <w:r>
        <w:rPr>
          <w:rFonts w:ascii="Calibri" w:eastAsia="Calibri" w:hAnsi="Calibri" w:cs="Calibri"/>
        </w:rPr>
        <w:t xml:space="preserve">The following table sets forth selected financial information derived from the Company’s unaudited interim </w:t>
      </w:r>
      <w:r w:rsidR="00E63DAB">
        <w:rPr>
          <w:rFonts w:ascii="Calibri" w:eastAsia="Calibri" w:hAnsi="Calibri" w:cs="Calibri"/>
        </w:rPr>
        <w:t xml:space="preserve">combined and consolidated financial statements </w:t>
      </w:r>
      <w:r w:rsidR="008363D8">
        <w:rPr>
          <w:rFonts w:ascii="Calibri" w:eastAsia="Calibri" w:hAnsi="Calibri" w:cs="Calibri"/>
        </w:rPr>
        <w:t xml:space="preserve">and notes thereto </w:t>
      </w:r>
      <w:r w:rsidR="00E63DAB">
        <w:rPr>
          <w:rFonts w:ascii="Calibri" w:eastAsia="Calibri" w:hAnsi="Calibri" w:cs="Calibri"/>
        </w:rPr>
        <w:t xml:space="preserve">for the three-months ended </w:t>
      </w:r>
      <w:r w:rsidR="002A4259">
        <w:rPr>
          <w:rFonts w:ascii="Calibri" w:eastAsia="Calibri" w:hAnsi="Calibri" w:cs="Calibri"/>
        </w:rPr>
        <w:t>June</w:t>
      </w:r>
      <w:r w:rsidR="00D74833">
        <w:rPr>
          <w:rFonts w:ascii="Calibri" w:eastAsia="Calibri" w:hAnsi="Calibri" w:cs="Calibri"/>
        </w:rPr>
        <w:t xml:space="preserve"> 3</w:t>
      </w:r>
      <w:r w:rsidR="002A4259">
        <w:rPr>
          <w:rFonts w:ascii="Calibri" w:eastAsia="Calibri" w:hAnsi="Calibri" w:cs="Calibri"/>
        </w:rPr>
        <w:t>0</w:t>
      </w:r>
      <w:r w:rsidR="00D74833">
        <w:rPr>
          <w:rFonts w:ascii="Calibri" w:eastAsia="Calibri" w:hAnsi="Calibri" w:cs="Calibri"/>
        </w:rPr>
        <w:t xml:space="preserve">, 2022. </w:t>
      </w:r>
      <w:r w:rsidR="00D14CBE">
        <w:rPr>
          <w:rFonts w:ascii="Calibri" w:eastAsia="Calibri" w:hAnsi="Calibri" w:cs="Calibri"/>
        </w:rPr>
        <w:t>The following information should be read in conjunction with the financial statements and the accompanying management’s discussion and analysis (“MD&amp;A”), which are available on the Company’s website at www.wesanahealth.com and under the Company’s SEDAR profile at www.sedar.com.</w:t>
      </w:r>
    </w:p>
    <w:tbl>
      <w:tblPr>
        <w:tblW w:w="0" w:type="auto"/>
        <w:tblLayout w:type="fixed"/>
        <w:tblLook w:val="04A0" w:firstRow="1" w:lastRow="0" w:firstColumn="1" w:lastColumn="0" w:noHBand="0" w:noVBand="1"/>
      </w:tblPr>
      <w:tblGrid>
        <w:gridCol w:w="4395"/>
        <w:gridCol w:w="1842"/>
        <w:gridCol w:w="1701"/>
        <w:gridCol w:w="1377"/>
      </w:tblGrid>
      <w:tr w:rsidR="005A7E96" w:rsidRPr="005A7E96" w14:paraId="09C6FB97" w14:textId="77777777" w:rsidTr="4C567355">
        <w:tc>
          <w:tcPr>
            <w:tcW w:w="4395" w:type="dxa"/>
            <w:tcBorders>
              <w:top w:val="single" w:sz="6" w:space="0" w:color="000000" w:themeColor="text1"/>
              <w:bottom w:val="single" w:sz="6" w:space="0" w:color="000000" w:themeColor="text1"/>
            </w:tcBorders>
          </w:tcPr>
          <w:p w14:paraId="2C836861" w14:textId="66497971" w:rsidR="09D3571C" w:rsidRPr="00DF22DC" w:rsidRDefault="09D3571C" w:rsidP="00B70C6F">
            <w:pPr>
              <w:spacing w:line="240" w:lineRule="auto"/>
              <w:jc w:val="both"/>
              <w:rPr>
                <w:rFonts w:ascii="Calibri" w:eastAsia="Calibri" w:hAnsi="Calibri" w:cs="Calibri"/>
                <w:sz w:val="21"/>
                <w:szCs w:val="21"/>
              </w:rPr>
            </w:pPr>
            <w:r w:rsidRPr="00DF22DC">
              <w:rPr>
                <w:rFonts w:ascii="Calibri" w:eastAsia="Calibri" w:hAnsi="Calibri" w:cs="Calibri"/>
                <w:b/>
                <w:bCs/>
                <w:sz w:val="21"/>
                <w:szCs w:val="21"/>
                <w:lang w:val="en-CA"/>
              </w:rPr>
              <w:t xml:space="preserve">For the </w:t>
            </w:r>
            <w:r w:rsidR="00B70C6F">
              <w:rPr>
                <w:rFonts w:ascii="Calibri" w:eastAsia="Calibri" w:hAnsi="Calibri" w:cs="Calibri"/>
                <w:b/>
                <w:bCs/>
                <w:sz w:val="21"/>
                <w:szCs w:val="21"/>
                <w:lang w:val="en-CA"/>
              </w:rPr>
              <w:t>three months</w:t>
            </w:r>
            <w:r w:rsidR="00B70C6F" w:rsidRPr="00DF22DC">
              <w:rPr>
                <w:rFonts w:ascii="Calibri" w:eastAsia="Calibri" w:hAnsi="Calibri" w:cs="Calibri"/>
                <w:b/>
                <w:bCs/>
                <w:sz w:val="21"/>
                <w:szCs w:val="21"/>
                <w:lang w:val="en-CA"/>
              </w:rPr>
              <w:t xml:space="preserve"> </w:t>
            </w:r>
            <w:r w:rsidRPr="00DF22DC">
              <w:rPr>
                <w:rFonts w:ascii="Calibri" w:eastAsia="Calibri" w:hAnsi="Calibri" w:cs="Calibri"/>
                <w:b/>
                <w:bCs/>
                <w:sz w:val="21"/>
                <w:szCs w:val="21"/>
                <w:lang w:val="en-CA"/>
              </w:rPr>
              <w:t>ended ($USD)</w:t>
            </w:r>
          </w:p>
        </w:tc>
        <w:tc>
          <w:tcPr>
            <w:tcW w:w="1842" w:type="dxa"/>
            <w:tcBorders>
              <w:top w:val="single" w:sz="6" w:space="0" w:color="000000" w:themeColor="text1"/>
              <w:bottom w:val="single" w:sz="6" w:space="0" w:color="000000" w:themeColor="text1"/>
            </w:tcBorders>
          </w:tcPr>
          <w:p w14:paraId="58015970" w14:textId="60CDC08A" w:rsidR="09D3571C" w:rsidRPr="00DF22DC" w:rsidRDefault="006820A7" w:rsidP="09D3571C">
            <w:pPr>
              <w:spacing w:line="240" w:lineRule="auto"/>
              <w:jc w:val="right"/>
              <w:rPr>
                <w:rFonts w:ascii="Calibri" w:eastAsia="Calibri" w:hAnsi="Calibri" w:cs="Calibri"/>
                <w:sz w:val="21"/>
                <w:szCs w:val="21"/>
              </w:rPr>
            </w:pPr>
            <w:r>
              <w:rPr>
                <w:rFonts w:ascii="Calibri" w:eastAsia="Calibri" w:hAnsi="Calibri" w:cs="Calibri"/>
                <w:b/>
                <w:bCs/>
                <w:sz w:val="21"/>
                <w:szCs w:val="21"/>
                <w:lang w:val="en-CA"/>
              </w:rPr>
              <w:t>Jun</w:t>
            </w:r>
            <w:r w:rsidR="00C14796">
              <w:rPr>
                <w:rFonts w:ascii="Calibri" w:eastAsia="Calibri" w:hAnsi="Calibri" w:cs="Calibri"/>
                <w:b/>
                <w:bCs/>
                <w:sz w:val="21"/>
                <w:szCs w:val="21"/>
                <w:lang w:val="en-CA"/>
              </w:rPr>
              <w:t xml:space="preserve"> 3</w:t>
            </w:r>
            <w:r>
              <w:rPr>
                <w:rFonts w:ascii="Calibri" w:eastAsia="Calibri" w:hAnsi="Calibri" w:cs="Calibri"/>
                <w:b/>
                <w:bCs/>
                <w:sz w:val="21"/>
                <w:szCs w:val="21"/>
                <w:lang w:val="en-CA"/>
              </w:rPr>
              <w:t>0</w:t>
            </w:r>
            <w:r w:rsidR="09D3571C" w:rsidRPr="00DF22DC">
              <w:rPr>
                <w:rFonts w:ascii="Calibri" w:eastAsia="Calibri" w:hAnsi="Calibri" w:cs="Calibri"/>
                <w:b/>
                <w:bCs/>
                <w:sz w:val="21"/>
                <w:szCs w:val="21"/>
                <w:lang w:val="en-CA"/>
              </w:rPr>
              <w:t>, 202</w:t>
            </w:r>
            <w:r w:rsidR="00B70C6F">
              <w:rPr>
                <w:rFonts w:ascii="Calibri" w:eastAsia="Calibri" w:hAnsi="Calibri" w:cs="Calibri"/>
                <w:b/>
                <w:bCs/>
                <w:sz w:val="21"/>
                <w:szCs w:val="21"/>
                <w:lang w:val="en-CA"/>
              </w:rPr>
              <w:t>2</w:t>
            </w:r>
          </w:p>
        </w:tc>
        <w:tc>
          <w:tcPr>
            <w:tcW w:w="1701" w:type="dxa"/>
            <w:tcBorders>
              <w:top w:val="single" w:sz="6" w:space="0" w:color="000000" w:themeColor="text1"/>
              <w:bottom w:val="single" w:sz="6" w:space="0" w:color="000000" w:themeColor="text1"/>
            </w:tcBorders>
          </w:tcPr>
          <w:p w14:paraId="1646FAC2" w14:textId="706D9FD2" w:rsidR="09D3571C" w:rsidRPr="00DF22DC" w:rsidRDefault="00FB6455" w:rsidP="09D3571C">
            <w:pPr>
              <w:spacing w:line="240" w:lineRule="auto"/>
              <w:jc w:val="right"/>
              <w:rPr>
                <w:rFonts w:ascii="Calibri" w:eastAsia="Calibri" w:hAnsi="Calibri" w:cs="Calibri"/>
                <w:sz w:val="21"/>
                <w:szCs w:val="21"/>
              </w:rPr>
            </w:pPr>
            <w:r>
              <w:rPr>
                <w:rFonts w:ascii="Calibri" w:eastAsia="Calibri" w:hAnsi="Calibri" w:cs="Calibri"/>
                <w:b/>
                <w:bCs/>
                <w:sz w:val="21"/>
                <w:szCs w:val="21"/>
                <w:lang w:val="en-CA"/>
              </w:rPr>
              <w:t>Dec</w:t>
            </w:r>
            <w:r w:rsidR="00563CAC">
              <w:rPr>
                <w:rFonts w:ascii="Calibri" w:eastAsia="Calibri" w:hAnsi="Calibri" w:cs="Calibri"/>
                <w:b/>
                <w:bCs/>
                <w:sz w:val="21"/>
                <w:szCs w:val="21"/>
                <w:lang w:val="en-CA"/>
              </w:rPr>
              <w:t xml:space="preserve"> </w:t>
            </w:r>
            <w:r w:rsidR="09D3571C" w:rsidRPr="00DF22DC">
              <w:rPr>
                <w:rFonts w:ascii="Calibri" w:eastAsia="Calibri" w:hAnsi="Calibri" w:cs="Calibri"/>
                <w:b/>
                <w:bCs/>
                <w:sz w:val="21"/>
                <w:szCs w:val="21"/>
                <w:lang w:val="en-CA"/>
              </w:rPr>
              <w:t xml:space="preserve">31, </w:t>
            </w:r>
            <w:r w:rsidR="00A44E02" w:rsidRPr="00DF22DC">
              <w:rPr>
                <w:rFonts w:ascii="Calibri" w:eastAsia="Calibri" w:hAnsi="Calibri" w:cs="Calibri"/>
                <w:b/>
                <w:bCs/>
                <w:sz w:val="21"/>
                <w:szCs w:val="21"/>
                <w:lang w:val="en-CA"/>
              </w:rPr>
              <w:t>202</w:t>
            </w:r>
            <w:r>
              <w:rPr>
                <w:rFonts w:ascii="Calibri" w:eastAsia="Calibri" w:hAnsi="Calibri" w:cs="Calibri"/>
                <w:b/>
                <w:bCs/>
                <w:sz w:val="21"/>
                <w:szCs w:val="21"/>
                <w:lang w:val="en-CA"/>
              </w:rPr>
              <w:t>1</w:t>
            </w:r>
          </w:p>
        </w:tc>
        <w:tc>
          <w:tcPr>
            <w:tcW w:w="1377" w:type="dxa"/>
            <w:tcBorders>
              <w:top w:val="single" w:sz="6" w:space="0" w:color="000000" w:themeColor="text1"/>
              <w:bottom w:val="single" w:sz="6" w:space="0" w:color="000000" w:themeColor="text1"/>
            </w:tcBorders>
          </w:tcPr>
          <w:p w14:paraId="7DF1825E" w14:textId="3B749344" w:rsidR="09D3571C" w:rsidRPr="00DF22DC" w:rsidRDefault="09D3571C" w:rsidP="09D3571C">
            <w:pPr>
              <w:spacing w:line="240" w:lineRule="auto"/>
              <w:jc w:val="right"/>
              <w:rPr>
                <w:rFonts w:ascii="Calibri" w:eastAsia="Calibri" w:hAnsi="Calibri" w:cs="Calibri"/>
                <w:sz w:val="21"/>
                <w:szCs w:val="21"/>
              </w:rPr>
            </w:pPr>
            <w:r w:rsidRPr="00DF22DC">
              <w:rPr>
                <w:rFonts w:ascii="Calibri" w:eastAsia="Calibri" w:hAnsi="Calibri" w:cs="Calibri"/>
                <w:b/>
                <w:bCs/>
                <w:sz w:val="21"/>
                <w:szCs w:val="21"/>
                <w:lang w:val="en-CA"/>
              </w:rPr>
              <w:t>Change</w:t>
            </w:r>
          </w:p>
        </w:tc>
      </w:tr>
      <w:tr w:rsidR="00F23765" w:rsidRPr="005A7E96" w14:paraId="4DAB8211" w14:textId="77777777" w:rsidTr="4C567355">
        <w:tc>
          <w:tcPr>
            <w:tcW w:w="4395" w:type="dxa"/>
            <w:tcBorders>
              <w:top w:val="single" w:sz="6" w:space="0" w:color="000000" w:themeColor="text1"/>
            </w:tcBorders>
          </w:tcPr>
          <w:p w14:paraId="2917F76B" w14:textId="40B415CE" w:rsidR="00F23765" w:rsidRPr="00DF22DC" w:rsidRDefault="00F23765" w:rsidP="00F23765">
            <w:pPr>
              <w:spacing w:line="240" w:lineRule="auto"/>
              <w:jc w:val="both"/>
              <w:rPr>
                <w:rFonts w:ascii="Calibri" w:eastAsia="Calibri" w:hAnsi="Calibri" w:cs="Calibri"/>
                <w:sz w:val="21"/>
                <w:szCs w:val="21"/>
              </w:rPr>
            </w:pPr>
            <w:r w:rsidRPr="00DF22DC">
              <w:rPr>
                <w:rFonts w:ascii="Calibri" w:eastAsia="Calibri" w:hAnsi="Calibri" w:cs="Calibri"/>
                <w:sz w:val="21"/>
                <w:szCs w:val="21"/>
                <w:lang w:val="en-CA"/>
              </w:rPr>
              <w:t>Cash Balance</w:t>
            </w:r>
          </w:p>
        </w:tc>
        <w:tc>
          <w:tcPr>
            <w:tcW w:w="1842" w:type="dxa"/>
            <w:tcBorders>
              <w:top w:val="single" w:sz="6" w:space="0" w:color="000000" w:themeColor="text1"/>
            </w:tcBorders>
          </w:tcPr>
          <w:p w14:paraId="020A3BCB" w14:textId="0D5AE615" w:rsidR="00F23765" w:rsidRPr="009547BA" w:rsidRDefault="00F748C4" w:rsidP="4C567355">
            <w:pPr>
              <w:spacing w:line="240" w:lineRule="auto"/>
              <w:jc w:val="right"/>
              <w:rPr>
                <w:rFonts w:ascii="Calibri" w:eastAsia="Calibri" w:hAnsi="Calibri" w:cs="Calibri"/>
                <w:sz w:val="21"/>
                <w:szCs w:val="21"/>
              </w:rPr>
            </w:pPr>
            <w:r>
              <w:rPr>
                <w:rFonts w:ascii="Calibri" w:eastAsia="Calibri" w:hAnsi="Calibri" w:cs="Calibri"/>
                <w:sz w:val="21"/>
                <w:szCs w:val="21"/>
              </w:rPr>
              <w:t>1,759,686</w:t>
            </w:r>
          </w:p>
        </w:tc>
        <w:tc>
          <w:tcPr>
            <w:tcW w:w="1701" w:type="dxa"/>
            <w:tcBorders>
              <w:top w:val="single" w:sz="6" w:space="0" w:color="000000" w:themeColor="text1"/>
            </w:tcBorders>
          </w:tcPr>
          <w:p w14:paraId="0678C71C" w14:textId="13FBEA7C" w:rsidR="00F23765" w:rsidRPr="00DF22DC" w:rsidRDefault="00F23765" w:rsidP="00F23765">
            <w:pPr>
              <w:spacing w:line="240" w:lineRule="auto"/>
              <w:jc w:val="right"/>
              <w:rPr>
                <w:rFonts w:ascii="Calibri" w:eastAsia="Calibri" w:hAnsi="Calibri" w:cs="Calibri"/>
                <w:sz w:val="21"/>
                <w:szCs w:val="21"/>
              </w:rPr>
            </w:pPr>
            <w:r w:rsidRPr="00DF22DC">
              <w:rPr>
                <w:rStyle w:val="normaltextrun"/>
                <w:rFonts w:ascii="Calibri" w:hAnsi="Calibri" w:cs="Calibri"/>
                <w:sz w:val="21"/>
                <w:szCs w:val="21"/>
              </w:rPr>
              <w:t>6,576,088</w:t>
            </w:r>
            <w:r w:rsidRPr="00DF22DC">
              <w:rPr>
                <w:rStyle w:val="eop"/>
                <w:rFonts w:ascii="Calibri" w:hAnsi="Calibri" w:cs="Calibri"/>
                <w:sz w:val="21"/>
                <w:szCs w:val="21"/>
              </w:rPr>
              <w:t> </w:t>
            </w:r>
          </w:p>
        </w:tc>
        <w:tc>
          <w:tcPr>
            <w:tcW w:w="1377" w:type="dxa"/>
            <w:tcBorders>
              <w:top w:val="single" w:sz="6" w:space="0" w:color="000000" w:themeColor="text1"/>
            </w:tcBorders>
          </w:tcPr>
          <w:p w14:paraId="6901E36A" w14:textId="0B5A605D" w:rsidR="00F23765" w:rsidRPr="009547BA" w:rsidRDefault="00F04A36" w:rsidP="4C567355">
            <w:pPr>
              <w:spacing w:line="240" w:lineRule="auto"/>
              <w:jc w:val="right"/>
              <w:rPr>
                <w:rFonts w:ascii="Calibri" w:eastAsia="Calibri" w:hAnsi="Calibri" w:cs="Calibri"/>
                <w:sz w:val="21"/>
                <w:szCs w:val="21"/>
              </w:rPr>
            </w:pPr>
            <w:r>
              <w:rPr>
                <w:rFonts w:ascii="Calibri" w:eastAsia="Calibri" w:hAnsi="Calibri" w:cs="Calibri"/>
                <w:sz w:val="21"/>
                <w:szCs w:val="21"/>
              </w:rPr>
              <w:t>(4,816,402)</w:t>
            </w:r>
          </w:p>
        </w:tc>
      </w:tr>
      <w:tr w:rsidR="00C738D0" w:rsidRPr="005A7E96" w14:paraId="04529A0A" w14:textId="77777777" w:rsidTr="4C567355">
        <w:tc>
          <w:tcPr>
            <w:tcW w:w="4395" w:type="dxa"/>
          </w:tcPr>
          <w:p w14:paraId="39879307" w14:textId="44A6DFD4" w:rsidR="00C738D0" w:rsidRPr="00DF22DC" w:rsidRDefault="00C738D0" w:rsidP="00C738D0">
            <w:pPr>
              <w:spacing w:line="240" w:lineRule="auto"/>
              <w:jc w:val="both"/>
              <w:rPr>
                <w:rFonts w:ascii="Calibri" w:eastAsia="Calibri" w:hAnsi="Calibri" w:cs="Calibri"/>
                <w:sz w:val="21"/>
                <w:szCs w:val="21"/>
              </w:rPr>
            </w:pPr>
            <w:r w:rsidRPr="00DF22DC">
              <w:rPr>
                <w:rFonts w:ascii="Calibri" w:eastAsia="Calibri" w:hAnsi="Calibri" w:cs="Calibri"/>
                <w:sz w:val="21"/>
                <w:szCs w:val="21"/>
                <w:lang w:val="en-CA"/>
              </w:rPr>
              <w:t>Total Assets</w:t>
            </w:r>
          </w:p>
        </w:tc>
        <w:tc>
          <w:tcPr>
            <w:tcW w:w="1842" w:type="dxa"/>
          </w:tcPr>
          <w:p w14:paraId="4C0A4552" w14:textId="7D4AD6A6" w:rsidR="00C738D0" w:rsidRPr="009547BA" w:rsidRDefault="00F04A36" w:rsidP="4C567355">
            <w:pPr>
              <w:spacing w:line="240" w:lineRule="auto"/>
              <w:jc w:val="right"/>
              <w:rPr>
                <w:rFonts w:ascii="Calibri" w:eastAsia="Calibri" w:hAnsi="Calibri" w:cs="Calibri"/>
                <w:sz w:val="21"/>
                <w:szCs w:val="21"/>
              </w:rPr>
            </w:pPr>
            <w:r>
              <w:rPr>
                <w:rFonts w:ascii="Calibri" w:eastAsia="Calibri" w:hAnsi="Calibri" w:cs="Calibri"/>
                <w:sz w:val="21"/>
                <w:szCs w:val="21"/>
              </w:rPr>
              <w:t>5,144,</w:t>
            </w:r>
            <w:r w:rsidR="00A25A0D">
              <w:rPr>
                <w:rFonts w:ascii="Calibri" w:eastAsia="Calibri" w:hAnsi="Calibri" w:cs="Calibri"/>
                <w:sz w:val="21"/>
                <w:szCs w:val="21"/>
              </w:rPr>
              <w:t>745</w:t>
            </w:r>
          </w:p>
        </w:tc>
        <w:tc>
          <w:tcPr>
            <w:tcW w:w="1701" w:type="dxa"/>
          </w:tcPr>
          <w:p w14:paraId="0A8784FB" w14:textId="68700ACC" w:rsidR="00C738D0" w:rsidRPr="00DF22DC" w:rsidRDefault="00C738D0" w:rsidP="00C738D0">
            <w:pPr>
              <w:spacing w:line="240" w:lineRule="auto"/>
              <w:jc w:val="right"/>
              <w:rPr>
                <w:rFonts w:ascii="Calibri" w:eastAsia="Calibri" w:hAnsi="Calibri" w:cs="Calibri"/>
                <w:sz w:val="21"/>
                <w:szCs w:val="21"/>
              </w:rPr>
            </w:pPr>
            <w:r>
              <w:rPr>
                <w:rFonts w:ascii="Calibri" w:eastAsia="Calibri" w:hAnsi="Calibri" w:cs="Calibri"/>
              </w:rPr>
              <w:t>9,741,602</w:t>
            </w:r>
          </w:p>
        </w:tc>
        <w:tc>
          <w:tcPr>
            <w:tcW w:w="1377" w:type="dxa"/>
          </w:tcPr>
          <w:p w14:paraId="1AAC1D5D" w14:textId="2114BE59" w:rsidR="00C738D0" w:rsidRPr="009547BA" w:rsidRDefault="00F04A36" w:rsidP="4C567355">
            <w:pPr>
              <w:spacing w:line="240" w:lineRule="auto"/>
              <w:jc w:val="right"/>
              <w:rPr>
                <w:rFonts w:ascii="Calibri" w:eastAsia="Calibri" w:hAnsi="Calibri" w:cs="Calibri"/>
                <w:sz w:val="21"/>
                <w:szCs w:val="21"/>
              </w:rPr>
            </w:pPr>
            <w:r>
              <w:rPr>
                <w:rFonts w:ascii="Calibri" w:eastAsia="Calibri" w:hAnsi="Calibri" w:cs="Calibri"/>
                <w:sz w:val="21"/>
                <w:szCs w:val="21"/>
              </w:rPr>
              <w:t>(4,596,857)</w:t>
            </w:r>
          </w:p>
        </w:tc>
      </w:tr>
      <w:tr w:rsidR="00C738D0" w:rsidRPr="005A7E96" w14:paraId="3EA87DCE" w14:textId="77777777" w:rsidTr="4C567355">
        <w:tc>
          <w:tcPr>
            <w:tcW w:w="4395" w:type="dxa"/>
          </w:tcPr>
          <w:p w14:paraId="0281A218" w14:textId="18C88A80" w:rsidR="00C738D0" w:rsidRPr="00DF22DC" w:rsidRDefault="00C738D0" w:rsidP="00C738D0">
            <w:pPr>
              <w:spacing w:line="240" w:lineRule="auto"/>
              <w:jc w:val="both"/>
              <w:rPr>
                <w:rFonts w:ascii="Calibri" w:eastAsia="Calibri" w:hAnsi="Calibri" w:cs="Calibri"/>
                <w:sz w:val="21"/>
                <w:szCs w:val="21"/>
              </w:rPr>
            </w:pPr>
            <w:r w:rsidRPr="00DF22DC">
              <w:rPr>
                <w:rFonts w:ascii="Calibri" w:eastAsia="Calibri" w:hAnsi="Calibri" w:cs="Calibri"/>
                <w:sz w:val="21"/>
                <w:szCs w:val="21"/>
                <w:lang w:val="en-CA"/>
              </w:rPr>
              <w:t>Total Equity</w:t>
            </w:r>
          </w:p>
        </w:tc>
        <w:tc>
          <w:tcPr>
            <w:tcW w:w="1842" w:type="dxa"/>
          </w:tcPr>
          <w:p w14:paraId="15DE93C7" w14:textId="6F925728" w:rsidR="00C738D0" w:rsidRPr="009547BA" w:rsidRDefault="00F748C4" w:rsidP="4C567355">
            <w:pPr>
              <w:spacing w:line="240" w:lineRule="auto"/>
              <w:jc w:val="right"/>
              <w:rPr>
                <w:rFonts w:ascii="Calibri" w:eastAsia="Calibri" w:hAnsi="Calibri" w:cs="Calibri"/>
                <w:sz w:val="21"/>
                <w:szCs w:val="21"/>
              </w:rPr>
            </w:pPr>
            <w:r>
              <w:rPr>
                <w:rFonts w:ascii="Calibri" w:eastAsia="Calibri" w:hAnsi="Calibri" w:cs="Calibri"/>
                <w:sz w:val="21"/>
                <w:szCs w:val="21"/>
              </w:rPr>
              <w:t>2,653,269</w:t>
            </w:r>
          </w:p>
        </w:tc>
        <w:tc>
          <w:tcPr>
            <w:tcW w:w="1701" w:type="dxa"/>
          </w:tcPr>
          <w:p w14:paraId="7571F2F9" w14:textId="67997A27" w:rsidR="00C738D0" w:rsidRPr="00DF22DC" w:rsidRDefault="00C738D0" w:rsidP="00C738D0">
            <w:pPr>
              <w:spacing w:line="240" w:lineRule="auto"/>
              <w:jc w:val="right"/>
              <w:rPr>
                <w:rFonts w:ascii="Calibri" w:eastAsia="Calibri" w:hAnsi="Calibri" w:cs="Calibri"/>
                <w:sz w:val="21"/>
                <w:szCs w:val="21"/>
              </w:rPr>
            </w:pPr>
            <w:r>
              <w:rPr>
                <w:rFonts w:ascii="Calibri" w:eastAsia="Calibri" w:hAnsi="Calibri" w:cs="Calibri"/>
              </w:rPr>
              <w:t>7,714,585</w:t>
            </w:r>
            <w:r w:rsidRPr="00C738D0" w:rsidDel="00C038D3">
              <w:rPr>
                <w:rFonts w:ascii="Calibri" w:eastAsia="Calibri" w:hAnsi="Calibri" w:cs="Calibri"/>
                <w:sz w:val="21"/>
                <w:szCs w:val="21"/>
                <w:lang w:val="en-CA"/>
              </w:rPr>
              <w:t xml:space="preserve"> </w:t>
            </w:r>
          </w:p>
        </w:tc>
        <w:tc>
          <w:tcPr>
            <w:tcW w:w="1377" w:type="dxa"/>
          </w:tcPr>
          <w:p w14:paraId="12779588" w14:textId="04320B3E" w:rsidR="00C738D0" w:rsidRPr="009547BA" w:rsidRDefault="00AE7420" w:rsidP="4C567355">
            <w:pPr>
              <w:spacing w:line="240" w:lineRule="auto"/>
              <w:jc w:val="right"/>
              <w:rPr>
                <w:rFonts w:ascii="Calibri" w:eastAsia="Calibri" w:hAnsi="Calibri" w:cs="Calibri"/>
                <w:sz w:val="21"/>
                <w:szCs w:val="21"/>
              </w:rPr>
            </w:pPr>
            <w:r>
              <w:rPr>
                <w:rFonts w:ascii="Calibri" w:eastAsia="Calibri" w:hAnsi="Calibri" w:cs="Calibri"/>
                <w:sz w:val="21"/>
                <w:szCs w:val="21"/>
              </w:rPr>
              <w:t>(5,061,316)</w:t>
            </w:r>
          </w:p>
        </w:tc>
      </w:tr>
      <w:tr w:rsidR="00F23765" w:rsidRPr="005A7E96" w14:paraId="06CE9B2A" w14:textId="77777777" w:rsidTr="4C567355">
        <w:tc>
          <w:tcPr>
            <w:tcW w:w="4395" w:type="dxa"/>
          </w:tcPr>
          <w:p w14:paraId="200CFBBC" w14:textId="62CE1753" w:rsidR="00F23765" w:rsidRPr="00DF22DC" w:rsidRDefault="00F23765" w:rsidP="00F23765">
            <w:pPr>
              <w:spacing w:line="240" w:lineRule="auto"/>
              <w:rPr>
                <w:rFonts w:ascii="Calibri" w:eastAsia="Calibri" w:hAnsi="Calibri" w:cs="Calibri"/>
                <w:sz w:val="21"/>
                <w:szCs w:val="21"/>
              </w:rPr>
            </w:pPr>
            <w:r w:rsidRPr="00DF22DC">
              <w:rPr>
                <w:rFonts w:ascii="Calibri" w:eastAsia="Calibri" w:hAnsi="Calibri" w:cs="Calibri"/>
                <w:sz w:val="21"/>
                <w:szCs w:val="21"/>
                <w:lang w:val="en-CA"/>
              </w:rPr>
              <w:t>Weighted Average Shares Outstanding</w:t>
            </w:r>
          </w:p>
        </w:tc>
        <w:tc>
          <w:tcPr>
            <w:tcW w:w="1842" w:type="dxa"/>
          </w:tcPr>
          <w:p w14:paraId="105D2443" w14:textId="22C205D9" w:rsidR="00F23765" w:rsidRPr="009547BA" w:rsidRDefault="00F748C4" w:rsidP="4C567355">
            <w:pPr>
              <w:spacing w:line="240" w:lineRule="auto"/>
              <w:jc w:val="right"/>
              <w:rPr>
                <w:rFonts w:ascii="Calibri" w:eastAsia="Calibri" w:hAnsi="Calibri" w:cs="Calibri"/>
                <w:sz w:val="21"/>
                <w:szCs w:val="21"/>
              </w:rPr>
            </w:pPr>
            <w:r>
              <w:rPr>
                <w:rFonts w:ascii="Calibri" w:eastAsia="Calibri" w:hAnsi="Calibri" w:cs="Calibri"/>
                <w:sz w:val="21"/>
                <w:szCs w:val="21"/>
              </w:rPr>
              <w:t>33,898,028</w:t>
            </w:r>
          </w:p>
        </w:tc>
        <w:tc>
          <w:tcPr>
            <w:tcW w:w="1701" w:type="dxa"/>
          </w:tcPr>
          <w:p w14:paraId="6F933F62" w14:textId="292DCBC2" w:rsidR="00F23765" w:rsidRPr="00DF22DC" w:rsidRDefault="00BA6788" w:rsidP="00563CAC">
            <w:pPr>
              <w:spacing w:line="240" w:lineRule="auto"/>
              <w:jc w:val="right"/>
              <w:rPr>
                <w:rStyle w:val="normaltextrun"/>
              </w:rPr>
            </w:pPr>
            <w:r w:rsidRPr="4C567355">
              <w:rPr>
                <w:rStyle w:val="normaltextrun"/>
                <w:rFonts w:ascii="Calibri" w:hAnsi="Calibri" w:cs="Calibri"/>
                <w:sz w:val="21"/>
                <w:szCs w:val="21"/>
              </w:rPr>
              <w:t>23,152,729</w:t>
            </w:r>
          </w:p>
        </w:tc>
        <w:tc>
          <w:tcPr>
            <w:tcW w:w="1377" w:type="dxa"/>
          </w:tcPr>
          <w:p w14:paraId="533FB5B5" w14:textId="26FC43D6" w:rsidR="00F23765" w:rsidRPr="00DF22DC" w:rsidRDefault="00AE7420" w:rsidP="00563CAC">
            <w:pPr>
              <w:spacing w:line="240" w:lineRule="auto"/>
              <w:jc w:val="right"/>
              <w:rPr>
                <w:rStyle w:val="normaltextrun"/>
              </w:rPr>
            </w:pPr>
            <w:r>
              <w:rPr>
                <w:rFonts w:ascii="Calibri" w:eastAsia="Calibri" w:hAnsi="Calibri" w:cs="Calibri"/>
                <w:sz w:val="21"/>
                <w:szCs w:val="21"/>
              </w:rPr>
              <w:t>10,745,299</w:t>
            </w:r>
          </w:p>
        </w:tc>
      </w:tr>
      <w:tr w:rsidR="00F23765" w:rsidRPr="005A7E96" w14:paraId="43402BF6" w14:textId="77777777" w:rsidTr="4C567355">
        <w:tc>
          <w:tcPr>
            <w:tcW w:w="4395" w:type="dxa"/>
            <w:tcBorders>
              <w:bottom w:val="single" w:sz="6" w:space="0" w:color="000000" w:themeColor="text1"/>
            </w:tcBorders>
          </w:tcPr>
          <w:p w14:paraId="37130EFF" w14:textId="1DEF715B" w:rsidR="00F23765" w:rsidRPr="00DF22DC" w:rsidRDefault="00F23765" w:rsidP="00F23765">
            <w:pPr>
              <w:spacing w:line="240" w:lineRule="auto"/>
              <w:rPr>
                <w:rFonts w:ascii="Calibri" w:eastAsia="Calibri" w:hAnsi="Calibri" w:cs="Calibri"/>
                <w:sz w:val="21"/>
                <w:szCs w:val="21"/>
              </w:rPr>
            </w:pPr>
            <w:r w:rsidRPr="00DF22DC">
              <w:rPr>
                <w:rFonts w:ascii="Calibri" w:eastAsia="Calibri" w:hAnsi="Calibri" w:cs="Calibri"/>
                <w:sz w:val="21"/>
                <w:szCs w:val="21"/>
                <w:lang w:val="en-CA"/>
              </w:rPr>
              <w:t>Fully Diluted Shares Outstanding (as converted</w:t>
            </w:r>
            <w:r w:rsidR="00FC7A54">
              <w:rPr>
                <w:rFonts w:ascii="Calibri" w:eastAsia="Calibri" w:hAnsi="Calibri" w:cs="Calibri"/>
                <w:sz w:val="21"/>
                <w:szCs w:val="21"/>
                <w:lang w:val="en-CA"/>
              </w:rPr>
              <w:t>*</w:t>
            </w:r>
            <w:r w:rsidRPr="00DF22DC">
              <w:rPr>
                <w:rFonts w:ascii="Calibri" w:eastAsia="Calibri" w:hAnsi="Calibri" w:cs="Calibri"/>
                <w:sz w:val="21"/>
                <w:szCs w:val="21"/>
                <w:lang w:val="en-CA"/>
              </w:rPr>
              <w:t>)</w:t>
            </w:r>
          </w:p>
        </w:tc>
        <w:tc>
          <w:tcPr>
            <w:tcW w:w="1842" w:type="dxa"/>
            <w:tcBorders>
              <w:bottom w:val="single" w:sz="6" w:space="0" w:color="000000" w:themeColor="text1"/>
            </w:tcBorders>
          </w:tcPr>
          <w:p w14:paraId="21BC10F5" w14:textId="560AB72A" w:rsidR="00F23765" w:rsidRPr="007E3945" w:rsidRDefault="00692392" w:rsidP="4C567355">
            <w:pPr>
              <w:spacing w:line="240" w:lineRule="auto"/>
              <w:jc w:val="right"/>
              <w:rPr>
                <w:rFonts w:ascii="Calibri" w:eastAsia="Calibri" w:hAnsi="Calibri" w:cs="Calibri"/>
                <w:sz w:val="21"/>
                <w:szCs w:val="21"/>
              </w:rPr>
            </w:pPr>
            <w:r>
              <w:rPr>
                <w:rFonts w:ascii="Calibri" w:eastAsia="Calibri" w:hAnsi="Calibri" w:cs="Calibri"/>
                <w:sz w:val="21"/>
                <w:szCs w:val="21"/>
              </w:rPr>
              <w:t>43,774,491</w:t>
            </w:r>
          </w:p>
        </w:tc>
        <w:tc>
          <w:tcPr>
            <w:tcW w:w="1701" w:type="dxa"/>
            <w:tcBorders>
              <w:bottom w:val="single" w:sz="6" w:space="0" w:color="000000" w:themeColor="text1"/>
            </w:tcBorders>
          </w:tcPr>
          <w:p w14:paraId="14DC5C59" w14:textId="3C2B8E65" w:rsidR="00F23765" w:rsidRPr="00DF22DC" w:rsidRDefault="00F23765" w:rsidP="00F23765">
            <w:pPr>
              <w:spacing w:line="240" w:lineRule="auto"/>
              <w:jc w:val="right"/>
              <w:rPr>
                <w:rFonts w:ascii="Calibri" w:eastAsia="Calibri" w:hAnsi="Calibri" w:cs="Calibri"/>
                <w:sz w:val="21"/>
                <w:szCs w:val="21"/>
              </w:rPr>
            </w:pPr>
            <w:r w:rsidRPr="4C567355">
              <w:rPr>
                <w:rStyle w:val="normaltextrun"/>
                <w:rFonts w:ascii="Calibri" w:hAnsi="Calibri" w:cs="Calibri"/>
                <w:sz w:val="21"/>
                <w:szCs w:val="21"/>
              </w:rPr>
              <w:t>41,387,743</w:t>
            </w:r>
          </w:p>
        </w:tc>
        <w:tc>
          <w:tcPr>
            <w:tcW w:w="1377" w:type="dxa"/>
            <w:tcBorders>
              <w:bottom w:val="single" w:sz="6" w:space="0" w:color="000000" w:themeColor="text1"/>
            </w:tcBorders>
          </w:tcPr>
          <w:p w14:paraId="1AD6F3A3" w14:textId="1A34C509" w:rsidR="00F23765" w:rsidRPr="00DF22DC" w:rsidRDefault="00AE7420" w:rsidP="00F23765">
            <w:pPr>
              <w:spacing w:line="240" w:lineRule="auto"/>
              <w:jc w:val="right"/>
              <w:rPr>
                <w:rFonts w:ascii="Calibri" w:eastAsia="Calibri" w:hAnsi="Calibri" w:cs="Calibri"/>
                <w:sz w:val="21"/>
                <w:szCs w:val="21"/>
              </w:rPr>
            </w:pPr>
            <w:r>
              <w:rPr>
                <w:rFonts w:ascii="Calibri" w:eastAsia="Calibri" w:hAnsi="Calibri" w:cs="Calibri"/>
                <w:sz w:val="21"/>
                <w:szCs w:val="21"/>
              </w:rPr>
              <w:t>2,386,748</w:t>
            </w:r>
          </w:p>
        </w:tc>
      </w:tr>
    </w:tbl>
    <w:p w14:paraId="25F50DE9" w14:textId="4DEF3EE0" w:rsidR="00A430F4" w:rsidRDefault="00FC7A54" w:rsidP="00FC7A54">
      <w:pPr>
        <w:jc w:val="both"/>
        <w:rPr>
          <w:b/>
          <w:bCs/>
        </w:rPr>
      </w:pPr>
      <w:r w:rsidRPr="00FC7A54">
        <w:rPr>
          <w:b/>
          <w:bCs/>
        </w:rPr>
        <w:t>*The number is presented assuming all of the Company’s outstanding P</w:t>
      </w:r>
      <w:r>
        <w:rPr>
          <w:b/>
          <w:bCs/>
        </w:rPr>
        <w:t xml:space="preserve">roportionate Subordinate Voting </w:t>
      </w:r>
      <w:r w:rsidRPr="00FC7A54">
        <w:rPr>
          <w:b/>
          <w:bCs/>
        </w:rPr>
        <w:t>Shares and Su</w:t>
      </w:r>
      <w:r>
        <w:rPr>
          <w:b/>
          <w:bCs/>
        </w:rPr>
        <w:t xml:space="preserve">per Voting Shares as </w:t>
      </w:r>
      <w:proofErr w:type="gramStart"/>
      <w:r>
        <w:rPr>
          <w:b/>
          <w:bCs/>
        </w:rPr>
        <w:t>at</w:t>
      </w:r>
      <w:proofErr w:type="gramEnd"/>
      <w:r>
        <w:rPr>
          <w:b/>
          <w:bCs/>
        </w:rPr>
        <w:t xml:space="preserve"> June 30</w:t>
      </w:r>
      <w:r w:rsidRPr="00FC7A54">
        <w:rPr>
          <w:b/>
          <w:bCs/>
        </w:rPr>
        <w:t>, 2022 are converted in</w:t>
      </w:r>
      <w:r>
        <w:rPr>
          <w:b/>
          <w:bCs/>
        </w:rPr>
        <w:t xml:space="preserve">to Subordinate Voting Shares in </w:t>
      </w:r>
      <w:r w:rsidRPr="00FC7A54">
        <w:rPr>
          <w:b/>
          <w:bCs/>
        </w:rPr>
        <w:t>accordance with their terms and all of the Company’s other outstanding convertible, exchangeable and</w:t>
      </w:r>
      <w:r w:rsidR="00710632">
        <w:rPr>
          <w:b/>
          <w:bCs/>
        </w:rPr>
        <w:t xml:space="preserve"> </w:t>
      </w:r>
      <w:r w:rsidRPr="00FC7A54">
        <w:rPr>
          <w:b/>
          <w:bCs/>
        </w:rPr>
        <w:t xml:space="preserve">exercisable securities as at </w:t>
      </w:r>
      <w:r w:rsidR="00710632">
        <w:rPr>
          <w:b/>
          <w:bCs/>
        </w:rPr>
        <w:t>June 30</w:t>
      </w:r>
      <w:r w:rsidRPr="00FC7A54">
        <w:rPr>
          <w:b/>
          <w:bCs/>
        </w:rPr>
        <w:t>, 2022 are converted, exchanged or exercised in accordance with</w:t>
      </w:r>
      <w:r w:rsidR="00710632">
        <w:rPr>
          <w:b/>
          <w:bCs/>
        </w:rPr>
        <w:t xml:space="preserve"> </w:t>
      </w:r>
      <w:r w:rsidRPr="00FC7A54">
        <w:rPr>
          <w:b/>
          <w:bCs/>
        </w:rPr>
        <w:t>their terms.</w:t>
      </w:r>
    </w:p>
    <w:p w14:paraId="1D1A683E" w14:textId="084516D0" w:rsidR="00A872E4" w:rsidRDefault="00825D5F" w:rsidP="00355C3F">
      <w:pPr>
        <w:jc w:val="both"/>
        <w:rPr>
          <w:b/>
          <w:bCs/>
        </w:rPr>
      </w:pPr>
      <w:r>
        <w:rPr>
          <w:b/>
          <w:bCs/>
        </w:rPr>
        <w:lastRenderedPageBreak/>
        <w:t>Message to Shareholders</w:t>
      </w:r>
    </w:p>
    <w:p w14:paraId="302DA755" w14:textId="0C678B19" w:rsidR="00D413B6" w:rsidRPr="00C46195" w:rsidRDefault="00376556" w:rsidP="00044F2E">
      <w:pPr>
        <w:spacing w:line="240" w:lineRule="auto"/>
        <w:jc w:val="both"/>
        <w:rPr>
          <w:b/>
        </w:rPr>
      </w:pPr>
      <w:r>
        <w:t>We</w:t>
      </w:r>
      <w:r w:rsidR="00CB2DC7">
        <w:t>sana</w:t>
      </w:r>
      <w:r w:rsidR="002B1560">
        <w:t xml:space="preserve"> is continuing to </w:t>
      </w:r>
      <w:r w:rsidR="000246EA">
        <w:t xml:space="preserve">make advancements with </w:t>
      </w:r>
      <w:r w:rsidR="00302242">
        <w:t xml:space="preserve">its strategy of streamlining operations to focus on </w:t>
      </w:r>
      <w:r w:rsidR="001F7D76">
        <w:t xml:space="preserve">areas that will contribute </w:t>
      </w:r>
      <w:r w:rsidR="00A72469">
        <w:t xml:space="preserve">most to shareholder value. </w:t>
      </w:r>
      <w:r w:rsidR="004B1F42">
        <w:t xml:space="preserve">Despite a challenging </w:t>
      </w:r>
      <w:r w:rsidR="004B3A96">
        <w:t>macro environment for biotech</w:t>
      </w:r>
      <w:r w:rsidR="00411D61">
        <w:t xml:space="preserve"> </w:t>
      </w:r>
      <w:proofErr w:type="gramStart"/>
      <w:r w:rsidR="00411D61">
        <w:t>companies</w:t>
      </w:r>
      <w:proofErr w:type="gramEnd"/>
      <w:r w:rsidR="00411D61">
        <w:t xml:space="preserve"> we have made some</w:t>
      </w:r>
      <w:r w:rsidR="0071601F">
        <w:t xml:space="preserve"> significant advancements in our </w:t>
      </w:r>
      <w:r w:rsidR="006F0847">
        <w:t>clinical program</w:t>
      </w:r>
      <w:r w:rsidR="009308B2">
        <w:t xml:space="preserve"> for SANA-013</w:t>
      </w:r>
      <w:r w:rsidR="00483273">
        <w:t xml:space="preserve">. </w:t>
      </w:r>
      <w:r w:rsidR="005A6858">
        <w:t>Notably, the</w:t>
      </w:r>
      <w:r w:rsidR="00BD1059">
        <w:t xml:space="preserve"> positive guidance received from the FDA</w:t>
      </w:r>
      <w:r w:rsidR="00080929">
        <w:t xml:space="preserve"> prompted our team to </w:t>
      </w:r>
      <w:r w:rsidR="00C80050">
        <w:t xml:space="preserve">expand our lead indication to </w:t>
      </w:r>
      <w:r w:rsidR="00F17F54">
        <w:t>Major Depressive Disorder, a</w:t>
      </w:r>
      <w:r w:rsidR="004E6A62">
        <w:t xml:space="preserve">n indication </w:t>
      </w:r>
      <w:r w:rsidR="004A7D04">
        <w:t>that affects approximately 264</w:t>
      </w:r>
      <w:r w:rsidR="00304699">
        <w:t xml:space="preserve"> million</w:t>
      </w:r>
      <w:r w:rsidR="004A7D04">
        <w:t xml:space="preserve"> people worldwide</w:t>
      </w:r>
      <w:r w:rsidR="00C46195" w:rsidRPr="00044F2E">
        <w:rPr>
          <w:vertAlign w:val="superscript"/>
        </w:rPr>
        <w:t>1</w:t>
      </w:r>
      <w:r w:rsidR="004A7D04">
        <w:t xml:space="preserve">. </w:t>
      </w:r>
    </w:p>
    <w:p w14:paraId="187A5A4E" w14:textId="73407F23" w:rsidR="0005435D" w:rsidRPr="00AE7142" w:rsidRDefault="00947B12" w:rsidP="00C35A6C">
      <w:pPr>
        <w:jc w:val="both"/>
      </w:pPr>
      <w:r>
        <w:t>W</w:t>
      </w:r>
      <w:r w:rsidR="00DB3321">
        <w:t xml:space="preserve">e have </w:t>
      </w:r>
      <w:r w:rsidR="0091619F">
        <w:t xml:space="preserve">reached major milestones in </w:t>
      </w:r>
      <w:r w:rsidR="009710D6">
        <w:t xml:space="preserve">our preclinical program </w:t>
      </w:r>
      <w:r w:rsidR="00340E32">
        <w:t xml:space="preserve">including </w:t>
      </w:r>
      <w:r w:rsidR="009710D6">
        <w:t xml:space="preserve">positive findings from animal studies </w:t>
      </w:r>
      <w:r>
        <w:t>in support of our IND</w:t>
      </w:r>
      <w:r w:rsidR="00217106">
        <w:t xml:space="preserve"> application</w:t>
      </w:r>
      <w:r>
        <w:t xml:space="preserve">. Additionally, we have completed a novel animal study </w:t>
      </w:r>
      <w:r w:rsidR="00BF28D4">
        <w:t xml:space="preserve">demonstrating that psilocybin </w:t>
      </w:r>
      <w:proofErr w:type="gramStart"/>
      <w:r w:rsidR="00BF28D4">
        <w:t>has the ability to</w:t>
      </w:r>
      <w:proofErr w:type="gramEnd"/>
      <w:r w:rsidR="00BF28D4">
        <w:t xml:space="preserve"> </w:t>
      </w:r>
      <w:r w:rsidR="00B2078F">
        <w:t>potentiat</w:t>
      </w:r>
      <w:r w:rsidR="00BF28D4">
        <w:t>e</w:t>
      </w:r>
      <w:r w:rsidR="00B2078F">
        <w:t xml:space="preserve"> the </w:t>
      </w:r>
      <w:r w:rsidR="00652093">
        <w:t>effect</w:t>
      </w:r>
      <w:r w:rsidR="00BF28D4">
        <w:t>s of anti-depressant medications</w:t>
      </w:r>
      <w:r w:rsidR="00AE670D">
        <w:t>.</w:t>
      </w:r>
      <w:r w:rsidR="00652093">
        <w:t xml:space="preserve"> </w:t>
      </w:r>
      <w:r w:rsidR="00451B0E">
        <w:t xml:space="preserve">Based upon feedback from the </w:t>
      </w:r>
      <w:r w:rsidR="00451B0E" w:rsidRPr="00AE7142">
        <w:t>regulators</w:t>
      </w:r>
      <w:r w:rsidR="00AE670D" w:rsidRPr="00AE7142">
        <w:t xml:space="preserve">, we have made the strategic decision to </w:t>
      </w:r>
      <w:r w:rsidR="00451B0E" w:rsidRPr="00AE7142">
        <w:t>accelerate</w:t>
      </w:r>
      <w:r w:rsidR="00AE670D" w:rsidRPr="00AE7142">
        <w:t xml:space="preserve"> our clinical </w:t>
      </w:r>
      <w:r w:rsidR="00451B0E" w:rsidRPr="00AE7142">
        <w:t xml:space="preserve">program for SANA-013 and </w:t>
      </w:r>
      <w:r w:rsidR="005E3136" w:rsidRPr="00AE7142">
        <w:t>to launch a phase 1b/2a human study</w:t>
      </w:r>
      <w:r w:rsidR="00B64F91" w:rsidRPr="00AE7142">
        <w:t xml:space="preserve"> </w:t>
      </w:r>
      <w:r w:rsidR="000710BA" w:rsidRPr="00AE7142">
        <w:t>in H1 2023, subject to the availability of capital</w:t>
      </w:r>
      <w:r w:rsidR="00C46195">
        <w:t>.</w:t>
      </w:r>
    </w:p>
    <w:p w14:paraId="6BB8862F" w14:textId="281E4991" w:rsidR="00DB3321" w:rsidRDefault="000428AB" w:rsidP="00C35A6C">
      <w:pPr>
        <w:jc w:val="both"/>
      </w:pPr>
      <w:r w:rsidRPr="00AE7142">
        <w:t xml:space="preserve">I am incredibly proud of our team and efforts to bring SANA-013 </w:t>
      </w:r>
      <w:r w:rsidR="001C542D" w:rsidRPr="00AE7142">
        <w:t xml:space="preserve">to a </w:t>
      </w:r>
      <w:r w:rsidR="00BF28D4" w:rsidRPr="00AE7142">
        <w:t>clinical stage asset</w:t>
      </w:r>
      <w:r w:rsidR="001C542D" w:rsidRPr="00AE7142">
        <w:t xml:space="preserve"> where it</w:t>
      </w:r>
      <w:r w:rsidR="00A44453" w:rsidRPr="00AE7142">
        <w:t xml:space="preserve"> </w:t>
      </w:r>
      <w:r w:rsidR="00524127" w:rsidRPr="00AE7142">
        <w:t>is ready to be administered in</w:t>
      </w:r>
      <w:r w:rsidR="00BC3BC4" w:rsidRPr="00AE7142">
        <w:t xml:space="preserve"> </w:t>
      </w:r>
      <w:r w:rsidR="003C6283" w:rsidRPr="00AE7142">
        <w:t xml:space="preserve">a </w:t>
      </w:r>
      <w:r w:rsidR="00BC3BC4" w:rsidRPr="00AE7142">
        <w:t>human</w:t>
      </w:r>
      <w:r w:rsidR="003C6283" w:rsidRPr="00AE7142">
        <w:t xml:space="preserve"> population</w:t>
      </w:r>
      <w:r w:rsidR="002F5FCF">
        <w:t xml:space="preserve"> for clinical work</w:t>
      </w:r>
      <w:r w:rsidR="005D51E8" w:rsidRPr="00AE7142">
        <w:t>. The initiation of</w:t>
      </w:r>
      <w:r w:rsidR="00C46195">
        <w:t xml:space="preserve"> phase 1b/2a study </w:t>
      </w:r>
      <w:r w:rsidR="005D51E8" w:rsidRPr="00AE7142">
        <w:t xml:space="preserve">will be a pivotal point for SANA-013 as we </w:t>
      </w:r>
      <w:r w:rsidR="00EE3145" w:rsidRPr="00AE7142">
        <w:t xml:space="preserve">collect data </w:t>
      </w:r>
      <w:r w:rsidR="00294CD8" w:rsidRPr="00AE7142">
        <w:t xml:space="preserve">that can support </w:t>
      </w:r>
      <w:r w:rsidR="005D51E8" w:rsidRPr="00AE7142">
        <w:t xml:space="preserve">our lead indication </w:t>
      </w:r>
      <w:r w:rsidR="00AE7142" w:rsidRPr="00AE7142">
        <w:t xml:space="preserve">of </w:t>
      </w:r>
      <w:r w:rsidR="00217106">
        <w:t>M</w:t>
      </w:r>
      <w:r w:rsidR="00217106" w:rsidRPr="00AE7142">
        <w:t xml:space="preserve">ajor </w:t>
      </w:r>
      <w:r w:rsidR="00217106">
        <w:t>D</w:t>
      </w:r>
      <w:r w:rsidR="00217106" w:rsidRPr="00AE7142">
        <w:t xml:space="preserve">epressive </w:t>
      </w:r>
      <w:r w:rsidR="00217106">
        <w:t>D</w:t>
      </w:r>
      <w:r w:rsidR="00217106" w:rsidRPr="00AE7142">
        <w:t xml:space="preserve">isorder </w:t>
      </w:r>
      <w:r w:rsidR="00AE7142" w:rsidRPr="00AE7142">
        <w:t>in addition to</w:t>
      </w:r>
      <w:r w:rsidR="00294CD8" w:rsidRPr="00AE7142">
        <w:t xml:space="preserve"> </w:t>
      </w:r>
      <w:r w:rsidR="007710B0">
        <w:t xml:space="preserve">potential </w:t>
      </w:r>
      <w:r w:rsidR="00294CD8" w:rsidRPr="00AE7142">
        <w:t>future indications</w:t>
      </w:r>
      <w:r w:rsidR="005D51E8" w:rsidRPr="00AE7142">
        <w:t xml:space="preserve"> for</w:t>
      </w:r>
      <w:r w:rsidR="00294CD8" w:rsidRPr="00AE7142">
        <w:t xml:space="preserve"> SANA-013 that </w:t>
      </w:r>
      <w:r w:rsidR="00AE7142" w:rsidRPr="00AE7142">
        <w:t xml:space="preserve">can </w:t>
      </w:r>
      <w:r w:rsidR="00294CD8" w:rsidRPr="00AE7142">
        <w:t>benefit patients</w:t>
      </w:r>
      <w:r w:rsidR="00BC3BC4" w:rsidRPr="00AE7142">
        <w:t xml:space="preserve">. </w:t>
      </w:r>
      <w:r w:rsidR="004B095D" w:rsidRPr="00AE7142">
        <w:t xml:space="preserve">We remain convinced that </w:t>
      </w:r>
      <w:r w:rsidR="00CE6F01" w:rsidRPr="00AE7142">
        <w:t>our novel protocol</w:t>
      </w:r>
      <w:r w:rsidR="00FC22CA" w:rsidRPr="00AE7142">
        <w:t xml:space="preserve">, </w:t>
      </w:r>
      <w:r w:rsidR="00710632">
        <w:t xml:space="preserve">if and </w:t>
      </w:r>
      <w:r w:rsidR="00FC22CA" w:rsidRPr="00AE7142">
        <w:t xml:space="preserve">once approved by the FDA, </w:t>
      </w:r>
      <w:proofErr w:type="gramStart"/>
      <w:r w:rsidR="00820F16" w:rsidRPr="00AE7142">
        <w:t>has the ability to</w:t>
      </w:r>
      <w:proofErr w:type="gramEnd"/>
      <w:r w:rsidR="00820F16" w:rsidRPr="00AE7142">
        <w:t xml:space="preserve"> change the lives of </w:t>
      </w:r>
      <w:r w:rsidR="00B63FAE" w:rsidRPr="00AE7142">
        <w:t>millions</w:t>
      </w:r>
      <w:r w:rsidR="002B02AD" w:rsidRPr="00AE7142">
        <w:t xml:space="preserve"> of</w:t>
      </w:r>
      <w:r w:rsidR="002B02AD">
        <w:t xml:space="preserve"> people suffering from depression.</w:t>
      </w:r>
      <w:r w:rsidR="00EE3145">
        <w:t xml:space="preserve"> </w:t>
      </w:r>
    </w:p>
    <w:p w14:paraId="77EA8B70" w14:textId="375830F5" w:rsidR="008031B0" w:rsidRDefault="007561E4" w:rsidP="00C35A6C">
      <w:pPr>
        <w:jc w:val="both"/>
      </w:pPr>
      <w:r>
        <w:t xml:space="preserve">In connection with our increased focus on </w:t>
      </w:r>
      <w:r w:rsidR="00EC2914">
        <w:t>the drug development program,</w:t>
      </w:r>
      <w:r w:rsidR="008031B0">
        <w:t xml:space="preserve"> we have taken steps to opti</w:t>
      </w:r>
      <w:r w:rsidR="005C173B">
        <w:t xml:space="preserve">mize our operating structure through </w:t>
      </w:r>
      <w:r w:rsidR="00A01CD8">
        <w:t xml:space="preserve">a strategic reorganization and a reduction in the workforce. </w:t>
      </w:r>
      <w:r w:rsidR="0073220D">
        <w:t xml:space="preserve">The restructuring program </w:t>
      </w:r>
      <w:r w:rsidR="007F7276">
        <w:t>has reduced layers of management, removed duplicative rol</w:t>
      </w:r>
      <w:r w:rsidR="00E1227B">
        <w:t>es and outsourced certain roles to drive</w:t>
      </w:r>
      <w:r w:rsidR="00E40670">
        <w:t xml:space="preserve"> cost</w:t>
      </w:r>
      <w:r w:rsidR="00E1227B">
        <w:t xml:space="preserve"> efficiencies. </w:t>
      </w:r>
      <w:r w:rsidR="00523B4E">
        <w:t xml:space="preserve">The overall restructuring program has reduced </w:t>
      </w:r>
      <w:r w:rsidR="00E40670">
        <w:t xml:space="preserve">annual </w:t>
      </w:r>
      <w:r w:rsidR="00523B4E">
        <w:t xml:space="preserve">corporate expenses by approximately </w:t>
      </w:r>
      <w:r w:rsidR="00523B4E" w:rsidRPr="00E13E8B">
        <w:t>$</w:t>
      </w:r>
      <w:r w:rsidR="00E13E8B" w:rsidRPr="00E13E8B">
        <w:t>2.1</w:t>
      </w:r>
      <w:r w:rsidR="001813EB" w:rsidRPr="00E13E8B">
        <w:t>M</w:t>
      </w:r>
      <w:r w:rsidR="001813EB">
        <w:t xml:space="preserve">, excluding </w:t>
      </w:r>
      <w:r w:rsidR="00EE3145">
        <w:t xml:space="preserve">severance </w:t>
      </w:r>
      <w:r w:rsidR="001813EB">
        <w:t xml:space="preserve">charges </w:t>
      </w:r>
      <w:r w:rsidR="00F44710">
        <w:t xml:space="preserve">and associated costs. </w:t>
      </w:r>
      <w:r w:rsidR="00E1227B">
        <w:t>Whil</w:t>
      </w:r>
      <w:r w:rsidR="005D3A7E">
        <w:t xml:space="preserve">e it has been a difficult decision to part ways with a significant portion of our workforce, </w:t>
      </w:r>
      <w:r w:rsidR="00673440">
        <w:t xml:space="preserve">we believe that our new operating structure allows Wesana to be a stronger, more </w:t>
      </w:r>
      <w:proofErr w:type="gramStart"/>
      <w:r w:rsidR="00673440">
        <w:t>durable</w:t>
      </w:r>
      <w:proofErr w:type="gramEnd"/>
      <w:r w:rsidR="00673440">
        <w:t xml:space="preserve"> and focused company. </w:t>
      </w:r>
    </w:p>
    <w:p w14:paraId="299DEBE9" w14:textId="4870F936" w:rsidR="00023D89" w:rsidRDefault="001C3F9B" w:rsidP="00C35A6C">
      <w:pPr>
        <w:jc w:val="both"/>
      </w:pPr>
      <w:r>
        <w:t>Lastly</w:t>
      </w:r>
      <w:r w:rsidR="00700326">
        <w:t>,</w:t>
      </w:r>
      <w:r w:rsidR="00EA0B81">
        <w:t xml:space="preserve"> to complete our transition to a </w:t>
      </w:r>
      <w:r w:rsidR="00700326">
        <w:t>simple</w:t>
      </w:r>
      <w:r w:rsidR="00EA0B81">
        <w:t xml:space="preserve">r </w:t>
      </w:r>
      <w:r w:rsidR="00D339D8">
        <w:t xml:space="preserve">operating structure, </w:t>
      </w:r>
      <w:r w:rsidR="00EC2914">
        <w:t xml:space="preserve">we have </w:t>
      </w:r>
      <w:r w:rsidR="00171A8E">
        <w:t xml:space="preserve">launched </w:t>
      </w:r>
      <w:r w:rsidR="00EC2914">
        <w:t xml:space="preserve">a strategic review </w:t>
      </w:r>
      <w:r w:rsidR="00171A8E">
        <w:t xml:space="preserve">of our </w:t>
      </w:r>
      <w:r w:rsidR="00947B12">
        <w:t>Care</w:t>
      </w:r>
      <w:r w:rsidR="00171A8E">
        <w:t xml:space="preserve"> Delivery assets, including Wesana Clinics</w:t>
      </w:r>
      <w:r w:rsidR="00E278CA">
        <w:t xml:space="preserve">, Wesana Solutions and Psytech Connect. </w:t>
      </w:r>
    </w:p>
    <w:p w14:paraId="1D568C49" w14:textId="4D5AFAB3" w:rsidR="000A712F" w:rsidRDefault="00E278CA" w:rsidP="00C35A6C">
      <w:pPr>
        <w:jc w:val="both"/>
      </w:pPr>
      <w:r>
        <w:t xml:space="preserve">While we </w:t>
      </w:r>
      <w:r w:rsidR="00D07575">
        <w:t xml:space="preserve">continue to believe </w:t>
      </w:r>
      <w:r w:rsidR="009E4F40">
        <w:t xml:space="preserve">in the </w:t>
      </w:r>
      <w:proofErr w:type="gramStart"/>
      <w:r w:rsidR="009E4F40">
        <w:t>long term</w:t>
      </w:r>
      <w:proofErr w:type="gramEnd"/>
      <w:r w:rsidR="009E4F40">
        <w:t xml:space="preserve"> value of these assets and </w:t>
      </w:r>
      <w:r w:rsidR="00521988">
        <w:t>have been</w:t>
      </w:r>
      <w:r w:rsidR="00BC580C">
        <w:t xml:space="preserve"> pleased with their development and growth,</w:t>
      </w:r>
      <w:r w:rsidR="00C95135">
        <w:t xml:space="preserve"> our team </w:t>
      </w:r>
      <w:r w:rsidR="00967AC7">
        <w:t>remains of the opinion that a streamlined strategy focused on drug development will yield the highest returns on shareholder value</w:t>
      </w:r>
      <w:r w:rsidR="004E7F49">
        <w:t xml:space="preserve"> in the long term. Additionally, we believe that any future capital deployments</w:t>
      </w:r>
      <w:r w:rsidR="000432DE">
        <w:t xml:space="preserve">, including </w:t>
      </w:r>
      <w:r w:rsidR="007710B0">
        <w:t xml:space="preserve">of </w:t>
      </w:r>
      <w:r w:rsidR="000432DE">
        <w:t>the proceeds raised from a</w:t>
      </w:r>
      <w:r w:rsidR="007710B0">
        <w:t xml:space="preserve">ny </w:t>
      </w:r>
      <w:r w:rsidR="000432DE">
        <w:t>sale</w:t>
      </w:r>
      <w:r w:rsidR="007710B0">
        <w:t xml:space="preserve"> of the Care Delivery assets</w:t>
      </w:r>
      <w:r w:rsidR="000432DE">
        <w:t xml:space="preserve">, will best be invested into SANA-013. </w:t>
      </w:r>
    </w:p>
    <w:p w14:paraId="2FC2F94D" w14:textId="2CF9158C" w:rsidR="00DB3321" w:rsidRDefault="005C5BA2" w:rsidP="00C35A6C">
      <w:pPr>
        <w:jc w:val="both"/>
      </w:pPr>
      <w:r>
        <w:t>We are encouraged by the level of interest received in the</w:t>
      </w:r>
      <w:r w:rsidR="004E4FA5">
        <w:t xml:space="preserve"> Care Delivery</w:t>
      </w:r>
      <w:r>
        <w:t xml:space="preserve"> assets and</w:t>
      </w:r>
      <w:r w:rsidR="007710B0">
        <w:t>,</w:t>
      </w:r>
      <w:r>
        <w:t xml:space="preserve"> </w:t>
      </w:r>
      <w:r w:rsidR="007710B0">
        <w:t xml:space="preserve">while there is currently no certainty as to </w:t>
      </w:r>
      <w:r w:rsidR="00217106">
        <w:t xml:space="preserve">the </w:t>
      </w:r>
      <w:r w:rsidR="007710B0">
        <w:t xml:space="preserve">completion </w:t>
      </w:r>
      <w:r w:rsidR="00217106">
        <w:t>of a transaction</w:t>
      </w:r>
      <w:r w:rsidR="007710B0">
        <w:t xml:space="preserve">, </w:t>
      </w:r>
      <w:r w:rsidR="000236D1">
        <w:t xml:space="preserve">look forward to </w:t>
      </w:r>
      <w:r w:rsidR="007710B0">
        <w:t xml:space="preserve">the prospect of </w:t>
      </w:r>
      <w:r w:rsidR="007D10D6">
        <w:t xml:space="preserve">consummating a </w:t>
      </w:r>
      <w:r w:rsidR="0078411C">
        <w:t xml:space="preserve">sale or other </w:t>
      </w:r>
      <w:r w:rsidR="007D10D6">
        <w:t>transaction</w:t>
      </w:r>
      <w:r w:rsidR="0078411C">
        <w:t xml:space="preserve"> to realize value in respect of such assets</w:t>
      </w:r>
      <w:r w:rsidR="00DC429F">
        <w:t>.</w:t>
      </w:r>
      <w:r w:rsidR="00C404F8">
        <w:t xml:space="preserve"> </w:t>
      </w:r>
    </w:p>
    <w:p w14:paraId="325A83D9" w14:textId="5582EAD2" w:rsidR="00DC429F" w:rsidRDefault="00B206A6" w:rsidP="00C35A6C">
      <w:pPr>
        <w:jc w:val="both"/>
      </w:pPr>
      <w:r>
        <w:t>While the broader capital markets remain difficult</w:t>
      </w:r>
      <w:r w:rsidR="001C0622">
        <w:t xml:space="preserve"> for </w:t>
      </w:r>
      <w:r w:rsidR="006B445D">
        <w:t>emerging companies</w:t>
      </w:r>
      <w:r>
        <w:t xml:space="preserve">, we are working diligently to </w:t>
      </w:r>
      <w:r w:rsidR="00522E56">
        <w:t xml:space="preserve">maximize the value of our </w:t>
      </w:r>
      <w:r w:rsidR="006648F1">
        <w:t>current assets to our shareholder base</w:t>
      </w:r>
      <w:r w:rsidR="00522E56">
        <w:t>.</w:t>
      </w:r>
      <w:r w:rsidR="00AA3FF3">
        <w:t xml:space="preserve"> We believe that </w:t>
      </w:r>
      <w:r w:rsidR="00DC429F">
        <w:t xml:space="preserve">combination of the right assets, the right operating structure and the </w:t>
      </w:r>
      <w:r w:rsidR="0055046B">
        <w:t xml:space="preserve">right people provide a strong foundation for </w:t>
      </w:r>
      <w:proofErr w:type="spellStart"/>
      <w:r w:rsidR="0055046B">
        <w:t>Wesana’s</w:t>
      </w:r>
      <w:proofErr w:type="spellEnd"/>
      <w:r w:rsidR="0055046B">
        <w:t xml:space="preserve"> future</w:t>
      </w:r>
      <w:r w:rsidR="003475F3">
        <w:t xml:space="preserve"> as we look to </w:t>
      </w:r>
      <w:r w:rsidR="0052468D">
        <w:t xml:space="preserve">commence the first phase of SANA-013. </w:t>
      </w:r>
      <w:r w:rsidR="003B5325">
        <w:t xml:space="preserve">Underpinning our current positioning are the </w:t>
      </w:r>
      <w:r w:rsidR="003B5325">
        <w:lastRenderedPageBreak/>
        <w:t>multitude of successes our team has achieved in 202</w:t>
      </w:r>
      <w:r w:rsidR="00061550">
        <w:t>1 and the first half of 2022</w:t>
      </w:r>
      <w:r w:rsidR="00484AA4">
        <w:t xml:space="preserve"> that we intend to leverage for growth in the future.</w:t>
      </w:r>
    </w:p>
    <w:p w14:paraId="798C5EF4" w14:textId="0B23AF47" w:rsidR="00484AA4" w:rsidRDefault="00484AA4" w:rsidP="00484AA4">
      <w:pPr>
        <w:spacing w:after="0" w:line="240" w:lineRule="auto"/>
        <w:jc w:val="both"/>
      </w:pPr>
      <w:r>
        <w:t>Daniel Carcillo</w:t>
      </w:r>
    </w:p>
    <w:p w14:paraId="13681715" w14:textId="1027BFC6" w:rsidR="00484AA4" w:rsidRDefault="00484AA4" w:rsidP="00484AA4">
      <w:pPr>
        <w:spacing w:after="0" w:line="240" w:lineRule="auto"/>
        <w:jc w:val="both"/>
      </w:pPr>
      <w:r>
        <w:t>Chief Executive Officer, Wesana Health Holdings Inc.</w:t>
      </w:r>
    </w:p>
    <w:p w14:paraId="5FF4CA32" w14:textId="3F2BE822" w:rsidR="00C46195" w:rsidRDefault="00C46195" w:rsidP="00484AA4">
      <w:pPr>
        <w:spacing w:after="0" w:line="240" w:lineRule="auto"/>
        <w:jc w:val="both"/>
      </w:pPr>
    </w:p>
    <w:p w14:paraId="12752D62" w14:textId="38741D2F" w:rsidR="00C46195" w:rsidRDefault="00C46195" w:rsidP="00484AA4">
      <w:pPr>
        <w:spacing w:after="0" w:line="240" w:lineRule="auto"/>
        <w:jc w:val="both"/>
      </w:pPr>
      <w:r w:rsidRPr="00044F2E">
        <w:rPr>
          <w:vertAlign w:val="superscript"/>
        </w:rPr>
        <w:t>1</w:t>
      </w:r>
      <w:r>
        <w:t xml:space="preserve"> World Health Organization, 2020 </w:t>
      </w:r>
    </w:p>
    <w:p w14:paraId="5198D257" w14:textId="26EEBFAE" w:rsidR="002B02AD" w:rsidRDefault="002B02AD" w:rsidP="00C35A6C">
      <w:pPr>
        <w:jc w:val="both"/>
      </w:pPr>
    </w:p>
    <w:p w14:paraId="29814DB8" w14:textId="77777777" w:rsidR="007A4FEA" w:rsidRDefault="007A4FEA" w:rsidP="007A4FEA">
      <w:r w:rsidRPr="004E1C5C">
        <w:rPr>
          <w:b/>
          <w:bCs/>
        </w:rPr>
        <w:t>About Wesana Health</w:t>
      </w:r>
    </w:p>
    <w:p w14:paraId="608F4B4E" w14:textId="77777777" w:rsidR="007A4FEA" w:rsidRPr="004E1C5C" w:rsidRDefault="007A4FEA" w:rsidP="007A4FEA">
      <w:r w:rsidRPr="004E1C5C">
        <w:t>Wesana Health helps people transcend barriers in mental health and performance. We innovate in care development through our therapies and patent-pending protocols, and in care delivery through activating a new multidisciplinary, technology-supported clinical model. Learn more at </w:t>
      </w:r>
      <w:hyperlink r:id="rId12" w:tgtFrame="_blank" w:history="1">
        <w:r w:rsidRPr="004E1C5C">
          <w:rPr>
            <w:rStyle w:val="Hyperlink"/>
          </w:rPr>
          <w:t>www.wesanahealth.com</w:t>
        </w:r>
      </w:hyperlink>
      <w:r w:rsidRPr="004E1C5C">
        <w:t>.</w:t>
      </w:r>
    </w:p>
    <w:p w14:paraId="42B0FEE5" w14:textId="3E7F2FEF" w:rsidR="00A66259" w:rsidRPr="00A66259" w:rsidRDefault="00A66259" w:rsidP="00A66259">
      <w:pPr>
        <w:rPr>
          <w:b/>
          <w:bCs/>
        </w:rPr>
      </w:pPr>
      <w:r w:rsidRPr="00A66259">
        <w:rPr>
          <w:b/>
          <w:bCs/>
        </w:rPr>
        <w:t>Cautionary Note Regarding Forward-Looking Information</w:t>
      </w:r>
    </w:p>
    <w:p w14:paraId="3B4FD712" w14:textId="0252F0DA" w:rsidR="00305F0E" w:rsidRPr="00A153DD" w:rsidRDefault="00305F0E" w:rsidP="00305F0E">
      <w:pPr>
        <w:jc w:val="both"/>
        <w:rPr>
          <w:rFonts w:ascii="Calibri" w:eastAsia="Calibri" w:hAnsi="Calibri" w:cs="Calibri"/>
          <w:bCs/>
        </w:rPr>
      </w:pPr>
      <w:r>
        <w:rPr>
          <w:rFonts w:ascii="Calibri" w:eastAsia="Calibri" w:hAnsi="Calibri" w:cs="Calibri"/>
        </w:rPr>
        <w:t xml:space="preserve">This news release contains “forward-looking information” within the meaning of applicable securities laws </w:t>
      </w:r>
      <w:r w:rsidRPr="00305F0E">
        <w:rPr>
          <w:rFonts w:ascii="Calibri" w:eastAsia="Calibri" w:hAnsi="Calibri" w:cs="Calibri"/>
        </w:rPr>
        <w:t xml:space="preserve">with respect to the Company, including, but not limited to: </w:t>
      </w:r>
      <w:r w:rsidR="0078411C">
        <w:rPr>
          <w:rFonts w:ascii="Calibri" w:eastAsia="Calibri" w:hAnsi="Calibri" w:cs="Calibri"/>
        </w:rPr>
        <w:t>the</w:t>
      </w:r>
      <w:r w:rsidRPr="00305F0E">
        <w:rPr>
          <w:rFonts w:ascii="Calibri" w:eastAsia="Calibri" w:hAnsi="Calibri" w:cs="Calibri"/>
        </w:rPr>
        <w:t xml:space="preserve"> initiation of a Phase 1b/2a study </w:t>
      </w:r>
      <w:r w:rsidRPr="00A153DD">
        <w:rPr>
          <w:rFonts w:ascii="Calibri" w:eastAsia="Calibri" w:hAnsi="Calibri" w:cs="Calibri"/>
          <w:bCs/>
        </w:rPr>
        <w:t>in H1 2023 as part of a revised accelerated development pathway; exploration of MDD as the lead indication for SANA-013; information concerning timing for or completion of any divesture</w:t>
      </w:r>
      <w:r w:rsidR="0078411C">
        <w:rPr>
          <w:rFonts w:ascii="Calibri" w:eastAsia="Calibri" w:hAnsi="Calibri" w:cs="Calibri"/>
          <w:bCs/>
        </w:rPr>
        <w:t xml:space="preserve"> </w:t>
      </w:r>
      <w:r w:rsidRPr="00A153DD">
        <w:rPr>
          <w:rFonts w:ascii="Calibri" w:eastAsia="Calibri" w:hAnsi="Calibri" w:cs="Calibri"/>
          <w:bCs/>
        </w:rPr>
        <w:t xml:space="preserve">of </w:t>
      </w:r>
      <w:r w:rsidR="0078411C">
        <w:rPr>
          <w:rFonts w:ascii="Calibri" w:eastAsia="Calibri" w:hAnsi="Calibri" w:cs="Calibri"/>
          <w:bCs/>
        </w:rPr>
        <w:t xml:space="preserve">or other transaction in respect </w:t>
      </w:r>
      <w:r w:rsidRPr="00A153DD">
        <w:rPr>
          <w:rFonts w:ascii="Calibri" w:eastAsia="Calibri" w:hAnsi="Calibri" w:cs="Calibri"/>
          <w:bCs/>
        </w:rPr>
        <w:t xml:space="preserve">the </w:t>
      </w:r>
      <w:r w:rsidR="0078411C">
        <w:rPr>
          <w:rFonts w:ascii="Calibri" w:eastAsia="Calibri" w:hAnsi="Calibri" w:cs="Calibri"/>
          <w:bCs/>
        </w:rPr>
        <w:t>C</w:t>
      </w:r>
      <w:r w:rsidRPr="00A153DD">
        <w:rPr>
          <w:rFonts w:ascii="Calibri" w:eastAsia="Calibri" w:hAnsi="Calibri" w:cs="Calibri"/>
          <w:bCs/>
        </w:rPr>
        <w:t xml:space="preserve">are </w:t>
      </w:r>
      <w:r w:rsidR="0078411C">
        <w:rPr>
          <w:rFonts w:ascii="Calibri" w:eastAsia="Calibri" w:hAnsi="Calibri" w:cs="Calibri"/>
          <w:bCs/>
        </w:rPr>
        <w:t>D</w:t>
      </w:r>
      <w:r w:rsidRPr="00A153DD">
        <w:rPr>
          <w:rFonts w:ascii="Calibri" w:eastAsia="Calibri" w:hAnsi="Calibri" w:cs="Calibri"/>
          <w:bCs/>
        </w:rPr>
        <w:t>elivery assets, if at all; achievement of any transaction</w:t>
      </w:r>
      <w:r w:rsidR="0078411C">
        <w:rPr>
          <w:rFonts w:ascii="Calibri" w:eastAsia="Calibri" w:hAnsi="Calibri" w:cs="Calibri"/>
          <w:bCs/>
        </w:rPr>
        <w:t xml:space="preserve"> in respect of the C</w:t>
      </w:r>
      <w:r w:rsidRPr="00A153DD">
        <w:rPr>
          <w:rFonts w:ascii="Calibri" w:eastAsia="Calibri" w:hAnsi="Calibri" w:cs="Calibri"/>
          <w:bCs/>
        </w:rPr>
        <w:t xml:space="preserve">are </w:t>
      </w:r>
      <w:r w:rsidR="0078411C">
        <w:rPr>
          <w:rFonts w:ascii="Calibri" w:eastAsia="Calibri" w:hAnsi="Calibri" w:cs="Calibri"/>
          <w:bCs/>
        </w:rPr>
        <w:t>D</w:t>
      </w:r>
      <w:r w:rsidRPr="00A153DD">
        <w:rPr>
          <w:rFonts w:ascii="Calibri" w:eastAsia="Calibri" w:hAnsi="Calibri" w:cs="Calibri"/>
          <w:bCs/>
        </w:rPr>
        <w:t xml:space="preserve">elivery </w:t>
      </w:r>
      <w:r w:rsidR="0078411C">
        <w:rPr>
          <w:rFonts w:ascii="Calibri" w:eastAsia="Calibri" w:hAnsi="Calibri" w:cs="Calibri"/>
          <w:bCs/>
        </w:rPr>
        <w:t>a</w:t>
      </w:r>
      <w:r w:rsidRPr="00A153DD">
        <w:rPr>
          <w:rFonts w:ascii="Calibri" w:eastAsia="Calibri" w:hAnsi="Calibri" w:cs="Calibri"/>
          <w:bCs/>
        </w:rPr>
        <w:t xml:space="preserve">ssets; and any other statement that may predict, forecast, indicate or imply future plans, intentions, levels of activity, results, financial position, operational or financial performance or achievements. Often, but not always, forward-looking information can be identified by the use of words such as “plans”, “expects”, “is expected”, “budget”, “scheduled”, “estimates”, “forecasts”, “intends”, “anticipates”, “will”, “projects”, or “believes” or variations (including negative variations) of such words and phrases, or statements that certain actions, events, results or conditions “may”, “could”, “would”, “might” or “will” be taken, occur or be achieved. Except for statements of historical fact, information contained herein constitutes forward-looking information. Forward-looking information is not a guarantee of future performance and is based upon </w:t>
      </w:r>
      <w:proofErr w:type="gramStart"/>
      <w:r w:rsidRPr="00A153DD">
        <w:rPr>
          <w:rFonts w:ascii="Calibri" w:eastAsia="Calibri" w:hAnsi="Calibri" w:cs="Calibri"/>
          <w:bCs/>
        </w:rPr>
        <w:t>a number of</w:t>
      </w:r>
      <w:proofErr w:type="gramEnd"/>
      <w:r w:rsidRPr="00A153DD">
        <w:rPr>
          <w:rFonts w:ascii="Calibri" w:eastAsia="Calibri" w:hAnsi="Calibri" w:cs="Calibri"/>
          <w:bCs/>
        </w:rPr>
        <w:t xml:space="preserve"> estimates and assumptions of management at the date the statements are made.</w:t>
      </w:r>
    </w:p>
    <w:p w14:paraId="29A0D52C" w14:textId="04CE034A" w:rsidR="00305F0E" w:rsidRDefault="00305F0E" w:rsidP="00305F0E">
      <w:pPr>
        <w:jc w:val="both"/>
        <w:rPr>
          <w:rFonts w:ascii="Calibri" w:eastAsia="Calibri" w:hAnsi="Calibri" w:cs="Calibri"/>
          <w:color w:val="000000" w:themeColor="text1"/>
        </w:rPr>
      </w:pPr>
      <w:r w:rsidRPr="00A153DD">
        <w:rPr>
          <w:rFonts w:ascii="Calibri" w:eastAsia="Calibri" w:hAnsi="Calibri" w:cs="Calibri"/>
          <w:bCs/>
          <w:color w:val="000000" w:themeColor="text1"/>
        </w:rPr>
        <w:t xml:space="preserve">Certain assumptions that influence the successful initiation of a Phase 1b/2a study </w:t>
      </w:r>
      <w:r w:rsidRPr="00A153DD">
        <w:rPr>
          <w:rFonts w:ascii="Calibri" w:eastAsia="Calibri" w:hAnsi="Calibri" w:cs="Calibri"/>
          <w:bCs/>
        </w:rPr>
        <w:t xml:space="preserve">in H1 2023 </w:t>
      </w:r>
      <w:r w:rsidRPr="00A153DD">
        <w:rPr>
          <w:rFonts w:ascii="Calibri" w:eastAsia="Calibri" w:hAnsi="Calibri" w:cs="Calibri"/>
          <w:bCs/>
          <w:color w:val="000000" w:themeColor="text1"/>
        </w:rPr>
        <w:t xml:space="preserve">as part of a revised accelerated development pathway include the Company’s capital will be sufficient </w:t>
      </w:r>
      <w:r>
        <w:rPr>
          <w:rFonts w:ascii="Calibri" w:eastAsia="Calibri" w:hAnsi="Calibri" w:cs="Calibri"/>
          <w:color w:val="000000" w:themeColor="text1"/>
        </w:rPr>
        <w:t xml:space="preserve">for the accelerated study; and the readiness of the overall research and development plan, capital resources and internal procedures of the Company, warrant proceeding with the revised project objectives. There can be no assurance that any divestitures of any portions of </w:t>
      </w:r>
      <w:r w:rsidR="002307B1">
        <w:rPr>
          <w:rFonts w:ascii="Calibri" w:eastAsia="Calibri" w:hAnsi="Calibri" w:cs="Calibri"/>
          <w:color w:val="000000" w:themeColor="text1"/>
        </w:rPr>
        <w:t xml:space="preserve">or any other transaction in respect of </w:t>
      </w:r>
      <w:r>
        <w:rPr>
          <w:rFonts w:ascii="Calibri" w:eastAsia="Calibri" w:hAnsi="Calibri" w:cs="Calibri"/>
          <w:color w:val="000000" w:themeColor="text1"/>
        </w:rPr>
        <w:t xml:space="preserve">the </w:t>
      </w:r>
      <w:r w:rsidR="002307B1">
        <w:rPr>
          <w:rFonts w:ascii="Calibri" w:eastAsia="Calibri" w:hAnsi="Calibri" w:cs="Calibri"/>
          <w:color w:val="000000" w:themeColor="text1"/>
        </w:rPr>
        <w:t>C</w:t>
      </w:r>
      <w:r>
        <w:rPr>
          <w:rFonts w:ascii="Calibri" w:eastAsia="Calibri" w:hAnsi="Calibri" w:cs="Calibri"/>
          <w:color w:val="000000" w:themeColor="text1"/>
        </w:rPr>
        <w:t xml:space="preserve">are </w:t>
      </w:r>
      <w:r w:rsidR="002307B1">
        <w:rPr>
          <w:rFonts w:ascii="Calibri" w:eastAsia="Calibri" w:hAnsi="Calibri" w:cs="Calibri"/>
          <w:color w:val="000000" w:themeColor="text1"/>
        </w:rPr>
        <w:t>D</w:t>
      </w:r>
      <w:r>
        <w:rPr>
          <w:rFonts w:ascii="Calibri" w:eastAsia="Calibri" w:hAnsi="Calibri" w:cs="Calibri"/>
          <w:color w:val="000000" w:themeColor="text1"/>
        </w:rPr>
        <w:t>elivery assets will be achieved, and the Company does not intend to comment further on the process unless and until its board of directors has determined that further disclosure is appropriate or required by law. Furthermore, there is no assurance that a transaction</w:t>
      </w:r>
      <w:r w:rsidR="002307B1">
        <w:rPr>
          <w:rFonts w:ascii="Calibri" w:eastAsia="Calibri" w:hAnsi="Calibri" w:cs="Calibri"/>
          <w:color w:val="000000" w:themeColor="text1"/>
        </w:rPr>
        <w:t xml:space="preserve"> in respect of the Care Delivery assets</w:t>
      </w:r>
      <w:r>
        <w:rPr>
          <w:rFonts w:ascii="Calibri" w:eastAsia="Calibri" w:hAnsi="Calibri" w:cs="Calibri"/>
          <w:color w:val="000000" w:themeColor="text1"/>
        </w:rPr>
        <w:t xml:space="preserve"> will occur in a form that will be sufficient to serve the capital requirements of the Company or enable it to gain or keep any competitive advantage that it may have in the drug development business, if at all.</w:t>
      </w:r>
    </w:p>
    <w:p w14:paraId="1A1EC5F1" w14:textId="13B86EDC" w:rsidR="00305F0E" w:rsidRDefault="00305F0E" w:rsidP="00305F0E">
      <w:pPr>
        <w:jc w:val="both"/>
        <w:rPr>
          <w:rFonts w:ascii="Calibri" w:eastAsia="Calibri" w:hAnsi="Calibri" w:cs="Calibri"/>
        </w:rPr>
      </w:pPr>
      <w:r>
        <w:rPr>
          <w:rFonts w:ascii="Calibri" w:eastAsia="Calibri" w:hAnsi="Calibri" w:cs="Calibri"/>
        </w:rPr>
        <w:t xml:space="preserve">Although management believes that the anticipated future results, performance or achievements expressed or implied by the forward-looking statements are based upon reasonable assumptions and expectations, the reader should not place undue reliance on forward-looking statements because they </w:t>
      </w:r>
      <w:r>
        <w:rPr>
          <w:rFonts w:ascii="Calibri" w:eastAsia="Calibri" w:hAnsi="Calibri" w:cs="Calibri"/>
        </w:rPr>
        <w:lastRenderedPageBreak/>
        <w:t xml:space="preserve">involve assumptions, known and unknown risks, uncertainties and other factors which may cause the actual results, performance or achievements of the Company to differ materially from anticipated future results, performance or achievements expressed or implied by such forward-looking statements. Certain risk factors include but are not limited to there being no assurance as to the Company’s ability to continue as a going concern; </w:t>
      </w:r>
      <w:r w:rsidR="002307B1">
        <w:rPr>
          <w:rFonts w:ascii="Calibri" w:eastAsia="Calibri" w:hAnsi="Calibri" w:cs="Calibri"/>
        </w:rPr>
        <w:t xml:space="preserve">there being no assurance that the strategic review of the Company’s Care Delivery assets will result in any viable alternatives or a definitive transaction; </w:t>
      </w:r>
      <w:r>
        <w:rPr>
          <w:rFonts w:ascii="Calibri" w:eastAsia="Calibri" w:hAnsi="Calibri" w:cs="Calibri"/>
        </w:rPr>
        <w:t xml:space="preserve">there being no assurance that the net proceeds of the </w:t>
      </w:r>
      <w:r w:rsidR="002307B1">
        <w:rPr>
          <w:rFonts w:ascii="Calibri" w:eastAsia="Calibri" w:hAnsi="Calibri" w:cs="Calibri"/>
        </w:rPr>
        <w:t xml:space="preserve">recently completed private placement </w:t>
      </w:r>
      <w:r>
        <w:rPr>
          <w:rFonts w:ascii="Calibri" w:eastAsia="Calibri" w:hAnsi="Calibri" w:cs="Calibri"/>
        </w:rPr>
        <w:t xml:space="preserve">will be used as currently contemplated by the Company, the allocation and use of which is at the discretion of the Company, or that the Company will achieve the results from the use of such proceeds as currently targeted; the detrimental impact of future losses and negative cash flow from operations; requirements for additional capital; lack of product or service revenue; research and development of drugs targeting the central nervous system being particularly difficult; failure to comply with health and data protection laws and regulations; delays in pre-clinical and clinical testing resulting in delays in commercializing; inability to file investigational new drug applications or clinical trial applications to commence clinical trials in a timely manner; difficulty enrolling patients in clinical trials; competition from other biotechnology and pharmaceutical companies; violations of laws and regulations resulting in repercussions; psychedelic inspired drugs possibly never being approved as medicines; regulatory or political change; reliance on third parties to plan, conduct and monitor preclinical studies and clinical trials; requirements of commercial scale and quality manufactured drug supply; negative results from pre-clinical and clinical trials or studies of others; </w:t>
      </w:r>
      <w:proofErr w:type="spellStart"/>
      <w:r>
        <w:rPr>
          <w:rFonts w:ascii="Calibri" w:eastAsia="Calibri" w:hAnsi="Calibri" w:cs="Calibri"/>
        </w:rPr>
        <w:t>unfavourable</w:t>
      </w:r>
      <w:proofErr w:type="spellEnd"/>
      <w:r>
        <w:rPr>
          <w:rFonts w:ascii="Calibri" w:eastAsia="Calibri" w:hAnsi="Calibri" w:cs="Calibri"/>
        </w:rPr>
        <w:t xml:space="preserve"> publicity or consumer perception; not achieving publicly announced milestones; reliance on the capabilities and experience of key executives and scientists; disruptions due to acquisitions or collaborations; risk of product liability claims; COVID-19; litigation; conflicts of interest; limited operating history; general economic, market and business conditions and other risk factors including those found in the </w:t>
      </w:r>
      <w:r w:rsidR="00BA49A1">
        <w:rPr>
          <w:rFonts w:ascii="Calibri" w:eastAsia="Calibri" w:hAnsi="Calibri" w:cs="Calibri"/>
        </w:rPr>
        <w:t>MD&amp;A</w:t>
      </w:r>
      <w:r>
        <w:rPr>
          <w:rFonts w:ascii="Calibri" w:eastAsia="Calibri" w:hAnsi="Calibri" w:cs="Calibri"/>
        </w:rPr>
        <w:t xml:space="preserve"> and the Company’s annual information form dated September 3, 2021 filed on the Company’s profile on SEDAR at </w:t>
      </w:r>
      <w:hyperlink r:id="rId13" w:history="1">
        <w:r>
          <w:rPr>
            <w:rStyle w:val="Hyperlink"/>
            <w:rFonts w:ascii="Calibri" w:eastAsia="Calibri" w:hAnsi="Calibri" w:cs="Calibri"/>
          </w:rPr>
          <w:t>www.sedar.com</w:t>
        </w:r>
      </w:hyperlink>
      <w:r>
        <w:rPr>
          <w:rFonts w:ascii="Calibri" w:eastAsia="Calibri" w:hAnsi="Calibri" w:cs="Calibri"/>
        </w:rPr>
        <w:t xml:space="preserve"> and discussed in the Company’s other public filings available on SEDAR</w:t>
      </w:r>
    </w:p>
    <w:p w14:paraId="299C5C12" w14:textId="77777777" w:rsidR="00305F0E" w:rsidRDefault="00305F0E" w:rsidP="00305F0E">
      <w:pPr>
        <w:jc w:val="both"/>
        <w:rPr>
          <w:rFonts w:ascii="Calibri" w:eastAsia="Calibri" w:hAnsi="Calibri" w:cs="Calibri"/>
        </w:rPr>
      </w:pPr>
      <w:r>
        <w:rPr>
          <w:rFonts w:ascii="Calibri" w:eastAsia="Calibri" w:hAnsi="Calibri" w:cs="Calibri"/>
        </w:rPr>
        <w:t>Forward-looking information is provided and made as of the date of this news release and the Company does not undertake any obligation to revise or update any forward-looking information other than as required by applicable law.</w:t>
      </w:r>
    </w:p>
    <w:p w14:paraId="79C6A4C7" w14:textId="77777777" w:rsidR="00305F0E" w:rsidRPr="004E1C5C" w:rsidRDefault="00305F0E" w:rsidP="00305F0E">
      <w:r w:rsidRPr="004E1C5C">
        <w:rPr>
          <w:b/>
          <w:bCs/>
        </w:rPr>
        <w:t>Investor Relations:</w:t>
      </w:r>
      <w:r w:rsidRPr="004E1C5C">
        <w:rPr>
          <w:b/>
          <w:bCs/>
        </w:rPr>
        <w:br/>
      </w:r>
      <w:r w:rsidRPr="004E1C5C">
        <w:t>Keenan Gentry</w:t>
      </w:r>
      <w:r w:rsidRPr="004E1C5C">
        <w:br/>
        <w:t>Email: IR@wesanahealth.com</w:t>
      </w:r>
      <w:r w:rsidRPr="004E1C5C">
        <w:br/>
        <w:t>Phone: 702-329-8038</w:t>
      </w:r>
    </w:p>
    <w:p w14:paraId="18861EFD" w14:textId="1405082A" w:rsidR="003B72B9" w:rsidRDefault="003B72B9" w:rsidP="001E6A14">
      <w:pPr>
        <w:pStyle w:val="ListParagraph"/>
      </w:pPr>
    </w:p>
    <w:sectPr w:rsidR="003B72B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5822" w14:textId="77777777" w:rsidR="007C7D8C" w:rsidRDefault="007C7D8C" w:rsidP="007A30B5">
      <w:pPr>
        <w:spacing w:after="0" w:line="240" w:lineRule="auto"/>
      </w:pPr>
      <w:r>
        <w:separator/>
      </w:r>
    </w:p>
  </w:endnote>
  <w:endnote w:type="continuationSeparator" w:id="0">
    <w:p w14:paraId="69753C23" w14:textId="77777777" w:rsidR="007C7D8C" w:rsidRDefault="007C7D8C" w:rsidP="007A30B5">
      <w:pPr>
        <w:spacing w:after="0" w:line="240" w:lineRule="auto"/>
      </w:pPr>
      <w:r>
        <w:continuationSeparator/>
      </w:r>
    </w:p>
  </w:endnote>
  <w:endnote w:type="continuationNotice" w:id="1">
    <w:p w14:paraId="4279C0C5" w14:textId="77777777" w:rsidR="007C7D8C" w:rsidRDefault="007C7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CEBC" w14:textId="77777777" w:rsidR="007A30B5" w:rsidRDefault="007A3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E6B7" w14:textId="77777777" w:rsidR="007A30B5" w:rsidRDefault="007A3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EB94" w14:textId="77777777" w:rsidR="007A30B5" w:rsidRDefault="007A3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40FC" w14:textId="77777777" w:rsidR="007C7D8C" w:rsidRDefault="007C7D8C" w:rsidP="007A30B5">
      <w:pPr>
        <w:spacing w:after="0" w:line="240" w:lineRule="auto"/>
      </w:pPr>
      <w:r>
        <w:separator/>
      </w:r>
    </w:p>
  </w:footnote>
  <w:footnote w:type="continuationSeparator" w:id="0">
    <w:p w14:paraId="07FCFF20" w14:textId="77777777" w:rsidR="007C7D8C" w:rsidRDefault="007C7D8C" w:rsidP="007A30B5">
      <w:pPr>
        <w:spacing w:after="0" w:line="240" w:lineRule="auto"/>
      </w:pPr>
      <w:r>
        <w:continuationSeparator/>
      </w:r>
    </w:p>
  </w:footnote>
  <w:footnote w:type="continuationNotice" w:id="1">
    <w:p w14:paraId="5849CFD3" w14:textId="77777777" w:rsidR="007C7D8C" w:rsidRDefault="007C7D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C1A" w14:textId="77777777" w:rsidR="007A30B5" w:rsidRDefault="007A3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0860" w14:textId="77777777" w:rsidR="007A30B5" w:rsidRDefault="007A3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E46F" w14:textId="77777777" w:rsidR="007A30B5" w:rsidRDefault="007A30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3dlF2niO" int2:invalidationBookmarkName="" int2:hashCode="4okdkEsFonKidX" int2:id="s2V9KLlV">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A93"/>
    <w:multiLevelType w:val="hybridMultilevel"/>
    <w:tmpl w:val="4B94C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8778E3"/>
    <w:multiLevelType w:val="hybridMultilevel"/>
    <w:tmpl w:val="DC74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24E9"/>
    <w:multiLevelType w:val="hybridMultilevel"/>
    <w:tmpl w:val="8480B48E"/>
    <w:lvl w:ilvl="0" w:tplc="9784118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02FB8"/>
    <w:multiLevelType w:val="hybridMultilevel"/>
    <w:tmpl w:val="E5C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92F35"/>
    <w:multiLevelType w:val="hybridMultilevel"/>
    <w:tmpl w:val="765E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35E03"/>
    <w:multiLevelType w:val="multilevel"/>
    <w:tmpl w:val="E104E6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4008781">
    <w:abstractNumId w:val="3"/>
  </w:num>
  <w:num w:numId="2" w16cid:durableId="726925471">
    <w:abstractNumId w:val="1"/>
  </w:num>
  <w:num w:numId="3" w16cid:durableId="802697348">
    <w:abstractNumId w:val="4"/>
  </w:num>
  <w:num w:numId="4" w16cid:durableId="1164471225">
    <w:abstractNumId w:val="2"/>
  </w:num>
  <w:num w:numId="5" w16cid:durableId="486676099">
    <w:abstractNumId w:val="5"/>
  </w:num>
  <w:num w:numId="6" w16cid:durableId="157693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jc0NjcxtjQ3NzRT0lEKTi0uzszPAykwrAUAHlp7xywAAAA="/>
    <w:docVar w:name="APWAFVersion" w:val="5.0"/>
  </w:docVars>
  <w:rsids>
    <w:rsidRoot w:val="000D5092"/>
    <w:rsid w:val="00000027"/>
    <w:rsid w:val="000015BB"/>
    <w:rsid w:val="00004E90"/>
    <w:rsid w:val="00012EAB"/>
    <w:rsid w:val="000201BC"/>
    <w:rsid w:val="000236D1"/>
    <w:rsid w:val="00023921"/>
    <w:rsid w:val="00023D89"/>
    <w:rsid w:val="000246EA"/>
    <w:rsid w:val="00027476"/>
    <w:rsid w:val="00031F22"/>
    <w:rsid w:val="000428AB"/>
    <w:rsid w:val="000432DE"/>
    <w:rsid w:val="00044F2E"/>
    <w:rsid w:val="00054131"/>
    <w:rsid w:val="0005435D"/>
    <w:rsid w:val="00061550"/>
    <w:rsid w:val="000710BA"/>
    <w:rsid w:val="00080929"/>
    <w:rsid w:val="00087173"/>
    <w:rsid w:val="00095D65"/>
    <w:rsid w:val="00096875"/>
    <w:rsid w:val="00097B58"/>
    <w:rsid w:val="000A712F"/>
    <w:rsid w:val="000C125B"/>
    <w:rsid w:val="000C4CE0"/>
    <w:rsid w:val="000D19DB"/>
    <w:rsid w:val="000D5092"/>
    <w:rsid w:val="000E2D58"/>
    <w:rsid w:val="000E5C38"/>
    <w:rsid w:val="000F2F44"/>
    <w:rsid w:val="000F6704"/>
    <w:rsid w:val="00101641"/>
    <w:rsid w:val="001072C0"/>
    <w:rsid w:val="00114054"/>
    <w:rsid w:val="0011582A"/>
    <w:rsid w:val="001219EF"/>
    <w:rsid w:val="00126E94"/>
    <w:rsid w:val="0013213D"/>
    <w:rsid w:val="00145399"/>
    <w:rsid w:val="0015013E"/>
    <w:rsid w:val="001511FE"/>
    <w:rsid w:val="00153C46"/>
    <w:rsid w:val="001556B5"/>
    <w:rsid w:val="001645B3"/>
    <w:rsid w:val="00164976"/>
    <w:rsid w:val="00166997"/>
    <w:rsid w:val="0017169B"/>
    <w:rsid w:val="00171A8E"/>
    <w:rsid w:val="001813EB"/>
    <w:rsid w:val="001B0558"/>
    <w:rsid w:val="001B3A12"/>
    <w:rsid w:val="001C0622"/>
    <w:rsid w:val="001C1697"/>
    <w:rsid w:val="001C3F9B"/>
    <w:rsid w:val="001C542D"/>
    <w:rsid w:val="001C6187"/>
    <w:rsid w:val="001C694E"/>
    <w:rsid w:val="001C74EE"/>
    <w:rsid w:val="001C7CD5"/>
    <w:rsid w:val="001D7FD8"/>
    <w:rsid w:val="001D7FDA"/>
    <w:rsid w:val="001E6A14"/>
    <w:rsid w:val="001F223B"/>
    <w:rsid w:val="001F4F1E"/>
    <w:rsid w:val="001F7D76"/>
    <w:rsid w:val="002145AF"/>
    <w:rsid w:val="002147D5"/>
    <w:rsid w:val="00214DD4"/>
    <w:rsid w:val="00217106"/>
    <w:rsid w:val="00225724"/>
    <w:rsid w:val="002307B1"/>
    <w:rsid w:val="002320EF"/>
    <w:rsid w:val="0023447A"/>
    <w:rsid w:val="00245242"/>
    <w:rsid w:val="00251BC8"/>
    <w:rsid w:val="00254E79"/>
    <w:rsid w:val="00272106"/>
    <w:rsid w:val="002732FC"/>
    <w:rsid w:val="00276D3A"/>
    <w:rsid w:val="00284F4C"/>
    <w:rsid w:val="00285F5B"/>
    <w:rsid w:val="002923D4"/>
    <w:rsid w:val="00294CD8"/>
    <w:rsid w:val="002A4259"/>
    <w:rsid w:val="002A563D"/>
    <w:rsid w:val="002B02AD"/>
    <w:rsid w:val="002B1560"/>
    <w:rsid w:val="002B36ED"/>
    <w:rsid w:val="002B4405"/>
    <w:rsid w:val="002E4E6C"/>
    <w:rsid w:val="002E76EE"/>
    <w:rsid w:val="002F5FCF"/>
    <w:rsid w:val="00302242"/>
    <w:rsid w:val="00304699"/>
    <w:rsid w:val="00305F0E"/>
    <w:rsid w:val="00311521"/>
    <w:rsid w:val="0031451E"/>
    <w:rsid w:val="003175CE"/>
    <w:rsid w:val="0032077D"/>
    <w:rsid w:val="00326060"/>
    <w:rsid w:val="00326BFB"/>
    <w:rsid w:val="00331EFD"/>
    <w:rsid w:val="00340E32"/>
    <w:rsid w:val="003475F3"/>
    <w:rsid w:val="00355C3F"/>
    <w:rsid w:val="00360E5A"/>
    <w:rsid w:val="00366546"/>
    <w:rsid w:val="00371319"/>
    <w:rsid w:val="00371BCF"/>
    <w:rsid w:val="00376556"/>
    <w:rsid w:val="00376DB7"/>
    <w:rsid w:val="00385981"/>
    <w:rsid w:val="00386313"/>
    <w:rsid w:val="00391D2E"/>
    <w:rsid w:val="00393CF3"/>
    <w:rsid w:val="003A3822"/>
    <w:rsid w:val="003A410D"/>
    <w:rsid w:val="003B3EEE"/>
    <w:rsid w:val="003B5325"/>
    <w:rsid w:val="003B72B9"/>
    <w:rsid w:val="003C0D5F"/>
    <w:rsid w:val="003C38CF"/>
    <w:rsid w:val="003C6283"/>
    <w:rsid w:val="003D21C1"/>
    <w:rsid w:val="003D5630"/>
    <w:rsid w:val="003D5910"/>
    <w:rsid w:val="003D76EB"/>
    <w:rsid w:val="003E12E6"/>
    <w:rsid w:val="003E37BB"/>
    <w:rsid w:val="003E5488"/>
    <w:rsid w:val="003F5D95"/>
    <w:rsid w:val="00411D61"/>
    <w:rsid w:val="00415210"/>
    <w:rsid w:val="004173A5"/>
    <w:rsid w:val="00417A77"/>
    <w:rsid w:val="00425B9C"/>
    <w:rsid w:val="00426E3A"/>
    <w:rsid w:val="00433FD4"/>
    <w:rsid w:val="00442BC9"/>
    <w:rsid w:val="0044703A"/>
    <w:rsid w:val="00451B0E"/>
    <w:rsid w:val="00452DA5"/>
    <w:rsid w:val="004571F0"/>
    <w:rsid w:val="004645C6"/>
    <w:rsid w:val="00465529"/>
    <w:rsid w:val="004705AB"/>
    <w:rsid w:val="00483273"/>
    <w:rsid w:val="00484AA4"/>
    <w:rsid w:val="00486AC6"/>
    <w:rsid w:val="004968FE"/>
    <w:rsid w:val="00497F3E"/>
    <w:rsid w:val="004A3E82"/>
    <w:rsid w:val="004A424A"/>
    <w:rsid w:val="004A5E8D"/>
    <w:rsid w:val="004A7D04"/>
    <w:rsid w:val="004B095D"/>
    <w:rsid w:val="004B1394"/>
    <w:rsid w:val="004B1F42"/>
    <w:rsid w:val="004B3A96"/>
    <w:rsid w:val="004C512B"/>
    <w:rsid w:val="004C5F6A"/>
    <w:rsid w:val="004D3639"/>
    <w:rsid w:val="004E4FA5"/>
    <w:rsid w:val="004E50F0"/>
    <w:rsid w:val="004E6A62"/>
    <w:rsid w:val="004E7F49"/>
    <w:rsid w:val="004F3652"/>
    <w:rsid w:val="004F64E2"/>
    <w:rsid w:val="004F78B4"/>
    <w:rsid w:val="005017FF"/>
    <w:rsid w:val="00520B99"/>
    <w:rsid w:val="00521988"/>
    <w:rsid w:val="00521D59"/>
    <w:rsid w:val="00522E56"/>
    <w:rsid w:val="00523B4E"/>
    <w:rsid w:val="00524127"/>
    <w:rsid w:val="0052468D"/>
    <w:rsid w:val="00525125"/>
    <w:rsid w:val="0052741D"/>
    <w:rsid w:val="00532A9D"/>
    <w:rsid w:val="00542B99"/>
    <w:rsid w:val="0054715F"/>
    <w:rsid w:val="0055046B"/>
    <w:rsid w:val="00563B5F"/>
    <w:rsid w:val="00563CAC"/>
    <w:rsid w:val="00587EC3"/>
    <w:rsid w:val="005A093F"/>
    <w:rsid w:val="005A6858"/>
    <w:rsid w:val="005A7E96"/>
    <w:rsid w:val="005C173B"/>
    <w:rsid w:val="005C5BA2"/>
    <w:rsid w:val="005C7942"/>
    <w:rsid w:val="005D3A7E"/>
    <w:rsid w:val="005D51E8"/>
    <w:rsid w:val="005E3136"/>
    <w:rsid w:val="005F2DC1"/>
    <w:rsid w:val="005F463C"/>
    <w:rsid w:val="0061293C"/>
    <w:rsid w:val="00616D25"/>
    <w:rsid w:val="00623271"/>
    <w:rsid w:val="0063256B"/>
    <w:rsid w:val="00633568"/>
    <w:rsid w:val="006357D7"/>
    <w:rsid w:val="00636627"/>
    <w:rsid w:val="00641555"/>
    <w:rsid w:val="006425CC"/>
    <w:rsid w:val="00643465"/>
    <w:rsid w:val="00652093"/>
    <w:rsid w:val="006554AB"/>
    <w:rsid w:val="006574B4"/>
    <w:rsid w:val="006648F1"/>
    <w:rsid w:val="00664EA5"/>
    <w:rsid w:val="00673440"/>
    <w:rsid w:val="00677C66"/>
    <w:rsid w:val="006820A7"/>
    <w:rsid w:val="006820B8"/>
    <w:rsid w:val="00684E30"/>
    <w:rsid w:val="00692392"/>
    <w:rsid w:val="006A4028"/>
    <w:rsid w:val="006A4B42"/>
    <w:rsid w:val="006B445D"/>
    <w:rsid w:val="006B5209"/>
    <w:rsid w:val="006C3867"/>
    <w:rsid w:val="006D3F26"/>
    <w:rsid w:val="006D7F28"/>
    <w:rsid w:val="006F0847"/>
    <w:rsid w:val="006F47ED"/>
    <w:rsid w:val="0070004A"/>
    <w:rsid w:val="00700326"/>
    <w:rsid w:val="00705CE8"/>
    <w:rsid w:val="00710632"/>
    <w:rsid w:val="0071081C"/>
    <w:rsid w:val="0071431B"/>
    <w:rsid w:val="0071601F"/>
    <w:rsid w:val="0071626A"/>
    <w:rsid w:val="007209E8"/>
    <w:rsid w:val="00721A4D"/>
    <w:rsid w:val="007321A4"/>
    <w:rsid w:val="0073220D"/>
    <w:rsid w:val="00734BB6"/>
    <w:rsid w:val="0073694D"/>
    <w:rsid w:val="00737BBE"/>
    <w:rsid w:val="00751AA2"/>
    <w:rsid w:val="0075353D"/>
    <w:rsid w:val="007561E4"/>
    <w:rsid w:val="00760D1D"/>
    <w:rsid w:val="0076312E"/>
    <w:rsid w:val="007710B0"/>
    <w:rsid w:val="00780B1D"/>
    <w:rsid w:val="00782454"/>
    <w:rsid w:val="0078411C"/>
    <w:rsid w:val="007957A7"/>
    <w:rsid w:val="007A30B5"/>
    <w:rsid w:val="007A3DDF"/>
    <w:rsid w:val="007A4FEA"/>
    <w:rsid w:val="007C0371"/>
    <w:rsid w:val="007C3611"/>
    <w:rsid w:val="007C3738"/>
    <w:rsid w:val="007C7D8C"/>
    <w:rsid w:val="007D10D6"/>
    <w:rsid w:val="007E0B92"/>
    <w:rsid w:val="007E3945"/>
    <w:rsid w:val="007E72DC"/>
    <w:rsid w:val="007F63C9"/>
    <w:rsid w:val="007F7276"/>
    <w:rsid w:val="00800712"/>
    <w:rsid w:val="008031B0"/>
    <w:rsid w:val="00804883"/>
    <w:rsid w:val="00813CAD"/>
    <w:rsid w:val="00820F16"/>
    <w:rsid w:val="008210EB"/>
    <w:rsid w:val="00822C00"/>
    <w:rsid w:val="00825D5F"/>
    <w:rsid w:val="0083532B"/>
    <w:rsid w:val="008363D8"/>
    <w:rsid w:val="0084403C"/>
    <w:rsid w:val="00851FB3"/>
    <w:rsid w:val="00854CD9"/>
    <w:rsid w:val="00856942"/>
    <w:rsid w:val="00860F78"/>
    <w:rsid w:val="00873937"/>
    <w:rsid w:val="00876D47"/>
    <w:rsid w:val="00880B60"/>
    <w:rsid w:val="00886CCC"/>
    <w:rsid w:val="008B65E4"/>
    <w:rsid w:val="008C3CD1"/>
    <w:rsid w:val="008D0393"/>
    <w:rsid w:val="008D6328"/>
    <w:rsid w:val="008D6C05"/>
    <w:rsid w:val="00903BC9"/>
    <w:rsid w:val="009053C5"/>
    <w:rsid w:val="009056B3"/>
    <w:rsid w:val="00905751"/>
    <w:rsid w:val="00905926"/>
    <w:rsid w:val="00915116"/>
    <w:rsid w:val="0091619F"/>
    <w:rsid w:val="0091742B"/>
    <w:rsid w:val="009308B2"/>
    <w:rsid w:val="00933FAC"/>
    <w:rsid w:val="00934C06"/>
    <w:rsid w:val="00944858"/>
    <w:rsid w:val="009464AB"/>
    <w:rsid w:val="0094752A"/>
    <w:rsid w:val="00947B12"/>
    <w:rsid w:val="00950C89"/>
    <w:rsid w:val="009547BA"/>
    <w:rsid w:val="00967AC7"/>
    <w:rsid w:val="009710D6"/>
    <w:rsid w:val="009946E9"/>
    <w:rsid w:val="009951DE"/>
    <w:rsid w:val="009A2E8A"/>
    <w:rsid w:val="009C386B"/>
    <w:rsid w:val="009E0036"/>
    <w:rsid w:val="009E4F2C"/>
    <w:rsid w:val="009E4F40"/>
    <w:rsid w:val="009F0DA2"/>
    <w:rsid w:val="00A01CD8"/>
    <w:rsid w:val="00A02FBF"/>
    <w:rsid w:val="00A153DD"/>
    <w:rsid w:val="00A25A0D"/>
    <w:rsid w:val="00A35B63"/>
    <w:rsid w:val="00A430F4"/>
    <w:rsid w:val="00A44453"/>
    <w:rsid w:val="00A44CA6"/>
    <w:rsid w:val="00A44E02"/>
    <w:rsid w:val="00A51612"/>
    <w:rsid w:val="00A5696F"/>
    <w:rsid w:val="00A57684"/>
    <w:rsid w:val="00A6337C"/>
    <w:rsid w:val="00A66259"/>
    <w:rsid w:val="00A66A6E"/>
    <w:rsid w:val="00A679CF"/>
    <w:rsid w:val="00A67CC1"/>
    <w:rsid w:val="00A70D53"/>
    <w:rsid w:val="00A72469"/>
    <w:rsid w:val="00A76256"/>
    <w:rsid w:val="00A775C3"/>
    <w:rsid w:val="00A82A16"/>
    <w:rsid w:val="00A872E4"/>
    <w:rsid w:val="00A94EEB"/>
    <w:rsid w:val="00A963E6"/>
    <w:rsid w:val="00A9779C"/>
    <w:rsid w:val="00AA3FF3"/>
    <w:rsid w:val="00AA6585"/>
    <w:rsid w:val="00AB2FF2"/>
    <w:rsid w:val="00AB4D32"/>
    <w:rsid w:val="00AC4285"/>
    <w:rsid w:val="00AC743A"/>
    <w:rsid w:val="00AD4DF0"/>
    <w:rsid w:val="00AE01E9"/>
    <w:rsid w:val="00AE330A"/>
    <w:rsid w:val="00AE670D"/>
    <w:rsid w:val="00AE7142"/>
    <w:rsid w:val="00AE7420"/>
    <w:rsid w:val="00AF03E5"/>
    <w:rsid w:val="00AF340A"/>
    <w:rsid w:val="00B0077C"/>
    <w:rsid w:val="00B17208"/>
    <w:rsid w:val="00B206A6"/>
    <w:rsid w:val="00B2078F"/>
    <w:rsid w:val="00B31BDD"/>
    <w:rsid w:val="00B50D68"/>
    <w:rsid w:val="00B51229"/>
    <w:rsid w:val="00B53BFB"/>
    <w:rsid w:val="00B5542F"/>
    <w:rsid w:val="00B62AF8"/>
    <w:rsid w:val="00B63316"/>
    <w:rsid w:val="00B63FAE"/>
    <w:rsid w:val="00B64F91"/>
    <w:rsid w:val="00B70B1B"/>
    <w:rsid w:val="00B70C6F"/>
    <w:rsid w:val="00B83054"/>
    <w:rsid w:val="00B84C66"/>
    <w:rsid w:val="00B94A8D"/>
    <w:rsid w:val="00BA49A1"/>
    <w:rsid w:val="00BA6788"/>
    <w:rsid w:val="00BB5627"/>
    <w:rsid w:val="00BB6A5F"/>
    <w:rsid w:val="00BC1506"/>
    <w:rsid w:val="00BC3BC4"/>
    <w:rsid w:val="00BC41DE"/>
    <w:rsid w:val="00BC580C"/>
    <w:rsid w:val="00BD1059"/>
    <w:rsid w:val="00BE1884"/>
    <w:rsid w:val="00BE331A"/>
    <w:rsid w:val="00BE6488"/>
    <w:rsid w:val="00BE681C"/>
    <w:rsid w:val="00BF28D4"/>
    <w:rsid w:val="00C022CF"/>
    <w:rsid w:val="00C038D3"/>
    <w:rsid w:val="00C0709B"/>
    <w:rsid w:val="00C14796"/>
    <w:rsid w:val="00C17D59"/>
    <w:rsid w:val="00C22552"/>
    <w:rsid w:val="00C35A6C"/>
    <w:rsid w:val="00C404F8"/>
    <w:rsid w:val="00C46195"/>
    <w:rsid w:val="00C464C6"/>
    <w:rsid w:val="00C509D6"/>
    <w:rsid w:val="00C56ADF"/>
    <w:rsid w:val="00C61AC4"/>
    <w:rsid w:val="00C673E5"/>
    <w:rsid w:val="00C738D0"/>
    <w:rsid w:val="00C75E1B"/>
    <w:rsid w:val="00C80050"/>
    <w:rsid w:val="00C8220A"/>
    <w:rsid w:val="00C84000"/>
    <w:rsid w:val="00C84D6F"/>
    <w:rsid w:val="00C95135"/>
    <w:rsid w:val="00CA2A3D"/>
    <w:rsid w:val="00CA2D0D"/>
    <w:rsid w:val="00CA3E5D"/>
    <w:rsid w:val="00CB0669"/>
    <w:rsid w:val="00CB2DC7"/>
    <w:rsid w:val="00CD1567"/>
    <w:rsid w:val="00CD2BD7"/>
    <w:rsid w:val="00CE0225"/>
    <w:rsid w:val="00CE6F01"/>
    <w:rsid w:val="00CE7C12"/>
    <w:rsid w:val="00CF1C4A"/>
    <w:rsid w:val="00CF4971"/>
    <w:rsid w:val="00D0314B"/>
    <w:rsid w:val="00D03D07"/>
    <w:rsid w:val="00D050F6"/>
    <w:rsid w:val="00D07575"/>
    <w:rsid w:val="00D14CBE"/>
    <w:rsid w:val="00D20709"/>
    <w:rsid w:val="00D238BA"/>
    <w:rsid w:val="00D263CB"/>
    <w:rsid w:val="00D339D8"/>
    <w:rsid w:val="00D413B6"/>
    <w:rsid w:val="00D42B3B"/>
    <w:rsid w:val="00D51D29"/>
    <w:rsid w:val="00D67AF6"/>
    <w:rsid w:val="00D74833"/>
    <w:rsid w:val="00D76AE1"/>
    <w:rsid w:val="00DB3321"/>
    <w:rsid w:val="00DC429F"/>
    <w:rsid w:val="00DC52C2"/>
    <w:rsid w:val="00DD4010"/>
    <w:rsid w:val="00DD5F58"/>
    <w:rsid w:val="00DE67D5"/>
    <w:rsid w:val="00DF22DC"/>
    <w:rsid w:val="00DF6B9E"/>
    <w:rsid w:val="00E00833"/>
    <w:rsid w:val="00E02A04"/>
    <w:rsid w:val="00E1227B"/>
    <w:rsid w:val="00E1250D"/>
    <w:rsid w:val="00E13E8B"/>
    <w:rsid w:val="00E23E19"/>
    <w:rsid w:val="00E278CA"/>
    <w:rsid w:val="00E36777"/>
    <w:rsid w:val="00E40670"/>
    <w:rsid w:val="00E43030"/>
    <w:rsid w:val="00E44571"/>
    <w:rsid w:val="00E52A06"/>
    <w:rsid w:val="00E63DAB"/>
    <w:rsid w:val="00E65BFB"/>
    <w:rsid w:val="00E7546D"/>
    <w:rsid w:val="00E93028"/>
    <w:rsid w:val="00EA06EC"/>
    <w:rsid w:val="00EA0B81"/>
    <w:rsid w:val="00EC2914"/>
    <w:rsid w:val="00ED7830"/>
    <w:rsid w:val="00EE19D5"/>
    <w:rsid w:val="00EE1C0C"/>
    <w:rsid w:val="00EE3145"/>
    <w:rsid w:val="00EF521F"/>
    <w:rsid w:val="00F04A36"/>
    <w:rsid w:val="00F05003"/>
    <w:rsid w:val="00F15A24"/>
    <w:rsid w:val="00F16240"/>
    <w:rsid w:val="00F17F54"/>
    <w:rsid w:val="00F21BDC"/>
    <w:rsid w:val="00F23765"/>
    <w:rsid w:val="00F240D7"/>
    <w:rsid w:val="00F32D96"/>
    <w:rsid w:val="00F35C96"/>
    <w:rsid w:val="00F41634"/>
    <w:rsid w:val="00F44710"/>
    <w:rsid w:val="00F44F88"/>
    <w:rsid w:val="00F46778"/>
    <w:rsid w:val="00F573A2"/>
    <w:rsid w:val="00F639E4"/>
    <w:rsid w:val="00F66200"/>
    <w:rsid w:val="00F71A90"/>
    <w:rsid w:val="00F748C4"/>
    <w:rsid w:val="00F863E1"/>
    <w:rsid w:val="00F95070"/>
    <w:rsid w:val="00FA1EEE"/>
    <w:rsid w:val="00FA534C"/>
    <w:rsid w:val="00FB6455"/>
    <w:rsid w:val="00FC22CA"/>
    <w:rsid w:val="00FC3214"/>
    <w:rsid w:val="00FC7A54"/>
    <w:rsid w:val="00FD6ED0"/>
    <w:rsid w:val="00FE03CB"/>
    <w:rsid w:val="01BB662A"/>
    <w:rsid w:val="06874F69"/>
    <w:rsid w:val="0875F791"/>
    <w:rsid w:val="08E578F2"/>
    <w:rsid w:val="09D3571C"/>
    <w:rsid w:val="0B88ECFE"/>
    <w:rsid w:val="0D29E763"/>
    <w:rsid w:val="101F21E7"/>
    <w:rsid w:val="13113442"/>
    <w:rsid w:val="14D311B9"/>
    <w:rsid w:val="14E7E2FD"/>
    <w:rsid w:val="16C1B9E1"/>
    <w:rsid w:val="178B0375"/>
    <w:rsid w:val="17C65304"/>
    <w:rsid w:val="199EFAF8"/>
    <w:rsid w:val="1DAA77BA"/>
    <w:rsid w:val="1F342DCB"/>
    <w:rsid w:val="20598C5F"/>
    <w:rsid w:val="215CF692"/>
    <w:rsid w:val="250D7C31"/>
    <w:rsid w:val="25E3E8E2"/>
    <w:rsid w:val="26E75315"/>
    <w:rsid w:val="27FF8E8C"/>
    <w:rsid w:val="2878A908"/>
    <w:rsid w:val="2A97D8B4"/>
    <w:rsid w:val="2BC80D98"/>
    <w:rsid w:val="324BD95A"/>
    <w:rsid w:val="343A8182"/>
    <w:rsid w:val="3A98E836"/>
    <w:rsid w:val="3BEDA6CC"/>
    <w:rsid w:val="428643D2"/>
    <w:rsid w:val="475C2805"/>
    <w:rsid w:val="4962FC6B"/>
    <w:rsid w:val="4A39691C"/>
    <w:rsid w:val="4C567355"/>
    <w:rsid w:val="4E7F4A61"/>
    <w:rsid w:val="501D8DD2"/>
    <w:rsid w:val="5120F805"/>
    <w:rsid w:val="599D66E3"/>
    <w:rsid w:val="5B8C0F0B"/>
    <w:rsid w:val="5E2F2F83"/>
    <w:rsid w:val="5E695022"/>
    <w:rsid w:val="60432706"/>
    <w:rsid w:val="65D859D9"/>
    <w:rsid w:val="673623B7"/>
    <w:rsid w:val="6A974487"/>
    <w:rsid w:val="6DA05067"/>
    <w:rsid w:val="6EA3BA9A"/>
    <w:rsid w:val="72544039"/>
    <w:rsid w:val="7438ED6D"/>
    <w:rsid w:val="74743CFC"/>
    <w:rsid w:val="74A0C7E6"/>
    <w:rsid w:val="783B8D18"/>
    <w:rsid w:val="78748FDA"/>
    <w:rsid w:val="7CEF7CEA"/>
    <w:rsid w:val="7D077657"/>
    <w:rsid w:val="7EDE251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F4D8"/>
  <w15:chartTrackingRefBased/>
  <w15:docId w15:val="{E5A1BD4E-6CA1-48BB-BB48-AAF7F73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092"/>
    <w:rPr>
      <w:color w:val="0563C1" w:themeColor="hyperlink"/>
      <w:u w:val="single"/>
    </w:rPr>
  </w:style>
  <w:style w:type="paragraph" w:styleId="ListParagraph">
    <w:name w:val="List Paragraph"/>
    <w:basedOn w:val="Normal"/>
    <w:uiPriority w:val="34"/>
    <w:qFormat/>
    <w:rsid w:val="00C022CF"/>
    <w:pPr>
      <w:ind w:left="720"/>
      <w:contextualSpacing/>
    </w:pPr>
  </w:style>
  <w:style w:type="character" w:styleId="CommentReference">
    <w:name w:val="annotation reference"/>
    <w:basedOn w:val="DefaultParagraphFont"/>
    <w:uiPriority w:val="99"/>
    <w:semiHidden/>
    <w:unhideWhenUsed/>
    <w:rsid w:val="007957A7"/>
    <w:rPr>
      <w:sz w:val="16"/>
      <w:szCs w:val="16"/>
    </w:rPr>
  </w:style>
  <w:style w:type="paragraph" w:styleId="CommentText">
    <w:name w:val="annotation text"/>
    <w:basedOn w:val="Normal"/>
    <w:link w:val="CommentTextChar"/>
    <w:uiPriority w:val="99"/>
    <w:unhideWhenUsed/>
    <w:rsid w:val="007957A7"/>
    <w:pPr>
      <w:spacing w:line="240" w:lineRule="auto"/>
    </w:pPr>
    <w:rPr>
      <w:sz w:val="20"/>
      <w:szCs w:val="20"/>
    </w:rPr>
  </w:style>
  <w:style w:type="character" w:customStyle="1" w:styleId="CommentTextChar">
    <w:name w:val="Comment Text Char"/>
    <w:basedOn w:val="DefaultParagraphFont"/>
    <w:link w:val="CommentText"/>
    <w:uiPriority w:val="99"/>
    <w:rsid w:val="007957A7"/>
    <w:rPr>
      <w:sz w:val="20"/>
      <w:szCs w:val="20"/>
      <w:lang w:val="en-US"/>
    </w:rPr>
  </w:style>
  <w:style w:type="paragraph" w:styleId="CommentSubject">
    <w:name w:val="annotation subject"/>
    <w:basedOn w:val="CommentText"/>
    <w:next w:val="CommentText"/>
    <w:link w:val="CommentSubjectChar"/>
    <w:uiPriority w:val="99"/>
    <w:semiHidden/>
    <w:unhideWhenUsed/>
    <w:rsid w:val="007957A7"/>
    <w:rPr>
      <w:b/>
      <w:bCs/>
    </w:rPr>
  </w:style>
  <w:style w:type="character" w:customStyle="1" w:styleId="CommentSubjectChar">
    <w:name w:val="Comment Subject Char"/>
    <w:basedOn w:val="CommentTextChar"/>
    <w:link w:val="CommentSubject"/>
    <w:uiPriority w:val="99"/>
    <w:semiHidden/>
    <w:rsid w:val="007957A7"/>
    <w:rPr>
      <w:b/>
      <w:bCs/>
      <w:sz w:val="20"/>
      <w:szCs w:val="20"/>
      <w:lang w:val="en-US"/>
    </w:rPr>
  </w:style>
  <w:style w:type="paragraph" w:styleId="Revision">
    <w:name w:val="Revision"/>
    <w:hidden/>
    <w:uiPriority w:val="99"/>
    <w:semiHidden/>
    <w:rsid w:val="00F71A90"/>
    <w:pPr>
      <w:spacing w:after="0" w:line="240" w:lineRule="auto"/>
    </w:pPr>
    <w:rPr>
      <w:lang w:val="en-US"/>
    </w:rPr>
  </w:style>
  <w:style w:type="paragraph" w:styleId="Header">
    <w:name w:val="header"/>
    <w:basedOn w:val="Normal"/>
    <w:link w:val="HeaderChar"/>
    <w:uiPriority w:val="99"/>
    <w:unhideWhenUsed/>
    <w:rsid w:val="007A3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0B5"/>
    <w:rPr>
      <w:lang w:val="en-US"/>
    </w:rPr>
  </w:style>
  <w:style w:type="paragraph" w:styleId="Footer">
    <w:name w:val="footer"/>
    <w:basedOn w:val="Normal"/>
    <w:link w:val="FooterChar"/>
    <w:uiPriority w:val="99"/>
    <w:unhideWhenUsed/>
    <w:rsid w:val="007A3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0B5"/>
    <w:rPr>
      <w:lang w:val="en-US"/>
    </w:rPr>
  </w:style>
  <w:style w:type="paragraph" w:styleId="BalloonText">
    <w:name w:val="Balloon Text"/>
    <w:basedOn w:val="Normal"/>
    <w:link w:val="BalloonTextChar"/>
    <w:uiPriority w:val="99"/>
    <w:semiHidden/>
    <w:unhideWhenUsed/>
    <w:rsid w:val="00C67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3E5"/>
    <w:rPr>
      <w:rFonts w:ascii="Segoe UI" w:hAnsi="Segoe UI" w:cs="Segoe UI"/>
      <w:sz w:val="18"/>
      <w:szCs w:val="18"/>
      <w:lang w:val="en-US"/>
    </w:rPr>
  </w:style>
  <w:style w:type="character" w:customStyle="1" w:styleId="Mention1">
    <w:name w:val="Mention1"/>
    <w:basedOn w:val="DefaultParagraphFont"/>
    <w:uiPriority w:val="99"/>
    <w:unhideWhenUsed/>
    <w:rsid w:val="009053C5"/>
    <w:rPr>
      <w:color w:val="2B579A"/>
      <w:shd w:val="clear" w:color="auto" w:fill="E1DFDD"/>
    </w:rPr>
  </w:style>
  <w:style w:type="table" w:styleId="TableGrid">
    <w:name w:val="Table Grid"/>
    <w:basedOn w:val="TableNormal"/>
    <w:uiPriority w:val="59"/>
    <w:rsid w:val="001649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164976"/>
  </w:style>
  <w:style w:type="character" w:customStyle="1" w:styleId="eop">
    <w:name w:val="eop"/>
    <w:basedOn w:val="DefaultParagraphFont"/>
    <w:rsid w:val="0016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30374">
      <w:bodyDiv w:val="1"/>
      <w:marLeft w:val="0"/>
      <w:marRight w:val="0"/>
      <w:marTop w:val="0"/>
      <w:marBottom w:val="0"/>
      <w:divBdr>
        <w:top w:val="none" w:sz="0" w:space="0" w:color="auto"/>
        <w:left w:val="none" w:sz="0" w:space="0" w:color="auto"/>
        <w:bottom w:val="none" w:sz="0" w:space="0" w:color="auto"/>
        <w:right w:val="none" w:sz="0" w:space="0" w:color="auto"/>
      </w:divBdr>
    </w:div>
    <w:div w:id="656572181">
      <w:bodyDiv w:val="1"/>
      <w:marLeft w:val="0"/>
      <w:marRight w:val="0"/>
      <w:marTop w:val="0"/>
      <w:marBottom w:val="0"/>
      <w:divBdr>
        <w:top w:val="none" w:sz="0" w:space="0" w:color="auto"/>
        <w:left w:val="none" w:sz="0" w:space="0" w:color="auto"/>
        <w:bottom w:val="none" w:sz="0" w:space="0" w:color="auto"/>
        <w:right w:val="none" w:sz="0" w:space="0" w:color="auto"/>
      </w:divBdr>
    </w:div>
    <w:div w:id="756750845">
      <w:bodyDiv w:val="1"/>
      <w:marLeft w:val="0"/>
      <w:marRight w:val="0"/>
      <w:marTop w:val="0"/>
      <w:marBottom w:val="0"/>
      <w:divBdr>
        <w:top w:val="none" w:sz="0" w:space="0" w:color="auto"/>
        <w:left w:val="none" w:sz="0" w:space="0" w:color="auto"/>
        <w:bottom w:val="none" w:sz="0" w:space="0" w:color="auto"/>
        <w:right w:val="none" w:sz="0" w:space="0" w:color="auto"/>
      </w:divBdr>
    </w:div>
    <w:div w:id="955138381">
      <w:bodyDiv w:val="1"/>
      <w:marLeft w:val="0"/>
      <w:marRight w:val="0"/>
      <w:marTop w:val="0"/>
      <w:marBottom w:val="0"/>
      <w:divBdr>
        <w:top w:val="none" w:sz="0" w:space="0" w:color="auto"/>
        <w:left w:val="none" w:sz="0" w:space="0" w:color="auto"/>
        <w:bottom w:val="none" w:sz="0" w:space="0" w:color="auto"/>
        <w:right w:val="none" w:sz="0" w:space="0" w:color="auto"/>
      </w:divBdr>
    </w:div>
    <w:div w:id="18060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SethLevin\AppData\Local\Microsoft\Windows\INetCache\Content.Outlook\A6IU9N5K\www.seda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lobenewswire.com/Tracker?data=OVcFAyZYiGKu1B2jbO9prt1lA8nyNjoNgE5xQ6MQi5qkPRVbs-FFPCh-Cl96jXlwTCqWPt3AqQZqigZqjiBuydiBaxMJw1kTUj83rQfQT2aNM3SMTuN-o1ry81NxKM0TsscuilqmjasQHjTT7NMhD6xLM42KMIm7wW1kx0J4sJJ-qmeXwnHCLWJrt3e_gzguOwyv-OdvOElJXgcua5oFw6EYLeymb6vCNNp8m4-FSTe0aoppobMeIILZ0lEzA7L6tqJdRrpTPruMYPnSN_nE1Q=="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 M T D O C S ! 4 4 9 1 3 1 7 4 . 2 < / d o c u m e n t i d >  
     < s e n d e r i d > N C H O I < / s e n d e r i d >  
     < s e n d e r e m a i l > N C H O I @ M C C A R T H Y . C A < / s e n d e r e m a i l >  
     < l a s t m o d i f i e d > 2 0 2 2 - 0 5 - 2 8 T 1 9 : 4 4 : 0 0 . 0 0 0 0 0 0 0 - 0 4 : 0 0 < / l a s t m o d i f i e d >  
     < d a t a b a s e > M T D O C S 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F24D56660E7B4687658BF5DD53EFAE" ma:contentTypeVersion="6" ma:contentTypeDescription="Create a new document." ma:contentTypeScope="" ma:versionID="03a6be43546040fd80366a0a82e5ac76">
  <xsd:schema xmlns:xsd="http://www.w3.org/2001/XMLSchema" xmlns:xs="http://www.w3.org/2001/XMLSchema" xmlns:p="http://schemas.microsoft.com/office/2006/metadata/properties" xmlns:ns2="9677fa95-a038-45cc-baa7-f232bae60105" xmlns:ns3="7b3ac9a2-f40b-4c3d-8ba2-fd28f2ba6c0a" targetNamespace="http://schemas.microsoft.com/office/2006/metadata/properties" ma:root="true" ma:fieldsID="7e3425f242a2a2af37b1e34b776c9fe3" ns2:_="" ns3:_="">
    <xsd:import namespace="9677fa95-a038-45cc-baa7-f232bae60105"/>
    <xsd:import namespace="7b3ac9a2-f40b-4c3d-8ba2-fd28f2ba6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7fa95-a038-45cc-baa7-f232bae60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ac9a2-f40b-4c3d-8ba2-fd28f2ba6c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9276-179D-466D-9D59-C1A8221F61DB}">
  <ds:schemaRefs>
    <ds:schemaRef ds:uri="http://www.imanage.com/work/xmlschema"/>
  </ds:schemaRefs>
</ds:datastoreItem>
</file>

<file path=customXml/itemProps2.xml><?xml version="1.0" encoding="utf-8"?>
<ds:datastoreItem xmlns:ds="http://schemas.openxmlformats.org/officeDocument/2006/customXml" ds:itemID="{75645677-AF55-45C7-B30D-77E2801560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BB9D8C-2FCB-4DAF-BD13-01065D4563C4}">
  <ds:schemaRefs>
    <ds:schemaRef ds:uri="http://schemas.microsoft.com/sharepoint/v3/contenttype/forms"/>
  </ds:schemaRefs>
</ds:datastoreItem>
</file>

<file path=customXml/itemProps4.xml><?xml version="1.0" encoding="utf-8"?>
<ds:datastoreItem xmlns:ds="http://schemas.openxmlformats.org/officeDocument/2006/customXml" ds:itemID="{21E2503F-76C6-4136-A8A4-4AF69CB7F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7fa95-a038-45cc-baa7-f232bae60105"/>
    <ds:schemaRef ds:uri="7b3ac9a2-f40b-4c3d-8ba2-fd28f2ba6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40565E-4227-4C89-BABE-730F43B4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1936</Words>
  <Characters>11041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Stephenson</dc:creator>
  <cp:keywords/>
  <dc:description/>
  <cp:lastModifiedBy>Monique Hutchins</cp:lastModifiedBy>
  <cp:revision>2</cp:revision>
  <cp:lastPrinted>2022-08-29T21:56:00Z</cp:lastPrinted>
  <dcterms:created xsi:type="dcterms:W3CDTF">2022-08-30T00:15:00Z</dcterms:created>
  <dcterms:modified xsi:type="dcterms:W3CDTF">2022-08-30T00:15:00Z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44913174</vt:lpwstr>
  </property>
  <property fmtid="{D5CDD505-2E9C-101B-9397-08002B2CF9AE}" pid="3" name="DocumentVersion">
    <vt:lpwstr>2</vt:lpwstr>
  </property>
  <property fmtid="{D5CDD505-2E9C-101B-9397-08002B2CF9AE}" pid="4" name="ClientNumber">
    <vt:lpwstr>227645</vt:lpwstr>
  </property>
  <property fmtid="{D5CDD505-2E9C-101B-9397-08002B2CF9AE}" pid="5" name="MatterNumber">
    <vt:lpwstr>557941</vt:lpwstr>
  </property>
  <property fmtid="{D5CDD505-2E9C-101B-9397-08002B2CF9AE}" pid="6" name="ClientName">
    <vt:lpwstr>Wesana Health Holdings Inc.</vt:lpwstr>
  </property>
  <property fmtid="{D5CDD505-2E9C-101B-9397-08002B2CF9AE}" pid="7" name="MatterName">
    <vt:lpwstr>GSA</vt:lpwstr>
  </property>
  <property fmtid="{D5CDD505-2E9C-101B-9397-08002B2CF9AE}" pid="8" name="DatabaseName">
    <vt:lpwstr>MTDOCS</vt:lpwstr>
  </property>
  <property fmtid="{D5CDD505-2E9C-101B-9397-08002B2CF9AE}" pid="9" name="TypistName">
    <vt:lpwstr>NCHOI</vt:lpwstr>
  </property>
  <property fmtid="{D5CDD505-2E9C-101B-9397-08002B2CF9AE}" pid="10" name="AuthorName">
    <vt:lpwstr>NCHOI</vt:lpwstr>
  </property>
  <property fmtid="{D5CDD505-2E9C-101B-9397-08002B2CF9AE}" pid="11" name="InUseBy">
    <vt:lpwstr>NCHOI</vt:lpwstr>
  </property>
  <property fmtid="{D5CDD505-2E9C-101B-9397-08002B2CF9AE}" pid="12" name="EditDate">
    <vt:lpwstr>05/28/22 11:38:13 PM</vt:lpwstr>
  </property>
  <property fmtid="{D5CDD505-2E9C-101B-9397-08002B2CF9AE}" pid="13" name="EditTime">
    <vt:lpwstr/>
  </property>
  <property fmtid="{D5CDD505-2E9C-101B-9397-08002B2CF9AE}" pid="14" name="IsiManageWork">
    <vt:lpwstr>True</vt:lpwstr>
  </property>
  <property fmtid="{D5CDD505-2E9C-101B-9397-08002B2CF9AE}" pid="15" name="ContentTypeId">
    <vt:lpwstr>0x01010076F24D56660E7B4687658BF5DD53EFAE</vt:lpwstr>
  </property>
</Properties>
</file>