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Pr="00357192" w:rsidRDefault="00640E94" w:rsidP="00357192">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357192">
        <w:rPr>
          <w:rFonts w:cs="Arial"/>
          <w:color w:val="000000"/>
          <w:sz w:val="28"/>
        </w:rPr>
        <w:t>FORM 7</w:t>
      </w:r>
      <w:r w:rsidRPr="00357192">
        <w:rPr>
          <w:rFonts w:cs="Arial"/>
          <w:color w:val="000000"/>
          <w:sz w:val="28"/>
        </w:rPr>
        <w:br/>
      </w:r>
      <w:r w:rsidRPr="00357192">
        <w:rPr>
          <w:rFonts w:cs="Arial"/>
          <w:color w:val="000000"/>
          <w:sz w:val="28"/>
        </w:rPr>
        <w:br/>
      </w:r>
      <w:r w:rsidRPr="00357192">
        <w:rPr>
          <w:rFonts w:cs="Arial"/>
          <w:color w:val="000000"/>
          <w:sz w:val="28"/>
          <w:u w:val="single"/>
        </w:rPr>
        <w:t>MONTHLY PROGRESS REPORT</w:t>
      </w:r>
      <w:bookmarkEnd w:id="0"/>
      <w:bookmarkEnd w:id="1"/>
      <w:bookmarkEnd w:id="2"/>
      <w:bookmarkEnd w:id="3"/>
    </w:p>
    <w:p w:rsidR="00640E94" w:rsidRPr="00357192" w:rsidRDefault="00640E94" w:rsidP="00357192">
      <w:pPr>
        <w:pStyle w:val="BodyText"/>
        <w:tabs>
          <w:tab w:val="left" w:pos="0"/>
        </w:tabs>
        <w:jc w:val="both"/>
        <w:rPr>
          <w:rFonts w:ascii="Arial" w:hAnsi="Arial" w:cs="Arial"/>
          <w:color w:val="000000"/>
        </w:rPr>
      </w:pPr>
      <w:r w:rsidRPr="00357192">
        <w:rPr>
          <w:rFonts w:ascii="Arial" w:hAnsi="Arial" w:cs="Arial"/>
          <w:color w:val="000000"/>
        </w:rPr>
        <w:t xml:space="preserve">Name of </w:t>
      </w:r>
      <w:r w:rsidR="008B7E92" w:rsidRPr="00357192">
        <w:rPr>
          <w:rFonts w:ascii="Arial" w:hAnsi="Arial" w:cs="Arial"/>
          <w:color w:val="000000"/>
        </w:rPr>
        <w:t>Listed</w:t>
      </w:r>
      <w:r w:rsidRPr="00357192">
        <w:rPr>
          <w:rFonts w:ascii="Arial" w:hAnsi="Arial" w:cs="Arial"/>
          <w:color w:val="000000"/>
        </w:rPr>
        <w:t xml:space="preserve"> Issuer: </w:t>
      </w:r>
      <w:r w:rsidR="00AA0F64" w:rsidRPr="00357192">
        <w:rPr>
          <w:rFonts w:ascii="Arial" w:hAnsi="Arial" w:cs="Arial"/>
          <w:color w:val="000000"/>
        </w:rPr>
        <w:t>WINSTON</w:t>
      </w:r>
      <w:r w:rsidR="00311887" w:rsidRPr="00357192">
        <w:rPr>
          <w:rFonts w:ascii="Arial" w:hAnsi="Arial" w:cs="Arial"/>
          <w:color w:val="000000"/>
        </w:rPr>
        <w:t xml:space="preserve"> RESOURCES </w:t>
      </w:r>
      <w:r w:rsidR="00AA0F64" w:rsidRPr="00357192">
        <w:rPr>
          <w:rFonts w:ascii="Arial" w:hAnsi="Arial" w:cs="Arial"/>
          <w:color w:val="000000"/>
        </w:rPr>
        <w:t>INC</w:t>
      </w:r>
      <w:r w:rsidR="00311887" w:rsidRPr="00357192">
        <w:rPr>
          <w:rFonts w:ascii="Arial" w:hAnsi="Arial" w:cs="Arial"/>
          <w:color w:val="000000"/>
        </w:rPr>
        <w:t xml:space="preserve">. </w:t>
      </w:r>
      <w:r w:rsidRPr="00357192">
        <w:rPr>
          <w:rFonts w:ascii="Arial" w:hAnsi="Arial" w:cs="Arial"/>
          <w:color w:val="000000"/>
        </w:rPr>
        <w:t>(the “Issuer”).</w:t>
      </w:r>
    </w:p>
    <w:p w:rsidR="00311887" w:rsidRPr="00357192" w:rsidRDefault="00640E94" w:rsidP="00357192">
      <w:pPr>
        <w:pStyle w:val="BodyText"/>
        <w:tabs>
          <w:tab w:val="left" w:pos="7920"/>
          <w:tab w:val="left" w:pos="9180"/>
        </w:tabs>
        <w:jc w:val="both"/>
        <w:rPr>
          <w:rFonts w:ascii="Arial" w:hAnsi="Arial" w:cs="Arial"/>
          <w:color w:val="000000"/>
          <w:u w:val="single"/>
        </w:rPr>
      </w:pPr>
      <w:r w:rsidRPr="00357192">
        <w:rPr>
          <w:rFonts w:ascii="Arial" w:hAnsi="Arial" w:cs="Arial"/>
          <w:color w:val="000000"/>
        </w:rPr>
        <w:t xml:space="preserve">Trading Symbol: </w:t>
      </w:r>
      <w:r w:rsidR="00AA0F64" w:rsidRPr="00357192">
        <w:rPr>
          <w:rFonts w:ascii="Arial" w:hAnsi="Arial" w:cs="Arial"/>
          <w:color w:val="000000"/>
        </w:rPr>
        <w:t>WRW</w:t>
      </w:r>
    </w:p>
    <w:p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Number of Outstanding </w:t>
      </w:r>
      <w:r w:rsidR="00C27A18" w:rsidRPr="00357192">
        <w:rPr>
          <w:rFonts w:ascii="Arial" w:hAnsi="Arial" w:cs="Arial"/>
          <w:color w:val="000000"/>
        </w:rPr>
        <w:t>Listed</w:t>
      </w:r>
      <w:r w:rsidRPr="00357192">
        <w:rPr>
          <w:rFonts w:ascii="Arial" w:hAnsi="Arial" w:cs="Arial"/>
          <w:color w:val="000000"/>
        </w:rPr>
        <w:t xml:space="preserve"> </w:t>
      </w:r>
      <w:r w:rsidRPr="00BB28FE">
        <w:rPr>
          <w:rFonts w:ascii="Arial" w:hAnsi="Arial" w:cs="Arial"/>
          <w:color w:val="000000"/>
        </w:rPr>
        <w:t xml:space="preserve">Securities: </w:t>
      </w:r>
      <w:r w:rsidR="003B2852" w:rsidRPr="00BB28FE">
        <w:rPr>
          <w:rFonts w:ascii="Arial" w:hAnsi="Arial" w:cs="Arial"/>
          <w:color w:val="000000"/>
        </w:rPr>
        <w:t>25,133,840</w:t>
      </w:r>
    </w:p>
    <w:p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Date: </w:t>
      </w:r>
      <w:r w:rsidR="00E87B22">
        <w:rPr>
          <w:rFonts w:ascii="Arial" w:hAnsi="Arial" w:cs="Arial"/>
          <w:color w:val="000000"/>
        </w:rPr>
        <w:t>February 7</w:t>
      </w:r>
      <w:r w:rsidR="002C4009">
        <w:rPr>
          <w:rFonts w:ascii="Arial" w:hAnsi="Arial" w:cs="Arial"/>
          <w:color w:val="000000"/>
        </w:rPr>
        <w:t xml:space="preserve">, </w:t>
      </w:r>
      <w:r w:rsidR="000F55C8">
        <w:rPr>
          <w:rFonts w:ascii="Arial" w:hAnsi="Arial" w:cs="Arial"/>
          <w:color w:val="000000"/>
        </w:rPr>
        <w:t>2018</w:t>
      </w:r>
    </w:p>
    <w:p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This Monthly Progress Report must be posted before the opening o</w:t>
      </w:r>
      <w:bookmarkStart w:id="5" w:name="_GoBack"/>
      <w:bookmarkEnd w:id="5"/>
      <w:r w:rsidRPr="00357192">
        <w:rPr>
          <w:rFonts w:ascii="Arial" w:hAnsi="Arial" w:cs="Arial"/>
          <w:color w:val="000000"/>
        </w:rPr>
        <w:t xml:space="preserve">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57192">
        <w:rPr>
          <w:rFonts w:ascii="Arial" w:hAnsi="Arial" w:cs="Arial"/>
          <w:color w:val="000000"/>
        </w:rPr>
        <w:t>Exchange</w:t>
      </w:r>
      <w:r w:rsidRPr="00357192">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57192">
        <w:rPr>
          <w:rFonts w:ascii="Arial" w:hAnsi="Arial" w:cs="Arial"/>
          <w:color w:val="000000"/>
        </w:rPr>
        <w:t>Exchange</w:t>
      </w:r>
      <w:r w:rsidRPr="00357192">
        <w:rPr>
          <w:rFonts w:ascii="Arial" w:hAnsi="Arial" w:cs="Arial"/>
          <w:color w:val="000000"/>
        </w:rPr>
        <w:t xml:space="preserve"> website.</w:t>
      </w:r>
    </w:p>
    <w:p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357192">
        <w:rPr>
          <w:rFonts w:ascii="Arial" w:hAnsi="Arial" w:cs="Arial"/>
          <w:color w:val="000000"/>
        </w:rPr>
        <w:t>future plans</w:t>
      </w:r>
      <w:proofErr w:type="gramEnd"/>
      <w:r w:rsidRPr="00357192">
        <w:rPr>
          <w:rFonts w:ascii="Arial" w:hAnsi="Arial" w:cs="Arial"/>
          <w:color w:val="000000"/>
        </w:rPr>
        <w:t xml:space="preserve"> unless they have crystallized to the point that they are "material information" as defined in the Policies. The discussion in this report must be factual, balanced and non-promotional.</w:t>
      </w:r>
    </w:p>
    <w:p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b/>
          <w:color w:val="000000"/>
        </w:rPr>
        <w:t>General Instructions</w:t>
      </w:r>
    </w:p>
    <w:p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The term “Issuer” includes the Issuer and any of its subsidiaries.</w:t>
      </w:r>
    </w:p>
    <w:p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Terms used and not defined in this form are defined or interpreted in Policy 1 – Interpretation and General Provisions.</w:t>
      </w:r>
    </w:p>
    <w:p w:rsidR="00640E94" w:rsidRDefault="00640E94" w:rsidP="00357192">
      <w:pPr>
        <w:pStyle w:val="List"/>
        <w:keepLines/>
        <w:spacing w:before="120"/>
        <w:ind w:left="0" w:firstLine="0"/>
        <w:jc w:val="both"/>
        <w:rPr>
          <w:rFonts w:ascii="Arial" w:hAnsi="Arial" w:cs="Arial"/>
          <w:b/>
        </w:rPr>
      </w:pPr>
      <w:r w:rsidRPr="00357192">
        <w:rPr>
          <w:rFonts w:ascii="Arial" w:hAnsi="Arial" w:cs="Arial"/>
          <w:b/>
        </w:rPr>
        <w:t>Report on Business</w:t>
      </w:r>
    </w:p>
    <w:p w:rsidR="00931EF7" w:rsidRPr="00357192" w:rsidRDefault="00931EF7" w:rsidP="00357192">
      <w:pPr>
        <w:pStyle w:val="List"/>
        <w:keepLines/>
        <w:spacing w:before="120"/>
        <w:ind w:left="0" w:firstLine="0"/>
        <w:jc w:val="both"/>
        <w:rPr>
          <w:rFonts w:ascii="Arial" w:hAnsi="Arial" w:cs="Arial"/>
          <w:b/>
        </w:rPr>
      </w:pPr>
    </w:p>
    <w:p w:rsidR="00640E94" w:rsidRDefault="00640E94" w:rsidP="00931EF7">
      <w:pPr>
        <w:pStyle w:val="List"/>
        <w:numPr>
          <w:ilvl w:val="0"/>
          <w:numId w:val="28"/>
        </w:numPr>
        <w:spacing w:before="0"/>
        <w:jc w:val="both"/>
        <w:rPr>
          <w:rFonts w:ascii="Arial" w:hAnsi="Arial" w:cs="Arial"/>
        </w:rPr>
      </w:pPr>
      <w:r w:rsidRPr="00357192">
        <w:rPr>
          <w:rFonts w:ascii="Arial" w:hAnsi="Arial" w:cs="Arial"/>
        </w:rPr>
        <w:t>Provide a general overview and discussion of the development of the Issuer’s business and operations over the previous month.  Where the Issuer was inactive disclose this fact.</w:t>
      </w:r>
    </w:p>
    <w:p w:rsidR="004471D7" w:rsidRPr="00357192" w:rsidRDefault="004471D7" w:rsidP="004471D7">
      <w:pPr>
        <w:pStyle w:val="List"/>
        <w:spacing w:before="0"/>
        <w:jc w:val="both"/>
        <w:rPr>
          <w:rFonts w:ascii="Arial" w:hAnsi="Arial" w:cs="Arial"/>
        </w:rPr>
      </w:pPr>
    </w:p>
    <w:p w:rsidR="00CE154B" w:rsidRPr="00CE154B" w:rsidRDefault="00CE154B" w:rsidP="00CE154B">
      <w:pPr>
        <w:pStyle w:val="NormalWeb"/>
        <w:ind w:left="720"/>
        <w:rPr>
          <w:rFonts w:ascii="Arial" w:hAnsi="Arial" w:cs="Arial"/>
          <w:b/>
          <w:sz w:val="22"/>
          <w:szCs w:val="22"/>
        </w:rPr>
      </w:pPr>
      <w:r>
        <w:rPr>
          <w:rFonts w:ascii="Arial" w:hAnsi="Arial" w:cs="Arial"/>
          <w:b/>
          <w:sz w:val="22"/>
          <w:szCs w:val="22"/>
        </w:rPr>
        <w:t xml:space="preserve">On January </w:t>
      </w:r>
      <w:r w:rsidR="00D4578A">
        <w:rPr>
          <w:rFonts w:ascii="Arial" w:hAnsi="Arial" w:cs="Arial"/>
          <w:b/>
          <w:sz w:val="22"/>
          <w:szCs w:val="22"/>
        </w:rPr>
        <w:t>12</w:t>
      </w:r>
      <w:r w:rsidR="00D4578A" w:rsidRPr="00D4578A">
        <w:rPr>
          <w:rFonts w:ascii="Arial" w:hAnsi="Arial" w:cs="Arial"/>
          <w:b/>
          <w:sz w:val="22"/>
          <w:szCs w:val="22"/>
          <w:vertAlign w:val="superscript"/>
        </w:rPr>
        <w:t>th</w:t>
      </w:r>
      <w:r>
        <w:rPr>
          <w:rFonts w:ascii="Arial" w:hAnsi="Arial" w:cs="Arial"/>
          <w:b/>
          <w:sz w:val="22"/>
          <w:szCs w:val="22"/>
        </w:rPr>
        <w:t>, 2018</w:t>
      </w:r>
      <w:r w:rsidR="00534016">
        <w:rPr>
          <w:rFonts w:ascii="Arial" w:hAnsi="Arial" w:cs="Arial"/>
          <w:b/>
          <w:sz w:val="22"/>
          <w:szCs w:val="22"/>
        </w:rPr>
        <w:t xml:space="preserve">, the Company </w:t>
      </w:r>
      <w:r w:rsidR="004471D7">
        <w:rPr>
          <w:rFonts w:ascii="Arial" w:hAnsi="Arial" w:cs="Arial"/>
          <w:b/>
          <w:sz w:val="22"/>
          <w:szCs w:val="22"/>
        </w:rPr>
        <w:t>announced that</w:t>
      </w:r>
      <w:r>
        <w:rPr>
          <w:rFonts w:ascii="Arial" w:hAnsi="Arial" w:cs="Arial"/>
          <w:b/>
          <w:sz w:val="22"/>
          <w:szCs w:val="22"/>
        </w:rPr>
        <w:t xml:space="preserve"> </w:t>
      </w:r>
      <w:r w:rsidRPr="00CE154B">
        <w:rPr>
          <w:rFonts w:ascii="Arial" w:hAnsi="Arial" w:cs="Arial"/>
          <w:b/>
          <w:sz w:val="22"/>
          <w:szCs w:val="22"/>
        </w:rPr>
        <w:t xml:space="preserve">it has entered into an assignment and novation agreement dated effective Jan. 10, 2018, among the </w:t>
      </w:r>
      <w:r w:rsidRPr="00CE154B">
        <w:rPr>
          <w:rFonts w:ascii="Arial" w:hAnsi="Arial" w:cs="Arial"/>
          <w:b/>
          <w:sz w:val="22"/>
          <w:szCs w:val="22"/>
        </w:rPr>
        <w:lastRenderedPageBreak/>
        <w:t xml:space="preserve">company, GT Therapeutics Corp. (doing business as Green Tree Therapeutics (GTT)), certain shareholders of GTT and </w:t>
      </w:r>
      <w:proofErr w:type="spellStart"/>
      <w:r w:rsidRPr="00CE154B">
        <w:rPr>
          <w:rFonts w:ascii="Arial" w:hAnsi="Arial" w:cs="Arial"/>
          <w:b/>
          <w:sz w:val="22"/>
          <w:szCs w:val="22"/>
        </w:rPr>
        <w:t>Abattis</w:t>
      </w:r>
      <w:proofErr w:type="spellEnd"/>
      <w:r w:rsidRPr="00CE154B">
        <w:rPr>
          <w:rFonts w:ascii="Arial" w:hAnsi="Arial" w:cs="Arial"/>
          <w:b/>
          <w:sz w:val="22"/>
          <w:szCs w:val="22"/>
        </w:rPr>
        <w:t xml:space="preserve"> </w:t>
      </w:r>
      <w:proofErr w:type="spellStart"/>
      <w:r w:rsidRPr="00CE154B">
        <w:rPr>
          <w:rFonts w:ascii="Arial" w:hAnsi="Arial" w:cs="Arial"/>
          <w:b/>
          <w:sz w:val="22"/>
          <w:szCs w:val="22"/>
        </w:rPr>
        <w:t>Bioceuticals</w:t>
      </w:r>
      <w:proofErr w:type="spellEnd"/>
      <w:r w:rsidRPr="00CE154B">
        <w:rPr>
          <w:rFonts w:ascii="Arial" w:hAnsi="Arial" w:cs="Arial"/>
          <w:b/>
          <w:sz w:val="22"/>
          <w:szCs w:val="22"/>
        </w:rPr>
        <w:t xml:space="preserve"> Corp.</w:t>
      </w:r>
    </w:p>
    <w:p w:rsidR="00CE154B" w:rsidRPr="00CE154B" w:rsidRDefault="00CE154B" w:rsidP="00CE154B">
      <w:pPr>
        <w:pStyle w:val="NormalWeb"/>
        <w:ind w:left="720"/>
        <w:rPr>
          <w:rFonts w:ascii="Arial" w:hAnsi="Arial" w:cs="Arial"/>
          <w:b/>
          <w:sz w:val="22"/>
          <w:szCs w:val="22"/>
        </w:rPr>
      </w:pPr>
      <w:r w:rsidRPr="00CE154B">
        <w:rPr>
          <w:rFonts w:ascii="Arial" w:hAnsi="Arial" w:cs="Arial"/>
          <w:b/>
          <w:sz w:val="22"/>
          <w:szCs w:val="22"/>
        </w:rPr>
        <w:t xml:space="preserve">Pursuant to the terms of the assignment agreement, the company has assigned </w:t>
      </w:r>
      <w:proofErr w:type="gramStart"/>
      <w:r w:rsidRPr="00CE154B">
        <w:rPr>
          <w:rFonts w:ascii="Arial" w:hAnsi="Arial" w:cs="Arial"/>
          <w:b/>
          <w:sz w:val="22"/>
          <w:szCs w:val="22"/>
        </w:rPr>
        <w:t>all of</w:t>
      </w:r>
      <w:proofErr w:type="gramEnd"/>
      <w:r w:rsidRPr="00CE154B">
        <w:rPr>
          <w:rFonts w:ascii="Arial" w:hAnsi="Arial" w:cs="Arial"/>
          <w:b/>
          <w:sz w:val="22"/>
          <w:szCs w:val="22"/>
        </w:rPr>
        <w:t xml:space="preserve"> its rights and interest under the share exchange agreement dated effective May 31, 2017, with GTT. The share exchange agreement relates to an acquisition of </w:t>
      </w:r>
      <w:proofErr w:type="gramStart"/>
      <w:r w:rsidRPr="00CE154B">
        <w:rPr>
          <w:rFonts w:ascii="Arial" w:hAnsi="Arial" w:cs="Arial"/>
          <w:b/>
          <w:sz w:val="22"/>
          <w:szCs w:val="22"/>
        </w:rPr>
        <w:t>all of</w:t>
      </w:r>
      <w:proofErr w:type="gramEnd"/>
      <w:r w:rsidRPr="00CE154B">
        <w:rPr>
          <w:rFonts w:ascii="Arial" w:hAnsi="Arial" w:cs="Arial"/>
          <w:b/>
          <w:sz w:val="22"/>
          <w:szCs w:val="22"/>
        </w:rPr>
        <w:t xml:space="preserve"> the issued and outstanding shares of GTT (see press releases dated Feb. 27, 2017, and June 1, 2017, for further details). </w:t>
      </w:r>
      <w:proofErr w:type="gramStart"/>
      <w:r w:rsidRPr="00CE154B">
        <w:rPr>
          <w:rFonts w:ascii="Arial" w:hAnsi="Arial" w:cs="Arial"/>
          <w:b/>
          <w:sz w:val="22"/>
          <w:szCs w:val="22"/>
        </w:rPr>
        <w:t>In connection with</w:t>
      </w:r>
      <w:proofErr w:type="gramEnd"/>
      <w:r w:rsidRPr="00CE154B">
        <w:rPr>
          <w:rFonts w:ascii="Arial" w:hAnsi="Arial" w:cs="Arial"/>
          <w:b/>
          <w:sz w:val="22"/>
          <w:szCs w:val="22"/>
        </w:rPr>
        <w:t xml:space="preserve"> the assignment, </w:t>
      </w:r>
      <w:proofErr w:type="spellStart"/>
      <w:r w:rsidRPr="00CE154B">
        <w:rPr>
          <w:rFonts w:ascii="Arial" w:hAnsi="Arial" w:cs="Arial"/>
          <w:b/>
          <w:sz w:val="22"/>
          <w:szCs w:val="22"/>
        </w:rPr>
        <w:t>Abattis</w:t>
      </w:r>
      <w:proofErr w:type="spellEnd"/>
      <w:r w:rsidRPr="00CE154B">
        <w:rPr>
          <w:rFonts w:ascii="Arial" w:hAnsi="Arial" w:cs="Arial"/>
          <w:b/>
          <w:sz w:val="22"/>
          <w:szCs w:val="22"/>
        </w:rPr>
        <w:t>, GTT and certain shareholders of GTT have entered into a definitive agreement to acquire all of the issued and outstanding shares of GTT from the GTT shareholders.</w:t>
      </w:r>
    </w:p>
    <w:p w:rsidR="00CE154B" w:rsidRPr="00CE154B" w:rsidRDefault="00CE154B" w:rsidP="00CE154B">
      <w:pPr>
        <w:pStyle w:val="NormalWeb"/>
        <w:ind w:left="720"/>
        <w:rPr>
          <w:rFonts w:ascii="Arial" w:hAnsi="Arial" w:cs="Arial"/>
          <w:b/>
          <w:sz w:val="22"/>
          <w:szCs w:val="22"/>
        </w:rPr>
      </w:pPr>
      <w:r w:rsidRPr="00CE154B">
        <w:rPr>
          <w:rFonts w:ascii="Arial" w:hAnsi="Arial" w:cs="Arial"/>
          <w:b/>
          <w:sz w:val="22"/>
          <w:szCs w:val="22"/>
        </w:rPr>
        <w:t xml:space="preserve">In consideration of the assignment and subject to the completion of the transaction and the approval of the Canadian Securities Exchange, </w:t>
      </w:r>
      <w:proofErr w:type="spellStart"/>
      <w:r w:rsidRPr="00CE154B">
        <w:rPr>
          <w:rFonts w:ascii="Arial" w:hAnsi="Arial" w:cs="Arial"/>
          <w:b/>
          <w:sz w:val="22"/>
          <w:szCs w:val="22"/>
        </w:rPr>
        <w:t>Abattis</w:t>
      </w:r>
      <w:proofErr w:type="spellEnd"/>
      <w:r w:rsidRPr="00CE154B">
        <w:rPr>
          <w:rFonts w:ascii="Arial" w:hAnsi="Arial" w:cs="Arial"/>
          <w:b/>
          <w:sz w:val="22"/>
          <w:szCs w:val="22"/>
        </w:rPr>
        <w:t xml:space="preserve"> will issue 15 million common shares in the capital of </w:t>
      </w:r>
      <w:proofErr w:type="spellStart"/>
      <w:r w:rsidRPr="00CE154B">
        <w:rPr>
          <w:rFonts w:ascii="Arial" w:hAnsi="Arial" w:cs="Arial"/>
          <w:b/>
          <w:sz w:val="22"/>
          <w:szCs w:val="22"/>
        </w:rPr>
        <w:t>Abattis</w:t>
      </w:r>
      <w:proofErr w:type="spellEnd"/>
      <w:r w:rsidRPr="00CE154B">
        <w:rPr>
          <w:rFonts w:ascii="Arial" w:hAnsi="Arial" w:cs="Arial"/>
          <w:b/>
          <w:sz w:val="22"/>
          <w:szCs w:val="22"/>
        </w:rPr>
        <w:t xml:space="preserve"> to the company.</w:t>
      </w:r>
    </w:p>
    <w:p w:rsidR="004D2153" w:rsidRDefault="004D2153" w:rsidP="004D2153">
      <w:pPr>
        <w:pStyle w:val="NormalWeb"/>
        <w:ind w:left="720"/>
        <w:rPr>
          <w:rFonts w:ascii="Arial" w:hAnsi="Arial" w:cs="Arial"/>
          <w:b/>
          <w:sz w:val="22"/>
          <w:szCs w:val="22"/>
        </w:rPr>
      </w:pPr>
    </w:p>
    <w:p w:rsidR="004D2153" w:rsidRPr="004D2153" w:rsidRDefault="004D2153" w:rsidP="004D2153">
      <w:pPr>
        <w:pStyle w:val="NormalWeb"/>
        <w:ind w:left="720"/>
        <w:rPr>
          <w:rFonts w:ascii="Arial" w:hAnsi="Arial" w:cs="Arial"/>
          <w:b/>
          <w:sz w:val="22"/>
          <w:szCs w:val="22"/>
        </w:rPr>
      </w:pPr>
      <w:r>
        <w:rPr>
          <w:rFonts w:ascii="Arial" w:hAnsi="Arial" w:cs="Arial"/>
          <w:b/>
          <w:sz w:val="22"/>
          <w:szCs w:val="22"/>
        </w:rPr>
        <w:t>On January 29</w:t>
      </w:r>
      <w:r w:rsidRPr="004D2153">
        <w:rPr>
          <w:rFonts w:ascii="Arial" w:hAnsi="Arial" w:cs="Arial"/>
          <w:b/>
          <w:sz w:val="22"/>
          <w:szCs w:val="22"/>
        </w:rPr>
        <w:t>th</w:t>
      </w:r>
      <w:r>
        <w:rPr>
          <w:rFonts w:ascii="Arial" w:hAnsi="Arial" w:cs="Arial"/>
          <w:b/>
          <w:sz w:val="22"/>
          <w:szCs w:val="22"/>
        </w:rPr>
        <w:t>, 2018, the Company announced that</w:t>
      </w:r>
      <w:r w:rsidRPr="00CE154B">
        <w:rPr>
          <w:rFonts w:ascii="Arial" w:hAnsi="Arial" w:cs="Arial"/>
          <w:b/>
          <w:sz w:val="22"/>
          <w:szCs w:val="22"/>
        </w:rPr>
        <w:t xml:space="preserve"> </w:t>
      </w:r>
      <w:r w:rsidRPr="004D2153">
        <w:rPr>
          <w:rFonts w:ascii="Arial" w:hAnsi="Arial" w:cs="Arial"/>
          <w:b/>
          <w:sz w:val="22"/>
          <w:szCs w:val="22"/>
        </w:rPr>
        <w:t xml:space="preserve">Winston Resources Inc.'s assignee,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w:t>
      </w:r>
      <w:proofErr w:type="spellStart"/>
      <w:r w:rsidRPr="004D2153">
        <w:rPr>
          <w:rFonts w:ascii="Arial" w:hAnsi="Arial" w:cs="Arial"/>
          <w:b/>
          <w:sz w:val="22"/>
          <w:szCs w:val="22"/>
        </w:rPr>
        <w:t>Bioceuticals</w:t>
      </w:r>
      <w:proofErr w:type="spellEnd"/>
      <w:r w:rsidRPr="004D2153">
        <w:rPr>
          <w:rFonts w:ascii="Arial" w:hAnsi="Arial" w:cs="Arial"/>
          <w:b/>
          <w:sz w:val="22"/>
          <w:szCs w:val="22"/>
        </w:rPr>
        <w:t xml:space="preserve"> Corp., has completed its acquisition of Green Tree Therapeutics.</w:t>
      </w:r>
    </w:p>
    <w:p w:rsidR="004D2153" w:rsidRPr="004D2153" w:rsidRDefault="004D2153" w:rsidP="004D2153">
      <w:pPr>
        <w:pStyle w:val="NormalWeb"/>
        <w:ind w:left="720"/>
        <w:rPr>
          <w:rFonts w:ascii="Arial" w:hAnsi="Arial" w:cs="Arial"/>
          <w:b/>
          <w:sz w:val="22"/>
          <w:szCs w:val="22"/>
        </w:rPr>
      </w:pPr>
      <w:r w:rsidRPr="004D2153">
        <w:rPr>
          <w:rFonts w:ascii="Arial" w:hAnsi="Arial" w:cs="Arial"/>
          <w:b/>
          <w:sz w:val="22"/>
          <w:szCs w:val="22"/>
        </w:rPr>
        <w:t xml:space="preserve">Pursuant to the terms of an assignment and novation agreement dated effective Jan. 10, 2018, among the company,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Green Tree and certain shareholders of Green Tree, the company assigned to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w:t>
      </w:r>
      <w:proofErr w:type="gramStart"/>
      <w:r w:rsidRPr="004D2153">
        <w:rPr>
          <w:rFonts w:ascii="Arial" w:hAnsi="Arial" w:cs="Arial"/>
          <w:b/>
          <w:sz w:val="22"/>
          <w:szCs w:val="22"/>
        </w:rPr>
        <w:t>all of</w:t>
      </w:r>
      <w:proofErr w:type="gramEnd"/>
      <w:r w:rsidRPr="004D2153">
        <w:rPr>
          <w:rFonts w:ascii="Arial" w:hAnsi="Arial" w:cs="Arial"/>
          <w:b/>
          <w:sz w:val="22"/>
          <w:szCs w:val="22"/>
        </w:rPr>
        <w:t xml:space="preserve"> its rights and interest under a share exchange agreement dated effective May 31, 2017, between the company and Green Tree, pursuant to which the company was granted the right to acquire Green Tree (see news releases dated Feb. 27, 2017, and June 1, 2017, for further details).</w:t>
      </w:r>
    </w:p>
    <w:p w:rsidR="004D2153" w:rsidRPr="004D2153" w:rsidRDefault="004D2153" w:rsidP="004D2153">
      <w:pPr>
        <w:pStyle w:val="NormalWeb"/>
        <w:ind w:left="720"/>
        <w:rPr>
          <w:rFonts w:ascii="Arial" w:hAnsi="Arial" w:cs="Arial"/>
          <w:b/>
          <w:sz w:val="22"/>
          <w:szCs w:val="22"/>
        </w:rPr>
      </w:pPr>
      <w:r w:rsidRPr="004D2153">
        <w:rPr>
          <w:rFonts w:ascii="Arial" w:hAnsi="Arial" w:cs="Arial"/>
          <w:b/>
          <w:sz w:val="22"/>
          <w:szCs w:val="22"/>
        </w:rPr>
        <w:t xml:space="preserve">In consideration of the assignment and upon closing of the acquisition,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issued 15 million common shares to the company.</w:t>
      </w:r>
    </w:p>
    <w:p w:rsidR="00CE154B" w:rsidRPr="00BB27D5" w:rsidRDefault="00CE154B" w:rsidP="00CE154B">
      <w:pPr>
        <w:pStyle w:val="List"/>
        <w:spacing w:before="0"/>
        <w:ind w:left="720" w:firstLine="0"/>
        <w:jc w:val="both"/>
        <w:rPr>
          <w:rFonts w:ascii="Arial" w:hAnsi="Arial" w:cs="Arial"/>
          <w:b/>
          <w:sz w:val="22"/>
          <w:szCs w:val="22"/>
        </w:rPr>
      </w:pPr>
    </w:p>
    <w:p w:rsidR="00931EF7" w:rsidRPr="00C64362" w:rsidRDefault="00931EF7" w:rsidP="00C64362">
      <w:pPr>
        <w:pStyle w:val="NormalWeb"/>
        <w:ind w:left="709"/>
        <w:rPr>
          <w:rFonts w:ascii="Arial" w:hAnsi="Arial" w:cs="Arial"/>
          <w:b/>
          <w:sz w:val="22"/>
          <w:szCs w:val="22"/>
          <w:lang w:val="en-GB" w:eastAsia="en-US"/>
        </w:rPr>
      </w:pPr>
    </w:p>
    <w:p w:rsidR="00C64362" w:rsidRPr="00C64362" w:rsidRDefault="00640E94" w:rsidP="00C64362">
      <w:pPr>
        <w:pStyle w:val="List"/>
        <w:numPr>
          <w:ilvl w:val="0"/>
          <w:numId w:val="28"/>
        </w:numPr>
        <w:spacing w:before="0"/>
        <w:jc w:val="both"/>
        <w:rPr>
          <w:rFonts w:ascii="Arial" w:hAnsi="Arial" w:cs="Arial"/>
        </w:rPr>
      </w:pPr>
      <w:r w:rsidRPr="00357192">
        <w:rPr>
          <w:rFonts w:ascii="Arial" w:hAnsi="Arial" w:cs="Arial"/>
        </w:rPr>
        <w:t>Provide a general overview and discussion of the activities of management.</w:t>
      </w:r>
    </w:p>
    <w:p w:rsidR="004D2153" w:rsidRPr="00CE154B" w:rsidRDefault="004D2153" w:rsidP="004D2153">
      <w:pPr>
        <w:pStyle w:val="NormalWeb"/>
        <w:ind w:left="720"/>
        <w:rPr>
          <w:rFonts w:ascii="Arial" w:hAnsi="Arial" w:cs="Arial"/>
          <w:b/>
          <w:sz w:val="22"/>
          <w:szCs w:val="22"/>
        </w:rPr>
      </w:pPr>
      <w:r>
        <w:rPr>
          <w:rFonts w:ascii="Arial" w:hAnsi="Arial" w:cs="Arial"/>
          <w:b/>
          <w:sz w:val="22"/>
          <w:szCs w:val="22"/>
        </w:rPr>
        <w:t xml:space="preserve">On January </w:t>
      </w:r>
      <w:r w:rsidR="00D4578A">
        <w:rPr>
          <w:rFonts w:ascii="Arial" w:hAnsi="Arial" w:cs="Arial"/>
          <w:b/>
          <w:sz w:val="22"/>
          <w:szCs w:val="22"/>
        </w:rPr>
        <w:t>12</w:t>
      </w:r>
      <w:r w:rsidR="00D4578A" w:rsidRPr="00D4578A">
        <w:rPr>
          <w:rFonts w:ascii="Arial" w:hAnsi="Arial" w:cs="Arial"/>
          <w:b/>
          <w:sz w:val="22"/>
          <w:szCs w:val="22"/>
          <w:vertAlign w:val="superscript"/>
        </w:rPr>
        <w:t>th</w:t>
      </w:r>
      <w:r>
        <w:rPr>
          <w:rFonts w:ascii="Arial" w:hAnsi="Arial" w:cs="Arial"/>
          <w:b/>
          <w:sz w:val="22"/>
          <w:szCs w:val="22"/>
        </w:rPr>
        <w:t xml:space="preserve">, 2018, the Company announced that </w:t>
      </w:r>
      <w:r w:rsidRPr="00CE154B">
        <w:rPr>
          <w:rFonts w:ascii="Arial" w:hAnsi="Arial" w:cs="Arial"/>
          <w:b/>
          <w:sz w:val="22"/>
          <w:szCs w:val="22"/>
        </w:rPr>
        <w:t xml:space="preserve">it has entered into an assignment and novation agreement dated effective Jan. 10, 2018, among the company, GT Therapeutics Corp. (doing business as Green Tree Therapeutics (GTT)), certain shareholders of GTT and </w:t>
      </w:r>
      <w:proofErr w:type="spellStart"/>
      <w:r w:rsidRPr="00CE154B">
        <w:rPr>
          <w:rFonts w:ascii="Arial" w:hAnsi="Arial" w:cs="Arial"/>
          <w:b/>
          <w:sz w:val="22"/>
          <w:szCs w:val="22"/>
        </w:rPr>
        <w:t>Abattis</w:t>
      </w:r>
      <w:proofErr w:type="spellEnd"/>
      <w:r w:rsidRPr="00CE154B">
        <w:rPr>
          <w:rFonts w:ascii="Arial" w:hAnsi="Arial" w:cs="Arial"/>
          <w:b/>
          <w:sz w:val="22"/>
          <w:szCs w:val="22"/>
        </w:rPr>
        <w:t xml:space="preserve"> </w:t>
      </w:r>
      <w:proofErr w:type="spellStart"/>
      <w:r w:rsidRPr="00CE154B">
        <w:rPr>
          <w:rFonts w:ascii="Arial" w:hAnsi="Arial" w:cs="Arial"/>
          <w:b/>
          <w:sz w:val="22"/>
          <w:szCs w:val="22"/>
        </w:rPr>
        <w:t>Bioceuticals</w:t>
      </w:r>
      <w:proofErr w:type="spellEnd"/>
      <w:r w:rsidRPr="00CE154B">
        <w:rPr>
          <w:rFonts w:ascii="Arial" w:hAnsi="Arial" w:cs="Arial"/>
          <w:b/>
          <w:sz w:val="22"/>
          <w:szCs w:val="22"/>
        </w:rPr>
        <w:t xml:space="preserve"> Corp.</w:t>
      </w:r>
    </w:p>
    <w:p w:rsidR="004D2153" w:rsidRPr="004D2153" w:rsidRDefault="004D2153" w:rsidP="004D2153">
      <w:pPr>
        <w:pStyle w:val="NormalWeb"/>
        <w:ind w:left="720"/>
        <w:rPr>
          <w:rFonts w:ascii="Arial" w:hAnsi="Arial" w:cs="Arial"/>
          <w:b/>
          <w:sz w:val="22"/>
          <w:szCs w:val="22"/>
        </w:rPr>
      </w:pPr>
      <w:r>
        <w:rPr>
          <w:rFonts w:ascii="Arial" w:hAnsi="Arial" w:cs="Arial"/>
          <w:b/>
          <w:sz w:val="22"/>
          <w:szCs w:val="22"/>
        </w:rPr>
        <w:t>On January 29</w:t>
      </w:r>
      <w:r w:rsidRPr="004D2153">
        <w:rPr>
          <w:rFonts w:ascii="Arial" w:hAnsi="Arial" w:cs="Arial"/>
          <w:b/>
          <w:sz w:val="22"/>
          <w:szCs w:val="22"/>
        </w:rPr>
        <w:t>th</w:t>
      </w:r>
      <w:r>
        <w:rPr>
          <w:rFonts w:ascii="Arial" w:hAnsi="Arial" w:cs="Arial"/>
          <w:b/>
          <w:sz w:val="22"/>
          <w:szCs w:val="22"/>
        </w:rPr>
        <w:t>, 2018, the Company announced that</w:t>
      </w:r>
      <w:r w:rsidRPr="00CE154B">
        <w:rPr>
          <w:rFonts w:ascii="Arial" w:hAnsi="Arial" w:cs="Arial"/>
          <w:b/>
          <w:sz w:val="22"/>
          <w:szCs w:val="22"/>
        </w:rPr>
        <w:t xml:space="preserve"> </w:t>
      </w:r>
      <w:r w:rsidRPr="004D2153">
        <w:rPr>
          <w:rFonts w:ascii="Arial" w:hAnsi="Arial" w:cs="Arial"/>
          <w:b/>
          <w:sz w:val="22"/>
          <w:szCs w:val="22"/>
        </w:rPr>
        <w:t xml:space="preserve">Winston Resources Inc.'s assignee,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w:t>
      </w:r>
      <w:proofErr w:type="spellStart"/>
      <w:r w:rsidRPr="004D2153">
        <w:rPr>
          <w:rFonts w:ascii="Arial" w:hAnsi="Arial" w:cs="Arial"/>
          <w:b/>
          <w:sz w:val="22"/>
          <w:szCs w:val="22"/>
        </w:rPr>
        <w:t>Bioceuticals</w:t>
      </w:r>
      <w:proofErr w:type="spellEnd"/>
      <w:r w:rsidRPr="004D2153">
        <w:rPr>
          <w:rFonts w:ascii="Arial" w:hAnsi="Arial" w:cs="Arial"/>
          <w:b/>
          <w:sz w:val="22"/>
          <w:szCs w:val="22"/>
        </w:rPr>
        <w:t xml:space="preserve"> Corp., has completed its acquisition of Green Tree Therapeutics.</w:t>
      </w:r>
    </w:p>
    <w:p w:rsidR="004D2153" w:rsidRDefault="004D2153" w:rsidP="00C64362">
      <w:pPr>
        <w:pStyle w:val="List"/>
        <w:spacing w:before="0"/>
        <w:ind w:left="720" w:firstLine="0"/>
        <w:jc w:val="both"/>
        <w:rPr>
          <w:rFonts w:ascii="Arial" w:hAnsi="Arial" w:cs="Arial"/>
          <w:b/>
          <w:sz w:val="22"/>
          <w:szCs w:val="22"/>
        </w:rPr>
      </w:pPr>
    </w:p>
    <w:p w:rsidR="00D57BCE" w:rsidRPr="00357192" w:rsidRDefault="00D57BCE"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357192">
            <w:rPr>
              <w:rFonts w:ascii="Arial" w:hAnsi="Arial" w:cs="Arial"/>
            </w:rPr>
            <w:t>Ontario</w:t>
          </w:r>
        </w:smartTag>
      </w:smartTag>
      <w:r w:rsidRPr="00357192">
        <w:rPr>
          <w:rFonts w:ascii="Arial" w:hAnsi="Arial" w:cs="Arial"/>
        </w:rPr>
        <w:t xml:space="preserve"> securities law.</w:t>
      </w:r>
    </w:p>
    <w:p w:rsidR="00311887" w:rsidRDefault="00311887" w:rsidP="00931EF7">
      <w:pPr>
        <w:pStyle w:val="List"/>
        <w:spacing w:before="0"/>
        <w:ind w:left="720" w:firstLine="0"/>
        <w:jc w:val="both"/>
        <w:rPr>
          <w:rFonts w:ascii="Arial" w:hAnsi="Arial" w:cs="Arial"/>
          <w:b/>
          <w:sz w:val="22"/>
          <w:szCs w:val="22"/>
        </w:rPr>
      </w:pPr>
      <w:r w:rsidRPr="00357192">
        <w:rPr>
          <w:rFonts w:ascii="Arial" w:hAnsi="Arial" w:cs="Arial"/>
          <w:b/>
          <w:sz w:val="22"/>
          <w:szCs w:val="22"/>
        </w:rPr>
        <w:t>None.</w:t>
      </w:r>
    </w:p>
    <w:p w:rsidR="00931EF7" w:rsidRPr="00357192" w:rsidRDefault="00931EF7"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Describe and provide details of any products or services that were discontinued. For resource companies, provide details of any drilling, exploration or production programs that have been amended or abandoned.</w:t>
      </w:r>
    </w:p>
    <w:p w:rsidR="00311887" w:rsidRDefault="00311887" w:rsidP="00931EF7">
      <w:pPr>
        <w:pStyle w:val="List"/>
        <w:spacing w:before="0"/>
        <w:ind w:left="720" w:firstLine="0"/>
        <w:jc w:val="both"/>
        <w:rPr>
          <w:rFonts w:ascii="Arial" w:hAnsi="Arial" w:cs="Arial"/>
          <w:b/>
          <w:sz w:val="22"/>
          <w:szCs w:val="22"/>
        </w:rPr>
      </w:pPr>
      <w:r w:rsidRPr="00357192">
        <w:rPr>
          <w:rFonts w:ascii="Arial" w:hAnsi="Arial" w:cs="Arial"/>
          <w:b/>
          <w:sz w:val="22"/>
          <w:szCs w:val="22"/>
        </w:rPr>
        <w:t>None.</w:t>
      </w:r>
    </w:p>
    <w:p w:rsidR="00931EF7" w:rsidRPr="00357192" w:rsidRDefault="00931EF7" w:rsidP="00931EF7">
      <w:pPr>
        <w:pStyle w:val="List"/>
        <w:spacing w:before="0"/>
        <w:ind w:left="720" w:firstLine="0"/>
        <w:jc w:val="both"/>
        <w:rPr>
          <w:rFonts w:ascii="Arial" w:hAnsi="Arial" w:cs="Arial"/>
          <w:b/>
          <w:sz w:val="22"/>
          <w:szCs w:val="22"/>
        </w:rPr>
      </w:pPr>
    </w:p>
    <w:p w:rsidR="004D2153" w:rsidRDefault="00640E94" w:rsidP="004D2153">
      <w:pPr>
        <w:pStyle w:val="List"/>
        <w:numPr>
          <w:ilvl w:val="0"/>
          <w:numId w:val="28"/>
        </w:numPr>
        <w:spacing w:before="0"/>
        <w:jc w:val="both"/>
        <w:rPr>
          <w:rFonts w:ascii="Arial" w:hAnsi="Arial" w:cs="Arial"/>
        </w:rPr>
      </w:pPr>
      <w:r w:rsidRPr="00357192">
        <w:rPr>
          <w:rFonts w:ascii="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D2153" w:rsidRDefault="004D2153" w:rsidP="004D2153">
      <w:pPr>
        <w:pStyle w:val="List"/>
        <w:spacing w:before="0"/>
        <w:ind w:left="720" w:firstLine="0"/>
        <w:jc w:val="both"/>
        <w:rPr>
          <w:rFonts w:ascii="Arial" w:hAnsi="Arial" w:cs="Arial"/>
        </w:rPr>
      </w:pPr>
    </w:p>
    <w:p w:rsidR="004D2153" w:rsidRPr="004D2153" w:rsidRDefault="004D2153" w:rsidP="004D2153">
      <w:pPr>
        <w:pStyle w:val="List"/>
        <w:spacing w:before="0"/>
        <w:ind w:left="720" w:firstLine="0"/>
        <w:jc w:val="both"/>
        <w:rPr>
          <w:rFonts w:ascii="Arial" w:hAnsi="Arial" w:cs="Arial"/>
        </w:rPr>
      </w:pPr>
      <w:r w:rsidRPr="004D2153">
        <w:rPr>
          <w:rFonts w:ascii="Arial" w:hAnsi="Arial" w:cs="Arial"/>
          <w:b/>
          <w:sz w:val="22"/>
          <w:szCs w:val="22"/>
        </w:rPr>
        <w:t xml:space="preserve">On January 29th, 2018, the Company announced that Winston Resources Inc.'s assignee,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w:t>
      </w:r>
      <w:proofErr w:type="spellStart"/>
      <w:r w:rsidRPr="004D2153">
        <w:rPr>
          <w:rFonts w:ascii="Arial" w:hAnsi="Arial" w:cs="Arial"/>
          <w:b/>
          <w:sz w:val="22"/>
          <w:szCs w:val="22"/>
        </w:rPr>
        <w:t>Bioceuticals</w:t>
      </w:r>
      <w:proofErr w:type="spellEnd"/>
      <w:r w:rsidRPr="004D2153">
        <w:rPr>
          <w:rFonts w:ascii="Arial" w:hAnsi="Arial" w:cs="Arial"/>
          <w:b/>
          <w:sz w:val="22"/>
          <w:szCs w:val="22"/>
        </w:rPr>
        <w:t xml:space="preserve"> Corp., has completed its acquisition of Green Tree Therapeutics.</w:t>
      </w:r>
    </w:p>
    <w:p w:rsidR="004D2153" w:rsidRDefault="004D2153" w:rsidP="00931EF7">
      <w:pPr>
        <w:pStyle w:val="List"/>
        <w:spacing w:before="0"/>
        <w:ind w:left="720" w:firstLine="0"/>
        <w:jc w:val="both"/>
        <w:rPr>
          <w:rFonts w:ascii="Arial" w:hAnsi="Arial" w:cs="Arial"/>
          <w:b/>
          <w:sz w:val="22"/>
          <w:szCs w:val="22"/>
        </w:rPr>
      </w:pPr>
    </w:p>
    <w:p w:rsidR="00534016" w:rsidRDefault="00534016" w:rsidP="00931EF7">
      <w:pPr>
        <w:pStyle w:val="List"/>
        <w:spacing w:before="0"/>
        <w:ind w:left="720" w:firstLine="0"/>
        <w:jc w:val="both"/>
        <w:rPr>
          <w:rFonts w:ascii="Arial" w:hAnsi="Arial" w:cs="Arial"/>
          <w:b/>
          <w:sz w:val="22"/>
          <w:szCs w:val="22"/>
        </w:rPr>
      </w:pPr>
    </w:p>
    <w:p w:rsidR="00534016" w:rsidRPr="00357192" w:rsidRDefault="00534016"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Describe the expiry or termination of any contracts or agreements between the Issuer, the Issuer’s affiliates or third parties or cancellation of any financing arrangements that have been previously announced.</w:t>
      </w:r>
    </w:p>
    <w:p w:rsidR="00534016" w:rsidRDefault="00807716" w:rsidP="00534016">
      <w:pPr>
        <w:pStyle w:val="List"/>
        <w:spacing w:before="0"/>
        <w:ind w:left="720" w:firstLine="0"/>
        <w:jc w:val="both"/>
        <w:rPr>
          <w:rFonts w:ascii="Arial" w:hAnsi="Arial" w:cs="Arial"/>
          <w:b/>
          <w:sz w:val="22"/>
          <w:szCs w:val="22"/>
        </w:rPr>
      </w:pPr>
      <w:r>
        <w:rPr>
          <w:rFonts w:ascii="Arial" w:hAnsi="Arial" w:cs="Arial"/>
          <w:b/>
          <w:sz w:val="22"/>
          <w:szCs w:val="22"/>
        </w:rPr>
        <w:t>None.</w:t>
      </w:r>
    </w:p>
    <w:p w:rsidR="00931EF7" w:rsidRPr="00357192" w:rsidRDefault="00931EF7" w:rsidP="00931EF7">
      <w:pPr>
        <w:pStyle w:val="List"/>
        <w:spacing w:before="0"/>
        <w:ind w:left="720" w:firstLine="0"/>
        <w:jc w:val="both"/>
        <w:rPr>
          <w:rFonts w:ascii="Arial" w:hAnsi="Arial" w:cs="Arial"/>
          <w:b/>
          <w:sz w:val="22"/>
          <w:szCs w:val="22"/>
        </w:rPr>
      </w:pPr>
    </w:p>
    <w:p w:rsidR="00534016" w:rsidRPr="004D2153" w:rsidRDefault="00640E94" w:rsidP="004D2153">
      <w:pPr>
        <w:pStyle w:val="List"/>
        <w:numPr>
          <w:ilvl w:val="0"/>
          <w:numId w:val="28"/>
        </w:numPr>
        <w:spacing w:before="0"/>
        <w:jc w:val="both"/>
        <w:rPr>
          <w:rFonts w:ascii="Arial" w:hAnsi="Arial" w:cs="Arial"/>
        </w:rPr>
      </w:pPr>
      <w:r w:rsidRPr="00357192">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311887" w:rsidRPr="00357192">
        <w:rPr>
          <w:rFonts w:ascii="Arial" w:hAnsi="Arial" w:cs="Arial"/>
        </w:rPr>
        <w:t>ails of the relationship.</w:t>
      </w:r>
    </w:p>
    <w:p w:rsidR="004D2153" w:rsidRPr="004D2153" w:rsidRDefault="004D2153" w:rsidP="004D2153">
      <w:pPr>
        <w:pStyle w:val="NormalWeb"/>
        <w:ind w:left="720"/>
        <w:rPr>
          <w:rFonts w:ascii="Arial" w:hAnsi="Arial" w:cs="Arial"/>
          <w:b/>
          <w:sz w:val="22"/>
          <w:szCs w:val="22"/>
        </w:rPr>
      </w:pPr>
      <w:r>
        <w:rPr>
          <w:rFonts w:ascii="Arial" w:hAnsi="Arial" w:cs="Arial"/>
          <w:b/>
          <w:sz w:val="22"/>
          <w:szCs w:val="22"/>
        </w:rPr>
        <w:t>On January 29</w:t>
      </w:r>
      <w:r w:rsidRPr="004D2153">
        <w:rPr>
          <w:rFonts w:ascii="Arial" w:hAnsi="Arial" w:cs="Arial"/>
          <w:b/>
          <w:sz w:val="22"/>
          <w:szCs w:val="22"/>
        </w:rPr>
        <w:t>th</w:t>
      </w:r>
      <w:r>
        <w:rPr>
          <w:rFonts w:ascii="Arial" w:hAnsi="Arial" w:cs="Arial"/>
          <w:b/>
          <w:sz w:val="22"/>
          <w:szCs w:val="22"/>
        </w:rPr>
        <w:t>, 2018, the Company announced that</w:t>
      </w:r>
      <w:r w:rsidRPr="00CE154B">
        <w:rPr>
          <w:rFonts w:ascii="Arial" w:hAnsi="Arial" w:cs="Arial"/>
          <w:b/>
          <w:sz w:val="22"/>
          <w:szCs w:val="22"/>
        </w:rPr>
        <w:t xml:space="preserve"> </w:t>
      </w:r>
      <w:r w:rsidRPr="004D2153">
        <w:rPr>
          <w:rFonts w:ascii="Arial" w:hAnsi="Arial" w:cs="Arial"/>
          <w:b/>
          <w:sz w:val="22"/>
          <w:szCs w:val="22"/>
        </w:rPr>
        <w:t xml:space="preserve">Winston Resources Inc.'s assignee,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w:t>
      </w:r>
      <w:proofErr w:type="spellStart"/>
      <w:r w:rsidRPr="004D2153">
        <w:rPr>
          <w:rFonts w:ascii="Arial" w:hAnsi="Arial" w:cs="Arial"/>
          <w:b/>
          <w:sz w:val="22"/>
          <w:szCs w:val="22"/>
        </w:rPr>
        <w:t>Bioceuticals</w:t>
      </w:r>
      <w:proofErr w:type="spellEnd"/>
      <w:r w:rsidRPr="004D2153">
        <w:rPr>
          <w:rFonts w:ascii="Arial" w:hAnsi="Arial" w:cs="Arial"/>
          <w:b/>
          <w:sz w:val="22"/>
          <w:szCs w:val="22"/>
        </w:rPr>
        <w:t xml:space="preserve"> Corp., has completed its acquisition of Green Tree Therapeutics.</w:t>
      </w:r>
    </w:p>
    <w:p w:rsidR="004D2153" w:rsidRPr="004D2153" w:rsidRDefault="004D2153" w:rsidP="004D2153">
      <w:pPr>
        <w:pStyle w:val="NormalWeb"/>
        <w:ind w:left="720"/>
        <w:rPr>
          <w:rFonts w:ascii="Arial" w:hAnsi="Arial" w:cs="Arial"/>
          <w:b/>
          <w:sz w:val="22"/>
          <w:szCs w:val="22"/>
        </w:rPr>
      </w:pPr>
      <w:r w:rsidRPr="004D2153">
        <w:rPr>
          <w:rFonts w:ascii="Arial" w:hAnsi="Arial" w:cs="Arial"/>
          <w:b/>
          <w:sz w:val="22"/>
          <w:szCs w:val="22"/>
        </w:rPr>
        <w:t xml:space="preserve">Pursuant to the terms of an assignment and novation agreement dated effective Jan. 10, 2018, among the company,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Green Tree and certain shareholders of Green Tree, the company assigned to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w:t>
      </w:r>
      <w:proofErr w:type="gramStart"/>
      <w:r w:rsidRPr="004D2153">
        <w:rPr>
          <w:rFonts w:ascii="Arial" w:hAnsi="Arial" w:cs="Arial"/>
          <w:b/>
          <w:sz w:val="22"/>
          <w:szCs w:val="22"/>
        </w:rPr>
        <w:t>all of</w:t>
      </w:r>
      <w:proofErr w:type="gramEnd"/>
      <w:r w:rsidRPr="004D2153">
        <w:rPr>
          <w:rFonts w:ascii="Arial" w:hAnsi="Arial" w:cs="Arial"/>
          <w:b/>
          <w:sz w:val="22"/>
          <w:szCs w:val="22"/>
        </w:rPr>
        <w:t xml:space="preserve"> its rights and interest under a share exchange agreement dated effective May 31, 2017, between the company and Green Tree, pursuant to which the company was granted the right to acquire Green Tree (see news releases dated Feb. 27, 2017, and June 1, 2017, for further details).</w:t>
      </w:r>
    </w:p>
    <w:p w:rsidR="004D2153" w:rsidRPr="004D2153" w:rsidRDefault="004D2153" w:rsidP="004D2153">
      <w:pPr>
        <w:pStyle w:val="NormalWeb"/>
        <w:ind w:left="720"/>
        <w:rPr>
          <w:rFonts w:ascii="Arial" w:hAnsi="Arial" w:cs="Arial"/>
          <w:b/>
          <w:sz w:val="22"/>
          <w:szCs w:val="22"/>
        </w:rPr>
      </w:pPr>
      <w:r w:rsidRPr="004D2153">
        <w:rPr>
          <w:rFonts w:ascii="Arial" w:hAnsi="Arial" w:cs="Arial"/>
          <w:b/>
          <w:sz w:val="22"/>
          <w:szCs w:val="22"/>
        </w:rPr>
        <w:lastRenderedPageBreak/>
        <w:t xml:space="preserve">In consideration of the assignment and upon closing of the acquisition, </w:t>
      </w:r>
      <w:proofErr w:type="spellStart"/>
      <w:r w:rsidRPr="004D2153">
        <w:rPr>
          <w:rFonts w:ascii="Arial" w:hAnsi="Arial" w:cs="Arial"/>
          <w:b/>
          <w:sz w:val="22"/>
          <w:szCs w:val="22"/>
        </w:rPr>
        <w:t>Abattis</w:t>
      </w:r>
      <w:proofErr w:type="spellEnd"/>
      <w:r w:rsidRPr="004D2153">
        <w:rPr>
          <w:rFonts w:ascii="Arial" w:hAnsi="Arial" w:cs="Arial"/>
          <w:b/>
          <w:sz w:val="22"/>
          <w:szCs w:val="22"/>
        </w:rPr>
        <w:t xml:space="preserve"> issued 15 million common shares to the company.</w:t>
      </w:r>
    </w:p>
    <w:p w:rsidR="00534016" w:rsidRDefault="00534016" w:rsidP="00534016">
      <w:pPr>
        <w:pStyle w:val="List"/>
        <w:spacing w:before="0"/>
        <w:ind w:left="720" w:firstLine="0"/>
        <w:jc w:val="both"/>
        <w:rPr>
          <w:rFonts w:ascii="Arial" w:hAnsi="Arial" w:cs="Arial"/>
          <w:b/>
          <w:sz w:val="22"/>
          <w:szCs w:val="22"/>
        </w:rPr>
      </w:pPr>
    </w:p>
    <w:p w:rsidR="009958BB" w:rsidRDefault="009958BB">
      <w:pPr>
        <w:rPr>
          <w:rFonts w:ascii="Arial" w:hAnsi="Arial" w:cs="Arial"/>
          <w:sz w:val="24"/>
          <w:lang w:val="en-GB"/>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Describe the acquisition of new customers or loss of customers.</w:t>
      </w:r>
    </w:p>
    <w:p w:rsidR="00931EF7" w:rsidRDefault="00311887" w:rsidP="00931EF7">
      <w:pPr>
        <w:pStyle w:val="List"/>
        <w:tabs>
          <w:tab w:val="center" w:pos="5040"/>
        </w:tabs>
        <w:spacing w:before="0"/>
        <w:ind w:left="720" w:firstLine="0"/>
        <w:jc w:val="both"/>
        <w:rPr>
          <w:rFonts w:ascii="Arial" w:hAnsi="Arial" w:cs="Arial"/>
          <w:b/>
          <w:sz w:val="22"/>
          <w:szCs w:val="22"/>
        </w:rPr>
      </w:pPr>
      <w:r w:rsidRPr="00357192">
        <w:rPr>
          <w:rFonts w:ascii="Arial" w:hAnsi="Arial" w:cs="Arial"/>
          <w:b/>
          <w:sz w:val="22"/>
          <w:szCs w:val="22"/>
        </w:rPr>
        <w:t>Not applicable.</w:t>
      </w:r>
    </w:p>
    <w:p w:rsidR="00311887" w:rsidRPr="00357192" w:rsidRDefault="00227D1F" w:rsidP="00931EF7">
      <w:pPr>
        <w:pStyle w:val="List"/>
        <w:tabs>
          <w:tab w:val="center" w:pos="5040"/>
        </w:tabs>
        <w:spacing w:before="0"/>
        <w:ind w:left="720" w:firstLine="0"/>
        <w:jc w:val="both"/>
        <w:rPr>
          <w:rFonts w:ascii="Arial" w:hAnsi="Arial" w:cs="Arial"/>
          <w:b/>
          <w:sz w:val="22"/>
          <w:szCs w:val="22"/>
        </w:rPr>
      </w:pPr>
      <w:r w:rsidRPr="00357192">
        <w:rPr>
          <w:rFonts w:ascii="Arial" w:hAnsi="Arial" w:cs="Arial"/>
          <w:b/>
          <w:sz w:val="22"/>
          <w:szCs w:val="22"/>
        </w:rPr>
        <w:tab/>
      </w: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Describe any new developments or effects on intangible products such as brand names, circulation lists, copyrights, franchises, licenses, patents, software, subscription lists and trade-marks.</w:t>
      </w:r>
    </w:p>
    <w:p w:rsidR="00311887" w:rsidRDefault="00311887" w:rsidP="00931EF7">
      <w:pPr>
        <w:pStyle w:val="List"/>
        <w:spacing w:before="0"/>
        <w:ind w:left="720" w:firstLine="0"/>
        <w:jc w:val="both"/>
        <w:rPr>
          <w:rFonts w:ascii="Arial" w:hAnsi="Arial" w:cs="Arial"/>
          <w:b/>
          <w:sz w:val="22"/>
          <w:szCs w:val="22"/>
        </w:rPr>
      </w:pPr>
      <w:r w:rsidRPr="00357192">
        <w:rPr>
          <w:rFonts w:ascii="Arial" w:hAnsi="Arial" w:cs="Arial"/>
          <w:b/>
          <w:sz w:val="22"/>
          <w:szCs w:val="22"/>
        </w:rPr>
        <w:t>There were no new developments.</w:t>
      </w:r>
    </w:p>
    <w:p w:rsidR="00931EF7" w:rsidRPr="00357192" w:rsidRDefault="00931EF7"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 xml:space="preserve">Report on any employee </w:t>
      </w:r>
      <w:proofErr w:type="spellStart"/>
      <w:r w:rsidRPr="00357192">
        <w:rPr>
          <w:rFonts w:ascii="Arial" w:hAnsi="Arial" w:cs="Arial"/>
        </w:rPr>
        <w:t>hirings</w:t>
      </w:r>
      <w:proofErr w:type="spellEnd"/>
      <w:r w:rsidRPr="00357192">
        <w:rPr>
          <w:rFonts w:ascii="Arial" w:hAnsi="Arial" w:cs="Arial"/>
        </w:rPr>
        <w:t>, terminations or lay-offs with details of anticipated length of lay-offs.</w:t>
      </w:r>
    </w:p>
    <w:p w:rsidR="00241076" w:rsidRDefault="00241076" w:rsidP="00931EF7">
      <w:pPr>
        <w:pStyle w:val="List"/>
        <w:spacing w:before="0"/>
        <w:ind w:left="720" w:firstLine="0"/>
        <w:jc w:val="both"/>
        <w:rPr>
          <w:rFonts w:ascii="Arial" w:hAnsi="Arial" w:cs="Arial"/>
          <w:b/>
          <w:sz w:val="22"/>
          <w:szCs w:val="22"/>
        </w:rPr>
      </w:pPr>
      <w:r w:rsidRPr="00357192">
        <w:rPr>
          <w:rFonts w:ascii="Arial" w:hAnsi="Arial" w:cs="Arial"/>
          <w:b/>
          <w:sz w:val="22"/>
          <w:szCs w:val="22"/>
        </w:rPr>
        <w:t>None.</w:t>
      </w:r>
    </w:p>
    <w:p w:rsidR="00931EF7" w:rsidRPr="00357192" w:rsidRDefault="00931EF7"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Report on any labour disputes and resolutions of those disputes if applicable.</w:t>
      </w:r>
    </w:p>
    <w:p w:rsidR="00311887" w:rsidRDefault="00311887" w:rsidP="00931EF7">
      <w:pPr>
        <w:pStyle w:val="List"/>
        <w:spacing w:before="0"/>
        <w:ind w:left="720" w:firstLine="0"/>
        <w:jc w:val="both"/>
        <w:rPr>
          <w:rFonts w:ascii="Arial" w:hAnsi="Arial" w:cs="Arial"/>
          <w:b/>
          <w:sz w:val="22"/>
          <w:szCs w:val="22"/>
        </w:rPr>
      </w:pPr>
      <w:r w:rsidRPr="00357192">
        <w:rPr>
          <w:rFonts w:ascii="Arial" w:hAnsi="Arial" w:cs="Arial"/>
          <w:b/>
          <w:sz w:val="22"/>
          <w:szCs w:val="22"/>
        </w:rPr>
        <w:t>Not applicable.</w:t>
      </w:r>
    </w:p>
    <w:p w:rsidR="00931EF7" w:rsidRPr="00357192" w:rsidRDefault="00931EF7"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11887" w:rsidRDefault="00311887" w:rsidP="00931EF7">
      <w:pPr>
        <w:pStyle w:val="List"/>
        <w:spacing w:before="0"/>
        <w:ind w:left="720" w:firstLine="0"/>
        <w:jc w:val="both"/>
        <w:rPr>
          <w:rFonts w:ascii="Arial" w:hAnsi="Arial" w:cs="Arial"/>
          <w:b/>
          <w:sz w:val="22"/>
          <w:szCs w:val="22"/>
        </w:rPr>
      </w:pPr>
      <w:r w:rsidRPr="00357192">
        <w:rPr>
          <w:rFonts w:ascii="Arial" w:hAnsi="Arial" w:cs="Arial"/>
          <w:b/>
          <w:sz w:val="22"/>
          <w:szCs w:val="22"/>
        </w:rPr>
        <w:t>There are no legal proceedings.</w:t>
      </w:r>
    </w:p>
    <w:p w:rsidR="00931EF7" w:rsidRPr="00357192" w:rsidRDefault="00931EF7" w:rsidP="00931EF7">
      <w:pPr>
        <w:pStyle w:val="List"/>
        <w:spacing w:before="0"/>
        <w:ind w:left="720" w:firstLine="0"/>
        <w:jc w:val="both"/>
        <w:rPr>
          <w:rFonts w:ascii="Arial" w:hAnsi="Arial" w:cs="Arial"/>
          <w:b/>
          <w:sz w:val="22"/>
          <w:szCs w:val="22"/>
        </w:rPr>
      </w:pPr>
    </w:p>
    <w:p w:rsidR="00227D1F" w:rsidRPr="00357192" w:rsidRDefault="00640E94" w:rsidP="00931EF7">
      <w:pPr>
        <w:pStyle w:val="List"/>
        <w:numPr>
          <w:ilvl w:val="0"/>
          <w:numId w:val="28"/>
        </w:numPr>
        <w:spacing w:before="0"/>
        <w:jc w:val="both"/>
        <w:rPr>
          <w:rFonts w:ascii="Arial" w:hAnsi="Arial" w:cs="Arial"/>
        </w:rPr>
      </w:pPr>
      <w:r w:rsidRPr="00357192">
        <w:rPr>
          <w:rFonts w:ascii="Arial" w:hAnsi="Arial" w:cs="Arial"/>
        </w:rPr>
        <w:t>Provide details of any indebtedness incurred or repaid by the Issuer together with the terms of such indebtedness.</w:t>
      </w:r>
    </w:p>
    <w:p w:rsidR="00311887" w:rsidRDefault="00311887" w:rsidP="00931EF7">
      <w:pPr>
        <w:pStyle w:val="List"/>
        <w:spacing w:before="0"/>
        <w:ind w:left="720" w:firstLine="0"/>
        <w:jc w:val="both"/>
        <w:rPr>
          <w:rFonts w:ascii="Arial" w:hAnsi="Arial" w:cs="Arial"/>
          <w:b/>
          <w:sz w:val="22"/>
          <w:szCs w:val="22"/>
        </w:rPr>
      </w:pPr>
      <w:r w:rsidRPr="00357192">
        <w:rPr>
          <w:rFonts w:ascii="Arial" w:hAnsi="Arial" w:cs="Arial"/>
          <w:b/>
          <w:sz w:val="22"/>
          <w:szCs w:val="22"/>
        </w:rPr>
        <w:t>None.</w:t>
      </w:r>
    </w:p>
    <w:p w:rsidR="00931EF7" w:rsidRPr="00357192" w:rsidRDefault="00931EF7" w:rsidP="00931EF7">
      <w:pPr>
        <w:pStyle w:val="List"/>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Provide details of any securities issued and options or warrants granted.</w:t>
      </w:r>
    </w:p>
    <w:p w:rsidR="00640E94" w:rsidRPr="00357192" w:rsidRDefault="00640E94" w:rsidP="00931EF7">
      <w:pPr>
        <w:pStyle w:val="List"/>
        <w:spacing w:before="0"/>
        <w:ind w:left="0" w:firstLine="0"/>
        <w:jc w:val="both"/>
        <w:rPr>
          <w:rFonts w:ascii="Arial" w:hAnsi="Arial" w:cs="Arial"/>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2430"/>
        <w:gridCol w:w="2088"/>
      </w:tblGrid>
      <w:tr w:rsidR="00640E94" w:rsidRPr="00357192" w:rsidTr="00D4578A">
        <w:tc>
          <w:tcPr>
            <w:tcW w:w="2160" w:type="dxa"/>
          </w:tcPr>
          <w:p w:rsidR="00640E94" w:rsidRPr="00357192" w:rsidRDefault="00640E94" w:rsidP="00931EF7">
            <w:pPr>
              <w:pStyle w:val="List"/>
              <w:tabs>
                <w:tab w:val="left" w:pos="360"/>
              </w:tabs>
              <w:spacing w:before="0"/>
              <w:ind w:left="0" w:firstLine="0"/>
              <w:jc w:val="both"/>
              <w:rPr>
                <w:rFonts w:ascii="Arial" w:hAnsi="Arial" w:cs="Arial"/>
                <w:b/>
              </w:rPr>
            </w:pPr>
            <w:r w:rsidRPr="00357192">
              <w:rPr>
                <w:rFonts w:ascii="Arial" w:hAnsi="Arial" w:cs="Arial"/>
                <w:b/>
              </w:rPr>
              <w:t>Security</w:t>
            </w:r>
          </w:p>
        </w:tc>
        <w:tc>
          <w:tcPr>
            <w:tcW w:w="2070" w:type="dxa"/>
          </w:tcPr>
          <w:p w:rsidR="00640E94" w:rsidRPr="00357192" w:rsidRDefault="00640E94" w:rsidP="00931EF7">
            <w:pPr>
              <w:pStyle w:val="List"/>
              <w:tabs>
                <w:tab w:val="left" w:pos="360"/>
              </w:tabs>
              <w:spacing w:before="0"/>
              <w:ind w:left="0" w:firstLine="0"/>
              <w:jc w:val="both"/>
              <w:rPr>
                <w:rFonts w:ascii="Arial" w:hAnsi="Arial" w:cs="Arial"/>
                <w:b/>
              </w:rPr>
            </w:pPr>
            <w:r w:rsidRPr="00357192">
              <w:rPr>
                <w:rFonts w:ascii="Arial" w:hAnsi="Arial" w:cs="Arial"/>
                <w:b/>
              </w:rPr>
              <w:t>Number Issued</w:t>
            </w:r>
          </w:p>
        </w:tc>
        <w:tc>
          <w:tcPr>
            <w:tcW w:w="2430" w:type="dxa"/>
          </w:tcPr>
          <w:p w:rsidR="00640E94" w:rsidRPr="00357192" w:rsidRDefault="00640E94" w:rsidP="00931EF7">
            <w:pPr>
              <w:pStyle w:val="List"/>
              <w:tabs>
                <w:tab w:val="left" w:pos="360"/>
              </w:tabs>
              <w:spacing w:before="0"/>
              <w:ind w:left="0" w:firstLine="0"/>
              <w:jc w:val="both"/>
              <w:rPr>
                <w:rFonts w:ascii="Arial" w:hAnsi="Arial" w:cs="Arial"/>
                <w:b/>
              </w:rPr>
            </w:pPr>
            <w:r w:rsidRPr="00357192">
              <w:rPr>
                <w:rFonts w:ascii="Arial" w:hAnsi="Arial" w:cs="Arial"/>
                <w:b/>
              </w:rPr>
              <w:t>Details of Issuance</w:t>
            </w:r>
          </w:p>
        </w:tc>
        <w:tc>
          <w:tcPr>
            <w:tcW w:w="2088" w:type="dxa"/>
          </w:tcPr>
          <w:p w:rsidR="00640E94" w:rsidRPr="00357192" w:rsidRDefault="00640E94" w:rsidP="00931EF7">
            <w:pPr>
              <w:pStyle w:val="List"/>
              <w:tabs>
                <w:tab w:val="left" w:pos="360"/>
              </w:tabs>
              <w:spacing w:before="0"/>
              <w:ind w:left="-108" w:right="-180" w:firstLine="0"/>
              <w:jc w:val="both"/>
              <w:rPr>
                <w:rFonts w:ascii="Arial" w:hAnsi="Arial" w:cs="Arial"/>
                <w:b/>
              </w:rPr>
            </w:pPr>
            <w:r w:rsidRPr="00357192">
              <w:rPr>
                <w:rFonts w:ascii="Arial" w:hAnsi="Arial" w:cs="Arial"/>
                <w:b/>
              </w:rPr>
              <w:t>Use of Proceeds</w:t>
            </w:r>
            <w:r w:rsidRPr="00357192">
              <w:rPr>
                <w:rFonts w:ascii="Arial" w:hAnsi="Arial" w:cs="Arial"/>
                <w:b/>
                <w:vertAlign w:val="superscript"/>
              </w:rPr>
              <w:t>(1)</w:t>
            </w:r>
          </w:p>
        </w:tc>
      </w:tr>
      <w:tr w:rsidR="00640E94" w:rsidRPr="00357192" w:rsidTr="00D4578A">
        <w:tc>
          <w:tcPr>
            <w:tcW w:w="2160" w:type="dxa"/>
          </w:tcPr>
          <w:p w:rsidR="00640E94" w:rsidRPr="00357192" w:rsidRDefault="00640E94" w:rsidP="00931EF7">
            <w:pPr>
              <w:pStyle w:val="List"/>
              <w:tabs>
                <w:tab w:val="left" w:pos="360"/>
              </w:tabs>
              <w:spacing w:before="0"/>
              <w:ind w:left="0" w:firstLine="0"/>
              <w:jc w:val="both"/>
              <w:rPr>
                <w:rFonts w:ascii="Arial" w:hAnsi="Arial" w:cs="Arial"/>
                <w:sz w:val="22"/>
                <w:szCs w:val="22"/>
              </w:rPr>
            </w:pPr>
          </w:p>
        </w:tc>
        <w:tc>
          <w:tcPr>
            <w:tcW w:w="2070" w:type="dxa"/>
          </w:tcPr>
          <w:p w:rsidR="00640E94" w:rsidRPr="00357192" w:rsidRDefault="00640E94" w:rsidP="00931EF7">
            <w:pPr>
              <w:pStyle w:val="List"/>
              <w:tabs>
                <w:tab w:val="left" w:pos="360"/>
              </w:tabs>
              <w:spacing w:before="0"/>
              <w:ind w:left="0" w:firstLine="0"/>
              <w:jc w:val="both"/>
              <w:rPr>
                <w:rFonts w:ascii="Arial" w:hAnsi="Arial" w:cs="Arial"/>
                <w:sz w:val="22"/>
                <w:szCs w:val="22"/>
              </w:rPr>
            </w:pPr>
          </w:p>
        </w:tc>
        <w:tc>
          <w:tcPr>
            <w:tcW w:w="2430" w:type="dxa"/>
          </w:tcPr>
          <w:p w:rsidR="00640E94" w:rsidRPr="00357192" w:rsidRDefault="00640E94" w:rsidP="00931EF7">
            <w:pPr>
              <w:pStyle w:val="List"/>
              <w:tabs>
                <w:tab w:val="left" w:pos="360"/>
              </w:tabs>
              <w:spacing w:before="0"/>
              <w:ind w:left="0" w:firstLine="0"/>
              <w:jc w:val="both"/>
              <w:rPr>
                <w:rFonts w:ascii="Arial" w:hAnsi="Arial" w:cs="Arial"/>
                <w:sz w:val="22"/>
                <w:szCs w:val="22"/>
              </w:rPr>
            </w:pPr>
          </w:p>
        </w:tc>
        <w:tc>
          <w:tcPr>
            <w:tcW w:w="2088" w:type="dxa"/>
          </w:tcPr>
          <w:p w:rsidR="00640E94" w:rsidRPr="00357192" w:rsidRDefault="00640E94" w:rsidP="00931EF7">
            <w:pPr>
              <w:pStyle w:val="List"/>
              <w:tabs>
                <w:tab w:val="left" w:pos="360"/>
              </w:tabs>
              <w:spacing w:before="0"/>
              <w:ind w:left="0" w:firstLine="0"/>
              <w:jc w:val="both"/>
              <w:rPr>
                <w:rFonts w:ascii="Arial" w:hAnsi="Arial" w:cs="Arial"/>
                <w:sz w:val="22"/>
                <w:szCs w:val="22"/>
              </w:rPr>
            </w:pPr>
          </w:p>
        </w:tc>
      </w:tr>
    </w:tbl>
    <w:p w:rsidR="00640E94" w:rsidRDefault="00640E94" w:rsidP="00931EF7">
      <w:pPr>
        <w:pStyle w:val="List"/>
        <w:numPr>
          <w:ilvl w:val="0"/>
          <w:numId w:val="29"/>
        </w:numPr>
        <w:tabs>
          <w:tab w:val="left" w:pos="360"/>
        </w:tabs>
        <w:spacing w:before="0"/>
        <w:jc w:val="both"/>
        <w:rPr>
          <w:rFonts w:ascii="Arial" w:hAnsi="Arial" w:cs="Arial"/>
          <w:i/>
        </w:rPr>
      </w:pPr>
      <w:r w:rsidRPr="00357192">
        <w:rPr>
          <w:rFonts w:ascii="Arial" w:hAnsi="Arial" w:cs="Arial"/>
          <w:i/>
        </w:rPr>
        <w:t>State aggregate proceeds and intended allocation of proceeds.</w:t>
      </w:r>
    </w:p>
    <w:p w:rsidR="00931EF7" w:rsidRPr="00357192" w:rsidRDefault="00931EF7" w:rsidP="00931EF7">
      <w:pPr>
        <w:pStyle w:val="List"/>
        <w:tabs>
          <w:tab w:val="left" w:pos="360"/>
        </w:tabs>
        <w:spacing w:before="0"/>
        <w:ind w:left="720" w:firstLine="0"/>
        <w:jc w:val="both"/>
        <w:rPr>
          <w:rFonts w:ascii="Arial" w:hAnsi="Arial" w:cs="Arial"/>
          <w:i/>
        </w:rPr>
      </w:pPr>
    </w:p>
    <w:p w:rsidR="00640E94" w:rsidRPr="00357192" w:rsidRDefault="00640E94" w:rsidP="00931EF7">
      <w:pPr>
        <w:pStyle w:val="List"/>
        <w:keepNext/>
        <w:keepLines/>
        <w:numPr>
          <w:ilvl w:val="0"/>
          <w:numId w:val="28"/>
        </w:numPr>
        <w:spacing w:before="0"/>
        <w:jc w:val="both"/>
        <w:rPr>
          <w:rFonts w:ascii="Arial" w:hAnsi="Arial" w:cs="Arial"/>
        </w:rPr>
      </w:pPr>
      <w:r w:rsidRPr="00357192">
        <w:rPr>
          <w:rFonts w:ascii="Arial" w:hAnsi="Arial" w:cs="Arial"/>
        </w:rPr>
        <w:t>Provide details of any loans to or by Related Persons.</w:t>
      </w:r>
    </w:p>
    <w:p w:rsidR="00C11873" w:rsidRDefault="00C11873" w:rsidP="00931EF7">
      <w:pPr>
        <w:pStyle w:val="List"/>
        <w:keepNext/>
        <w:keepLines/>
        <w:spacing w:before="0"/>
        <w:ind w:left="720" w:firstLine="0"/>
        <w:jc w:val="both"/>
        <w:rPr>
          <w:rFonts w:ascii="Arial" w:hAnsi="Arial" w:cs="Arial"/>
          <w:b/>
          <w:sz w:val="22"/>
          <w:szCs w:val="22"/>
        </w:rPr>
      </w:pPr>
      <w:r w:rsidRPr="00357192">
        <w:rPr>
          <w:rFonts w:ascii="Arial" w:hAnsi="Arial" w:cs="Arial"/>
          <w:b/>
          <w:sz w:val="22"/>
          <w:szCs w:val="22"/>
        </w:rPr>
        <w:t>None.</w:t>
      </w:r>
    </w:p>
    <w:p w:rsidR="00931EF7" w:rsidRPr="00357192" w:rsidRDefault="00931EF7" w:rsidP="00931EF7">
      <w:pPr>
        <w:pStyle w:val="List"/>
        <w:keepNext/>
        <w:keepLines/>
        <w:spacing w:before="0"/>
        <w:ind w:left="720" w:firstLine="0"/>
        <w:jc w:val="both"/>
        <w:rPr>
          <w:rFonts w:ascii="Arial" w:hAnsi="Arial" w:cs="Arial"/>
          <w:b/>
          <w:sz w:val="22"/>
          <w:szCs w:val="22"/>
        </w:rPr>
      </w:pPr>
    </w:p>
    <w:p w:rsidR="00640E94" w:rsidRPr="00357192" w:rsidRDefault="00640E94" w:rsidP="00931EF7">
      <w:pPr>
        <w:pStyle w:val="List"/>
        <w:keepNext/>
        <w:keepLines/>
        <w:numPr>
          <w:ilvl w:val="0"/>
          <w:numId w:val="28"/>
        </w:numPr>
        <w:spacing w:before="0"/>
        <w:jc w:val="both"/>
        <w:rPr>
          <w:rFonts w:ascii="Arial" w:hAnsi="Arial" w:cs="Arial"/>
        </w:rPr>
      </w:pPr>
      <w:r w:rsidRPr="00357192">
        <w:rPr>
          <w:rFonts w:ascii="Arial" w:hAnsi="Arial" w:cs="Arial"/>
        </w:rPr>
        <w:t>Provide details of any changes in directors, officers or committee members.</w:t>
      </w:r>
    </w:p>
    <w:p w:rsidR="00241076" w:rsidRDefault="003C2DD9" w:rsidP="00931EF7">
      <w:pPr>
        <w:pStyle w:val="List"/>
        <w:keepNext/>
        <w:keepLines/>
        <w:spacing w:before="0"/>
        <w:ind w:left="720" w:firstLine="0"/>
        <w:jc w:val="both"/>
        <w:rPr>
          <w:rFonts w:ascii="Arial" w:hAnsi="Arial" w:cs="Arial"/>
          <w:b/>
          <w:sz w:val="22"/>
          <w:szCs w:val="22"/>
        </w:rPr>
      </w:pPr>
      <w:r w:rsidRPr="00357192">
        <w:rPr>
          <w:rFonts w:ascii="Arial" w:hAnsi="Arial" w:cs="Arial"/>
          <w:b/>
          <w:sz w:val="22"/>
          <w:szCs w:val="22"/>
        </w:rPr>
        <w:t>None</w:t>
      </w:r>
      <w:r w:rsidR="00241076" w:rsidRPr="00357192">
        <w:rPr>
          <w:rFonts w:ascii="Arial" w:hAnsi="Arial" w:cs="Arial"/>
          <w:b/>
          <w:sz w:val="22"/>
          <w:szCs w:val="22"/>
        </w:rPr>
        <w:t>.</w:t>
      </w:r>
    </w:p>
    <w:p w:rsidR="00931EF7" w:rsidRPr="00357192" w:rsidRDefault="00931EF7" w:rsidP="00931EF7">
      <w:pPr>
        <w:pStyle w:val="List"/>
        <w:keepNext/>
        <w:keepLines/>
        <w:spacing w:before="0"/>
        <w:ind w:left="720" w:firstLine="0"/>
        <w:jc w:val="both"/>
        <w:rPr>
          <w:rFonts w:ascii="Arial" w:hAnsi="Arial" w:cs="Arial"/>
          <w:b/>
          <w:sz w:val="22"/>
          <w:szCs w:val="22"/>
        </w:rPr>
      </w:pPr>
    </w:p>
    <w:p w:rsidR="00640E94" w:rsidRPr="00357192" w:rsidRDefault="00640E94" w:rsidP="00931EF7">
      <w:pPr>
        <w:pStyle w:val="List"/>
        <w:numPr>
          <w:ilvl w:val="0"/>
          <w:numId w:val="28"/>
        </w:numPr>
        <w:spacing w:before="0"/>
        <w:jc w:val="both"/>
        <w:rPr>
          <w:rFonts w:ascii="Arial" w:hAnsi="Arial" w:cs="Arial"/>
        </w:rPr>
      </w:pPr>
      <w:r w:rsidRPr="00357192">
        <w:rPr>
          <w:rFonts w:ascii="Arial" w:hAnsi="Arial" w:cs="Arial"/>
        </w:rPr>
        <w:t>Discuss any trends which are likely to impact the Issuer including trends in the Issuer’s market(s) or political/regulatory trends.</w:t>
      </w:r>
    </w:p>
    <w:p w:rsidR="00C11873" w:rsidRPr="00357192" w:rsidRDefault="00C11873" w:rsidP="00931EF7">
      <w:pPr>
        <w:pStyle w:val="List"/>
        <w:spacing w:before="0"/>
        <w:ind w:left="720" w:firstLine="0"/>
        <w:jc w:val="both"/>
        <w:rPr>
          <w:rFonts w:ascii="Arial" w:hAnsi="Arial" w:cs="Arial"/>
        </w:rPr>
      </w:pPr>
      <w:r w:rsidRPr="00357192">
        <w:rPr>
          <w:rFonts w:ascii="Arial" w:hAnsi="Arial" w:cs="Arial"/>
          <w:b/>
          <w:sz w:val="22"/>
          <w:szCs w:val="22"/>
        </w:rPr>
        <w:t>There are no trends specific to the Issuer at this time.</w:t>
      </w:r>
    </w:p>
    <w:p w:rsidR="00640E94" w:rsidRPr="00357192" w:rsidRDefault="00640E94" w:rsidP="00357192">
      <w:pPr>
        <w:pStyle w:val="List"/>
        <w:keepNext/>
        <w:spacing w:before="120"/>
        <w:ind w:left="0" w:firstLine="0"/>
        <w:jc w:val="both"/>
        <w:rPr>
          <w:rFonts w:ascii="Arial" w:hAnsi="Arial" w:cs="Arial"/>
          <w:b/>
        </w:rPr>
      </w:pPr>
      <w:r w:rsidRPr="00357192">
        <w:rPr>
          <w:rFonts w:ascii="Arial" w:hAnsi="Arial" w:cs="Arial"/>
          <w:b/>
        </w:rPr>
        <w:br w:type="page"/>
      </w:r>
      <w:r w:rsidRPr="00357192">
        <w:rPr>
          <w:rFonts w:ascii="Arial" w:hAnsi="Arial" w:cs="Arial"/>
          <w:b/>
        </w:rPr>
        <w:lastRenderedPageBreak/>
        <w:t>Certificate Of Compliance</w:t>
      </w:r>
    </w:p>
    <w:p w:rsidR="00640E94" w:rsidRPr="00357192" w:rsidRDefault="00640E94" w:rsidP="00357192">
      <w:pPr>
        <w:pStyle w:val="BodyText"/>
        <w:keepNext/>
        <w:jc w:val="both"/>
        <w:rPr>
          <w:rFonts w:ascii="Arial" w:hAnsi="Arial" w:cs="Arial"/>
        </w:rPr>
      </w:pPr>
      <w:r w:rsidRPr="00357192">
        <w:rPr>
          <w:rFonts w:ascii="Arial" w:hAnsi="Arial" w:cs="Arial"/>
        </w:rPr>
        <w:t>The undersigned hereby certifies that:</w:t>
      </w:r>
    </w:p>
    <w:p w:rsidR="00640E94" w:rsidRPr="00357192" w:rsidRDefault="00640E94" w:rsidP="00357192">
      <w:pPr>
        <w:pStyle w:val="List"/>
        <w:keepNext/>
        <w:numPr>
          <w:ilvl w:val="0"/>
          <w:numId w:val="23"/>
        </w:numPr>
        <w:jc w:val="both"/>
        <w:rPr>
          <w:rFonts w:ascii="Arial" w:hAnsi="Arial" w:cs="Arial"/>
        </w:rPr>
      </w:pPr>
      <w:r w:rsidRPr="00357192">
        <w:rPr>
          <w:rFonts w:ascii="Arial" w:hAnsi="Arial" w:cs="Arial"/>
        </w:rPr>
        <w:t>The undersigned is a director and/or senior officer of the Issuer and has been duly authorized by a resolution of the board of directors of the Issuer to sign this Certificate of Compliance.</w:t>
      </w:r>
    </w:p>
    <w:p w:rsidR="00640E94" w:rsidRPr="00357192" w:rsidRDefault="00640E94" w:rsidP="00357192">
      <w:pPr>
        <w:pStyle w:val="List"/>
        <w:numPr>
          <w:ilvl w:val="0"/>
          <w:numId w:val="23"/>
        </w:numPr>
        <w:jc w:val="both"/>
        <w:rPr>
          <w:rFonts w:ascii="Arial" w:hAnsi="Arial" w:cs="Arial"/>
        </w:rPr>
      </w:pPr>
      <w:r w:rsidRPr="00357192">
        <w:rPr>
          <w:rFonts w:ascii="Arial" w:hAnsi="Arial" w:cs="Arial"/>
        </w:rPr>
        <w:t>As of the date hereof there were is no material information concerning the Issuer which has not been publicly disclosed.</w:t>
      </w:r>
    </w:p>
    <w:p w:rsidR="00640E94" w:rsidRPr="00357192" w:rsidRDefault="00640E94" w:rsidP="00357192">
      <w:pPr>
        <w:pStyle w:val="List"/>
        <w:numPr>
          <w:ilvl w:val="0"/>
          <w:numId w:val="23"/>
        </w:numPr>
        <w:jc w:val="both"/>
        <w:rPr>
          <w:rFonts w:ascii="Arial" w:hAnsi="Arial" w:cs="Arial"/>
        </w:rPr>
      </w:pPr>
      <w:r w:rsidRPr="00357192">
        <w:rPr>
          <w:rFonts w:ascii="Arial" w:hAnsi="Arial" w:cs="Arial"/>
        </w:rPr>
        <w:t xml:space="preserve">The undersigned hereby certifies to </w:t>
      </w:r>
      <w:r w:rsidR="008B7E92" w:rsidRPr="00357192">
        <w:rPr>
          <w:rFonts w:ascii="Arial" w:hAnsi="Arial" w:cs="Arial"/>
        </w:rPr>
        <w:t xml:space="preserve">the Exchange </w:t>
      </w:r>
      <w:r w:rsidRPr="00357192">
        <w:rPr>
          <w:rFonts w:ascii="Arial" w:hAnsi="Arial" w:cs="Arial"/>
        </w:rPr>
        <w:t xml:space="preserve">that the Issuer is in compliance with the requirements of </w:t>
      </w:r>
      <w:r w:rsidR="00E36141" w:rsidRPr="00357192">
        <w:rPr>
          <w:rFonts w:ascii="Arial" w:hAnsi="Arial" w:cs="Arial"/>
        </w:rPr>
        <w:t xml:space="preserve">applicable securities legislation (as such term is defined in National Instrument 14-101) </w:t>
      </w:r>
      <w:r w:rsidRPr="00357192">
        <w:rPr>
          <w:rFonts w:ascii="Arial" w:hAnsi="Arial" w:cs="Arial"/>
        </w:rPr>
        <w:t xml:space="preserve">and all </w:t>
      </w:r>
      <w:r w:rsidR="008B7E92" w:rsidRPr="00357192">
        <w:rPr>
          <w:rFonts w:ascii="Arial" w:hAnsi="Arial" w:cs="Arial"/>
        </w:rPr>
        <w:t xml:space="preserve">Exchange </w:t>
      </w:r>
      <w:r w:rsidRPr="00357192">
        <w:rPr>
          <w:rFonts w:ascii="Arial" w:hAnsi="Arial" w:cs="Arial"/>
        </w:rPr>
        <w:t xml:space="preserve">Requirements (as defined in </w:t>
      </w:r>
      <w:r w:rsidR="003669A9" w:rsidRPr="00357192">
        <w:rPr>
          <w:rFonts w:ascii="Arial" w:hAnsi="Arial" w:cs="Arial"/>
        </w:rPr>
        <w:t>CNSX</w:t>
      </w:r>
      <w:r w:rsidRPr="00357192">
        <w:rPr>
          <w:rFonts w:ascii="Arial" w:hAnsi="Arial" w:cs="Arial"/>
        </w:rPr>
        <w:t xml:space="preserve"> Policy 1).</w:t>
      </w:r>
    </w:p>
    <w:p w:rsidR="00640E94" w:rsidRPr="00357192" w:rsidRDefault="00640E94" w:rsidP="00357192">
      <w:pPr>
        <w:pStyle w:val="List"/>
        <w:numPr>
          <w:ilvl w:val="0"/>
          <w:numId w:val="23"/>
        </w:numPr>
        <w:jc w:val="both"/>
        <w:rPr>
          <w:rFonts w:ascii="Arial" w:hAnsi="Arial" w:cs="Arial"/>
        </w:rPr>
      </w:pPr>
      <w:r w:rsidRPr="00357192">
        <w:rPr>
          <w:rFonts w:ascii="Arial" w:hAnsi="Arial" w:cs="Arial"/>
        </w:rPr>
        <w:t>All of the information in this Form 7 Monthly Progress Report is true.</w:t>
      </w:r>
    </w:p>
    <w:p w:rsidR="00640E94" w:rsidRPr="00357192" w:rsidRDefault="00640E94" w:rsidP="00357192">
      <w:pPr>
        <w:pStyle w:val="BodyText"/>
        <w:tabs>
          <w:tab w:val="left" w:pos="4680"/>
          <w:tab w:val="left" w:pos="7200"/>
        </w:tabs>
        <w:spacing w:before="480"/>
        <w:jc w:val="both"/>
        <w:rPr>
          <w:rFonts w:ascii="Arial" w:hAnsi="Arial" w:cs="Arial"/>
        </w:rPr>
      </w:pPr>
      <w:r w:rsidRPr="00357192">
        <w:rPr>
          <w:rFonts w:ascii="Arial" w:hAnsi="Arial" w:cs="Arial"/>
        </w:rPr>
        <w:t>Dated</w:t>
      </w:r>
      <w:r w:rsidR="00C11873" w:rsidRPr="00357192">
        <w:rPr>
          <w:rFonts w:ascii="Arial" w:hAnsi="Arial" w:cs="Arial"/>
        </w:rPr>
        <w:t xml:space="preserve">: </w:t>
      </w:r>
      <w:r w:rsidR="00E87B22">
        <w:rPr>
          <w:rFonts w:ascii="Arial" w:hAnsi="Arial" w:cs="Arial"/>
          <w:color w:val="000000"/>
        </w:rPr>
        <w:t>February 7</w:t>
      </w:r>
      <w:r w:rsidR="002C4009">
        <w:rPr>
          <w:rFonts w:ascii="Arial" w:hAnsi="Arial" w:cs="Arial"/>
          <w:color w:val="000000"/>
        </w:rPr>
        <w:t>, 201</w:t>
      </w:r>
      <w:r w:rsidR="000F55C8">
        <w:rPr>
          <w:rFonts w:ascii="Arial" w:hAnsi="Arial" w:cs="Arial"/>
          <w:color w:val="000000"/>
        </w:rPr>
        <w:t>8</w:t>
      </w:r>
    </w:p>
    <w:p w:rsidR="00640E94" w:rsidRPr="00357192" w:rsidRDefault="00241076" w:rsidP="00357192">
      <w:pPr>
        <w:pStyle w:val="List"/>
        <w:tabs>
          <w:tab w:val="left" w:pos="9180"/>
        </w:tabs>
        <w:ind w:left="5760" w:hanging="5760"/>
        <w:jc w:val="both"/>
        <w:rPr>
          <w:rFonts w:ascii="Arial" w:hAnsi="Arial" w:cs="Arial"/>
        </w:rPr>
      </w:pPr>
      <w:r w:rsidRPr="00357192">
        <w:rPr>
          <w:rFonts w:ascii="Arial" w:hAnsi="Arial" w:cs="Arial"/>
        </w:rPr>
        <w:t xml:space="preserve">                                                                        </w:t>
      </w:r>
      <w:r w:rsidR="00640E94" w:rsidRPr="00357192">
        <w:rPr>
          <w:rFonts w:ascii="Arial" w:hAnsi="Arial" w:cs="Arial"/>
        </w:rPr>
        <w:t>Name of Director or Senior Officer</w:t>
      </w:r>
    </w:p>
    <w:p w:rsidR="00241076" w:rsidRPr="00357192" w:rsidRDefault="00640E94" w:rsidP="00931EF7">
      <w:pPr>
        <w:pStyle w:val="List"/>
        <w:tabs>
          <w:tab w:val="left" w:pos="9180"/>
        </w:tabs>
        <w:ind w:left="5760" w:hanging="5760"/>
        <w:jc w:val="both"/>
        <w:rPr>
          <w:rFonts w:ascii="Arial" w:hAnsi="Arial" w:cs="Arial"/>
          <w:szCs w:val="24"/>
        </w:rPr>
      </w:pPr>
      <w:r w:rsidRPr="00357192">
        <w:rPr>
          <w:rFonts w:ascii="Arial" w:hAnsi="Arial" w:cs="Arial"/>
        </w:rPr>
        <w:tab/>
      </w:r>
      <w:r w:rsidR="001F3A54" w:rsidRPr="00357192">
        <w:rPr>
          <w:rFonts w:ascii="Arial" w:hAnsi="Arial" w:cs="Arial"/>
          <w:szCs w:val="24"/>
        </w:rPr>
        <w:t>Quinn Field-</w:t>
      </w:r>
      <w:proofErr w:type="spellStart"/>
      <w:r w:rsidR="001F3A54" w:rsidRPr="00357192">
        <w:rPr>
          <w:rFonts w:ascii="Arial" w:hAnsi="Arial" w:cs="Arial"/>
          <w:szCs w:val="24"/>
        </w:rPr>
        <w:t>Dyte</w:t>
      </w:r>
      <w:proofErr w:type="spellEnd"/>
    </w:p>
    <w:p w:rsidR="00640E94" w:rsidRPr="00357192" w:rsidRDefault="00241076" w:rsidP="00931EF7">
      <w:pPr>
        <w:pStyle w:val="List"/>
        <w:tabs>
          <w:tab w:val="left" w:pos="9180"/>
          <w:tab w:val="left" w:pos="9360"/>
        </w:tabs>
        <w:ind w:left="5760" w:hanging="5760"/>
        <w:rPr>
          <w:rFonts w:ascii="Arial" w:hAnsi="Arial" w:cs="Arial"/>
          <w:i/>
          <w:szCs w:val="24"/>
        </w:rPr>
      </w:pPr>
      <w:r w:rsidRPr="00357192">
        <w:rPr>
          <w:rFonts w:ascii="Arial" w:hAnsi="Arial" w:cs="Arial"/>
          <w:i/>
          <w:szCs w:val="24"/>
        </w:rPr>
        <w:t xml:space="preserve">                                                                                     </w:t>
      </w:r>
      <w:r w:rsidR="00931EF7">
        <w:rPr>
          <w:rFonts w:ascii="Arial" w:hAnsi="Arial" w:cs="Arial"/>
          <w:i/>
          <w:szCs w:val="24"/>
        </w:rPr>
        <w:t xml:space="preserve"> </w:t>
      </w:r>
      <w:r w:rsidRPr="00357192">
        <w:rPr>
          <w:rFonts w:ascii="Arial" w:hAnsi="Arial" w:cs="Arial"/>
          <w:i/>
          <w:szCs w:val="24"/>
        </w:rPr>
        <w:t>“</w:t>
      </w:r>
      <w:r w:rsidR="001F3A54" w:rsidRPr="00357192">
        <w:rPr>
          <w:rFonts w:ascii="Arial" w:hAnsi="Arial" w:cs="Arial"/>
          <w:i/>
          <w:szCs w:val="24"/>
        </w:rPr>
        <w:t>Quinn Field-</w:t>
      </w:r>
      <w:proofErr w:type="spellStart"/>
      <w:r w:rsidR="001F3A54" w:rsidRPr="00357192">
        <w:rPr>
          <w:rFonts w:ascii="Arial" w:hAnsi="Arial" w:cs="Arial"/>
          <w:i/>
          <w:szCs w:val="24"/>
        </w:rPr>
        <w:t>Dyte</w:t>
      </w:r>
      <w:proofErr w:type="spellEnd"/>
      <w:r w:rsidRPr="00357192">
        <w:rPr>
          <w:rFonts w:ascii="Arial" w:hAnsi="Arial" w:cs="Arial"/>
          <w:i/>
          <w:szCs w:val="24"/>
        </w:rPr>
        <w:t>”</w:t>
      </w:r>
      <w:r w:rsidR="00640E94" w:rsidRPr="00357192">
        <w:rPr>
          <w:rFonts w:ascii="Arial" w:hAnsi="Arial" w:cs="Arial"/>
          <w:i/>
          <w:szCs w:val="24"/>
        </w:rPr>
        <w:br/>
      </w:r>
    </w:p>
    <w:p w:rsidR="00640E94" w:rsidRPr="00357192" w:rsidRDefault="00640E94" w:rsidP="00357192">
      <w:pPr>
        <w:pStyle w:val="BodyText"/>
        <w:tabs>
          <w:tab w:val="left" w:pos="9180"/>
        </w:tabs>
        <w:spacing w:before="0"/>
        <w:ind w:left="5760"/>
        <w:jc w:val="both"/>
        <w:rPr>
          <w:rFonts w:ascii="Arial" w:hAnsi="Arial" w:cs="Arial"/>
        </w:rPr>
      </w:pPr>
      <w:r w:rsidRPr="00357192">
        <w:rPr>
          <w:rFonts w:ascii="Arial" w:hAnsi="Arial" w:cs="Arial"/>
          <w:u w:val="single"/>
        </w:rPr>
        <w:tab/>
      </w:r>
      <w:r w:rsidRPr="00357192">
        <w:rPr>
          <w:rFonts w:ascii="Arial" w:hAnsi="Arial" w:cs="Arial"/>
        </w:rPr>
        <w:br/>
      </w:r>
      <w:bookmarkEnd w:id="4"/>
      <w:r w:rsidR="001F3A54" w:rsidRPr="00357192">
        <w:rPr>
          <w:rFonts w:ascii="Arial" w:hAnsi="Arial" w:cs="Arial"/>
        </w:rPr>
        <w:t>CE</w:t>
      </w:r>
      <w:r w:rsidR="00241076" w:rsidRPr="00357192">
        <w:rPr>
          <w:rFonts w:ascii="Arial" w:hAnsi="Arial" w:cs="Arial"/>
        </w:rPr>
        <w:t>O, Director</w:t>
      </w:r>
    </w:p>
    <w:p w:rsidR="00640E94" w:rsidRPr="00357192" w:rsidRDefault="00640E94" w:rsidP="00357192">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RPr="00357192" w:rsidTr="00241076">
        <w:tc>
          <w:tcPr>
            <w:tcW w:w="4644" w:type="dxa"/>
            <w:tcBorders>
              <w:top w:val="single" w:sz="18" w:space="0" w:color="auto"/>
              <w:bottom w:val="nil"/>
              <w:right w:val="single" w:sz="18" w:space="0" w:color="auto"/>
            </w:tcBorders>
          </w:tcPr>
          <w:p w:rsidR="00640E94" w:rsidRPr="00357192" w:rsidRDefault="00640E94" w:rsidP="00357192">
            <w:pPr>
              <w:pStyle w:val="BodyText"/>
              <w:spacing w:before="0"/>
              <w:jc w:val="both"/>
              <w:rPr>
                <w:rFonts w:ascii="Arial" w:hAnsi="Arial" w:cs="Arial"/>
                <w:b/>
                <w:i/>
              </w:rPr>
            </w:pPr>
            <w:r w:rsidRPr="00357192">
              <w:rPr>
                <w:rFonts w:ascii="Arial" w:hAnsi="Arial" w:cs="Arial"/>
                <w:b/>
                <w:i/>
              </w:rPr>
              <w:t>Issuer Details</w:t>
            </w:r>
          </w:p>
          <w:p w:rsidR="00640E94" w:rsidRPr="00357192" w:rsidRDefault="00640E94" w:rsidP="00357192">
            <w:pPr>
              <w:pStyle w:val="BodyText"/>
              <w:spacing w:before="0"/>
              <w:jc w:val="both"/>
              <w:rPr>
                <w:rFonts w:ascii="Arial" w:hAnsi="Arial" w:cs="Arial"/>
              </w:rPr>
            </w:pPr>
            <w:r w:rsidRPr="00357192">
              <w:rPr>
                <w:rFonts w:ascii="Arial" w:hAnsi="Arial" w:cs="Arial"/>
              </w:rPr>
              <w:t>Name of Issuer</w:t>
            </w:r>
          </w:p>
          <w:p w:rsidR="00241076" w:rsidRPr="00357192" w:rsidRDefault="00AA0F64" w:rsidP="00357192">
            <w:pPr>
              <w:pStyle w:val="BodyText"/>
              <w:spacing w:before="0"/>
              <w:jc w:val="both"/>
              <w:rPr>
                <w:rFonts w:ascii="Arial" w:hAnsi="Arial" w:cs="Arial"/>
              </w:rPr>
            </w:pPr>
            <w:r w:rsidRPr="00357192">
              <w:rPr>
                <w:rFonts w:ascii="Arial" w:hAnsi="Arial" w:cs="Arial"/>
              </w:rPr>
              <w:t>WINSTON RESOURCES INC</w:t>
            </w:r>
            <w:r w:rsidR="00241076" w:rsidRPr="00357192">
              <w:rPr>
                <w:rFonts w:ascii="Arial" w:hAnsi="Arial" w:cs="Arial"/>
              </w:rPr>
              <w:t>.</w:t>
            </w:r>
          </w:p>
        </w:tc>
        <w:tc>
          <w:tcPr>
            <w:tcW w:w="2034" w:type="dxa"/>
            <w:tcBorders>
              <w:top w:val="single" w:sz="18" w:space="0" w:color="auto"/>
              <w:left w:val="single" w:sz="18" w:space="0" w:color="auto"/>
              <w:bottom w:val="nil"/>
              <w:right w:val="single" w:sz="18" w:space="0" w:color="auto"/>
            </w:tcBorders>
          </w:tcPr>
          <w:p w:rsidR="00640E94" w:rsidRPr="00357192" w:rsidRDefault="008A39A7" w:rsidP="00357192">
            <w:pPr>
              <w:pStyle w:val="BodyText"/>
              <w:spacing w:before="0"/>
              <w:jc w:val="both"/>
              <w:rPr>
                <w:rFonts w:ascii="Arial" w:hAnsi="Arial" w:cs="Arial"/>
              </w:rPr>
            </w:pPr>
            <w:r w:rsidRPr="00357192">
              <w:rPr>
                <w:rFonts w:ascii="Arial" w:hAnsi="Arial" w:cs="Arial"/>
              </w:rPr>
              <w:t>For Month</w:t>
            </w:r>
            <w:r w:rsidR="00640E94" w:rsidRPr="00357192">
              <w:rPr>
                <w:rFonts w:ascii="Arial" w:hAnsi="Arial" w:cs="Arial"/>
              </w:rPr>
              <w:t xml:space="preserve"> End</w:t>
            </w:r>
          </w:p>
          <w:p w:rsidR="00241076" w:rsidRPr="00357192" w:rsidRDefault="00E87B22" w:rsidP="00357192">
            <w:pPr>
              <w:pStyle w:val="BodyText"/>
              <w:spacing w:before="0"/>
              <w:jc w:val="both"/>
              <w:rPr>
                <w:rFonts w:ascii="Arial" w:hAnsi="Arial" w:cs="Arial"/>
              </w:rPr>
            </w:pPr>
            <w:r>
              <w:rPr>
                <w:rFonts w:ascii="Arial" w:hAnsi="Arial" w:cs="Arial"/>
              </w:rPr>
              <w:t>January</w:t>
            </w:r>
            <w:r w:rsidR="000F55C8">
              <w:rPr>
                <w:rFonts w:ascii="Arial" w:hAnsi="Arial" w:cs="Arial"/>
              </w:rPr>
              <w:t xml:space="preserve"> </w:t>
            </w:r>
            <w:r w:rsidR="002C4009">
              <w:rPr>
                <w:rFonts w:ascii="Arial" w:hAnsi="Arial" w:cs="Arial"/>
              </w:rPr>
              <w:t>201</w:t>
            </w:r>
            <w:r>
              <w:rPr>
                <w:rFonts w:ascii="Arial" w:hAnsi="Arial" w:cs="Arial"/>
              </w:rPr>
              <w:t>8</w:t>
            </w:r>
          </w:p>
        </w:tc>
        <w:tc>
          <w:tcPr>
            <w:tcW w:w="2898" w:type="dxa"/>
            <w:tcBorders>
              <w:top w:val="single" w:sz="18" w:space="0" w:color="auto"/>
              <w:left w:val="single" w:sz="18" w:space="0" w:color="auto"/>
              <w:bottom w:val="nil"/>
            </w:tcBorders>
          </w:tcPr>
          <w:p w:rsidR="00640E94" w:rsidRPr="00357192" w:rsidRDefault="00640E94" w:rsidP="00357192">
            <w:pPr>
              <w:pStyle w:val="BodyText"/>
              <w:spacing w:before="0"/>
              <w:jc w:val="both"/>
              <w:rPr>
                <w:rFonts w:ascii="Arial" w:hAnsi="Arial" w:cs="Arial"/>
              </w:rPr>
            </w:pPr>
            <w:r w:rsidRPr="00357192">
              <w:rPr>
                <w:rFonts w:ascii="Arial" w:hAnsi="Arial" w:cs="Arial"/>
              </w:rPr>
              <w:t>Date of Report</w:t>
            </w:r>
          </w:p>
          <w:p w:rsidR="00640E94" w:rsidRPr="00357192" w:rsidRDefault="00640E94" w:rsidP="00357192">
            <w:pPr>
              <w:pStyle w:val="BodyText"/>
              <w:spacing w:before="0"/>
              <w:jc w:val="both"/>
              <w:rPr>
                <w:rFonts w:ascii="Arial" w:hAnsi="Arial" w:cs="Arial"/>
              </w:rPr>
            </w:pPr>
            <w:r w:rsidRPr="00357192">
              <w:rPr>
                <w:rFonts w:ascii="Arial" w:hAnsi="Arial" w:cs="Arial"/>
              </w:rPr>
              <w:t>YY/MM/D</w:t>
            </w:r>
          </w:p>
          <w:p w:rsidR="00241076" w:rsidRPr="00357192" w:rsidRDefault="000F55C8" w:rsidP="00357192">
            <w:pPr>
              <w:pStyle w:val="BodyText"/>
              <w:spacing w:before="0"/>
              <w:jc w:val="both"/>
              <w:rPr>
                <w:rFonts w:ascii="Arial" w:hAnsi="Arial" w:cs="Arial"/>
              </w:rPr>
            </w:pPr>
            <w:r>
              <w:rPr>
                <w:rFonts w:ascii="Arial" w:hAnsi="Arial" w:cs="Arial"/>
              </w:rPr>
              <w:t>18</w:t>
            </w:r>
            <w:r w:rsidR="00241076" w:rsidRPr="00357192">
              <w:rPr>
                <w:rFonts w:ascii="Arial" w:hAnsi="Arial" w:cs="Arial"/>
              </w:rPr>
              <w:t>/</w:t>
            </w:r>
            <w:r>
              <w:rPr>
                <w:rFonts w:ascii="Arial" w:hAnsi="Arial" w:cs="Arial"/>
              </w:rPr>
              <w:t>0</w:t>
            </w:r>
            <w:r w:rsidR="00E87B22">
              <w:rPr>
                <w:rFonts w:ascii="Arial" w:hAnsi="Arial" w:cs="Arial"/>
              </w:rPr>
              <w:t>2</w:t>
            </w:r>
            <w:r w:rsidR="002C4009">
              <w:rPr>
                <w:rFonts w:ascii="Arial" w:hAnsi="Arial" w:cs="Arial"/>
              </w:rPr>
              <w:t>/0</w:t>
            </w:r>
            <w:r w:rsidR="00E87B22">
              <w:rPr>
                <w:rFonts w:ascii="Arial" w:hAnsi="Arial" w:cs="Arial"/>
              </w:rPr>
              <w:t>7</w:t>
            </w:r>
          </w:p>
        </w:tc>
      </w:tr>
      <w:tr w:rsidR="00640E94" w:rsidRPr="00357192">
        <w:trPr>
          <w:cantSplit/>
        </w:trPr>
        <w:tc>
          <w:tcPr>
            <w:tcW w:w="9576" w:type="dxa"/>
            <w:gridSpan w:val="3"/>
            <w:tcBorders>
              <w:top w:val="single" w:sz="18" w:space="0" w:color="auto"/>
              <w:bottom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Issuer Address</w:t>
            </w:r>
          </w:p>
          <w:p w:rsidR="00640E94" w:rsidRPr="00357192" w:rsidRDefault="00241076" w:rsidP="00357192">
            <w:pPr>
              <w:pStyle w:val="BodyText"/>
              <w:spacing w:before="0"/>
              <w:jc w:val="both"/>
              <w:rPr>
                <w:rFonts w:ascii="Arial" w:hAnsi="Arial" w:cs="Arial"/>
              </w:rPr>
            </w:pPr>
            <w:r w:rsidRPr="00357192">
              <w:rPr>
                <w:rFonts w:ascii="Arial" w:hAnsi="Arial" w:cs="Arial"/>
              </w:rPr>
              <w:t>#800 – 1199 W. Hastings Street</w:t>
            </w:r>
          </w:p>
          <w:p w:rsidR="00640E94" w:rsidRPr="00357192" w:rsidRDefault="00640E94" w:rsidP="00357192">
            <w:pPr>
              <w:pStyle w:val="BodyText"/>
              <w:spacing w:before="0"/>
              <w:jc w:val="both"/>
              <w:rPr>
                <w:rFonts w:ascii="Arial" w:hAnsi="Arial" w:cs="Arial"/>
              </w:rPr>
            </w:pPr>
          </w:p>
        </w:tc>
      </w:tr>
      <w:tr w:rsidR="00640E94" w:rsidRPr="00357192" w:rsidTr="00241076">
        <w:tc>
          <w:tcPr>
            <w:tcW w:w="4644" w:type="dxa"/>
            <w:tcBorders>
              <w:top w:val="single" w:sz="18" w:space="0" w:color="auto"/>
              <w:bottom w:val="single" w:sz="18" w:space="0" w:color="auto"/>
              <w:right w:val="single" w:sz="18" w:space="0" w:color="auto"/>
            </w:tcBorders>
          </w:tcPr>
          <w:p w:rsidR="00640E94" w:rsidRPr="000F55C8" w:rsidRDefault="00640E94" w:rsidP="00357192">
            <w:pPr>
              <w:pStyle w:val="BodyText"/>
              <w:spacing w:before="0"/>
              <w:jc w:val="both"/>
              <w:rPr>
                <w:rFonts w:ascii="Arial" w:hAnsi="Arial" w:cs="Arial"/>
                <w:lang w:val="fr-FR"/>
              </w:rPr>
            </w:pPr>
            <w:r w:rsidRPr="000F55C8">
              <w:rPr>
                <w:rFonts w:ascii="Arial" w:hAnsi="Arial" w:cs="Arial"/>
                <w:lang w:val="fr-FR"/>
              </w:rPr>
              <w:t>City/Province/Postal Code</w:t>
            </w:r>
          </w:p>
          <w:p w:rsidR="00640E94" w:rsidRPr="000F55C8" w:rsidRDefault="00241076" w:rsidP="00357192">
            <w:pPr>
              <w:pStyle w:val="BodyText"/>
              <w:spacing w:before="0"/>
              <w:jc w:val="both"/>
              <w:rPr>
                <w:rFonts w:ascii="Arial" w:hAnsi="Arial" w:cs="Arial"/>
                <w:lang w:val="fr-FR"/>
              </w:rPr>
            </w:pPr>
            <w:r w:rsidRPr="000F55C8">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Issuer Fax No.</w:t>
            </w:r>
          </w:p>
          <w:p w:rsidR="00640E94" w:rsidRPr="00357192" w:rsidRDefault="00241076" w:rsidP="00357192">
            <w:pPr>
              <w:pStyle w:val="BodyText"/>
              <w:spacing w:before="0"/>
              <w:jc w:val="both"/>
              <w:rPr>
                <w:rFonts w:ascii="Arial" w:hAnsi="Arial" w:cs="Arial"/>
              </w:rPr>
            </w:pPr>
            <w:r w:rsidRPr="00357192">
              <w:rPr>
                <w:rFonts w:ascii="Arial" w:hAnsi="Arial" w:cs="Arial"/>
              </w:rPr>
              <w:t>(888)241-5996</w:t>
            </w:r>
          </w:p>
        </w:tc>
        <w:tc>
          <w:tcPr>
            <w:tcW w:w="2898" w:type="dxa"/>
            <w:tcBorders>
              <w:top w:val="single" w:sz="18" w:space="0" w:color="auto"/>
              <w:left w:val="single" w:sz="18" w:space="0" w:color="auto"/>
              <w:bottom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Issuer Telephone No.</w:t>
            </w:r>
          </w:p>
          <w:p w:rsidR="00640E94" w:rsidRPr="00357192" w:rsidRDefault="00241076" w:rsidP="00357192">
            <w:pPr>
              <w:pStyle w:val="BodyText"/>
              <w:spacing w:before="0"/>
              <w:jc w:val="both"/>
              <w:rPr>
                <w:rFonts w:ascii="Arial" w:hAnsi="Arial" w:cs="Arial"/>
              </w:rPr>
            </w:pPr>
            <w:r w:rsidRPr="00357192">
              <w:rPr>
                <w:rFonts w:ascii="Arial" w:hAnsi="Arial" w:cs="Arial"/>
              </w:rPr>
              <w:t>(604)</w:t>
            </w:r>
            <w:r w:rsidR="002C4009">
              <w:rPr>
                <w:rFonts w:ascii="Arial" w:hAnsi="Arial" w:cs="Arial"/>
              </w:rPr>
              <w:t>283.1722</w:t>
            </w:r>
          </w:p>
        </w:tc>
      </w:tr>
      <w:tr w:rsidR="00640E94" w:rsidRPr="00357192" w:rsidTr="00241076">
        <w:tc>
          <w:tcPr>
            <w:tcW w:w="4644" w:type="dxa"/>
            <w:tcBorders>
              <w:top w:val="single" w:sz="18" w:space="0" w:color="auto"/>
              <w:bottom w:val="single" w:sz="18" w:space="0" w:color="auto"/>
              <w:right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Contact Name</w:t>
            </w:r>
          </w:p>
          <w:p w:rsidR="00640E94" w:rsidRPr="00357192" w:rsidRDefault="00241076" w:rsidP="00357192">
            <w:pPr>
              <w:pStyle w:val="BodyText"/>
              <w:spacing w:before="0"/>
              <w:jc w:val="both"/>
              <w:rPr>
                <w:rFonts w:ascii="Arial" w:hAnsi="Arial" w:cs="Arial"/>
              </w:rPr>
            </w:pPr>
            <w:r w:rsidRPr="00357192">
              <w:rPr>
                <w:rFonts w:ascii="Arial" w:hAnsi="Arial" w:cs="Arial"/>
              </w:rPr>
              <w:t>Von Torres</w:t>
            </w:r>
          </w:p>
        </w:tc>
        <w:tc>
          <w:tcPr>
            <w:tcW w:w="2034" w:type="dxa"/>
            <w:tcBorders>
              <w:top w:val="single" w:sz="18" w:space="0" w:color="auto"/>
              <w:left w:val="single" w:sz="18" w:space="0" w:color="auto"/>
              <w:bottom w:val="single" w:sz="18" w:space="0" w:color="auto"/>
              <w:right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Contact Position</w:t>
            </w:r>
          </w:p>
          <w:p w:rsidR="00241076" w:rsidRPr="00357192" w:rsidRDefault="00241076" w:rsidP="00357192">
            <w:pPr>
              <w:pStyle w:val="BodyText"/>
              <w:spacing w:before="0"/>
              <w:jc w:val="both"/>
              <w:rPr>
                <w:rFonts w:ascii="Arial" w:hAnsi="Arial" w:cs="Arial"/>
              </w:rPr>
            </w:pPr>
            <w:r w:rsidRPr="00357192">
              <w:rPr>
                <w:rFonts w:ascii="Arial" w:hAnsi="Arial" w:cs="Arial"/>
              </w:rPr>
              <w:t>Director</w:t>
            </w:r>
          </w:p>
        </w:tc>
        <w:tc>
          <w:tcPr>
            <w:tcW w:w="2898" w:type="dxa"/>
            <w:tcBorders>
              <w:top w:val="single" w:sz="18" w:space="0" w:color="auto"/>
              <w:left w:val="single" w:sz="18" w:space="0" w:color="auto"/>
              <w:bottom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Contact Telephone No.</w:t>
            </w:r>
          </w:p>
          <w:p w:rsidR="00241076" w:rsidRPr="00357192" w:rsidRDefault="002C4009" w:rsidP="00357192">
            <w:pPr>
              <w:pStyle w:val="BodyText"/>
              <w:spacing w:before="0"/>
              <w:jc w:val="both"/>
              <w:rPr>
                <w:rFonts w:ascii="Arial" w:hAnsi="Arial" w:cs="Arial"/>
              </w:rPr>
            </w:pPr>
            <w:r w:rsidRPr="00357192">
              <w:rPr>
                <w:rFonts w:ascii="Arial" w:hAnsi="Arial" w:cs="Arial"/>
              </w:rPr>
              <w:t>(604)</w:t>
            </w:r>
            <w:r>
              <w:rPr>
                <w:rFonts w:ascii="Arial" w:hAnsi="Arial" w:cs="Arial"/>
              </w:rPr>
              <w:t>283.1722</w:t>
            </w:r>
          </w:p>
        </w:tc>
      </w:tr>
      <w:tr w:rsidR="00640E94" w:rsidRPr="00357192" w:rsidTr="00241076">
        <w:trPr>
          <w:cantSplit/>
        </w:trPr>
        <w:tc>
          <w:tcPr>
            <w:tcW w:w="4644" w:type="dxa"/>
            <w:tcBorders>
              <w:top w:val="single" w:sz="18" w:space="0" w:color="auto"/>
              <w:bottom w:val="single" w:sz="18" w:space="0" w:color="auto"/>
              <w:right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Contact Email Address</w:t>
            </w:r>
          </w:p>
          <w:p w:rsidR="00640E94" w:rsidRPr="00357192" w:rsidRDefault="002C4009" w:rsidP="00357192">
            <w:pPr>
              <w:pStyle w:val="BodyText"/>
              <w:spacing w:before="0"/>
              <w:jc w:val="both"/>
              <w:rPr>
                <w:rFonts w:ascii="Arial" w:hAnsi="Arial" w:cs="Arial"/>
              </w:rPr>
            </w:pPr>
            <w:r>
              <w:rPr>
                <w:rFonts w:ascii="Arial" w:hAnsi="Arial" w:cs="Arial"/>
              </w:rPr>
              <w:t>corporate</w:t>
            </w:r>
            <w:r w:rsidR="00241076" w:rsidRPr="00357192">
              <w:rPr>
                <w:rFonts w:ascii="Arial" w:hAnsi="Arial" w:cs="Arial"/>
              </w:rPr>
              <w:t>@bridgemark.com</w:t>
            </w:r>
          </w:p>
        </w:tc>
        <w:tc>
          <w:tcPr>
            <w:tcW w:w="4932" w:type="dxa"/>
            <w:gridSpan w:val="2"/>
            <w:tcBorders>
              <w:top w:val="single" w:sz="18" w:space="0" w:color="auto"/>
              <w:left w:val="single" w:sz="18" w:space="0" w:color="auto"/>
              <w:bottom w:val="single" w:sz="18" w:space="0" w:color="auto"/>
            </w:tcBorders>
          </w:tcPr>
          <w:p w:rsidR="00640E94" w:rsidRPr="00357192" w:rsidRDefault="00640E94" w:rsidP="00357192">
            <w:pPr>
              <w:pStyle w:val="BodyText"/>
              <w:spacing w:before="0"/>
              <w:jc w:val="both"/>
              <w:rPr>
                <w:rFonts w:ascii="Arial" w:hAnsi="Arial" w:cs="Arial"/>
              </w:rPr>
            </w:pPr>
            <w:r w:rsidRPr="00357192">
              <w:rPr>
                <w:rFonts w:ascii="Arial" w:hAnsi="Arial" w:cs="Arial"/>
              </w:rPr>
              <w:t>Web Site Address</w:t>
            </w:r>
          </w:p>
          <w:p w:rsidR="00640E94" w:rsidRPr="00357192" w:rsidRDefault="00241076" w:rsidP="00357192">
            <w:pPr>
              <w:pStyle w:val="BodyText"/>
              <w:spacing w:before="0"/>
              <w:jc w:val="both"/>
              <w:rPr>
                <w:rFonts w:ascii="Arial" w:hAnsi="Arial" w:cs="Arial"/>
              </w:rPr>
            </w:pPr>
            <w:r w:rsidRPr="00357192">
              <w:rPr>
                <w:rFonts w:ascii="Arial" w:hAnsi="Arial" w:cs="Arial"/>
              </w:rPr>
              <w:t>NA</w:t>
            </w:r>
          </w:p>
        </w:tc>
      </w:tr>
    </w:tbl>
    <w:p w:rsidR="00640E94" w:rsidRPr="00357192" w:rsidRDefault="00640E94" w:rsidP="00357192">
      <w:pPr>
        <w:pStyle w:val="BodyText"/>
        <w:jc w:val="both"/>
        <w:rPr>
          <w:rFonts w:ascii="Arial" w:hAnsi="Arial" w:cs="Arial"/>
        </w:rPr>
      </w:pPr>
    </w:p>
    <w:sectPr w:rsidR="00640E94" w:rsidRPr="00357192"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D1" w:rsidRDefault="007F42D1">
      <w:r>
        <w:separator/>
      </w:r>
    </w:p>
  </w:endnote>
  <w:endnote w:type="continuationSeparator" w:id="0">
    <w:p w:rsidR="007F42D1" w:rsidRDefault="007F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C6436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E0C8"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64B9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64B97" w:rsidRPr="006D1A06">
      <w:rPr>
        <w:rStyle w:val="PageNumber"/>
        <w:rFonts w:ascii="Arial" w:hAnsi="Arial" w:cs="Arial"/>
        <w:sz w:val="16"/>
        <w:szCs w:val="16"/>
      </w:rPr>
      <w:fldChar w:fldCharType="separate"/>
    </w:r>
    <w:r w:rsidR="00BB28FE">
      <w:rPr>
        <w:rStyle w:val="PageNumber"/>
        <w:rFonts w:ascii="Arial" w:hAnsi="Arial" w:cs="Arial"/>
        <w:noProof/>
        <w:sz w:val="16"/>
        <w:szCs w:val="16"/>
      </w:rPr>
      <w:t>4</w:t>
    </w:r>
    <w:r w:rsidR="00A64B9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C6436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3FE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64B9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64B97"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64B9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D1" w:rsidRDefault="007F42D1">
      <w:r>
        <w:separator/>
      </w:r>
    </w:p>
  </w:footnote>
  <w:footnote w:type="continuationSeparator" w:id="0">
    <w:p w:rsidR="007F42D1" w:rsidRDefault="007F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A64B97">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0D22CA"/>
    <w:multiLevelType w:val="hybridMultilevel"/>
    <w:tmpl w:val="B9EAF816"/>
    <w:lvl w:ilvl="0" w:tplc="F1FA9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0B6168"/>
    <w:rsid w:val="000F55C8"/>
    <w:rsid w:val="00104719"/>
    <w:rsid w:val="00127FE8"/>
    <w:rsid w:val="001F3A54"/>
    <w:rsid w:val="00223D2B"/>
    <w:rsid w:val="00227D1F"/>
    <w:rsid w:val="00241076"/>
    <w:rsid w:val="00247932"/>
    <w:rsid w:val="00275CAC"/>
    <w:rsid w:val="00293B74"/>
    <w:rsid w:val="00296C40"/>
    <w:rsid w:val="002C281E"/>
    <w:rsid w:val="002C4009"/>
    <w:rsid w:val="002F00EB"/>
    <w:rsid w:val="00311887"/>
    <w:rsid w:val="00312529"/>
    <w:rsid w:val="00357192"/>
    <w:rsid w:val="003669A9"/>
    <w:rsid w:val="00371A64"/>
    <w:rsid w:val="00387FA8"/>
    <w:rsid w:val="00391B5D"/>
    <w:rsid w:val="00393285"/>
    <w:rsid w:val="003B2852"/>
    <w:rsid w:val="003C2DD9"/>
    <w:rsid w:val="00433E09"/>
    <w:rsid w:val="004471D7"/>
    <w:rsid w:val="004D2153"/>
    <w:rsid w:val="004D7032"/>
    <w:rsid w:val="00534016"/>
    <w:rsid w:val="005453C8"/>
    <w:rsid w:val="005D23F8"/>
    <w:rsid w:val="005F6D8F"/>
    <w:rsid w:val="00620E7F"/>
    <w:rsid w:val="0063117B"/>
    <w:rsid w:val="00633ED3"/>
    <w:rsid w:val="00635E9A"/>
    <w:rsid w:val="00640E94"/>
    <w:rsid w:val="006D1A06"/>
    <w:rsid w:val="007B2739"/>
    <w:rsid w:val="007F3DB3"/>
    <w:rsid w:val="007F42D1"/>
    <w:rsid w:val="007F4A11"/>
    <w:rsid w:val="00807716"/>
    <w:rsid w:val="008A39A7"/>
    <w:rsid w:val="008B7E92"/>
    <w:rsid w:val="00922A46"/>
    <w:rsid w:val="00931EF7"/>
    <w:rsid w:val="00984678"/>
    <w:rsid w:val="009923C3"/>
    <w:rsid w:val="009958BB"/>
    <w:rsid w:val="00A0019B"/>
    <w:rsid w:val="00A1518B"/>
    <w:rsid w:val="00A47914"/>
    <w:rsid w:val="00A64B97"/>
    <w:rsid w:val="00AA0F64"/>
    <w:rsid w:val="00B5288D"/>
    <w:rsid w:val="00BB20B3"/>
    <w:rsid w:val="00BB27D5"/>
    <w:rsid w:val="00BB28FE"/>
    <w:rsid w:val="00C11873"/>
    <w:rsid w:val="00C27A18"/>
    <w:rsid w:val="00C62476"/>
    <w:rsid w:val="00C6383E"/>
    <w:rsid w:val="00C64362"/>
    <w:rsid w:val="00CE154B"/>
    <w:rsid w:val="00D4578A"/>
    <w:rsid w:val="00D57BCE"/>
    <w:rsid w:val="00DC46DD"/>
    <w:rsid w:val="00E22240"/>
    <w:rsid w:val="00E36141"/>
    <w:rsid w:val="00E83E58"/>
    <w:rsid w:val="00E87B22"/>
    <w:rsid w:val="00F1699E"/>
    <w:rsid w:val="00FA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AB78BDE7-C0E1-4C43-A32B-E948E84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97"/>
  </w:style>
  <w:style w:type="paragraph" w:styleId="Heading2">
    <w:name w:val="heading 2"/>
    <w:basedOn w:val="BodyText"/>
    <w:next w:val="BodyText"/>
    <w:qFormat/>
    <w:rsid w:val="00A64B9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B97"/>
    <w:pPr>
      <w:spacing w:before="240"/>
    </w:pPr>
    <w:rPr>
      <w:sz w:val="24"/>
      <w:lang w:val="en-GB"/>
    </w:rPr>
  </w:style>
  <w:style w:type="paragraph" w:styleId="List">
    <w:name w:val="List"/>
    <w:basedOn w:val="BodyText"/>
    <w:rsid w:val="00A64B97"/>
    <w:pPr>
      <w:ind w:left="1080" w:hanging="1080"/>
    </w:pPr>
  </w:style>
  <w:style w:type="paragraph" w:styleId="Title">
    <w:name w:val="Title"/>
    <w:basedOn w:val="BodyText"/>
    <w:qFormat/>
    <w:rsid w:val="00A64B97"/>
    <w:pPr>
      <w:spacing w:after="240"/>
      <w:jc w:val="center"/>
    </w:pPr>
    <w:rPr>
      <w:rFonts w:ascii="Arial" w:hAnsi="Arial"/>
      <w:b/>
      <w:sz w:val="40"/>
    </w:rPr>
  </w:style>
  <w:style w:type="paragraph" w:customStyle="1" w:styleId="amend">
    <w:name w:val="amend"/>
    <w:basedOn w:val="Normal"/>
    <w:rsid w:val="00A64B9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4B97"/>
    <w:pPr>
      <w:tabs>
        <w:tab w:val="center" w:pos="4320"/>
        <w:tab w:val="right" w:pos="8640"/>
      </w:tabs>
    </w:pPr>
  </w:style>
  <w:style w:type="paragraph" w:styleId="Footer">
    <w:name w:val="footer"/>
    <w:basedOn w:val="Normal"/>
    <w:rsid w:val="00A64B97"/>
    <w:pPr>
      <w:tabs>
        <w:tab w:val="center" w:pos="4320"/>
        <w:tab w:val="right" w:pos="8640"/>
      </w:tabs>
    </w:pPr>
  </w:style>
  <w:style w:type="character" w:styleId="PageNumber">
    <w:name w:val="page number"/>
    <w:basedOn w:val="DefaultParagraphFont"/>
    <w:rsid w:val="00A64B97"/>
  </w:style>
  <w:style w:type="paragraph" w:styleId="BalloonText">
    <w:name w:val="Balloon Text"/>
    <w:basedOn w:val="Normal"/>
    <w:semiHidden/>
    <w:rsid w:val="00A64B97"/>
    <w:rPr>
      <w:rFonts w:ascii="Tahoma" w:hAnsi="Tahoma" w:cs="Tahoma"/>
      <w:sz w:val="16"/>
      <w:szCs w:val="16"/>
    </w:rPr>
  </w:style>
  <w:style w:type="paragraph" w:styleId="NormalWeb">
    <w:name w:val="Normal (Web)"/>
    <w:basedOn w:val="Normal"/>
    <w:uiPriority w:val="99"/>
    <w:unhideWhenUsed/>
    <w:rsid w:val="0053401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8197">
      <w:bodyDiv w:val="1"/>
      <w:marLeft w:val="0"/>
      <w:marRight w:val="0"/>
      <w:marTop w:val="0"/>
      <w:marBottom w:val="0"/>
      <w:divBdr>
        <w:top w:val="none" w:sz="0" w:space="0" w:color="auto"/>
        <w:left w:val="none" w:sz="0" w:space="0" w:color="auto"/>
        <w:bottom w:val="none" w:sz="0" w:space="0" w:color="auto"/>
        <w:right w:val="none" w:sz="0" w:space="0" w:color="auto"/>
      </w:divBdr>
    </w:div>
    <w:div w:id="597569048">
      <w:bodyDiv w:val="1"/>
      <w:marLeft w:val="0"/>
      <w:marRight w:val="0"/>
      <w:marTop w:val="0"/>
      <w:marBottom w:val="0"/>
      <w:divBdr>
        <w:top w:val="none" w:sz="0" w:space="0" w:color="auto"/>
        <w:left w:val="none" w:sz="0" w:space="0" w:color="auto"/>
        <w:bottom w:val="none" w:sz="0" w:space="0" w:color="auto"/>
        <w:right w:val="none" w:sz="0" w:space="0" w:color="auto"/>
      </w:divBdr>
    </w:div>
    <w:div w:id="865752878">
      <w:bodyDiv w:val="1"/>
      <w:marLeft w:val="0"/>
      <w:marRight w:val="0"/>
      <w:marTop w:val="0"/>
      <w:marBottom w:val="0"/>
      <w:divBdr>
        <w:top w:val="none" w:sz="0" w:space="0" w:color="auto"/>
        <w:left w:val="none" w:sz="0" w:space="0" w:color="auto"/>
        <w:bottom w:val="none" w:sz="0" w:space="0" w:color="auto"/>
        <w:right w:val="none" w:sz="0" w:space="0" w:color="auto"/>
      </w:divBdr>
    </w:div>
    <w:div w:id="20853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1501</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Bridge Mark</cp:lastModifiedBy>
  <cp:revision>6</cp:revision>
  <cp:lastPrinted>2004-05-10T18:28:00Z</cp:lastPrinted>
  <dcterms:created xsi:type="dcterms:W3CDTF">2018-01-24T23:49:00Z</dcterms:created>
  <dcterms:modified xsi:type="dcterms:W3CDTF">2018-02-06T00:48:00Z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