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9F4BF" w14:textId="0C4E65C2" w:rsidR="00FD5242" w:rsidRPr="006A73BE" w:rsidRDefault="00A07456" w:rsidP="00FD5242">
      <w:pPr>
        <w:autoSpaceDE w:val="0"/>
        <w:autoSpaceDN w:val="0"/>
        <w:adjustRightInd w:val="0"/>
        <w:spacing w:after="0" w:line="240" w:lineRule="auto"/>
        <w:jc w:val="center"/>
        <w:rPr>
          <w:rFonts w:asciiTheme="minorHAnsi" w:hAnsiTheme="minorHAnsi" w:cstheme="minorHAnsi"/>
          <w:b/>
          <w:bCs/>
          <w:color w:val="000000"/>
          <w:sz w:val="28"/>
          <w:szCs w:val="28"/>
        </w:rPr>
      </w:pPr>
      <w:r w:rsidRPr="006A73BE">
        <w:rPr>
          <w:rFonts w:asciiTheme="minorHAnsi" w:hAnsiTheme="minorHAnsi" w:cstheme="minorHAnsi"/>
          <w:b/>
          <w:bCs/>
          <w:color w:val="000000"/>
          <w:sz w:val="28"/>
          <w:szCs w:val="28"/>
        </w:rPr>
        <w:t>WINSTON GOLD CORP.</w:t>
      </w:r>
    </w:p>
    <w:p w14:paraId="2E1F3834" w14:textId="77777777" w:rsidR="00FD5242" w:rsidRPr="006A73BE" w:rsidRDefault="00A07456" w:rsidP="00FD5242">
      <w:pPr>
        <w:autoSpaceDE w:val="0"/>
        <w:autoSpaceDN w:val="0"/>
        <w:adjustRightInd w:val="0"/>
        <w:spacing w:after="0" w:line="240" w:lineRule="auto"/>
        <w:jc w:val="center"/>
        <w:rPr>
          <w:rFonts w:asciiTheme="minorHAnsi" w:hAnsiTheme="minorHAnsi" w:cstheme="minorHAnsi"/>
          <w:color w:val="000000"/>
          <w:sz w:val="24"/>
          <w:szCs w:val="24"/>
        </w:rPr>
      </w:pPr>
      <w:r w:rsidRPr="006A73BE">
        <w:rPr>
          <w:rFonts w:asciiTheme="minorHAnsi" w:hAnsiTheme="minorHAnsi" w:cstheme="minorHAnsi"/>
          <w:color w:val="000000"/>
          <w:sz w:val="24"/>
          <w:szCs w:val="24"/>
        </w:rPr>
        <w:t>Suite 201 – 919 Notre Dame Avenue</w:t>
      </w:r>
    </w:p>
    <w:p w14:paraId="7EBBDD2E" w14:textId="77777777" w:rsidR="00FD5242" w:rsidRPr="006A73BE" w:rsidRDefault="00A07456" w:rsidP="00FD5242">
      <w:pPr>
        <w:autoSpaceDE w:val="0"/>
        <w:autoSpaceDN w:val="0"/>
        <w:adjustRightInd w:val="0"/>
        <w:spacing w:after="0" w:line="240" w:lineRule="auto"/>
        <w:jc w:val="center"/>
        <w:rPr>
          <w:rFonts w:asciiTheme="minorHAnsi" w:hAnsiTheme="minorHAnsi" w:cstheme="minorHAnsi"/>
          <w:color w:val="000000"/>
          <w:sz w:val="24"/>
          <w:szCs w:val="24"/>
        </w:rPr>
      </w:pPr>
      <w:r w:rsidRPr="006A73BE">
        <w:rPr>
          <w:rFonts w:asciiTheme="minorHAnsi" w:hAnsiTheme="minorHAnsi" w:cstheme="minorHAnsi"/>
          <w:color w:val="000000"/>
          <w:sz w:val="24"/>
          <w:szCs w:val="24"/>
        </w:rPr>
        <w:t>Winnipeg, Manitoba, R3E 0M8 Canada</w:t>
      </w:r>
    </w:p>
    <w:p w14:paraId="08213A0E" w14:textId="77777777" w:rsidR="00CE4181" w:rsidRPr="006A73BE" w:rsidRDefault="00A07456" w:rsidP="00FD5242">
      <w:pPr>
        <w:autoSpaceDE w:val="0"/>
        <w:autoSpaceDN w:val="0"/>
        <w:adjustRightInd w:val="0"/>
        <w:spacing w:after="0" w:line="240" w:lineRule="auto"/>
        <w:jc w:val="center"/>
        <w:rPr>
          <w:rFonts w:asciiTheme="minorHAnsi" w:hAnsiTheme="minorHAnsi" w:cstheme="minorHAnsi"/>
          <w:color w:val="000000"/>
          <w:sz w:val="24"/>
          <w:szCs w:val="24"/>
        </w:rPr>
      </w:pPr>
      <w:r w:rsidRPr="006A73BE">
        <w:rPr>
          <w:rFonts w:asciiTheme="minorHAnsi" w:hAnsiTheme="minorHAnsi" w:cstheme="minorHAnsi"/>
          <w:color w:val="000000"/>
          <w:sz w:val="24"/>
          <w:szCs w:val="24"/>
        </w:rPr>
        <w:t>Telephone: (204) 989-2434</w:t>
      </w:r>
    </w:p>
    <w:p w14:paraId="7DBCE6CD" w14:textId="77777777" w:rsidR="00FD5242" w:rsidRPr="00761A93" w:rsidRDefault="002411D7" w:rsidP="00FD5242">
      <w:pPr>
        <w:autoSpaceDE w:val="0"/>
        <w:autoSpaceDN w:val="0"/>
        <w:adjustRightInd w:val="0"/>
        <w:spacing w:after="0" w:line="240" w:lineRule="auto"/>
        <w:rPr>
          <w:rFonts w:ascii="Times New Roman" w:hAnsi="Times New Roman"/>
          <w:color w:val="000000"/>
          <w:sz w:val="24"/>
          <w:szCs w:val="24"/>
        </w:rPr>
      </w:pPr>
    </w:p>
    <w:p w14:paraId="30538C97" w14:textId="77777777" w:rsidR="00761A93" w:rsidRPr="006A73BE" w:rsidRDefault="00A07456" w:rsidP="00CE4181">
      <w:pPr>
        <w:autoSpaceDE w:val="0"/>
        <w:autoSpaceDN w:val="0"/>
        <w:adjustRightInd w:val="0"/>
        <w:spacing w:after="0" w:line="240" w:lineRule="auto"/>
        <w:rPr>
          <w:rFonts w:asciiTheme="minorHAnsi" w:hAnsiTheme="minorHAnsi" w:cstheme="minorHAnsi"/>
          <w:b/>
          <w:bCs/>
          <w:color w:val="000000"/>
          <w:sz w:val="24"/>
          <w:szCs w:val="24"/>
        </w:rPr>
      </w:pPr>
      <w:r w:rsidRPr="006A73BE">
        <w:rPr>
          <w:rFonts w:asciiTheme="minorHAnsi" w:hAnsiTheme="minorHAnsi" w:cstheme="minorHAnsi"/>
          <w:b/>
          <w:bCs/>
          <w:color w:val="000000"/>
          <w:sz w:val="24"/>
          <w:szCs w:val="24"/>
        </w:rPr>
        <w:t>Canadian Securities Exchange: WGC</w:t>
      </w:r>
      <w:r w:rsidRPr="006A73BE">
        <w:rPr>
          <w:rFonts w:asciiTheme="minorHAnsi" w:hAnsiTheme="minorHAnsi" w:cstheme="minorHAnsi"/>
          <w:b/>
          <w:bCs/>
          <w:color w:val="000000"/>
          <w:sz w:val="24"/>
          <w:szCs w:val="24"/>
        </w:rPr>
        <w:tab/>
      </w:r>
      <w:r w:rsidRPr="006A73BE">
        <w:rPr>
          <w:rFonts w:asciiTheme="minorHAnsi" w:hAnsiTheme="minorHAnsi" w:cstheme="minorHAnsi"/>
          <w:b/>
          <w:bCs/>
          <w:color w:val="000000"/>
          <w:sz w:val="24"/>
          <w:szCs w:val="24"/>
        </w:rPr>
        <w:tab/>
      </w:r>
      <w:r w:rsidRPr="006A73BE">
        <w:rPr>
          <w:rFonts w:asciiTheme="minorHAnsi" w:hAnsiTheme="minorHAnsi" w:cstheme="minorHAnsi"/>
          <w:b/>
          <w:bCs/>
          <w:color w:val="000000"/>
          <w:sz w:val="24"/>
          <w:szCs w:val="24"/>
        </w:rPr>
        <w:tab/>
      </w:r>
      <w:r w:rsidRPr="006A73BE">
        <w:rPr>
          <w:rFonts w:asciiTheme="minorHAnsi" w:hAnsiTheme="minorHAnsi" w:cstheme="minorHAnsi"/>
          <w:b/>
          <w:bCs/>
          <w:color w:val="000000"/>
          <w:sz w:val="24"/>
          <w:szCs w:val="24"/>
        </w:rPr>
        <w:tab/>
      </w:r>
      <w:r w:rsidRPr="006A73BE">
        <w:rPr>
          <w:rFonts w:asciiTheme="minorHAnsi" w:hAnsiTheme="minorHAnsi" w:cstheme="minorHAnsi"/>
          <w:b/>
          <w:bCs/>
          <w:color w:val="000000"/>
          <w:sz w:val="24"/>
          <w:szCs w:val="24"/>
        </w:rPr>
        <w:tab/>
      </w:r>
      <w:r w:rsidRPr="006A73BE">
        <w:rPr>
          <w:rFonts w:asciiTheme="minorHAnsi" w:hAnsiTheme="minorHAnsi" w:cstheme="minorHAnsi"/>
          <w:b/>
          <w:bCs/>
          <w:color w:val="000000"/>
          <w:sz w:val="24"/>
          <w:szCs w:val="24"/>
        </w:rPr>
        <w:tab/>
      </w:r>
    </w:p>
    <w:p w14:paraId="52EF3DC2" w14:textId="104552F4" w:rsidR="00CE4181" w:rsidRPr="006A73BE" w:rsidRDefault="00A07456" w:rsidP="00CE4181">
      <w:pPr>
        <w:autoSpaceDE w:val="0"/>
        <w:autoSpaceDN w:val="0"/>
        <w:adjustRightInd w:val="0"/>
        <w:spacing w:after="0" w:line="240" w:lineRule="auto"/>
        <w:rPr>
          <w:rFonts w:asciiTheme="minorHAnsi" w:hAnsiTheme="minorHAnsi" w:cstheme="minorHAnsi"/>
          <w:b/>
          <w:bCs/>
          <w:color w:val="000000"/>
          <w:sz w:val="24"/>
          <w:szCs w:val="24"/>
        </w:rPr>
      </w:pPr>
      <w:r w:rsidRPr="006A73BE">
        <w:rPr>
          <w:rFonts w:asciiTheme="minorHAnsi" w:hAnsiTheme="minorHAnsi" w:cstheme="minorHAnsi"/>
          <w:b/>
          <w:bCs/>
          <w:color w:val="000000"/>
          <w:sz w:val="24"/>
          <w:szCs w:val="24"/>
        </w:rPr>
        <w:t>For Immediate Release</w:t>
      </w:r>
    </w:p>
    <w:p w14:paraId="3F211BE9" w14:textId="77777777" w:rsidR="00CE4181" w:rsidRPr="006A73BE" w:rsidRDefault="002411D7" w:rsidP="00FD5242">
      <w:pPr>
        <w:autoSpaceDE w:val="0"/>
        <w:autoSpaceDN w:val="0"/>
        <w:adjustRightInd w:val="0"/>
        <w:spacing w:after="0" w:line="240" w:lineRule="auto"/>
        <w:jc w:val="center"/>
        <w:rPr>
          <w:rFonts w:asciiTheme="minorHAnsi" w:hAnsiTheme="minorHAnsi" w:cstheme="minorHAnsi"/>
          <w:b/>
          <w:bCs/>
          <w:color w:val="000000"/>
          <w:sz w:val="24"/>
          <w:szCs w:val="24"/>
        </w:rPr>
      </w:pPr>
    </w:p>
    <w:p w14:paraId="74388AB7" w14:textId="4A9F5322" w:rsidR="00FD5242" w:rsidRPr="006A73BE" w:rsidRDefault="00A07456" w:rsidP="00FD5242">
      <w:pPr>
        <w:autoSpaceDE w:val="0"/>
        <w:autoSpaceDN w:val="0"/>
        <w:adjustRightInd w:val="0"/>
        <w:spacing w:after="0" w:line="240" w:lineRule="auto"/>
        <w:jc w:val="center"/>
        <w:rPr>
          <w:rFonts w:asciiTheme="minorHAnsi" w:hAnsiTheme="minorHAnsi" w:cstheme="minorHAnsi"/>
          <w:b/>
          <w:bCs/>
          <w:color w:val="000000"/>
          <w:sz w:val="24"/>
          <w:szCs w:val="24"/>
        </w:rPr>
      </w:pPr>
      <w:r w:rsidRPr="006A73BE">
        <w:rPr>
          <w:rFonts w:asciiTheme="minorHAnsi" w:hAnsiTheme="minorHAnsi" w:cstheme="minorHAnsi"/>
          <w:b/>
          <w:bCs/>
          <w:color w:val="000000"/>
          <w:sz w:val="24"/>
          <w:szCs w:val="24"/>
        </w:rPr>
        <w:t xml:space="preserve">WINSTON GOLD CLOSES </w:t>
      </w:r>
      <w:r w:rsidR="00A62C27">
        <w:rPr>
          <w:rFonts w:asciiTheme="minorHAnsi" w:hAnsiTheme="minorHAnsi" w:cstheme="minorHAnsi"/>
          <w:b/>
          <w:bCs/>
          <w:color w:val="000000"/>
          <w:sz w:val="24"/>
          <w:szCs w:val="24"/>
        </w:rPr>
        <w:t xml:space="preserve">$2,426,780 </w:t>
      </w:r>
      <w:r w:rsidRPr="006A73BE">
        <w:rPr>
          <w:rFonts w:asciiTheme="minorHAnsi" w:hAnsiTheme="minorHAnsi" w:cstheme="minorHAnsi"/>
          <w:b/>
          <w:bCs/>
          <w:color w:val="000000"/>
          <w:sz w:val="24"/>
          <w:szCs w:val="24"/>
        </w:rPr>
        <w:t>PRIVATE PLACEMENT</w:t>
      </w:r>
    </w:p>
    <w:p w14:paraId="382E7CDA" w14:textId="77777777" w:rsidR="0017576C" w:rsidRPr="006A73BE" w:rsidRDefault="002411D7" w:rsidP="00FD5242">
      <w:pPr>
        <w:autoSpaceDE w:val="0"/>
        <w:autoSpaceDN w:val="0"/>
        <w:adjustRightInd w:val="0"/>
        <w:spacing w:after="0" w:line="240" w:lineRule="auto"/>
        <w:jc w:val="center"/>
        <w:rPr>
          <w:rFonts w:asciiTheme="minorHAnsi" w:hAnsiTheme="minorHAnsi" w:cstheme="minorHAnsi"/>
          <w:b/>
          <w:bCs/>
          <w:color w:val="000000"/>
          <w:sz w:val="24"/>
          <w:szCs w:val="24"/>
        </w:rPr>
      </w:pPr>
    </w:p>
    <w:p w14:paraId="20F9628B" w14:textId="0B5471BE" w:rsidR="00EB38FD" w:rsidRPr="006A73BE" w:rsidRDefault="00A07456" w:rsidP="006A73BE">
      <w:pPr>
        <w:pStyle w:val="NormalWeb"/>
        <w:jc w:val="both"/>
        <w:rPr>
          <w:rFonts w:asciiTheme="minorHAnsi" w:hAnsiTheme="minorHAnsi" w:cstheme="minorHAnsi"/>
          <w:color w:val="000000"/>
        </w:rPr>
      </w:pPr>
      <w:r w:rsidRPr="006A73BE">
        <w:rPr>
          <w:rFonts w:asciiTheme="minorHAnsi" w:hAnsiTheme="minorHAnsi" w:cstheme="minorHAnsi"/>
          <w:b/>
          <w:color w:val="000000"/>
          <w:lang w:bidi="en-US"/>
        </w:rPr>
        <w:t xml:space="preserve">WINNIPEG, MANITOBA – </w:t>
      </w:r>
      <w:r w:rsidR="00F044C4" w:rsidRPr="006A73BE">
        <w:rPr>
          <w:rFonts w:asciiTheme="minorHAnsi" w:hAnsiTheme="minorHAnsi" w:cstheme="minorHAnsi"/>
          <w:color w:val="000000"/>
          <w:lang w:bidi="en-US"/>
        </w:rPr>
        <w:t>May</w:t>
      </w:r>
      <w:r w:rsidRPr="006A73BE">
        <w:rPr>
          <w:rFonts w:asciiTheme="minorHAnsi" w:hAnsiTheme="minorHAnsi" w:cstheme="minorHAnsi"/>
          <w:color w:val="000000"/>
          <w:lang w:bidi="en-US"/>
        </w:rPr>
        <w:t xml:space="preserve"> 2</w:t>
      </w:r>
      <w:r w:rsidR="00F044C4" w:rsidRPr="006A73BE">
        <w:rPr>
          <w:rFonts w:asciiTheme="minorHAnsi" w:hAnsiTheme="minorHAnsi" w:cstheme="minorHAnsi"/>
          <w:color w:val="000000"/>
          <w:lang w:bidi="en-US"/>
        </w:rPr>
        <w:t>9</w:t>
      </w:r>
      <w:r w:rsidRPr="006A73BE">
        <w:rPr>
          <w:rFonts w:asciiTheme="minorHAnsi" w:hAnsiTheme="minorHAnsi" w:cstheme="minorHAnsi"/>
          <w:color w:val="000000"/>
          <w:lang w:bidi="en-US"/>
        </w:rPr>
        <w:t>, 20</w:t>
      </w:r>
      <w:r w:rsidR="00723B2E" w:rsidRPr="006A73BE">
        <w:rPr>
          <w:rFonts w:asciiTheme="minorHAnsi" w:hAnsiTheme="minorHAnsi" w:cstheme="minorHAnsi"/>
          <w:color w:val="000000"/>
          <w:lang w:bidi="en-US"/>
        </w:rPr>
        <w:t>20</w:t>
      </w:r>
      <w:r w:rsidRPr="006A73BE">
        <w:rPr>
          <w:rFonts w:asciiTheme="minorHAnsi" w:hAnsiTheme="minorHAnsi" w:cstheme="minorHAnsi"/>
          <w:color w:val="000000"/>
          <w:lang w:bidi="en-US"/>
        </w:rPr>
        <w:t xml:space="preserve"> – </w:t>
      </w:r>
      <w:r w:rsidRPr="006A73BE">
        <w:rPr>
          <w:rFonts w:asciiTheme="minorHAnsi" w:hAnsiTheme="minorHAnsi" w:cstheme="minorHAnsi"/>
          <w:b/>
          <w:bCs/>
          <w:color w:val="000000"/>
        </w:rPr>
        <w:t xml:space="preserve">Winston Gold Corp. </w:t>
      </w:r>
      <w:r w:rsidRPr="006A73BE">
        <w:rPr>
          <w:rFonts w:asciiTheme="minorHAnsi" w:hAnsiTheme="minorHAnsi" w:cstheme="minorHAnsi"/>
          <w:bCs/>
          <w:color w:val="000000"/>
        </w:rPr>
        <w:t>(“</w:t>
      </w:r>
      <w:r w:rsidRPr="006A73BE">
        <w:rPr>
          <w:rFonts w:asciiTheme="minorHAnsi" w:hAnsiTheme="minorHAnsi" w:cstheme="minorHAnsi"/>
          <w:b/>
          <w:bCs/>
          <w:color w:val="000000"/>
        </w:rPr>
        <w:t>Winston Gold</w:t>
      </w:r>
      <w:r w:rsidRPr="006A73BE">
        <w:rPr>
          <w:rFonts w:asciiTheme="minorHAnsi" w:hAnsiTheme="minorHAnsi" w:cstheme="minorHAnsi"/>
          <w:bCs/>
          <w:color w:val="000000"/>
        </w:rPr>
        <w:t>” or the “</w:t>
      </w:r>
      <w:r w:rsidRPr="006A73BE">
        <w:rPr>
          <w:rFonts w:asciiTheme="minorHAnsi" w:hAnsiTheme="minorHAnsi" w:cstheme="minorHAnsi"/>
          <w:b/>
          <w:bCs/>
          <w:color w:val="000000"/>
        </w:rPr>
        <w:t>Corporation</w:t>
      </w:r>
      <w:r w:rsidRPr="006A73BE">
        <w:rPr>
          <w:rFonts w:asciiTheme="minorHAnsi" w:hAnsiTheme="minorHAnsi" w:cstheme="minorHAnsi"/>
          <w:bCs/>
          <w:color w:val="000000"/>
        </w:rPr>
        <w:t>”)</w:t>
      </w:r>
      <w:r w:rsidRPr="006A73BE">
        <w:rPr>
          <w:rFonts w:asciiTheme="minorHAnsi" w:hAnsiTheme="minorHAnsi" w:cstheme="minorHAnsi"/>
          <w:b/>
          <w:bCs/>
          <w:color w:val="000000"/>
        </w:rPr>
        <w:t xml:space="preserve"> </w:t>
      </w:r>
      <w:r w:rsidRPr="006A73BE">
        <w:rPr>
          <w:rFonts w:asciiTheme="minorHAnsi" w:hAnsiTheme="minorHAnsi" w:cstheme="minorHAnsi"/>
          <w:color w:val="000000"/>
        </w:rPr>
        <w:t>(CSE:</w:t>
      </w:r>
      <w:r w:rsidRPr="006A73BE">
        <w:rPr>
          <w:rFonts w:asciiTheme="minorHAnsi" w:hAnsiTheme="minorHAnsi" w:cstheme="minorHAnsi"/>
        </w:rPr>
        <w:t xml:space="preserve"> </w:t>
      </w:r>
      <w:r w:rsidRPr="006A73BE">
        <w:rPr>
          <w:rFonts w:asciiTheme="minorHAnsi" w:hAnsiTheme="minorHAnsi" w:cstheme="minorHAnsi"/>
          <w:color w:val="000000"/>
        </w:rPr>
        <w:t xml:space="preserve">WGC) (OTCQB: WGMCF) </w:t>
      </w:r>
      <w:r w:rsidR="003B23A7" w:rsidRPr="006A73BE">
        <w:rPr>
          <w:rFonts w:asciiTheme="minorHAnsi" w:hAnsiTheme="minorHAnsi" w:cstheme="minorHAnsi"/>
          <w:color w:val="000000"/>
        </w:rPr>
        <w:t xml:space="preserve">is pleased to announce </w:t>
      </w:r>
      <w:r w:rsidRPr="006A73BE">
        <w:rPr>
          <w:rFonts w:asciiTheme="minorHAnsi" w:hAnsiTheme="minorHAnsi" w:cstheme="minorHAnsi"/>
          <w:color w:val="000000"/>
        </w:rPr>
        <w:t>the closing of a non-brokered private placement (the “</w:t>
      </w:r>
      <w:r w:rsidRPr="006A73BE">
        <w:rPr>
          <w:rFonts w:asciiTheme="minorHAnsi" w:hAnsiTheme="minorHAnsi" w:cstheme="minorHAnsi"/>
          <w:b/>
          <w:color w:val="000000"/>
        </w:rPr>
        <w:t>Private Placement</w:t>
      </w:r>
      <w:r w:rsidRPr="006A73BE">
        <w:rPr>
          <w:rFonts w:asciiTheme="minorHAnsi" w:hAnsiTheme="minorHAnsi" w:cstheme="minorHAnsi"/>
          <w:color w:val="000000"/>
        </w:rPr>
        <w:t>”)</w:t>
      </w:r>
      <w:r w:rsidR="00A62C27" w:rsidRPr="006A73BE">
        <w:rPr>
          <w:rFonts w:asciiTheme="minorHAnsi" w:hAnsiTheme="minorHAnsi" w:cstheme="minorHAnsi"/>
          <w:color w:val="000000"/>
        </w:rPr>
        <w:t xml:space="preserve"> with a strategic syndicate led by Palisades Goldcorp </w:t>
      </w:r>
      <w:r w:rsidRPr="006A73BE">
        <w:rPr>
          <w:rFonts w:asciiTheme="minorHAnsi" w:hAnsiTheme="minorHAnsi" w:cstheme="minorHAnsi"/>
          <w:color w:val="000000"/>
        </w:rPr>
        <w:t xml:space="preserve">consisting of </w:t>
      </w:r>
      <w:r w:rsidR="00F044C4" w:rsidRPr="006A73BE">
        <w:rPr>
          <w:rFonts w:asciiTheme="minorHAnsi" w:hAnsiTheme="minorHAnsi" w:cstheme="minorHAnsi"/>
          <w:color w:val="000000"/>
        </w:rPr>
        <w:t>4</w:t>
      </w:r>
      <w:r w:rsidR="00723B2E" w:rsidRPr="006A73BE">
        <w:rPr>
          <w:rFonts w:asciiTheme="minorHAnsi" w:hAnsiTheme="minorHAnsi" w:cstheme="minorHAnsi"/>
          <w:color w:val="000000"/>
        </w:rPr>
        <w:t>0</w:t>
      </w:r>
      <w:r w:rsidRPr="006A73BE">
        <w:rPr>
          <w:rFonts w:asciiTheme="minorHAnsi" w:hAnsiTheme="minorHAnsi" w:cstheme="minorHAnsi"/>
          <w:color w:val="000000"/>
        </w:rPr>
        <w:t>,</w:t>
      </w:r>
      <w:r w:rsidR="00F044C4" w:rsidRPr="006A73BE">
        <w:rPr>
          <w:rFonts w:asciiTheme="minorHAnsi" w:hAnsiTheme="minorHAnsi" w:cstheme="minorHAnsi"/>
          <w:color w:val="000000"/>
        </w:rPr>
        <w:t>446</w:t>
      </w:r>
      <w:r w:rsidRPr="006A73BE">
        <w:rPr>
          <w:rFonts w:asciiTheme="minorHAnsi" w:hAnsiTheme="minorHAnsi" w:cstheme="minorHAnsi"/>
          <w:color w:val="000000"/>
        </w:rPr>
        <w:t>,</w:t>
      </w:r>
      <w:r w:rsidR="00F044C4" w:rsidRPr="006A73BE">
        <w:rPr>
          <w:rFonts w:asciiTheme="minorHAnsi" w:hAnsiTheme="minorHAnsi" w:cstheme="minorHAnsi"/>
          <w:color w:val="000000"/>
        </w:rPr>
        <w:t>333</w:t>
      </w:r>
      <w:r w:rsidRPr="006A73BE">
        <w:rPr>
          <w:rFonts w:asciiTheme="minorHAnsi" w:hAnsiTheme="minorHAnsi" w:cstheme="minorHAnsi"/>
          <w:color w:val="000000"/>
        </w:rPr>
        <w:t xml:space="preserve"> units (the “</w:t>
      </w:r>
      <w:r w:rsidRPr="006A73BE">
        <w:rPr>
          <w:rFonts w:asciiTheme="minorHAnsi" w:hAnsiTheme="minorHAnsi" w:cstheme="minorHAnsi"/>
          <w:b/>
          <w:color w:val="000000"/>
        </w:rPr>
        <w:t>Units</w:t>
      </w:r>
      <w:r w:rsidRPr="006A73BE">
        <w:rPr>
          <w:rFonts w:asciiTheme="minorHAnsi" w:hAnsiTheme="minorHAnsi" w:cstheme="minorHAnsi"/>
          <w:color w:val="000000"/>
        </w:rPr>
        <w:t>”) at a purchase price of $0.0</w:t>
      </w:r>
      <w:r w:rsidR="00F044C4" w:rsidRPr="006A73BE">
        <w:rPr>
          <w:rFonts w:asciiTheme="minorHAnsi" w:hAnsiTheme="minorHAnsi" w:cstheme="minorHAnsi"/>
          <w:color w:val="000000"/>
        </w:rPr>
        <w:t>6</w:t>
      </w:r>
      <w:r w:rsidRPr="006A73BE">
        <w:rPr>
          <w:rFonts w:asciiTheme="minorHAnsi" w:hAnsiTheme="minorHAnsi" w:cstheme="minorHAnsi"/>
          <w:color w:val="000000"/>
        </w:rPr>
        <w:t xml:space="preserve"> per Unit to raise gross proceeds of $</w:t>
      </w:r>
      <w:r w:rsidR="00F044C4" w:rsidRPr="006A73BE">
        <w:rPr>
          <w:rFonts w:asciiTheme="minorHAnsi" w:hAnsiTheme="minorHAnsi" w:cstheme="minorHAnsi"/>
          <w:color w:val="000000"/>
        </w:rPr>
        <w:t>2</w:t>
      </w:r>
      <w:r w:rsidRPr="006A73BE">
        <w:rPr>
          <w:rFonts w:asciiTheme="minorHAnsi" w:hAnsiTheme="minorHAnsi" w:cstheme="minorHAnsi"/>
          <w:color w:val="000000"/>
        </w:rPr>
        <w:t>,</w:t>
      </w:r>
      <w:r w:rsidR="00F044C4" w:rsidRPr="006A73BE">
        <w:rPr>
          <w:rFonts w:asciiTheme="minorHAnsi" w:hAnsiTheme="minorHAnsi" w:cstheme="minorHAnsi"/>
          <w:color w:val="000000"/>
        </w:rPr>
        <w:t>426</w:t>
      </w:r>
      <w:r w:rsidRPr="006A73BE">
        <w:rPr>
          <w:rFonts w:asciiTheme="minorHAnsi" w:hAnsiTheme="minorHAnsi" w:cstheme="minorHAnsi"/>
          <w:color w:val="000000"/>
        </w:rPr>
        <w:t>,</w:t>
      </w:r>
      <w:r w:rsidR="00F044C4" w:rsidRPr="006A73BE">
        <w:rPr>
          <w:rFonts w:asciiTheme="minorHAnsi" w:hAnsiTheme="minorHAnsi" w:cstheme="minorHAnsi"/>
          <w:color w:val="000000"/>
        </w:rPr>
        <w:t>780</w:t>
      </w:r>
      <w:r w:rsidRPr="006A73BE">
        <w:rPr>
          <w:rFonts w:asciiTheme="minorHAnsi" w:hAnsiTheme="minorHAnsi" w:cstheme="minorHAnsi"/>
          <w:color w:val="000000"/>
        </w:rPr>
        <w:t xml:space="preserve">. </w:t>
      </w:r>
    </w:p>
    <w:p w14:paraId="3752C1FD" w14:textId="419C3B4C" w:rsidR="00CE1146" w:rsidRPr="006A73BE" w:rsidRDefault="00A07456" w:rsidP="0017576C">
      <w:pPr>
        <w:pStyle w:val="NormalWeb"/>
        <w:spacing w:before="0" w:beforeAutospacing="0"/>
        <w:jc w:val="both"/>
        <w:rPr>
          <w:rFonts w:asciiTheme="minorHAnsi" w:hAnsiTheme="minorHAnsi" w:cstheme="minorHAnsi"/>
          <w:color w:val="000000"/>
        </w:rPr>
      </w:pPr>
      <w:r w:rsidRPr="006A73BE">
        <w:rPr>
          <w:rFonts w:asciiTheme="minorHAnsi" w:hAnsiTheme="minorHAnsi" w:cstheme="minorHAnsi"/>
          <w:color w:val="000000"/>
        </w:rPr>
        <w:t>Each Unit consists of one common share (a “</w:t>
      </w:r>
      <w:r w:rsidRPr="006A73BE">
        <w:rPr>
          <w:rFonts w:asciiTheme="minorHAnsi" w:hAnsiTheme="minorHAnsi" w:cstheme="minorHAnsi"/>
          <w:b/>
          <w:color w:val="000000"/>
        </w:rPr>
        <w:t>Share</w:t>
      </w:r>
      <w:r w:rsidRPr="006A73BE">
        <w:rPr>
          <w:rFonts w:asciiTheme="minorHAnsi" w:hAnsiTheme="minorHAnsi" w:cstheme="minorHAnsi"/>
          <w:color w:val="000000"/>
        </w:rPr>
        <w:t>”) in the share capital of the Corporation and one share purchase warrant (a “</w:t>
      </w:r>
      <w:r w:rsidRPr="006A73BE">
        <w:rPr>
          <w:rFonts w:asciiTheme="minorHAnsi" w:hAnsiTheme="minorHAnsi" w:cstheme="minorHAnsi"/>
          <w:b/>
          <w:color w:val="000000"/>
        </w:rPr>
        <w:t>Warrant</w:t>
      </w:r>
      <w:r w:rsidRPr="006A73BE">
        <w:rPr>
          <w:rFonts w:asciiTheme="minorHAnsi" w:hAnsiTheme="minorHAnsi" w:cstheme="minorHAnsi"/>
          <w:color w:val="000000"/>
        </w:rPr>
        <w:t>”). Each full Warrant will entitle the holder to purchase one additional Share in the share capital of the Corporation for a period of 5 years, at an exercise price of $0.1</w:t>
      </w:r>
      <w:r w:rsidR="00723B2E" w:rsidRPr="006A73BE">
        <w:rPr>
          <w:rFonts w:asciiTheme="minorHAnsi" w:hAnsiTheme="minorHAnsi" w:cstheme="minorHAnsi"/>
          <w:color w:val="000000"/>
        </w:rPr>
        <w:t>2</w:t>
      </w:r>
      <w:r w:rsidRPr="006A73BE">
        <w:rPr>
          <w:rFonts w:asciiTheme="minorHAnsi" w:hAnsiTheme="minorHAnsi" w:cstheme="minorHAnsi"/>
          <w:color w:val="000000"/>
        </w:rPr>
        <w:t xml:space="preserve"> per Share.</w:t>
      </w:r>
    </w:p>
    <w:p w14:paraId="417F64B6" w14:textId="69B34BA9" w:rsidR="00926647" w:rsidRPr="006A73BE" w:rsidRDefault="00A07456" w:rsidP="0017576C">
      <w:pPr>
        <w:pStyle w:val="NormalWeb"/>
        <w:spacing w:before="0" w:beforeAutospacing="0"/>
        <w:jc w:val="both"/>
        <w:rPr>
          <w:rFonts w:asciiTheme="minorHAnsi" w:hAnsiTheme="minorHAnsi" w:cstheme="minorHAnsi"/>
          <w:color w:val="000000"/>
        </w:rPr>
      </w:pPr>
      <w:r w:rsidRPr="006A73BE">
        <w:rPr>
          <w:rFonts w:asciiTheme="minorHAnsi" w:hAnsiTheme="minorHAnsi" w:cstheme="minorHAnsi"/>
          <w:color w:val="000000"/>
        </w:rPr>
        <w:t xml:space="preserve">All securities issued in connection with the Private Placement are subject to a statutory hold period of four months plus a day from the date of issuance in accordance with applicable securities legislation. </w:t>
      </w:r>
    </w:p>
    <w:p w14:paraId="507E61E6" w14:textId="1A631392" w:rsidR="00B657AD" w:rsidRPr="006A73BE" w:rsidRDefault="00A07456" w:rsidP="0017576C">
      <w:pPr>
        <w:pStyle w:val="NormalWeb"/>
        <w:spacing w:before="0" w:beforeAutospacing="0"/>
        <w:jc w:val="both"/>
        <w:rPr>
          <w:rFonts w:asciiTheme="minorHAnsi" w:hAnsiTheme="minorHAnsi" w:cstheme="minorHAnsi"/>
          <w:color w:val="000000"/>
        </w:rPr>
      </w:pPr>
      <w:r w:rsidRPr="006A73BE">
        <w:rPr>
          <w:rFonts w:asciiTheme="minorHAnsi" w:hAnsiTheme="minorHAnsi" w:cstheme="minorHAnsi"/>
          <w:color w:val="000000"/>
        </w:rPr>
        <w:t xml:space="preserve">Insiders of the Corporation subscribed for an aggregate of </w:t>
      </w:r>
      <w:r w:rsidR="00F044C4" w:rsidRPr="006A73BE">
        <w:rPr>
          <w:rFonts w:asciiTheme="minorHAnsi" w:hAnsiTheme="minorHAnsi" w:cstheme="minorHAnsi"/>
          <w:color w:val="000000"/>
        </w:rPr>
        <w:t>1,200</w:t>
      </w:r>
      <w:r w:rsidRPr="006A73BE">
        <w:rPr>
          <w:rFonts w:asciiTheme="minorHAnsi" w:hAnsiTheme="minorHAnsi" w:cstheme="minorHAnsi"/>
          <w:color w:val="000000"/>
        </w:rPr>
        <w:t>,</w:t>
      </w:r>
      <w:r w:rsidR="00F044C4" w:rsidRPr="006A73BE">
        <w:rPr>
          <w:rFonts w:asciiTheme="minorHAnsi" w:hAnsiTheme="minorHAnsi" w:cstheme="minorHAnsi"/>
          <w:color w:val="000000"/>
        </w:rPr>
        <w:t>000</w:t>
      </w:r>
      <w:r w:rsidRPr="006A73BE">
        <w:rPr>
          <w:rFonts w:asciiTheme="minorHAnsi" w:hAnsiTheme="minorHAnsi" w:cstheme="minorHAnsi"/>
          <w:color w:val="000000"/>
        </w:rPr>
        <w:t xml:space="preserve"> Units for gross proceeds of $</w:t>
      </w:r>
      <w:r w:rsidR="00610F71" w:rsidRPr="006A73BE">
        <w:rPr>
          <w:rFonts w:asciiTheme="minorHAnsi" w:hAnsiTheme="minorHAnsi" w:cstheme="minorHAnsi"/>
          <w:color w:val="000000"/>
        </w:rPr>
        <w:t>72</w:t>
      </w:r>
      <w:r w:rsidRPr="006A73BE">
        <w:rPr>
          <w:rFonts w:asciiTheme="minorHAnsi" w:hAnsiTheme="minorHAnsi" w:cstheme="minorHAnsi"/>
          <w:color w:val="000000"/>
        </w:rPr>
        <w:t>,</w:t>
      </w:r>
      <w:r w:rsidR="00F044C4" w:rsidRPr="006A73BE">
        <w:rPr>
          <w:rFonts w:asciiTheme="minorHAnsi" w:hAnsiTheme="minorHAnsi" w:cstheme="minorHAnsi"/>
          <w:color w:val="000000"/>
        </w:rPr>
        <w:t>000.00</w:t>
      </w:r>
      <w:r w:rsidRPr="006A73BE">
        <w:rPr>
          <w:rFonts w:asciiTheme="minorHAnsi" w:hAnsiTheme="minorHAnsi" w:cstheme="minorHAnsi"/>
          <w:color w:val="000000"/>
        </w:rPr>
        <w:t xml:space="preserve"> under the Private Placement (the “</w:t>
      </w:r>
      <w:r w:rsidRPr="006A73BE">
        <w:rPr>
          <w:rFonts w:asciiTheme="minorHAnsi" w:hAnsiTheme="minorHAnsi" w:cstheme="minorHAnsi"/>
          <w:b/>
          <w:color w:val="000000"/>
        </w:rPr>
        <w:t>Insider Subscriptions</w:t>
      </w:r>
      <w:r w:rsidRPr="006A73BE">
        <w:rPr>
          <w:rFonts w:asciiTheme="minorHAnsi" w:hAnsiTheme="minorHAnsi" w:cstheme="minorHAnsi"/>
          <w:color w:val="000000"/>
        </w:rPr>
        <w:t>”). The Insider Subscriptions constitute “related party transactions” within the meaning of Multilateral Instrument 61-101 – Protection of Minority Securityholders in Special Transactions (“</w:t>
      </w:r>
      <w:r w:rsidRPr="006A73BE">
        <w:rPr>
          <w:rFonts w:asciiTheme="minorHAnsi" w:hAnsiTheme="minorHAnsi" w:cstheme="minorHAnsi"/>
          <w:b/>
          <w:color w:val="000000"/>
        </w:rPr>
        <w:t>MI 61-101</w:t>
      </w:r>
      <w:r w:rsidRPr="006A73BE">
        <w:rPr>
          <w:rFonts w:asciiTheme="minorHAnsi" w:hAnsiTheme="minorHAnsi" w:cstheme="minorHAnsi"/>
          <w:color w:val="000000"/>
        </w:rPr>
        <w:t>”). The Corporation has relied on the exemptions from the formal valuation and minority shareholder approval requirements of MI 61-101 contained in Sections 5.5(a) and 5.7(1)(a), respectively, of MI 61-101 in respect of the Insider Subscriptions.</w:t>
      </w:r>
    </w:p>
    <w:p w14:paraId="2B62511F" w14:textId="67E345FD" w:rsidR="00E968AA" w:rsidRPr="006A73BE" w:rsidRDefault="00A07456" w:rsidP="003B23A7">
      <w:pPr>
        <w:pStyle w:val="NormalWeb"/>
        <w:spacing w:before="0" w:beforeAutospacing="0"/>
        <w:jc w:val="both"/>
        <w:rPr>
          <w:rFonts w:asciiTheme="minorHAnsi" w:hAnsiTheme="minorHAnsi" w:cstheme="minorHAnsi"/>
          <w:color w:val="000000"/>
        </w:rPr>
      </w:pPr>
      <w:r w:rsidRPr="006A73BE">
        <w:rPr>
          <w:rFonts w:asciiTheme="minorHAnsi" w:hAnsiTheme="minorHAnsi" w:cstheme="minorHAnsi"/>
          <w:color w:val="000000"/>
        </w:rPr>
        <w:t>The net proceeds from the Private Placement will be used for general corporate purposes and to advance the Winston gold project near Helena Montana</w:t>
      </w:r>
    </w:p>
    <w:p w14:paraId="5F4F1872" w14:textId="219BB212" w:rsidR="00A62C27" w:rsidRPr="006A73BE" w:rsidRDefault="003B23A7" w:rsidP="003B23A7">
      <w:pPr>
        <w:pStyle w:val="NormalWeb"/>
        <w:spacing w:before="0" w:beforeAutospacing="0"/>
        <w:jc w:val="both"/>
        <w:rPr>
          <w:rFonts w:asciiTheme="minorHAnsi" w:hAnsiTheme="minorHAnsi" w:cstheme="minorHAnsi"/>
          <w:b/>
          <w:bCs/>
          <w:color w:val="000000"/>
        </w:rPr>
      </w:pPr>
      <w:r w:rsidRPr="006A73BE">
        <w:rPr>
          <w:rFonts w:asciiTheme="minorHAnsi" w:hAnsiTheme="minorHAnsi" w:cstheme="minorHAnsi"/>
          <w:b/>
          <w:bCs/>
          <w:color w:val="000000"/>
        </w:rPr>
        <w:t>About Palisades Goldcorp</w:t>
      </w:r>
    </w:p>
    <w:p w14:paraId="75B5C250" w14:textId="6C3EA973" w:rsidR="00A62C27" w:rsidRDefault="00E968AA" w:rsidP="0017576C">
      <w:pPr>
        <w:pStyle w:val="NormalWeb"/>
        <w:spacing w:before="0" w:beforeAutospacing="0"/>
        <w:jc w:val="both"/>
        <w:rPr>
          <w:rFonts w:asciiTheme="minorHAnsi" w:hAnsiTheme="minorHAnsi" w:cstheme="minorHAnsi"/>
          <w:color w:val="000000"/>
        </w:rPr>
      </w:pPr>
      <w:r w:rsidRPr="006A73BE">
        <w:rPr>
          <w:rFonts w:asciiTheme="minorHAnsi" w:hAnsiTheme="minorHAnsi" w:cstheme="minorHAnsi"/>
        </w:rPr>
        <w:t>Palisades Goldcorp is Canada's new resource focused merchant bank. Palisades' management team has a demonstrated track record of making money and is backed by many of the industry's most notable financiers. With junior resource equities valued at generational lows, management believes the sector is on the cusp of a major bull market move. Palisades is positioning itself with significant stakes in undervalued companies and assets with the goal of generating superior returns</w:t>
      </w:r>
      <w:r w:rsidR="00A62C27">
        <w:rPr>
          <w:rFonts w:asciiTheme="minorHAnsi" w:hAnsiTheme="minorHAnsi" w:cstheme="minorHAnsi"/>
          <w:color w:val="000000"/>
        </w:rPr>
        <w:t>.</w:t>
      </w:r>
    </w:p>
    <w:p w14:paraId="7FAE7FCB" w14:textId="77777777" w:rsidR="00A62C27" w:rsidRPr="006A73BE" w:rsidRDefault="00A62C27" w:rsidP="0017576C">
      <w:pPr>
        <w:pStyle w:val="NormalWeb"/>
        <w:spacing w:before="0" w:beforeAutospacing="0"/>
        <w:jc w:val="both"/>
        <w:rPr>
          <w:rFonts w:asciiTheme="minorHAnsi" w:hAnsiTheme="minorHAnsi" w:cstheme="minorHAnsi"/>
          <w:color w:val="000000"/>
        </w:rPr>
      </w:pPr>
    </w:p>
    <w:p w14:paraId="1B1A6841" w14:textId="77777777" w:rsidR="00B10E2F" w:rsidRPr="006A73BE" w:rsidRDefault="00B10E2F" w:rsidP="0017576C">
      <w:pPr>
        <w:pStyle w:val="NormalWeb"/>
        <w:spacing w:before="0" w:beforeAutospacing="0"/>
        <w:jc w:val="both"/>
        <w:rPr>
          <w:rFonts w:asciiTheme="minorHAnsi" w:hAnsiTheme="minorHAnsi" w:cstheme="minorHAnsi"/>
          <w:color w:val="000000"/>
        </w:rPr>
      </w:pPr>
    </w:p>
    <w:p w14:paraId="2BD7352C" w14:textId="77777777" w:rsidR="00323179" w:rsidRPr="006A73BE" w:rsidRDefault="00A07456" w:rsidP="0011003E">
      <w:pPr>
        <w:shd w:val="clear" w:color="auto" w:fill="FFFFFF"/>
        <w:spacing w:before="100" w:beforeAutospacing="1" w:after="100" w:afterAutospacing="1" w:line="270" w:lineRule="atLeast"/>
        <w:jc w:val="both"/>
        <w:rPr>
          <w:rFonts w:asciiTheme="minorHAnsi" w:hAnsiTheme="minorHAnsi" w:cstheme="minorHAnsi"/>
          <w:b/>
          <w:sz w:val="24"/>
          <w:szCs w:val="24"/>
        </w:rPr>
      </w:pPr>
      <w:r w:rsidRPr="006A73BE">
        <w:rPr>
          <w:rFonts w:asciiTheme="minorHAnsi" w:hAnsiTheme="minorHAnsi" w:cstheme="minorHAnsi"/>
          <w:b/>
          <w:sz w:val="24"/>
          <w:szCs w:val="24"/>
        </w:rPr>
        <w:lastRenderedPageBreak/>
        <w:t>About Winston Gold</w:t>
      </w:r>
    </w:p>
    <w:p w14:paraId="7A1F96A6" w14:textId="271BB576" w:rsidR="00CE4181" w:rsidRPr="006A73BE" w:rsidRDefault="00A07456" w:rsidP="0013153E">
      <w:pPr>
        <w:autoSpaceDE w:val="0"/>
        <w:autoSpaceDN w:val="0"/>
        <w:adjustRightInd w:val="0"/>
        <w:spacing w:after="0" w:line="240" w:lineRule="auto"/>
        <w:jc w:val="both"/>
        <w:rPr>
          <w:rFonts w:asciiTheme="minorHAnsi" w:eastAsia="Times New Roman" w:hAnsiTheme="minorHAnsi" w:cstheme="minorHAnsi"/>
          <w:sz w:val="24"/>
          <w:szCs w:val="24"/>
          <w:lang w:eastAsia="en-CA"/>
        </w:rPr>
      </w:pPr>
      <w:r w:rsidRPr="006A73BE">
        <w:rPr>
          <w:rFonts w:asciiTheme="minorHAnsi" w:eastAsia="Times New Roman" w:hAnsiTheme="minorHAnsi" w:cstheme="minorHAnsi"/>
          <w:sz w:val="24"/>
          <w:szCs w:val="24"/>
          <w:lang w:eastAsia="en-CA"/>
        </w:rPr>
        <w:t>Winston Gold is a junior mining company focused on advancing high-grade, low cost mining opportunities into production. Towards that end, the Corporation has acquired an underexplored and under-exploited gold/silver mining opportunity, being the Winston Gold project near Helena, Montana.</w:t>
      </w:r>
    </w:p>
    <w:p w14:paraId="28E34AF4" w14:textId="77777777" w:rsidR="00CE4181" w:rsidRPr="006A73BE" w:rsidRDefault="002411D7" w:rsidP="0013153E">
      <w:pPr>
        <w:autoSpaceDE w:val="0"/>
        <w:autoSpaceDN w:val="0"/>
        <w:adjustRightInd w:val="0"/>
        <w:spacing w:after="0" w:line="240" w:lineRule="auto"/>
        <w:jc w:val="both"/>
        <w:rPr>
          <w:rFonts w:asciiTheme="minorHAnsi" w:eastAsia="Times New Roman" w:hAnsiTheme="minorHAnsi" w:cstheme="minorHAnsi"/>
          <w:sz w:val="24"/>
          <w:szCs w:val="24"/>
          <w:lang w:eastAsia="en-CA"/>
        </w:rPr>
      </w:pPr>
    </w:p>
    <w:p w14:paraId="32BF34CE" w14:textId="77777777" w:rsidR="0013153E" w:rsidRPr="006A73BE" w:rsidRDefault="00A07456" w:rsidP="0013153E">
      <w:pPr>
        <w:autoSpaceDE w:val="0"/>
        <w:autoSpaceDN w:val="0"/>
        <w:adjustRightInd w:val="0"/>
        <w:spacing w:after="0" w:line="240" w:lineRule="auto"/>
        <w:jc w:val="both"/>
        <w:rPr>
          <w:rFonts w:asciiTheme="minorHAnsi" w:eastAsia="Times New Roman" w:hAnsiTheme="minorHAnsi" w:cstheme="minorHAnsi"/>
          <w:b/>
          <w:sz w:val="24"/>
          <w:szCs w:val="24"/>
          <w:lang w:eastAsia="en-CA"/>
        </w:rPr>
      </w:pPr>
      <w:r w:rsidRPr="006A73BE">
        <w:rPr>
          <w:rFonts w:asciiTheme="minorHAnsi" w:eastAsia="Times New Roman" w:hAnsiTheme="minorHAnsi" w:cstheme="minorHAnsi"/>
          <w:b/>
          <w:sz w:val="24"/>
          <w:szCs w:val="24"/>
          <w:lang w:eastAsia="en-CA"/>
        </w:rPr>
        <w:t>ON BEHALF OF THE BOARD OF DIRECTORS OF THE CORPORATION</w:t>
      </w:r>
    </w:p>
    <w:p w14:paraId="6C598538" w14:textId="77777777" w:rsidR="0013153E" w:rsidRPr="006A73BE" w:rsidRDefault="002411D7" w:rsidP="0013153E">
      <w:pPr>
        <w:autoSpaceDE w:val="0"/>
        <w:autoSpaceDN w:val="0"/>
        <w:adjustRightInd w:val="0"/>
        <w:spacing w:after="0" w:line="240" w:lineRule="auto"/>
        <w:jc w:val="both"/>
        <w:rPr>
          <w:rFonts w:asciiTheme="minorHAnsi" w:hAnsiTheme="minorHAnsi" w:cstheme="minorHAnsi"/>
          <w:sz w:val="24"/>
          <w:szCs w:val="24"/>
        </w:rPr>
      </w:pPr>
    </w:p>
    <w:p w14:paraId="4158B300" w14:textId="77777777" w:rsidR="006D5B8E" w:rsidRPr="006A73BE" w:rsidRDefault="00A07456" w:rsidP="00E07624">
      <w:pPr>
        <w:autoSpaceDE w:val="0"/>
        <w:autoSpaceDN w:val="0"/>
        <w:adjustRightInd w:val="0"/>
        <w:spacing w:after="0" w:line="240" w:lineRule="auto"/>
        <w:jc w:val="both"/>
        <w:rPr>
          <w:rFonts w:asciiTheme="minorHAnsi" w:hAnsiTheme="minorHAnsi" w:cstheme="minorHAnsi"/>
          <w:iCs/>
          <w:color w:val="000000"/>
          <w:sz w:val="24"/>
          <w:szCs w:val="24"/>
        </w:rPr>
      </w:pPr>
      <w:r w:rsidRPr="006A73BE">
        <w:rPr>
          <w:rFonts w:asciiTheme="minorHAnsi" w:hAnsiTheme="minorHAnsi" w:cstheme="minorHAnsi"/>
          <w:iCs/>
          <w:color w:val="000000"/>
          <w:sz w:val="24"/>
          <w:szCs w:val="24"/>
        </w:rPr>
        <w:t>For further information, please contact</w:t>
      </w:r>
    </w:p>
    <w:p w14:paraId="02D7D202" w14:textId="77777777" w:rsidR="00CE4181" w:rsidRPr="006A73BE" w:rsidRDefault="002411D7" w:rsidP="00E07624">
      <w:pPr>
        <w:autoSpaceDE w:val="0"/>
        <w:autoSpaceDN w:val="0"/>
        <w:adjustRightInd w:val="0"/>
        <w:spacing w:after="0" w:line="240" w:lineRule="auto"/>
        <w:jc w:val="both"/>
        <w:rPr>
          <w:rFonts w:asciiTheme="minorHAnsi" w:hAnsiTheme="minorHAnsi" w:cstheme="minorHAnsi"/>
          <w:iCs/>
          <w:color w:val="000000"/>
          <w:sz w:val="24"/>
          <w:szCs w:val="24"/>
        </w:rPr>
      </w:pPr>
    </w:p>
    <w:p w14:paraId="2CA04363" w14:textId="77777777" w:rsidR="00CE4181" w:rsidRPr="006A73BE" w:rsidRDefault="00A07456" w:rsidP="00E07624">
      <w:pPr>
        <w:autoSpaceDE w:val="0"/>
        <w:autoSpaceDN w:val="0"/>
        <w:adjustRightInd w:val="0"/>
        <w:spacing w:after="0" w:line="240" w:lineRule="auto"/>
        <w:jc w:val="both"/>
        <w:rPr>
          <w:rFonts w:asciiTheme="minorHAnsi" w:hAnsiTheme="minorHAnsi" w:cstheme="minorHAnsi"/>
          <w:iCs/>
          <w:color w:val="000000"/>
          <w:sz w:val="24"/>
          <w:szCs w:val="24"/>
        </w:rPr>
      </w:pPr>
      <w:r w:rsidRPr="006A73BE">
        <w:rPr>
          <w:rFonts w:asciiTheme="minorHAnsi" w:hAnsiTheme="minorHAnsi" w:cstheme="minorHAnsi"/>
          <w:iCs/>
          <w:color w:val="000000"/>
          <w:sz w:val="24"/>
          <w:szCs w:val="24"/>
        </w:rPr>
        <w:t>Murray Nye, Chief Executive Officer</w:t>
      </w:r>
    </w:p>
    <w:p w14:paraId="1B45EA56" w14:textId="77777777" w:rsidR="00CE4181" w:rsidRPr="006A73BE" w:rsidRDefault="00A07456" w:rsidP="00E07624">
      <w:pPr>
        <w:autoSpaceDE w:val="0"/>
        <w:autoSpaceDN w:val="0"/>
        <w:adjustRightInd w:val="0"/>
        <w:spacing w:after="0" w:line="240" w:lineRule="auto"/>
        <w:jc w:val="both"/>
        <w:rPr>
          <w:rFonts w:asciiTheme="minorHAnsi" w:hAnsiTheme="minorHAnsi" w:cstheme="minorHAnsi"/>
          <w:iCs/>
          <w:color w:val="000000"/>
          <w:sz w:val="24"/>
          <w:szCs w:val="24"/>
        </w:rPr>
      </w:pPr>
      <w:r w:rsidRPr="006A73BE">
        <w:rPr>
          <w:rFonts w:asciiTheme="minorHAnsi" w:hAnsiTheme="minorHAnsi" w:cstheme="minorHAnsi"/>
          <w:iCs/>
          <w:color w:val="000000"/>
          <w:sz w:val="24"/>
          <w:szCs w:val="24"/>
        </w:rPr>
        <w:t>Suite 201-919 Notre Dame Avenue, Winnipeg, Manitoba, R3E 0M8 Canada</w:t>
      </w:r>
    </w:p>
    <w:p w14:paraId="30D03D02" w14:textId="62A7A3B7" w:rsidR="0066178D" w:rsidRPr="006A73BE" w:rsidRDefault="00A07456" w:rsidP="00E07624">
      <w:pPr>
        <w:autoSpaceDE w:val="0"/>
        <w:autoSpaceDN w:val="0"/>
        <w:adjustRightInd w:val="0"/>
        <w:spacing w:after="0" w:line="240" w:lineRule="auto"/>
        <w:jc w:val="both"/>
        <w:rPr>
          <w:rFonts w:asciiTheme="minorHAnsi" w:hAnsiTheme="minorHAnsi" w:cstheme="minorHAnsi"/>
          <w:iCs/>
          <w:color w:val="000000"/>
          <w:sz w:val="24"/>
          <w:szCs w:val="24"/>
        </w:rPr>
      </w:pPr>
      <w:r w:rsidRPr="006A73BE">
        <w:rPr>
          <w:rFonts w:asciiTheme="minorHAnsi" w:hAnsiTheme="minorHAnsi" w:cstheme="minorHAnsi"/>
          <w:iCs/>
          <w:color w:val="000000"/>
          <w:sz w:val="24"/>
          <w:szCs w:val="24"/>
        </w:rPr>
        <w:t xml:space="preserve">Telephone: (204) 989-2434  E-mail: </w:t>
      </w:r>
      <w:hyperlink r:id="rId8" w:history="1">
        <w:r w:rsidRPr="006A73BE">
          <w:rPr>
            <w:rStyle w:val="Hyperlink"/>
            <w:rFonts w:asciiTheme="minorHAnsi" w:hAnsiTheme="minorHAnsi" w:cstheme="minorHAnsi"/>
            <w:iCs/>
            <w:sz w:val="24"/>
            <w:szCs w:val="24"/>
          </w:rPr>
          <w:t>murray@winstongold.com</w:t>
        </w:r>
      </w:hyperlink>
      <w:r w:rsidRPr="006A73BE">
        <w:rPr>
          <w:rFonts w:asciiTheme="minorHAnsi" w:hAnsiTheme="minorHAnsi" w:cstheme="minorHAnsi"/>
          <w:iCs/>
          <w:color w:val="000000"/>
          <w:sz w:val="24"/>
          <w:szCs w:val="24"/>
        </w:rPr>
        <w:t xml:space="preserve"> </w:t>
      </w:r>
    </w:p>
    <w:p w14:paraId="3FC13CE9" w14:textId="77777777" w:rsidR="00CE4181" w:rsidRPr="006A73BE" w:rsidRDefault="002411D7" w:rsidP="00E07624">
      <w:pPr>
        <w:autoSpaceDE w:val="0"/>
        <w:autoSpaceDN w:val="0"/>
        <w:adjustRightInd w:val="0"/>
        <w:spacing w:after="0" w:line="240" w:lineRule="auto"/>
        <w:jc w:val="both"/>
        <w:rPr>
          <w:rFonts w:asciiTheme="minorHAnsi" w:hAnsiTheme="minorHAnsi" w:cstheme="minorHAnsi"/>
          <w:iCs/>
          <w:color w:val="000000"/>
          <w:sz w:val="24"/>
          <w:szCs w:val="24"/>
        </w:rPr>
      </w:pPr>
    </w:p>
    <w:p w14:paraId="217FB6F3" w14:textId="4318C700" w:rsidR="00235030" w:rsidRPr="006A73BE" w:rsidRDefault="00A07456" w:rsidP="00761A93">
      <w:pPr>
        <w:autoSpaceDE w:val="0"/>
        <w:autoSpaceDN w:val="0"/>
        <w:adjustRightInd w:val="0"/>
        <w:spacing w:after="0" w:line="240" w:lineRule="auto"/>
        <w:jc w:val="center"/>
        <w:rPr>
          <w:rFonts w:asciiTheme="minorHAnsi" w:hAnsiTheme="minorHAnsi" w:cstheme="minorHAnsi"/>
          <w:sz w:val="24"/>
          <w:szCs w:val="24"/>
        </w:rPr>
      </w:pPr>
      <w:r w:rsidRPr="006A73BE">
        <w:rPr>
          <w:rFonts w:asciiTheme="minorHAnsi" w:hAnsiTheme="minorHAnsi" w:cstheme="minorHAnsi"/>
          <w:b/>
          <w:i/>
          <w:sz w:val="24"/>
          <w:szCs w:val="24"/>
        </w:rPr>
        <w:t>The CSE has neither approved nor disapproved the information contained herein.</w:t>
      </w:r>
    </w:p>
    <w:sectPr w:rsidR="00235030" w:rsidRPr="006A73BE" w:rsidSect="00761A93">
      <w:footerReference w:type="default" r:id="rId9"/>
      <w:pgSz w:w="12240" w:h="15840"/>
      <w:pgMar w:top="576" w:right="1440"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6DB74" w14:textId="77777777" w:rsidR="00801CE2" w:rsidRDefault="00801CE2">
      <w:pPr>
        <w:spacing w:after="0" w:line="240" w:lineRule="auto"/>
      </w:pPr>
      <w:r>
        <w:separator/>
      </w:r>
    </w:p>
  </w:endnote>
  <w:endnote w:type="continuationSeparator" w:id="0">
    <w:p w14:paraId="4F06D110" w14:textId="77777777" w:rsidR="00801CE2" w:rsidRDefault="00801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5494E" w14:textId="77777777" w:rsidR="00EA7E30" w:rsidRPr="00EA7E30" w:rsidRDefault="00A07456" w:rsidP="00EA7E30">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3CE72" w14:textId="77777777" w:rsidR="00801CE2" w:rsidRDefault="00801CE2">
      <w:pPr>
        <w:spacing w:after="0" w:line="240" w:lineRule="auto"/>
      </w:pPr>
      <w:r>
        <w:separator/>
      </w:r>
    </w:p>
  </w:footnote>
  <w:footnote w:type="continuationSeparator" w:id="0">
    <w:p w14:paraId="51D3B79F" w14:textId="77777777" w:rsidR="00801CE2" w:rsidRDefault="00801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15D2C"/>
    <w:multiLevelType w:val="multilevel"/>
    <w:tmpl w:val="588A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AA7222"/>
    <w:multiLevelType w:val="hybridMultilevel"/>
    <w:tmpl w:val="1FC8A19E"/>
    <w:lvl w:ilvl="0" w:tplc="4A340B18">
      <w:start w:val="1"/>
      <w:numFmt w:val="decimal"/>
      <w:lvlText w:val="%1)"/>
      <w:lvlJc w:val="left"/>
      <w:pPr>
        <w:ind w:left="720" w:hanging="360"/>
      </w:pPr>
      <w:rPr>
        <w:rFonts w:hint="default"/>
      </w:rPr>
    </w:lvl>
    <w:lvl w:ilvl="1" w:tplc="06403972" w:tentative="1">
      <w:start w:val="1"/>
      <w:numFmt w:val="lowerLetter"/>
      <w:lvlText w:val="%2."/>
      <w:lvlJc w:val="left"/>
      <w:pPr>
        <w:ind w:left="1440" w:hanging="360"/>
      </w:pPr>
    </w:lvl>
    <w:lvl w:ilvl="2" w:tplc="4B74FB02" w:tentative="1">
      <w:start w:val="1"/>
      <w:numFmt w:val="lowerRoman"/>
      <w:lvlText w:val="%3."/>
      <w:lvlJc w:val="right"/>
      <w:pPr>
        <w:ind w:left="2160" w:hanging="180"/>
      </w:pPr>
    </w:lvl>
    <w:lvl w:ilvl="3" w:tplc="26E6A1D6" w:tentative="1">
      <w:start w:val="1"/>
      <w:numFmt w:val="decimal"/>
      <w:lvlText w:val="%4."/>
      <w:lvlJc w:val="left"/>
      <w:pPr>
        <w:ind w:left="2880" w:hanging="360"/>
      </w:pPr>
    </w:lvl>
    <w:lvl w:ilvl="4" w:tplc="0ED44B60" w:tentative="1">
      <w:start w:val="1"/>
      <w:numFmt w:val="lowerLetter"/>
      <w:lvlText w:val="%5."/>
      <w:lvlJc w:val="left"/>
      <w:pPr>
        <w:ind w:left="3600" w:hanging="360"/>
      </w:pPr>
    </w:lvl>
    <w:lvl w:ilvl="5" w:tplc="FE745154" w:tentative="1">
      <w:start w:val="1"/>
      <w:numFmt w:val="lowerRoman"/>
      <w:lvlText w:val="%6."/>
      <w:lvlJc w:val="right"/>
      <w:pPr>
        <w:ind w:left="4320" w:hanging="180"/>
      </w:pPr>
    </w:lvl>
    <w:lvl w:ilvl="6" w:tplc="69544A0E" w:tentative="1">
      <w:start w:val="1"/>
      <w:numFmt w:val="decimal"/>
      <w:lvlText w:val="%7."/>
      <w:lvlJc w:val="left"/>
      <w:pPr>
        <w:ind w:left="5040" w:hanging="360"/>
      </w:pPr>
    </w:lvl>
    <w:lvl w:ilvl="7" w:tplc="686C5208" w:tentative="1">
      <w:start w:val="1"/>
      <w:numFmt w:val="lowerLetter"/>
      <w:lvlText w:val="%8."/>
      <w:lvlJc w:val="left"/>
      <w:pPr>
        <w:ind w:left="5760" w:hanging="360"/>
      </w:pPr>
    </w:lvl>
    <w:lvl w:ilvl="8" w:tplc="59661738" w:tentative="1">
      <w:start w:val="1"/>
      <w:numFmt w:val="lowerRoman"/>
      <w:lvlText w:val="%9."/>
      <w:lvlJc w:val="right"/>
      <w:pPr>
        <w:ind w:left="6480" w:hanging="180"/>
      </w:pPr>
    </w:lvl>
  </w:abstractNum>
  <w:abstractNum w:abstractNumId="2" w15:restartNumberingAfterBreak="0">
    <w:nsid w:val="5B3B2B66"/>
    <w:multiLevelType w:val="hybridMultilevel"/>
    <w:tmpl w:val="0308B96A"/>
    <w:lvl w:ilvl="0" w:tplc="31166C10">
      <w:numFmt w:val="bullet"/>
      <w:lvlText w:val="-"/>
      <w:lvlJc w:val="left"/>
      <w:pPr>
        <w:ind w:left="720" w:hanging="360"/>
      </w:pPr>
      <w:rPr>
        <w:rFonts w:ascii="Times New Roman" w:eastAsia="SimSun" w:hAnsi="Times New Roman" w:cs="Times New Roman" w:hint="default"/>
      </w:rPr>
    </w:lvl>
    <w:lvl w:ilvl="1" w:tplc="229E4C34" w:tentative="1">
      <w:start w:val="1"/>
      <w:numFmt w:val="bullet"/>
      <w:lvlText w:val="o"/>
      <w:lvlJc w:val="left"/>
      <w:pPr>
        <w:ind w:left="1440" w:hanging="360"/>
      </w:pPr>
      <w:rPr>
        <w:rFonts w:ascii="Courier New" w:hAnsi="Courier New" w:hint="default"/>
      </w:rPr>
    </w:lvl>
    <w:lvl w:ilvl="2" w:tplc="F844DDA6" w:tentative="1">
      <w:start w:val="1"/>
      <w:numFmt w:val="bullet"/>
      <w:lvlText w:val=""/>
      <w:lvlJc w:val="left"/>
      <w:pPr>
        <w:ind w:left="2160" w:hanging="360"/>
      </w:pPr>
      <w:rPr>
        <w:rFonts w:ascii="Wingdings" w:hAnsi="Wingdings" w:hint="default"/>
      </w:rPr>
    </w:lvl>
    <w:lvl w:ilvl="3" w:tplc="C3344DC0" w:tentative="1">
      <w:start w:val="1"/>
      <w:numFmt w:val="bullet"/>
      <w:lvlText w:val=""/>
      <w:lvlJc w:val="left"/>
      <w:pPr>
        <w:ind w:left="2880" w:hanging="360"/>
      </w:pPr>
      <w:rPr>
        <w:rFonts w:ascii="Symbol" w:hAnsi="Symbol" w:hint="default"/>
      </w:rPr>
    </w:lvl>
    <w:lvl w:ilvl="4" w:tplc="0FB2958E" w:tentative="1">
      <w:start w:val="1"/>
      <w:numFmt w:val="bullet"/>
      <w:lvlText w:val="o"/>
      <w:lvlJc w:val="left"/>
      <w:pPr>
        <w:ind w:left="3600" w:hanging="360"/>
      </w:pPr>
      <w:rPr>
        <w:rFonts w:ascii="Courier New" w:hAnsi="Courier New" w:hint="default"/>
      </w:rPr>
    </w:lvl>
    <w:lvl w:ilvl="5" w:tplc="EDEC25F0" w:tentative="1">
      <w:start w:val="1"/>
      <w:numFmt w:val="bullet"/>
      <w:lvlText w:val=""/>
      <w:lvlJc w:val="left"/>
      <w:pPr>
        <w:ind w:left="4320" w:hanging="360"/>
      </w:pPr>
      <w:rPr>
        <w:rFonts w:ascii="Wingdings" w:hAnsi="Wingdings" w:hint="default"/>
      </w:rPr>
    </w:lvl>
    <w:lvl w:ilvl="6" w:tplc="E8A0EE2A" w:tentative="1">
      <w:start w:val="1"/>
      <w:numFmt w:val="bullet"/>
      <w:lvlText w:val=""/>
      <w:lvlJc w:val="left"/>
      <w:pPr>
        <w:ind w:left="5040" w:hanging="360"/>
      </w:pPr>
      <w:rPr>
        <w:rFonts w:ascii="Symbol" w:hAnsi="Symbol" w:hint="default"/>
      </w:rPr>
    </w:lvl>
    <w:lvl w:ilvl="7" w:tplc="86609ED6" w:tentative="1">
      <w:start w:val="1"/>
      <w:numFmt w:val="bullet"/>
      <w:lvlText w:val="o"/>
      <w:lvlJc w:val="left"/>
      <w:pPr>
        <w:ind w:left="5760" w:hanging="360"/>
      </w:pPr>
      <w:rPr>
        <w:rFonts w:ascii="Courier New" w:hAnsi="Courier New" w:hint="default"/>
      </w:rPr>
    </w:lvl>
    <w:lvl w:ilvl="8" w:tplc="FFA617B6" w:tentative="1">
      <w:start w:val="1"/>
      <w:numFmt w:val="bullet"/>
      <w:lvlText w:val=""/>
      <w:lvlJc w:val="left"/>
      <w:pPr>
        <w:ind w:left="6480" w:hanging="360"/>
      </w:pPr>
      <w:rPr>
        <w:rFonts w:ascii="Wingdings" w:hAnsi="Wingdings" w:hint="default"/>
      </w:rPr>
    </w:lvl>
  </w:abstractNum>
  <w:abstractNum w:abstractNumId="3" w15:restartNumberingAfterBreak="0">
    <w:nsid w:val="6F416D4C"/>
    <w:multiLevelType w:val="multilevel"/>
    <w:tmpl w:val="8322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443EBB"/>
    <w:multiLevelType w:val="hybridMultilevel"/>
    <w:tmpl w:val="EC9EF12C"/>
    <w:lvl w:ilvl="0" w:tplc="03427120">
      <w:start w:val="27"/>
      <w:numFmt w:val="bullet"/>
      <w:lvlText w:val="-"/>
      <w:lvlJc w:val="left"/>
      <w:pPr>
        <w:ind w:left="720" w:hanging="360"/>
      </w:pPr>
      <w:rPr>
        <w:rFonts w:ascii="Times New Roman" w:eastAsia="SimSun" w:hAnsi="Times New Roman" w:cs="Times New Roman" w:hint="default"/>
      </w:rPr>
    </w:lvl>
    <w:lvl w:ilvl="1" w:tplc="44F4C258" w:tentative="1">
      <w:start w:val="1"/>
      <w:numFmt w:val="bullet"/>
      <w:lvlText w:val="o"/>
      <w:lvlJc w:val="left"/>
      <w:pPr>
        <w:ind w:left="1440" w:hanging="360"/>
      </w:pPr>
      <w:rPr>
        <w:rFonts w:ascii="Courier New" w:hAnsi="Courier New" w:hint="default"/>
      </w:rPr>
    </w:lvl>
    <w:lvl w:ilvl="2" w:tplc="1C8EC6D8" w:tentative="1">
      <w:start w:val="1"/>
      <w:numFmt w:val="bullet"/>
      <w:lvlText w:val=""/>
      <w:lvlJc w:val="left"/>
      <w:pPr>
        <w:ind w:left="2160" w:hanging="360"/>
      </w:pPr>
      <w:rPr>
        <w:rFonts w:ascii="Wingdings" w:hAnsi="Wingdings" w:hint="default"/>
      </w:rPr>
    </w:lvl>
    <w:lvl w:ilvl="3" w:tplc="E662ECC0" w:tentative="1">
      <w:start w:val="1"/>
      <w:numFmt w:val="bullet"/>
      <w:lvlText w:val=""/>
      <w:lvlJc w:val="left"/>
      <w:pPr>
        <w:ind w:left="2880" w:hanging="360"/>
      </w:pPr>
      <w:rPr>
        <w:rFonts w:ascii="Symbol" w:hAnsi="Symbol" w:hint="default"/>
      </w:rPr>
    </w:lvl>
    <w:lvl w:ilvl="4" w:tplc="1D66124A" w:tentative="1">
      <w:start w:val="1"/>
      <w:numFmt w:val="bullet"/>
      <w:lvlText w:val="o"/>
      <w:lvlJc w:val="left"/>
      <w:pPr>
        <w:ind w:left="3600" w:hanging="360"/>
      </w:pPr>
      <w:rPr>
        <w:rFonts w:ascii="Courier New" w:hAnsi="Courier New" w:hint="default"/>
      </w:rPr>
    </w:lvl>
    <w:lvl w:ilvl="5" w:tplc="F584638E" w:tentative="1">
      <w:start w:val="1"/>
      <w:numFmt w:val="bullet"/>
      <w:lvlText w:val=""/>
      <w:lvlJc w:val="left"/>
      <w:pPr>
        <w:ind w:left="4320" w:hanging="360"/>
      </w:pPr>
      <w:rPr>
        <w:rFonts w:ascii="Wingdings" w:hAnsi="Wingdings" w:hint="default"/>
      </w:rPr>
    </w:lvl>
    <w:lvl w:ilvl="6" w:tplc="B1160C84" w:tentative="1">
      <w:start w:val="1"/>
      <w:numFmt w:val="bullet"/>
      <w:lvlText w:val=""/>
      <w:lvlJc w:val="left"/>
      <w:pPr>
        <w:ind w:left="5040" w:hanging="360"/>
      </w:pPr>
      <w:rPr>
        <w:rFonts w:ascii="Symbol" w:hAnsi="Symbol" w:hint="default"/>
      </w:rPr>
    </w:lvl>
    <w:lvl w:ilvl="7" w:tplc="984AE9AE" w:tentative="1">
      <w:start w:val="1"/>
      <w:numFmt w:val="bullet"/>
      <w:lvlText w:val="o"/>
      <w:lvlJc w:val="left"/>
      <w:pPr>
        <w:ind w:left="5760" w:hanging="360"/>
      </w:pPr>
      <w:rPr>
        <w:rFonts w:ascii="Courier New" w:hAnsi="Courier New" w:hint="default"/>
      </w:rPr>
    </w:lvl>
    <w:lvl w:ilvl="8" w:tplc="4050C2E8"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456"/>
    <w:rsid w:val="0003765D"/>
    <w:rsid w:val="00091AB2"/>
    <w:rsid w:val="002411D7"/>
    <w:rsid w:val="00264B84"/>
    <w:rsid w:val="002E6E9A"/>
    <w:rsid w:val="003007AE"/>
    <w:rsid w:val="003B23A7"/>
    <w:rsid w:val="00496960"/>
    <w:rsid w:val="005B7625"/>
    <w:rsid w:val="00610F71"/>
    <w:rsid w:val="00697BA5"/>
    <w:rsid w:val="006A73BE"/>
    <w:rsid w:val="00723B2E"/>
    <w:rsid w:val="00755973"/>
    <w:rsid w:val="007D0067"/>
    <w:rsid w:val="00801CE2"/>
    <w:rsid w:val="00A07456"/>
    <w:rsid w:val="00A62C27"/>
    <w:rsid w:val="00AB69C3"/>
    <w:rsid w:val="00B10E2F"/>
    <w:rsid w:val="00B967AB"/>
    <w:rsid w:val="00C3067C"/>
    <w:rsid w:val="00CE383F"/>
    <w:rsid w:val="00CF3D37"/>
    <w:rsid w:val="00E01FF2"/>
    <w:rsid w:val="00E968AA"/>
    <w:rsid w:val="00F044C4"/>
    <w:rsid w:val="00F05915"/>
    <w:rsid w:val="00FF01D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7D54B6"/>
  <w15:docId w15:val="{FFEC1820-A784-478B-9982-AFE48B9C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242"/>
    <w:rPr>
      <w:rFonts w:ascii="Calibri" w:eastAsia="SimSun" w:hAnsi="Calibri" w:cs="Times New Roman"/>
    </w:rPr>
  </w:style>
  <w:style w:type="paragraph" w:styleId="Heading3">
    <w:name w:val="heading 3"/>
    <w:basedOn w:val="Normal"/>
    <w:link w:val="Heading3Char"/>
    <w:uiPriority w:val="9"/>
    <w:qFormat/>
    <w:rsid w:val="00DC309F"/>
    <w:pPr>
      <w:spacing w:before="100" w:beforeAutospacing="1" w:after="100" w:afterAutospacing="1" w:line="240" w:lineRule="auto"/>
      <w:outlineLvl w:val="2"/>
    </w:pPr>
    <w:rPr>
      <w:rFonts w:ascii="Times" w:eastAsiaTheme="minorEastAsia" w:hAnsi="Times" w:cstheme="minorBidi"/>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D74"/>
    <w:rPr>
      <w:rFonts w:ascii="Tahoma" w:eastAsia="SimSun" w:hAnsi="Tahoma" w:cs="Tahoma"/>
      <w:sz w:val="16"/>
      <w:szCs w:val="16"/>
    </w:rPr>
  </w:style>
  <w:style w:type="character" w:styleId="Hyperlink">
    <w:name w:val="Hyperlink"/>
    <w:uiPriority w:val="99"/>
    <w:rsid w:val="001D5BC1"/>
    <w:rPr>
      <w:color w:val="0000FF"/>
      <w:u w:val="single"/>
    </w:rPr>
  </w:style>
  <w:style w:type="paragraph" w:customStyle="1" w:styleId="ParaIndT11">
    <w:name w:val="ParaIndT 1 1"/>
    <w:basedOn w:val="Normal"/>
    <w:link w:val="ParaIndT11Char"/>
    <w:rsid w:val="00E07624"/>
    <w:pPr>
      <w:spacing w:after="240" w:line="240" w:lineRule="auto"/>
      <w:jc w:val="both"/>
    </w:pPr>
    <w:rPr>
      <w:rFonts w:ascii="Times New Roman" w:eastAsia="Times New Roman" w:hAnsi="Times New Roman"/>
      <w:sz w:val="24"/>
      <w:szCs w:val="20"/>
      <w:lang w:eastAsia="en-US"/>
    </w:rPr>
  </w:style>
  <w:style w:type="character" w:customStyle="1" w:styleId="ParaIndT11Char">
    <w:name w:val="ParaIndT 1 1 Char"/>
    <w:basedOn w:val="DefaultParagraphFont"/>
    <w:link w:val="ParaIndT11"/>
    <w:rsid w:val="00E07624"/>
    <w:rPr>
      <w:rFonts w:ascii="Times New Roman" w:eastAsia="Times New Roman" w:hAnsi="Times New Roman" w:cs="Times New Roman"/>
      <w:sz w:val="24"/>
      <w:szCs w:val="20"/>
      <w:lang w:eastAsia="en-US"/>
    </w:rPr>
  </w:style>
  <w:style w:type="paragraph" w:styleId="NormalWeb">
    <w:name w:val="Normal (Web)"/>
    <w:basedOn w:val="Normal"/>
    <w:uiPriority w:val="99"/>
    <w:unhideWhenUsed/>
    <w:rsid w:val="00246F35"/>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apple-converted-space">
    <w:name w:val="apple-converted-space"/>
    <w:basedOn w:val="DefaultParagraphFont"/>
    <w:rsid w:val="002A0092"/>
  </w:style>
  <w:style w:type="character" w:customStyle="1" w:styleId="Heading3Char">
    <w:name w:val="Heading 3 Char"/>
    <w:basedOn w:val="DefaultParagraphFont"/>
    <w:link w:val="Heading3"/>
    <w:uiPriority w:val="9"/>
    <w:rsid w:val="00DC309F"/>
    <w:rPr>
      <w:rFonts w:ascii="Times" w:hAnsi="Times"/>
      <w:b/>
      <w:bCs/>
      <w:sz w:val="27"/>
      <w:szCs w:val="27"/>
      <w:lang w:val="en-US" w:eastAsia="en-US"/>
    </w:rPr>
  </w:style>
  <w:style w:type="character" w:styleId="CommentReference">
    <w:name w:val="annotation reference"/>
    <w:basedOn w:val="DefaultParagraphFont"/>
    <w:uiPriority w:val="99"/>
    <w:semiHidden/>
    <w:unhideWhenUsed/>
    <w:rsid w:val="00323179"/>
    <w:rPr>
      <w:sz w:val="16"/>
      <w:szCs w:val="16"/>
    </w:rPr>
  </w:style>
  <w:style w:type="paragraph" w:styleId="CommentText">
    <w:name w:val="annotation text"/>
    <w:basedOn w:val="Normal"/>
    <w:link w:val="CommentTextChar"/>
    <w:uiPriority w:val="99"/>
    <w:semiHidden/>
    <w:unhideWhenUsed/>
    <w:rsid w:val="00323179"/>
    <w:pPr>
      <w:spacing w:line="240" w:lineRule="auto"/>
    </w:pPr>
    <w:rPr>
      <w:sz w:val="20"/>
      <w:szCs w:val="20"/>
    </w:rPr>
  </w:style>
  <w:style w:type="character" w:customStyle="1" w:styleId="CommentTextChar">
    <w:name w:val="Comment Text Char"/>
    <w:basedOn w:val="DefaultParagraphFont"/>
    <w:link w:val="CommentText"/>
    <w:uiPriority w:val="99"/>
    <w:semiHidden/>
    <w:rsid w:val="00323179"/>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23179"/>
    <w:rPr>
      <w:b/>
      <w:bCs/>
    </w:rPr>
  </w:style>
  <w:style w:type="character" w:customStyle="1" w:styleId="CommentSubjectChar">
    <w:name w:val="Comment Subject Char"/>
    <w:basedOn w:val="CommentTextChar"/>
    <w:link w:val="CommentSubject"/>
    <w:uiPriority w:val="99"/>
    <w:semiHidden/>
    <w:rsid w:val="00323179"/>
    <w:rPr>
      <w:rFonts w:ascii="Calibri" w:eastAsia="SimSun" w:hAnsi="Calibri" w:cs="Times New Roman"/>
      <w:b/>
      <w:bCs/>
      <w:sz w:val="20"/>
      <w:szCs w:val="20"/>
    </w:rPr>
  </w:style>
  <w:style w:type="paragraph" w:customStyle="1" w:styleId="Default">
    <w:name w:val="Default"/>
    <w:rsid w:val="00EA7E3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EA7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E30"/>
    <w:rPr>
      <w:rFonts w:ascii="Calibri" w:eastAsia="SimSun" w:hAnsi="Calibri" w:cs="Times New Roman"/>
    </w:rPr>
  </w:style>
  <w:style w:type="paragraph" w:styleId="Footer">
    <w:name w:val="footer"/>
    <w:basedOn w:val="Normal"/>
    <w:link w:val="FooterChar"/>
    <w:uiPriority w:val="99"/>
    <w:unhideWhenUsed/>
    <w:rsid w:val="00EA7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E30"/>
    <w:rPr>
      <w:rFonts w:ascii="Calibri" w:eastAsia="SimSun" w:hAnsi="Calibri" w:cs="Times New Roman"/>
    </w:rPr>
  </w:style>
  <w:style w:type="paragraph" w:styleId="BodyText">
    <w:name w:val="Body Text"/>
    <w:basedOn w:val="Normal"/>
    <w:link w:val="BodyTextChar"/>
    <w:qFormat/>
    <w:rsid w:val="00E968AA"/>
    <w:pPr>
      <w:spacing w:before="240" w:after="0" w:line="240" w:lineRule="auto"/>
      <w:jc w:val="both"/>
    </w:pPr>
    <w:rPr>
      <w:rFonts w:ascii="Times New Roman" w:eastAsiaTheme="minorHAnsi" w:hAnsi="Times New Roman"/>
      <w:sz w:val="24"/>
      <w:szCs w:val="20"/>
      <w:lang w:eastAsia="en-US"/>
    </w:rPr>
  </w:style>
  <w:style w:type="character" w:customStyle="1" w:styleId="BodyTextChar">
    <w:name w:val="Body Text Char"/>
    <w:basedOn w:val="DefaultParagraphFont"/>
    <w:link w:val="BodyText"/>
    <w:rsid w:val="00E968AA"/>
    <w:rPr>
      <w:rFonts w:ascii="Times New Roman" w:eastAsiaTheme="minorHAnsi"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387917">
      <w:bodyDiv w:val="1"/>
      <w:marLeft w:val="0"/>
      <w:marRight w:val="0"/>
      <w:marTop w:val="0"/>
      <w:marBottom w:val="0"/>
      <w:divBdr>
        <w:top w:val="none" w:sz="0" w:space="0" w:color="auto"/>
        <w:left w:val="none" w:sz="0" w:space="0" w:color="auto"/>
        <w:bottom w:val="none" w:sz="0" w:space="0" w:color="auto"/>
        <w:right w:val="none" w:sz="0" w:space="0" w:color="auto"/>
      </w:divBdr>
    </w:div>
    <w:div w:id="71993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ray@winstongol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DA6B7-838E-43BA-979D-3D40B4C1B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Muzz2</dc:creator>
  <cp:lastModifiedBy>Murray Nye</cp:lastModifiedBy>
  <cp:revision>2</cp:revision>
  <dcterms:created xsi:type="dcterms:W3CDTF">2020-05-29T23:11:00Z</dcterms:created>
  <dcterms:modified xsi:type="dcterms:W3CDTF">2020-05-29T23:11:00Z</dcterms:modified>
</cp:coreProperties>
</file>