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EA4133">
      <w:pPr>
        <w:pStyle w:val="Title"/>
        <w:spacing w:before="0"/>
        <w:rPr>
          <w:sz w:val="28"/>
          <w:lang w:val="en-CA"/>
        </w:rPr>
      </w:pPr>
      <w:r w:rsidRPr="0001060A">
        <w:rPr>
          <w:sz w:val="28"/>
          <w:lang w:val="en-CA"/>
        </w:rPr>
        <w:t>FORM 9</w:t>
      </w:r>
    </w:p>
    <w:p w14:paraId="78D0C99B" w14:textId="77777777" w:rsidR="00EA4133" w:rsidRPr="007568B3" w:rsidRDefault="00EA4133">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EA4133">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EA4133">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28"/>
        <w:gridCol w:w="3022"/>
      </w:tblGrid>
      <w:tr w:rsidR="00840B45" w14:paraId="314EAEDD" w14:textId="77777777" w:rsidTr="00840B45">
        <w:tc>
          <w:tcPr>
            <w:tcW w:w="6487" w:type="dxa"/>
          </w:tcPr>
          <w:p w14:paraId="23DD9CE8" w14:textId="7878ADC4" w:rsidR="00840B45" w:rsidRDefault="003A7A88" w:rsidP="003A7A88">
            <w:pPr>
              <w:pStyle w:val="BodyText"/>
              <w:rPr>
                <w:rFonts w:ascii="Arial" w:hAnsi="Arial"/>
                <w:lang w:val="en-CA"/>
              </w:rPr>
            </w:pPr>
            <w:r>
              <w:rPr>
                <w:rFonts w:ascii="Arial" w:hAnsi="Arial"/>
                <w:lang w:val="en-CA"/>
              </w:rPr>
              <w:t xml:space="preserve">Vireo Growth Inc. </w:t>
            </w:r>
            <w:r w:rsidR="00840B45">
              <w:rPr>
                <w:rFonts w:ascii="Arial" w:hAnsi="Arial"/>
                <w:lang w:val="en-CA"/>
              </w:rPr>
              <w:t>(the “</w:t>
            </w:r>
            <w:r w:rsidR="00840B45" w:rsidRPr="003A7A88">
              <w:rPr>
                <w:rFonts w:ascii="Arial" w:hAnsi="Arial"/>
                <w:b/>
                <w:bCs/>
                <w:lang w:val="en-CA"/>
              </w:rPr>
              <w:t>Issuer</w:t>
            </w:r>
            <w:r w:rsidR="00840B45">
              <w:rPr>
                <w:rFonts w:ascii="Arial" w:hAnsi="Arial"/>
                <w:lang w:val="en-CA"/>
              </w:rPr>
              <w:t xml:space="preserve">”).  </w:t>
            </w:r>
          </w:p>
        </w:tc>
        <w:tc>
          <w:tcPr>
            <w:tcW w:w="3089" w:type="dxa"/>
          </w:tcPr>
          <w:p w14:paraId="07D92AE1" w14:textId="31499C9D" w:rsidR="00840B45" w:rsidRDefault="003A7A88">
            <w:pPr>
              <w:pStyle w:val="BodyText"/>
              <w:rPr>
                <w:rFonts w:ascii="Arial" w:hAnsi="Arial"/>
                <w:lang w:val="en-CA"/>
              </w:rPr>
            </w:pPr>
            <w:r>
              <w:rPr>
                <w:rFonts w:ascii="Arial" w:hAnsi="Arial"/>
                <w:lang w:val="en-CA"/>
              </w:rPr>
              <w:t>VREO</w:t>
            </w:r>
          </w:p>
        </w:tc>
      </w:tr>
    </w:tbl>
    <w:p w14:paraId="329725CF" w14:textId="4B14F21B" w:rsidR="00EA4133" w:rsidRPr="00D12A8B" w:rsidRDefault="00EA4133" w:rsidP="00840B45">
      <w:pPr>
        <w:pStyle w:val="BodyText"/>
        <w:spacing w:after="240"/>
        <w:rPr>
          <w:rFonts w:ascii="Arial" w:hAnsi="Arial"/>
          <w:sz w:val="32"/>
          <w:lang w:val="en-CA"/>
        </w:rPr>
      </w:pPr>
      <w:r w:rsidRPr="00D12A8B">
        <w:rPr>
          <w:rFonts w:ascii="Arial" w:hAnsi="Arial"/>
          <w:lang w:val="en-CA"/>
        </w:rPr>
        <w:t>Date:</w:t>
      </w:r>
      <w:r w:rsidR="003A7A88" w:rsidRPr="00D12A8B">
        <w:rPr>
          <w:rFonts w:ascii="Arial" w:hAnsi="Arial"/>
          <w:lang w:val="en-CA"/>
        </w:rPr>
        <w:t xml:space="preserve"> </w:t>
      </w:r>
      <w:r w:rsidR="009E219A">
        <w:rPr>
          <w:rFonts w:ascii="Arial" w:hAnsi="Arial"/>
          <w:u w:val="single"/>
          <w:lang w:val="en-CA"/>
        </w:rPr>
        <w:t>April 30</w:t>
      </w:r>
      <w:r w:rsidR="00D12A8B" w:rsidRPr="00D12A8B">
        <w:rPr>
          <w:rFonts w:ascii="Arial" w:hAnsi="Arial"/>
          <w:u w:val="single"/>
          <w:lang w:val="en-CA"/>
        </w:rPr>
        <w:t xml:space="preserve">, </w:t>
      </w:r>
      <w:r w:rsidR="003A7A88" w:rsidRPr="00D12A8B">
        <w:rPr>
          <w:rFonts w:ascii="Arial" w:hAnsi="Arial"/>
          <w:u w:val="single"/>
          <w:lang w:val="en-CA"/>
        </w:rPr>
        <w:t xml:space="preserve">2026 </w:t>
      </w:r>
      <w:r w:rsidRPr="00D12A8B">
        <w:rPr>
          <w:rFonts w:ascii="Arial" w:hAnsi="Arial"/>
          <w:lang w:val="en-CA"/>
        </w:rPr>
        <w:t>Is this an updating or amending Notice:</w:t>
      </w:r>
      <w:r w:rsidRPr="00D12A8B">
        <w:rPr>
          <w:rFonts w:ascii="Arial" w:hAnsi="Arial"/>
          <w:lang w:val="en-CA"/>
        </w:rPr>
        <w:tab/>
      </w:r>
      <w:r w:rsidRPr="00D12A8B">
        <w:rPr>
          <w:rFonts w:ascii="Arial" w:hAnsi="Arial"/>
          <w:lang w:val="en-CA"/>
        </w:rPr>
        <w:tab/>
      </w:r>
      <w:r w:rsidRPr="00D12A8B">
        <w:rPr>
          <w:rFonts w:ascii="Arial" w:hAnsi="Arial"/>
          <w:lang w:val="en-CA"/>
        </w:rPr>
        <w:sym w:font="Monotype Sorts" w:char="F07F"/>
      </w:r>
      <w:r w:rsidRPr="00D12A8B">
        <w:rPr>
          <w:rFonts w:ascii="Arial" w:hAnsi="Arial"/>
          <w:lang w:val="en-CA"/>
        </w:rPr>
        <w:t>Yes</w:t>
      </w:r>
      <w:r w:rsidRPr="00D12A8B">
        <w:rPr>
          <w:rFonts w:ascii="Arial" w:hAnsi="Arial"/>
          <w:lang w:val="en-CA"/>
        </w:rPr>
        <w:tab/>
      </w:r>
      <w:r w:rsidRPr="00D12A8B">
        <w:rPr>
          <w:rFonts w:ascii="Arial" w:hAnsi="Arial"/>
          <w:lang w:val="en-CA"/>
        </w:rPr>
        <w:tab/>
      </w:r>
      <w:r w:rsidR="003A7A88" w:rsidRPr="00D12A8B">
        <w:rPr>
          <w:rFonts w:ascii="Arial" w:hAnsi="Arial"/>
          <w:lang w:val="en-CA"/>
        </w:rPr>
        <w:t>X</w:t>
      </w:r>
      <w:r w:rsidRPr="00D12A8B">
        <w:rPr>
          <w:rFonts w:ascii="Arial" w:hAnsi="Arial"/>
          <w:lang w:val="en-CA"/>
        </w:rPr>
        <w:t>No</w:t>
      </w:r>
      <w:r w:rsidRPr="00D12A8B">
        <w:rPr>
          <w:rFonts w:ascii="Arial" w:hAnsi="Arial"/>
          <w:sz w:val="32"/>
          <w:lang w:val="en-CA"/>
        </w:rPr>
        <w:tab/>
      </w:r>
    </w:p>
    <w:p w14:paraId="6B9241A6" w14:textId="77777777" w:rsidR="00EA4133" w:rsidRPr="00D12A8B" w:rsidRDefault="00EA4133" w:rsidP="00C10A32">
      <w:pPr>
        <w:pStyle w:val="BodyText"/>
        <w:tabs>
          <w:tab w:val="left" w:pos="9180"/>
        </w:tabs>
        <w:spacing w:before="0" w:after="120"/>
        <w:rPr>
          <w:rFonts w:ascii="Arial" w:hAnsi="Arial"/>
          <w:lang w:val="en-CA"/>
        </w:rPr>
      </w:pPr>
      <w:r w:rsidRPr="00D12A8B">
        <w:rPr>
          <w:rFonts w:ascii="Arial" w:hAnsi="Arial"/>
          <w:lang w:val="en-CA"/>
        </w:rPr>
        <w:t>If yes provide date(s) of prior Notices:  ________________________.</w:t>
      </w:r>
    </w:p>
    <w:p w14:paraId="64ED7A22" w14:textId="76854CFE" w:rsidR="00EA4133" w:rsidRPr="00D12A8B" w:rsidRDefault="00EA4133" w:rsidP="00C10A32">
      <w:pPr>
        <w:pStyle w:val="BodyText"/>
        <w:tabs>
          <w:tab w:val="left" w:pos="9180"/>
        </w:tabs>
        <w:spacing w:before="0" w:after="120"/>
        <w:rPr>
          <w:rFonts w:ascii="Arial" w:hAnsi="Arial"/>
          <w:lang w:val="en-CA"/>
        </w:rPr>
      </w:pPr>
      <w:r w:rsidRPr="00D12A8B">
        <w:rPr>
          <w:rFonts w:ascii="Arial" w:hAnsi="Arial"/>
          <w:lang w:val="en-CA"/>
        </w:rPr>
        <w:t xml:space="preserve">Issued and Outstanding Securities of Issuer Prior to Issuance:  </w:t>
      </w:r>
      <w:r w:rsidR="00976766" w:rsidRPr="00D12A8B">
        <w:rPr>
          <w:rFonts w:ascii="Arial" w:hAnsi="Arial"/>
          <w:u w:val="single"/>
          <w:lang w:val="en-CA"/>
        </w:rPr>
        <w:t>1,451,322,103</w:t>
      </w:r>
      <w:r w:rsidR="00500867" w:rsidRPr="00D12A8B">
        <w:rPr>
          <w:rFonts w:ascii="Arial" w:hAnsi="Arial"/>
          <w:u w:val="single"/>
          <w:lang w:val="en-CA"/>
        </w:rPr>
        <w:t xml:space="preserve"> </w:t>
      </w:r>
      <w:r w:rsidR="003A7A88" w:rsidRPr="00D12A8B">
        <w:rPr>
          <w:rFonts w:ascii="Arial" w:hAnsi="Arial"/>
          <w:u w:val="single"/>
          <w:lang w:val="en-CA"/>
        </w:rPr>
        <w:t>subordinate voting shares without par value (the “</w:t>
      </w:r>
      <w:r w:rsidR="003A7A88" w:rsidRPr="00D12A8B">
        <w:rPr>
          <w:rFonts w:ascii="Arial" w:hAnsi="Arial"/>
          <w:b/>
          <w:bCs/>
          <w:u w:val="single"/>
          <w:lang w:val="en-CA"/>
        </w:rPr>
        <w:t>Shares</w:t>
      </w:r>
      <w:r w:rsidR="003A7A88" w:rsidRPr="00D12A8B">
        <w:rPr>
          <w:rFonts w:ascii="Arial" w:hAnsi="Arial"/>
          <w:u w:val="single"/>
          <w:lang w:val="en-CA"/>
        </w:rPr>
        <w:t xml:space="preserve">”) and </w:t>
      </w:r>
      <w:r w:rsidR="00976766" w:rsidRPr="00D12A8B">
        <w:rPr>
          <w:rFonts w:ascii="Arial" w:hAnsi="Arial"/>
          <w:u w:val="single"/>
          <w:lang w:val="en-CA"/>
        </w:rPr>
        <w:t>232,490</w:t>
      </w:r>
      <w:r w:rsidR="003A7A88" w:rsidRPr="00D12A8B">
        <w:rPr>
          <w:rFonts w:ascii="Arial" w:hAnsi="Arial"/>
          <w:u w:val="single"/>
          <w:lang w:val="en-CA"/>
        </w:rPr>
        <w:t xml:space="preserve"> multiple voting shares convertible into an additional </w:t>
      </w:r>
      <w:r w:rsidR="00976766" w:rsidRPr="00D12A8B">
        <w:rPr>
          <w:rFonts w:ascii="Arial" w:hAnsi="Arial"/>
          <w:u w:val="single"/>
          <w:lang w:val="en-CA"/>
        </w:rPr>
        <w:t>23,249,000</w:t>
      </w:r>
      <w:r w:rsidR="003A7A88" w:rsidRPr="00D12A8B">
        <w:rPr>
          <w:rFonts w:ascii="Arial" w:hAnsi="Arial"/>
          <w:u w:val="single"/>
          <w:lang w:val="en-CA"/>
        </w:rPr>
        <w:t xml:space="preserve"> Shares, for a total of </w:t>
      </w:r>
      <w:r w:rsidR="00976766" w:rsidRPr="00D12A8B">
        <w:rPr>
          <w:rFonts w:ascii="Arial" w:hAnsi="Arial"/>
          <w:u w:val="single"/>
          <w:lang w:val="en-CA"/>
        </w:rPr>
        <w:t>1,474,571,103</w:t>
      </w:r>
      <w:r w:rsidR="00500867" w:rsidRPr="00D12A8B">
        <w:rPr>
          <w:rFonts w:ascii="Arial" w:hAnsi="Arial"/>
          <w:u w:val="single"/>
          <w:lang w:val="en-CA"/>
        </w:rPr>
        <w:t xml:space="preserve"> </w:t>
      </w:r>
      <w:r w:rsidR="003A7A88" w:rsidRPr="00D12A8B">
        <w:rPr>
          <w:rFonts w:ascii="Arial" w:hAnsi="Arial"/>
          <w:u w:val="single"/>
          <w:lang w:val="en-CA"/>
        </w:rPr>
        <w:t>Shares</w:t>
      </w:r>
      <w:r w:rsidR="003A7A88" w:rsidRPr="00D12A8B">
        <w:rPr>
          <w:rFonts w:ascii="Arial" w:hAnsi="Arial"/>
          <w:lang w:val="en-CA"/>
        </w:rPr>
        <w:t>.</w:t>
      </w:r>
    </w:p>
    <w:p w14:paraId="05735BDF" w14:textId="77777777" w:rsidR="00840B45" w:rsidRPr="00D12A8B" w:rsidRDefault="00840B45" w:rsidP="00C10A32">
      <w:pPr>
        <w:pStyle w:val="BodyText"/>
        <w:tabs>
          <w:tab w:val="left" w:pos="9180"/>
        </w:tabs>
        <w:spacing w:before="0" w:after="120"/>
        <w:rPr>
          <w:rFonts w:ascii="Arial" w:hAnsi="Arial"/>
          <w:b/>
          <w:lang w:val="en-CA"/>
        </w:rPr>
      </w:pPr>
      <w:r w:rsidRPr="00D12A8B">
        <w:rPr>
          <w:rFonts w:ascii="Arial" w:hAnsi="Arial"/>
          <w:b/>
          <w:lang w:val="en-CA"/>
        </w:rPr>
        <w:t>Pricing</w:t>
      </w:r>
    </w:p>
    <w:p w14:paraId="3598349B" w14:textId="08579F67" w:rsidR="00EA4133" w:rsidRPr="00D12A8B" w:rsidRDefault="00EA4133" w:rsidP="00C10A32">
      <w:pPr>
        <w:pStyle w:val="BodyText"/>
        <w:tabs>
          <w:tab w:val="left" w:pos="9180"/>
        </w:tabs>
        <w:spacing w:before="0" w:after="120"/>
        <w:rPr>
          <w:rFonts w:ascii="Arial" w:hAnsi="Arial"/>
          <w:lang w:val="en-CA"/>
        </w:rPr>
      </w:pPr>
      <w:r w:rsidRPr="00D12A8B">
        <w:rPr>
          <w:rFonts w:ascii="Arial" w:hAnsi="Arial"/>
          <w:lang w:val="en-CA"/>
        </w:rPr>
        <w:t xml:space="preserve">Date of </w:t>
      </w:r>
      <w:r w:rsidR="00840B45" w:rsidRPr="00D12A8B">
        <w:rPr>
          <w:rFonts w:ascii="Arial" w:hAnsi="Arial"/>
          <w:lang w:val="en-CA"/>
        </w:rPr>
        <w:t>n</w:t>
      </w:r>
      <w:r w:rsidRPr="00D12A8B">
        <w:rPr>
          <w:rFonts w:ascii="Arial" w:hAnsi="Arial"/>
          <w:lang w:val="en-CA"/>
        </w:rPr>
        <w:t xml:space="preserve">ews </w:t>
      </w:r>
      <w:r w:rsidR="00840B45" w:rsidRPr="00D12A8B">
        <w:rPr>
          <w:rFonts w:ascii="Arial" w:hAnsi="Arial"/>
          <w:lang w:val="en-CA"/>
        </w:rPr>
        <w:t>r</w:t>
      </w:r>
      <w:r w:rsidRPr="00D12A8B">
        <w:rPr>
          <w:rFonts w:ascii="Arial" w:hAnsi="Arial"/>
          <w:lang w:val="en-CA"/>
        </w:rPr>
        <w:t xml:space="preserve">elease </w:t>
      </w:r>
      <w:r w:rsidR="00840B45" w:rsidRPr="00D12A8B">
        <w:rPr>
          <w:rFonts w:ascii="Arial" w:hAnsi="Arial"/>
          <w:lang w:val="en-CA"/>
        </w:rPr>
        <w:t>a</w:t>
      </w:r>
      <w:r w:rsidRPr="00D12A8B">
        <w:rPr>
          <w:rFonts w:ascii="Arial" w:hAnsi="Arial"/>
          <w:lang w:val="en-CA"/>
        </w:rPr>
        <w:t xml:space="preserve">nnouncing </w:t>
      </w:r>
      <w:r w:rsidR="00840B45" w:rsidRPr="00D12A8B">
        <w:rPr>
          <w:rFonts w:ascii="Arial" w:hAnsi="Arial"/>
          <w:lang w:val="en-CA"/>
        </w:rPr>
        <w:t>proposed issuance</w:t>
      </w:r>
      <w:r w:rsidRPr="00D12A8B">
        <w:rPr>
          <w:rFonts w:ascii="Arial" w:hAnsi="Arial"/>
          <w:lang w:val="en-CA"/>
        </w:rPr>
        <w:t xml:space="preserve">:  </w:t>
      </w:r>
      <w:r w:rsidR="009E219A">
        <w:rPr>
          <w:rFonts w:ascii="Arial" w:hAnsi="Arial"/>
          <w:u w:val="single"/>
          <w:lang w:val="en-CA"/>
        </w:rPr>
        <w:t>April 30</w:t>
      </w:r>
      <w:r w:rsidR="00D12A8B" w:rsidRPr="00D12A8B">
        <w:rPr>
          <w:rFonts w:ascii="Arial" w:hAnsi="Arial"/>
          <w:u w:val="single"/>
          <w:lang w:val="en-CA"/>
        </w:rPr>
        <w:t xml:space="preserve">, </w:t>
      </w:r>
      <w:r w:rsidR="003A7A88" w:rsidRPr="00D12A8B">
        <w:rPr>
          <w:rFonts w:ascii="Arial" w:hAnsi="Arial"/>
          <w:u w:val="single"/>
          <w:lang w:val="en-CA"/>
        </w:rPr>
        <w:t>2026</w:t>
      </w:r>
    </w:p>
    <w:p w14:paraId="2B26F9CC" w14:textId="77777777" w:rsidR="00840B45" w:rsidRPr="00D12A8B" w:rsidRDefault="00840B45" w:rsidP="00C10A32">
      <w:pPr>
        <w:pStyle w:val="BodyText"/>
        <w:tabs>
          <w:tab w:val="left" w:pos="9180"/>
        </w:tabs>
        <w:spacing w:before="0" w:after="120"/>
        <w:rPr>
          <w:rFonts w:ascii="Arial" w:hAnsi="Arial"/>
          <w:lang w:val="en-CA"/>
        </w:rPr>
      </w:pPr>
      <w:r w:rsidRPr="00D12A8B">
        <w:rPr>
          <w:rFonts w:ascii="Arial" w:hAnsi="Arial"/>
          <w:lang w:val="en-CA"/>
        </w:rPr>
        <w:t xml:space="preserve">Date of confidential request for price protection: </w:t>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r>
      <w:r w:rsidRPr="00D12A8B">
        <w:rPr>
          <w:rFonts w:ascii="Arial" w:hAnsi="Arial"/>
          <w:lang w:val="en-CA"/>
        </w:rPr>
        <w:softHyphen/>
        <w:t>________________</w:t>
      </w:r>
    </w:p>
    <w:p w14:paraId="1149D8A2" w14:textId="0A99FAB2" w:rsidR="00EA4133" w:rsidRDefault="00EA4133" w:rsidP="00C10A32">
      <w:pPr>
        <w:pStyle w:val="BodyText"/>
        <w:tabs>
          <w:tab w:val="left" w:pos="9180"/>
        </w:tabs>
        <w:spacing w:before="0" w:after="120"/>
        <w:rPr>
          <w:rFonts w:ascii="Arial" w:hAnsi="Arial"/>
          <w:lang w:val="en-CA"/>
        </w:rPr>
      </w:pPr>
      <w:r w:rsidRPr="00D12A8B">
        <w:rPr>
          <w:rFonts w:ascii="Arial" w:hAnsi="Arial"/>
          <w:lang w:val="en-CA"/>
        </w:rPr>
        <w:t xml:space="preserve">Closing Market Price on Day Preceding the </w:t>
      </w:r>
      <w:r w:rsidR="00840B45" w:rsidRPr="00D12A8B">
        <w:rPr>
          <w:rFonts w:ascii="Arial" w:hAnsi="Arial"/>
          <w:lang w:val="en-CA"/>
        </w:rPr>
        <w:t>n</w:t>
      </w:r>
      <w:r w:rsidRPr="00D12A8B">
        <w:rPr>
          <w:rFonts w:ascii="Arial" w:hAnsi="Arial"/>
          <w:lang w:val="en-CA"/>
        </w:rPr>
        <w:t xml:space="preserve">ews </w:t>
      </w:r>
      <w:r w:rsidR="00840B45" w:rsidRPr="00D12A8B">
        <w:rPr>
          <w:rFonts w:ascii="Arial" w:hAnsi="Arial"/>
          <w:lang w:val="en-CA"/>
        </w:rPr>
        <w:t>r</w:t>
      </w:r>
      <w:r w:rsidRPr="00D12A8B">
        <w:rPr>
          <w:rFonts w:ascii="Arial" w:hAnsi="Arial"/>
          <w:lang w:val="en-CA"/>
        </w:rPr>
        <w:t xml:space="preserve">elease: </w:t>
      </w:r>
      <w:r w:rsidR="003A7A88" w:rsidRPr="00D12A8B">
        <w:rPr>
          <w:rFonts w:ascii="Arial" w:hAnsi="Arial"/>
          <w:u w:val="single"/>
          <w:lang w:val="en-CA"/>
        </w:rPr>
        <w:t>C</w:t>
      </w:r>
      <w:r w:rsidR="00D12A8B" w:rsidRPr="00D12A8B">
        <w:rPr>
          <w:rFonts w:ascii="Arial" w:hAnsi="Arial"/>
          <w:u w:val="single"/>
          <w:lang w:val="en-CA"/>
        </w:rPr>
        <w:t>$</w:t>
      </w:r>
      <w:r w:rsidR="00D12A8B" w:rsidRPr="00DC2C64">
        <w:rPr>
          <w:rFonts w:ascii="Arial" w:hAnsi="Arial"/>
          <w:u w:val="single"/>
          <w:lang w:val="en-CA"/>
        </w:rPr>
        <w:t>0.5</w:t>
      </w:r>
      <w:r w:rsidR="001D1036" w:rsidRPr="00DC2C64">
        <w:rPr>
          <w:rFonts w:ascii="Arial" w:hAnsi="Arial"/>
          <w:u w:val="single"/>
          <w:lang w:val="en-CA"/>
        </w:rPr>
        <w:t>8</w:t>
      </w:r>
    </w:p>
    <w:p w14:paraId="59088A4E" w14:textId="77777777" w:rsidR="00840B45" w:rsidRDefault="00840B45"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r>
      <w:r>
        <w:rPr>
          <w:rFonts w:ascii="Arial" w:hAnsi="Arial"/>
          <w:lang w:val="en-CA"/>
        </w:rPr>
        <w:softHyphen/>
        <w:t>__________________</w:t>
      </w:r>
    </w:p>
    <w:p w14:paraId="37AEA8CE" w14:textId="77777777" w:rsidR="00840B45" w:rsidRDefault="00840B45"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3CBC76E6" w:rsidR="00840B45" w:rsidRDefault="00840B45" w:rsidP="00C10A32">
      <w:pPr>
        <w:pStyle w:val="BodyText"/>
        <w:tabs>
          <w:tab w:val="left" w:pos="9180"/>
        </w:tabs>
        <w:spacing w:before="0" w:after="120"/>
        <w:rPr>
          <w:rFonts w:ascii="Arial" w:hAnsi="Arial"/>
          <w:lang w:val="en-CA"/>
        </w:rPr>
      </w:pPr>
      <w:r>
        <w:rPr>
          <w:rFonts w:ascii="Arial" w:hAnsi="Arial"/>
          <w:lang w:val="en-CA"/>
        </w:rPr>
        <w:t xml:space="preserve">Number of securities to be issued: </w:t>
      </w:r>
      <w:r w:rsidR="00754817" w:rsidRPr="00B94B78">
        <w:rPr>
          <w:rFonts w:ascii="Arial" w:hAnsi="Arial"/>
          <w:u w:val="single"/>
          <w:lang w:val="en-CA"/>
        </w:rPr>
        <w:t>Approximately</w:t>
      </w:r>
      <w:r w:rsidR="005E655F" w:rsidRPr="00B94B78">
        <w:rPr>
          <w:rFonts w:ascii="Arial" w:hAnsi="Arial"/>
          <w:u w:val="single"/>
          <w:lang w:val="en-CA"/>
        </w:rPr>
        <w:t xml:space="preserve"> </w:t>
      </w:r>
      <w:r w:rsidR="00754817" w:rsidRPr="00D12A8B">
        <w:rPr>
          <w:rFonts w:ascii="Arial" w:hAnsi="Arial"/>
          <w:u w:val="single"/>
          <w:lang w:val="en-CA"/>
        </w:rPr>
        <w:t>165,000,000</w:t>
      </w:r>
      <w:r w:rsidR="00754817">
        <w:rPr>
          <w:rFonts w:ascii="Arial" w:hAnsi="Arial"/>
          <w:u w:val="single"/>
          <w:lang w:val="en-CA"/>
        </w:rPr>
        <w:t xml:space="preserve"> Shares</w:t>
      </w:r>
      <w:r w:rsidR="00F75C47">
        <w:rPr>
          <w:rFonts w:ascii="Arial" w:hAnsi="Arial"/>
          <w:u w:val="single"/>
          <w:lang w:val="en-CA"/>
        </w:rPr>
        <w:t xml:space="preserve"> </w:t>
      </w:r>
    </w:p>
    <w:p w14:paraId="7749581F" w14:textId="70E76DE5" w:rsidR="00840B45" w:rsidRDefault="00840B45"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following issuance: </w:t>
      </w:r>
      <w:r w:rsidR="00754817">
        <w:rPr>
          <w:rFonts w:ascii="Arial" w:hAnsi="Arial"/>
          <w:u w:val="single"/>
          <w:lang w:val="en-CA"/>
        </w:rPr>
        <w:t xml:space="preserve">Approximately </w:t>
      </w:r>
      <w:r w:rsidR="00C26CDC">
        <w:rPr>
          <w:rFonts w:ascii="Arial" w:hAnsi="Arial"/>
          <w:u w:val="single"/>
          <w:lang w:val="en-CA"/>
        </w:rPr>
        <w:t>1,6</w:t>
      </w:r>
      <w:r w:rsidR="00D12A8B">
        <w:rPr>
          <w:rFonts w:ascii="Arial" w:hAnsi="Arial"/>
          <w:u w:val="single"/>
          <w:lang w:val="en-CA"/>
        </w:rPr>
        <w:t>16</w:t>
      </w:r>
      <w:r w:rsidR="00C26CDC">
        <w:rPr>
          <w:rFonts w:ascii="Arial" w:hAnsi="Arial"/>
          <w:u w:val="single"/>
          <w:lang w:val="en-CA"/>
        </w:rPr>
        <w:t>,</w:t>
      </w:r>
      <w:r w:rsidR="00D12A8B">
        <w:rPr>
          <w:rFonts w:ascii="Arial" w:hAnsi="Arial"/>
          <w:u w:val="single"/>
          <w:lang w:val="en-CA"/>
        </w:rPr>
        <w:t>322,103</w:t>
      </w:r>
      <w:r w:rsidR="00754817">
        <w:rPr>
          <w:rFonts w:ascii="Arial" w:hAnsi="Arial"/>
          <w:u w:val="single"/>
          <w:lang w:val="en-CA"/>
        </w:rPr>
        <w:t xml:space="preserve"> Shares</w:t>
      </w:r>
      <w:r w:rsidR="00D12A8B" w:rsidRPr="00D12A8B">
        <w:rPr>
          <w:rFonts w:ascii="Arial" w:hAnsi="Arial"/>
          <w:u w:val="single"/>
          <w:lang w:val="en-CA"/>
        </w:rPr>
        <w:t xml:space="preserve"> and 232,490 multiple voting shares convertible into an additional 23,249,000 Shares, for a total of 1,639,571,103 Shares</w:t>
      </w:r>
      <w:r w:rsidR="00754817">
        <w:rPr>
          <w:rFonts w:ascii="Arial" w:hAnsi="Arial"/>
          <w:u w:val="single"/>
          <w:lang w:val="en-CA"/>
        </w:rPr>
        <w:t xml:space="preserve"> </w:t>
      </w:r>
    </w:p>
    <w:p w14:paraId="53C6A75B" w14:textId="77777777" w:rsidR="00C10A32" w:rsidRDefault="00C10A32" w:rsidP="00C10A32">
      <w:pPr>
        <w:pStyle w:val="BodyText"/>
        <w:tabs>
          <w:tab w:val="left" w:pos="9180"/>
        </w:tabs>
        <w:spacing w:before="0" w:after="120"/>
        <w:rPr>
          <w:rFonts w:ascii="Arial" w:hAnsi="Arial"/>
          <w:b/>
          <w:lang w:val="en-CA"/>
        </w:rPr>
      </w:pPr>
    </w:p>
    <w:p w14:paraId="070F1EE9" w14:textId="77777777" w:rsidR="00840B45" w:rsidRDefault="00840B45" w:rsidP="00C10A32">
      <w:pPr>
        <w:pStyle w:val="BodyText"/>
        <w:tabs>
          <w:tab w:val="left" w:pos="9180"/>
        </w:tabs>
        <w:spacing w:before="0" w:after="120"/>
        <w:rPr>
          <w:rFonts w:ascii="Arial" w:hAnsi="Arial"/>
          <w:b/>
          <w:lang w:val="en-CA"/>
        </w:rPr>
      </w:pPr>
      <w:r>
        <w:rPr>
          <w:rFonts w:ascii="Arial" w:hAnsi="Arial"/>
          <w:b/>
          <w:lang w:val="en-CA"/>
        </w:rPr>
        <w:t>Instructions:</w:t>
      </w:r>
    </w:p>
    <w:p w14:paraId="6A2183BE"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For private placements (including debt settlement), complete tables 1A and 1B in Part 1 of this form.</w:t>
      </w:r>
    </w:p>
    <w:p w14:paraId="22C80B95"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Complete Table 1A – Summary for all purchasers, excluding those identified in Item 8.</w:t>
      </w:r>
    </w:p>
    <w:p w14:paraId="6F711AC2"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Complete Table 1B – Related Persons only for Related Persons</w:t>
      </w:r>
    </w:p>
    <w:p w14:paraId="611C7731"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If shares are being issued in connection with an acquisition (either as consideration or to raise funds for a cash acquisition) please proceed to Part 2 of this form.</w:t>
      </w:r>
    </w:p>
    <w:p w14:paraId="1C15703D" w14:textId="77777777" w:rsidR="00544BCF" w:rsidRDefault="00544BCF"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An issuance of non-convertible debt does not have to be reported unless it is a significant transaction as defined in Policy 7, in which case it is to be reported on Form 10</w:t>
      </w:r>
      <w:r w:rsidR="00C10A32">
        <w:rPr>
          <w:rFonts w:ascii="Arial" w:hAnsi="Arial"/>
          <w:lang w:val="en-CA"/>
        </w:rPr>
        <w:t xml:space="preserve"> – Notice of Proposed Transaction</w:t>
      </w:r>
    </w:p>
    <w:p w14:paraId="7D7F9B0A" w14:textId="77777777" w:rsidR="00C10A32" w:rsidRPr="00BE2894" w:rsidRDefault="00C10A32" w:rsidP="00BE2894">
      <w:pPr>
        <w:pStyle w:val="BodyText"/>
        <w:numPr>
          <w:ilvl w:val="0"/>
          <w:numId w:val="18"/>
        </w:numPr>
        <w:tabs>
          <w:tab w:val="left" w:pos="9180"/>
        </w:tabs>
        <w:spacing w:before="0" w:after="120"/>
        <w:ind w:left="426"/>
        <w:rPr>
          <w:rFonts w:ascii="Arial" w:hAnsi="Arial"/>
          <w:b/>
          <w:lang w:val="en-CA"/>
        </w:rPr>
      </w:pPr>
      <w:r w:rsidRPr="00BE2894">
        <w:rPr>
          <w:rFonts w:ascii="Arial" w:hAnsi="Arial"/>
          <w:lang w:val="en-CA"/>
        </w:rPr>
        <w:lastRenderedPageBreak/>
        <w:t xml:space="preserve">Post the completed Form 9 to the CSE website in accordance with </w:t>
      </w:r>
      <w:r w:rsidRPr="00BE2894">
        <w:rPr>
          <w:rFonts w:ascii="Arial" w:hAnsi="Arial"/>
          <w:i/>
          <w:lang w:val="en-CA"/>
        </w:rPr>
        <w:t>Policy 6 – Distributions.</w:t>
      </w:r>
      <w:r w:rsidRPr="00BE2894">
        <w:rPr>
          <w:rFonts w:ascii="Arial" w:hAnsi="Arial"/>
          <w:lang w:val="en-CA"/>
        </w:rPr>
        <w:t xml:space="preserve">  In addition, the completed form must be delivered to </w:t>
      </w:r>
      <w:hyperlink r:id="rId7" w:history="1">
        <w:r w:rsidRPr="00BE2894">
          <w:rPr>
            <w:rStyle w:val="Hyperlink"/>
            <w:rFonts w:ascii="Arial" w:hAnsi="Arial"/>
            <w:lang w:val="en-CA"/>
          </w:rPr>
          <w:t>listings@thecse.com</w:t>
        </w:r>
      </w:hyperlink>
      <w:r w:rsidRPr="00BE2894">
        <w:rPr>
          <w:rFonts w:ascii="Arial" w:hAnsi="Arial"/>
          <w:lang w:val="en-CA"/>
        </w:rPr>
        <w:t xml:space="preserve"> with an appendix that includes the </w:t>
      </w:r>
      <w:r w:rsidR="00F33BBE" w:rsidRPr="00BE2894">
        <w:rPr>
          <w:rFonts w:ascii="Arial" w:hAnsi="Arial"/>
          <w:lang w:val="en-CA"/>
        </w:rPr>
        <w:t>information in Table 1B for ALL placees.</w:t>
      </w:r>
      <w:r w:rsidRPr="00BE2894">
        <w:rPr>
          <w:rFonts w:ascii="Arial" w:hAnsi="Arial"/>
          <w:b/>
          <w:lang w:val="en-CA"/>
        </w:rPr>
        <w:br w:type="page"/>
      </w:r>
    </w:p>
    <w:p w14:paraId="236BC865" w14:textId="77777777" w:rsidR="00A90670" w:rsidRDefault="00544BCF">
      <w:pPr>
        <w:pStyle w:val="BodyText"/>
        <w:spacing w:before="0" w:after="240"/>
        <w:rPr>
          <w:rFonts w:ascii="Arial" w:hAnsi="Arial"/>
          <w:b/>
          <w:lang w:val="en-CA"/>
        </w:rPr>
      </w:pPr>
      <w:r>
        <w:rPr>
          <w:rFonts w:ascii="Arial" w:hAnsi="Arial"/>
          <w:b/>
          <w:lang w:val="en-CA"/>
        </w:rPr>
        <w:lastRenderedPageBreak/>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C536D3"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0" w:type="auto"/>
        <w:tblLayout w:type="fixed"/>
        <w:tblLook w:val="04A0" w:firstRow="1" w:lastRow="0" w:firstColumn="1" w:lastColumn="0" w:noHBand="0" w:noVBand="1"/>
      </w:tblPr>
      <w:tblGrid>
        <w:gridCol w:w="3652"/>
        <w:gridCol w:w="1701"/>
        <w:gridCol w:w="1829"/>
        <w:gridCol w:w="2394"/>
      </w:tblGrid>
      <w:tr w:rsidR="00C536D3" w:rsidRPr="00C536D3" w14:paraId="2603D0C5" w14:textId="77777777" w:rsidTr="0064019D">
        <w:tc>
          <w:tcPr>
            <w:tcW w:w="3652" w:type="dxa"/>
          </w:tcPr>
          <w:p w14:paraId="31333E2C" w14:textId="77777777" w:rsidR="00C536D3" w:rsidRPr="00C536D3" w:rsidRDefault="00C536D3"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C536D3"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C536D3" w:rsidP="00C536D3">
            <w:pPr>
              <w:pStyle w:val="BodyText"/>
              <w:rPr>
                <w:rFonts w:ascii="Arial" w:hAnsi="Arial"/>
                <w:lang w:val="en-CA"/>
              </w:rPr>
            </w:pPr>
            <w:r w:rsidRPr="00C536D3">
              <w:rPr>
                <w:rFonts w:ascii="Arial" w:hAnsi="Arial"/>
                <w:lang w:val="en-CA"/>
              </w:rPr>
              <w:t>Price per Security</w:t>
            </w:r>
          </w:p>
        </w:tc>
        <w:tc>
          <w:tcPr>
            <w:tcW w:w="2394" w:type="dxa"/>
          </w:tcPr>
          <w:p w14:paraId="73C9F689" w14:textId="77777777" w:rsidR="00C536D3" w:rsidRPr="00C536D3" w:rsidRDefault="00C536D3" w:rsidP="00C536D3">
            <w:pPr>
              <w:pStyle w:val="BodyText"/>
              <w:rPr>
                <w:rFonts w:ascii="Arial" w:hAnsi="Arial"/>
                <w:lang w:val="en-CA"/>
              </w:rPr>
            </w:pPr>
            <w:r w:rsidRPr="00C536D3">
              <w:rPr>
                <w:rFonts w:ascii="Arial" w:hAnsi="Arial"/>
                <w:lang w:val="en-CA"/>
              </w:rPr>
              <w:t>Total dollar value (CDN$) raised in the jurisdiction</w:t>
            </w:r>
          </w:p>
        </w:tc>
      </w:tr>
      <w:tr w:rsidR="00C536D3" w:rsidRPr="00C536D3" w14:paraId="479995C8" w14:textId="77777777" w:rsidTr="0064019D">
        <w:tc>
          <w:tcPr>
            <w:tcW w:w="3652" w:type="dxa"/>
          </w:tcPr>
          <w:p w14:paraId="7B6CD7BA" w14:textId="77777777" w:rsidR="00C536D3" w:rsidRPr="00C536D3" w:rsidRDefault="00C536D3" w:rsidP="00C536D3">
            <w:pPr>
              <w:pStyle w:val="BodyText"/>
              <w:rPr>
                <w:rFonts w:ascii="Arial" w:hAnsi="Arial"/>
                <w:lang w:val="en-CA"/>
              </w:rPr>
            </w:pPr>
          </w:p>
        </w:tc>
        <w:tc>
          <w:tcPr>
            <w:tcW w:w="1701" w:type="dxa"/>
          </w:tcPr>
          <w:p w14:paraId="199CE353" w14:textId="77777777" w:rsidR="00C536D3" w:rsidRPr="00C536D3" w:rsidRDefault="00C536D3" w:rsidP="00C536D3">
            <w:pPr>
              <w:pStyle w:val="BodyText"/>
              <w:rPr>
                <w:rFonts w:ascii="Arial" w:hAnsi="Arial"/>
                <w:lang w:val="en-CA"/>
              </w:rPr>
            </w:pPr>
          </w:p>
        </w:tc>
        <w:tc>
          <w:tcPr>
            <w:tcW w:w="1829" w:type="dxa"/>
          </w:tcPr>
          <w:p w14:paraId="32C9983B" w14:textId="77777777" w:rsidR="00C536D3" w:rsidRPr="00C536D3" w:rsidRDefault="00C536D3" w:rsidP="00C536D3">
            <w:pPr>
              <w:pStyle w:val="BodyText"/>
              <w:rPr>
                <w:rFonts w:ascii="Arial" w:hAnsi="Arial"/>
                <w:lang w:val="en-CA"/>
              </w:rPr>
            </w:pPr>
          </w:p>
        </w:tc>
        <w:tc>
          <w:tcPr>
            <w:tcW w:w="2394" w:type="dxa"/>
          </w:tcPr>
          <w:p w14:paraId="7AE1E84C" w14:textId="77777777" w:rsidR="00C536D3" w:rsidRPr="00C536D3" w:rsidRDefault="00C536D3" w:rsidP="00C536D3">
            <w:pPr>
              <w:pStyle w:val="BodyText"/>
              <w:rPr>
                <w:rFonts w:ascii="Arial" w:hAnsi="Arial"/>
                <w:lang w:val="en-CA"/>
              </w:rPr>
            </w:pPr>
          </w:p>
        </w:tc>
      </w:tr>
      <w:tr w:rsidR="00C536D3" w:rsidRPr="00C536D3" w14:paraId="795CC570" w14:textId="77777777" w:rsidTr="0064019D">
        <w:tc>
          <w:tcPr>
            <w:tcW w:w="3652" w:type="dxa"/>
          </w:tcPr>
          <w:p w14:paraId="6A140254" w14:textId="77777777" w:rsidR="00C536D3" w:rsidRPr="00C536D3" w:rsidRDefault="00C536D3" w:rsidP="00C536D3">
            <w:pPr>
              <w:pStyle w:val="BodyText"/>
              <w:rPr>
                <w:rFonts w:ascii="Arial" w:hAnsi="Arial"/>
                <w:lang w:val="en-CA"/>
              </w:rPr>
            </w:pPr>
          </w:p>
        </w:tc>
        <w:tc>
          <w:tcPr>
            <w:tcW w:w="1701" w:type="dxa"/>
          </w:tcPr>
          <w:p w14:paraId="1CAA4734" w14:textId="77777777" w:rsidR="00C536D3" w:rsidRPr="00C536D3" w:rsidRDefault="00C536D3" w:rsidP="00C536D3">
            <w:pPr>
              <w:pStyle w:val="BodyText"/>
              <w:rPr>
                <w:rFonts w:ascii="Arial" w:hAnsi="Arial"/>
                <w:lang w:val="en-CA"/>
              </w:rPr>
            </w:pPr>
          </w:p>
        </w:tc>
        <w:tc>
          <w:tcPr>
            <w:tcW w:w="1829" w:type="dxa"/>
          </w:tcPr>
          <w:p w14:paraId="4B7A64F1" w14:textId="77777777" w:rsidR="00C536D3" w:rsidRPr="00C536D3" w:rsidRDefault="00C536D3" w:rsidP="00C536D3">
            <w:pPr>
              <w:pStyle w:val="BodyText"/>
              <w:rPr>
                <w:rFonts w:ascii="Arial" w:hAnsi="Arial"/>
                <w:lang w:val="en-CA"/>
              </w:rPr>
            </w:pPr>
          </w:p>
        </w:tc>
        <w:tc>
          <w:tcPr>
            <w:tcW w:w="2394" w:type="dxa"/>
          </w:tcPr>
          <w:p w14:paraId="317F3D3B" w14:textId="77777777" w:rsidR="00C536D3" w:rsidRPr="00C536D3" w:rsidRDefault="00C536D3" w:rsidP="00C536D3">
            <w:pPr>
              <w:pStyle w:val="BodyText"/>
              <w:rPr>
                <w:rFonts w:ascii="Arial" w:hAnsi="Arial"/>
                <w:lang w:val="en-CA"/>
              </w:rPr>
            </w:pPr>
          </w:p>
        </w:tc>
      </w:tr>
      <w:tr w:rsidR="00C536D3" w:rsidRPr="00C536D3" w14:paraId="596B31B5" w14:textId="77777777" w:rsidTr="0064019D">
        <w:tc>
          <w:tcPr>
            <w:tcW w:w="3652" w:type="dxa"/>
          </w:tcPr>
          <w:p w14:paraId="770F650D" w14:textId="77777777" w:rsidR="00C536D3" w:rsidRPr="00C536D3" w:rsidRDefault="00C536D3"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77777777" w:rsidR="00C536D3" w:rsidRPr="00C536D3" w:rsidRDefault="00C536D3" w:rsidP="00C536D3">
            <w:pPr>
              <w:pStyle w:val="BodyText"/>
              <w:rPr>
                <w:rFonts w:ascii="Arial" w:hAnsi="Arial"/>
                <w:lang w:val="en-CA"/>
              </w:rPr>
            </w:pPr>
          </w:p>
        </w:tc>
        <w:tc>
          <w:tcPr>
            <w:tcW w:w="1829" w:type="dxa"/>
          </w:tcPr>
          <w:p w14:paraId="5A5716AC" w14:textId="77777777" w:rsidR="00C536D3" w:rsidRPr="00C536D3" w:rsidRDefault="00C536D3" w:rsidP="00C536D3">
            <w:pPr>
              <w:pStyle w:val="BodyText"/>
              <w:rPr>
                <w:rFonts w:ascii="Arial" w:hAnsi="Arial"/>
                <w:lang w:val="en-CA"/>
              </w:rPr>
            </w:pPr>
          </w:p>
        </w:tc>
        <w:tc>
          <w:tcPr>
            <w:tcW w:w="2394" w:type="dxa"/>
          </w:tcPr>
          <w:p w14:paraId="5A0DAB23" w14:textId="77777777" w:rsidR="00C536D3" w:rsidRPr="00C536D3" w:rsidRDefault="00C536D3" w:rsidP="00C536D3">
            <w:pPr>
              <w:pStyle w:val="BodyText"/>
              <w:rPr>
                <w:rFonts w:ascii="Arial" w:hAnsi="Arial"/>
                <w:lang w:val="en-CA"/>
              </w:rPr>
            </w:pPr>
          </w:p>
        </w:tc>
      </w:tr>
      <w:tr w:rsidR="00C536D3" w:rsidRPr="00C536D3" w14:paraId="4975D18F" w14:textId="77777777" w:rsidTr="0064019D">
        <w:tc>
          <w:tcPr>
            <w:tcW w:w="7182" w:type="dxa"/>
            <w:gridSpan w:val="3"/>
          </w:tcPr>
          <w:p w14:paraId="005EDE59" w14:textId="77777777" w:rsidR="00C536D3" w:rsidRPr="00C536D3" w:rsidRDefault="00C536D3" w:rsidP="00C536D3">
            <w:pPr>
              <w:pStyle w:val="BodyText"/>
              <w:rPr>
                <w:rFonts w:ascii="Arial" w:hAnsi="Arial"/>
                <w:lang w:val="en-CA"/>
              </w:rPr>
            </w:pPr>
            <w:r w:rsidRPr="00C536D3">
              <w:rPr>
                <w:rFonts w:ascii="Arial" w:hAnsi="Arial"/>
                <w:lang w:val="en-CA"/>
              </w:rPr>
              <w:t>Total dollar value of distribution in all jurisdictions:</w:t>
            </w:r>
          </w:p>
        </w:tc>
        <w:tc>
          <w:tcPr>
            <w:tcW w:w="2394" w:type="dxa"/>
          </w:tcPr>
          <w:p w14:paraId="5284BDE5" w14:textId="77777777" w:rsidR="00C536D3" w:rsidRPr="00C536D3" w:rsidRDefault="00C536D3" w:rsidP="00C536D3">
            <w:pPr>
              <w:pStyle w:val="BodyText"/>
              <w:rPr>
                <w:rFonts w:ascii="Arial" w:hAnsi="Arial"/>
                <w:lang w:val="en-CA"/>
              </w:rPr>
            </w:pPr>
          </w:p>
        </w:tc>
      </w:tr>
    </w:tbl>
    <w:p w14:paraId="47F53B3B" w14:textId="77777777" w:rsidR="00C536D3" w:rsidRPr="00C536D3" w:rsidRDefault="00C536D3" w:rsidP="00C536D3">
      <w:pPr>
        <w:pStyle w:val="BodyText"/>
        <w:rPr>
          <w:rFonts w:ascii="Arial" w:hAnsi="Arial"/>
          <w:b/>
          <w:u w:val="single"/>
          <w:lang w:val="en-CA"/>
        </w:rPr>
      </w:pPr>
    </w:p>
    <w:p w14:paraId="25EE2FEF" w14:textId="77777777" w:rsidR="00C536D3" w:rsidRPr="00C536D3" w:rsidRDefault="00C536D3"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06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76"/>
        <w:gridCol w:w="1192"/>
        <w:gridCol w:w="1376"/>
        <w:gridCol w:w="1376"/>
        <w:gridCol w:w="1742"/>
        <w:gridCol w:w="1100"/>
        <w:gridCol w:w="1100"/>
      </w:tblGrid>
      <w:tr w:rsidR="00EA4133" w14:paraId="133159F1" w14:textId="77777777">
        <w:trPr>
          <w:trHeight w:val="1965"/>
        </w:trPr>
        <w:tc>
          <w:tcPr>
            <w:tcW w:w="1368" w:type="dxa"/>
          </w:tcPr>
          <w:p w14:paraId="655604FB" w14:textId="77777777" w:rsidR="00EA4133" w:rsidRDefault="00EA4133">
            <w:pPr>
              <w:pStyle w:val="BodyText"/>
              <w:spacing w:before="0" w:line="280" w:lineRule="exact"/>
              <w:jc w:val="center"/>
              <w:rPr>
                <w:rFonts w:ascii="Arial" w:hAnsi="Arial"/>
                <w:b/>
                <w:sz w:val="20"/>
                <w:lang w:val="en-CA"/>
              </w:rPr>
            </w:pPr>
          </w:p>
          <w:p w14:paraId="300A0759" w14:textId="77777777" w:rsidR="00EA4133" w:rsidRDefault="00EA4133" w:rsidP="00C536D3">
            <w:pPr>
              <w:pStyle w:val="BodyText"/>
              <w:spacing w:before="0" w:line="280" w:lineRule="exact"/>
              <w:jc w:val="center"/>
              <w:rPr>
                <w:rFonts w:ascii="Arial" w:hAnsi="Arial"/>
                <w:b/>
                <w:sz w:val="20"/>
                <w:lang w:val="en-CA"/>
              </w:rPr>
            </w:pPr>
            <w:r>
              <w:rPr>
                <w:rFonts w:ascii="Arial" w:hAnsi="Arial"/>
                <w:b/>
                <w:sz w:val="20"/>
                <w:lang w:val="en-CA"/>
              </w:rPr>
              <w:t>Full Name &amp;</w:t>
            </w:r>
            <w:r w:rsidR="00C536D3">
              <w:rPr>
                <w:rFonts w:ascii="Arial" w:hAnsi="Arial"/>
                <w:b/>
                <w:sz w:val="20"/>
                <w:lang w:val="en-CA"/>
              </w:rPr>
              <w:t>Municipality of Residence</w:t>
            </w:r>
            <w:r>
              <w:rPr>
                <w:rFonts w:ascii="Arial" w:hAnsi="Arial"/>
                <w:b/>
                <w:sz w:val="20"/>
                <w:lang w:val="en-CA"/>
              </w:rPr>
              <w:t xml:space="preserve"> of Placee</w:t>
            </w:r>
          </w:p>
        </w:tc>
        <w:tc>
          <w:tcPr>
            <w:tcW w:w="1350" w:type="dxa"/>
          </w:tcPr>
          <w:p w14:paraId="0BC8A5F8" w14:textId="77777777" w:rsidR="00EA4133" w:rsidRDefault="00EA4133">
            <w:pPr>
              <w:pStyle w:val="BodyText"/>
              <w:spacing w:before="0" w:line="280" w:lineRule="exact"/>
              <w:jc w:val="center"/>
              <w:rPr>
                <w:rFonts w:ascii="Arial" w:hAnsi="Arial"/>
                <w:b/>
                <w:sz w:val="20"/>
                <w:lang w:val="en-CA"/>
              </w:rPr>
            </w:pPr>
          </w:p>
          <w:p w14:paraId="2B93DD42"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Number of Securities Purchased or to be Purchased</w:t>
            </w:r>
          </w:p>
        </w:tc>
        <w:tc>
          <w:tcPr>
            <w:tcW w:w="1170" w:type="dxa"/>
          </w:tcPr>
          <w:p w14:paraId="629BEF5C" w14:textId="77777777" w:rsidR="00EA4133" w:rsidRDefault="00EA4133">
            <w:pPr>
              <w:pStyle w:val="BodyText"/>
              <w:spacing w:before="0" w:line="280" w:lineRule="exact"/>
              <w:jc w:val="center"/>
              <w:rPr>
                <w:rFonts w:ascii="Arial" w:hAnsi="Arial"/>
                <w:b/>
                <w:sz w:val="20"/>
                <w:lang w:val="en-CA"/>
              </w:rPr>
            </w:pPr>
          </w:p>
          <w:p w14:paraId="133A9A14"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Purchase price per Security (CDN$)</w:t>
            </w:r>
          </w:p>
        </w:tc>
        <w:tc>
          <w:tcPr>
            <w:tcW w:w="1350" w:type="dxa"/>
          </w:tcPr>
          <w:p w14:paraId="4A35BC32" w14:textId="77777777" w:rsidR="00EA4133" w:rsidRDefault="00EA4133">
            <w:pPr>
              <w:pStyle w:val="BodyText"/>
              <w:spacing w:before="0" w:line="280" w:lineRule="exact"/>
              <w:jc w:val="center"/>
              <w:rPr>
                <w:rFonts w:ascii="Arial" w:hAnsi="Arial"/>
                <w:b/>
                <w:sz w:val="20"/>
                <w:lang w:val="en-CA"/>
              </w:rPr>
            </w:pPr>
          </w:p>
          <w:p w14:paraId="0A819638"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Conversion</w:t>
            </w:r>
          </w:p>
          <w:p w14:paraId="286CA3D5"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Price (if</w:t>
            </w:r>
          </w:p>
          <w:p w14:paraId="6AD5F2C6"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Applicable)</w:t>
            </w:r>
          </w:p>
          <w:p w14:paraId="2CCF9250" w14:textId="77777777" w:rsidR="00C536D3" w:rsidRDefault="00C536D3">
            <w:pPr>
              <w:pStyle w:val="BodyText"/>
              <w:spacing w:before="0" w:line="280" w:lineRule="exact"/>
              <w:jc w:val="center"/>
              <w:rPr>
                <w:rFonts w:ascii="Arial" w:hAnsi="Arial"/>
                <w:b/>
                <w:sz w:val="20"/>
                <w:lang w:val="en-CA"/>
              </w:rPr>
            </w:pPr>
            <w:r>
              <w:rPr>
                <w:rFonts w:ascii="Arial" w:hAnsi="Arial"/>
                <w:b/>
                <w:sz w:val="20"/>
                <w:lang w:val="en-CA"/>
              </w:rPr>
              <w:t>(CDN$)</w:t>
            </w:r>
          </w:p>
        </w:tc>
        <w:tc>
          <w:tcPr>
            <w:tcW w:w="1350" w:type="dxa"/>
          </w:tcPr>
          <w:p w14:paraId="322CCE9F" w14:textId="77777777" w:rsidR="00EA4133" w:rsidRDefault="00EA4133">
            <w:pPr>
              <w:pStyle w:val="BodyText"/>
              <w:spacing w:before="0" w:line="280" w:lineRule="exact"/>
              <w:jc w:val="center"/>
              <w:rPr>
                <w:rFonts w:ascii="Arial" w:hAnsi="Arial"/>
                <w:b/>
                <w:sz w:val="20"/>
                <w:lang w:val="en-CA"/>
              </w:rPr>
            </w:pPr>
          </w:p>
          <w:p w14:paraId="7BFF6F24"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Prospectus Exemption</w:t>
            </w:r>
          </w:p>
        </w:tc>
        <w:tc>
          <w:tcPr>
            <w:tcW w:w="1710" w:type="dxa"/>
          </w:tcPr>
          <w:p w14:paraId="1157BFED" w14:textId="77777777" w:rsidR="00C536D3" w:rsidRDefault="00C536D3" w:rsidP="00C536D3">
            <w:pPr>
              <w:pStyle w:val="BodyText"/>
              <w:spacing w:before="0" w:line="280" w:lineRule="exact"/>
              <w:jc w:val="center"/>
              <w:rPr>
                <w:rFonts w:ascii="Arial" w:hAnsi="Arial"/>
                <w:b/>
                <w:sz w:val="20"/>
              </w:rPr>
            </w:pPr>
          </w:p>
          <w:p w14:paraId="6E6AA6B6" w14:textId="0EEDC333" w:rsidR="00EA4133" w:rsidRDefault="00C536D3" w:rsidP="00C536D3">
            <w:pPr>
              <w:pStyle w:val="BodyText"/>
              <w:spacing w:before="0" w:line="280" w:lineRule="exact"/>
              <w:jc w:val="center"/>
              <w:rPr>
                <w:rFonts w:ascii="Arial" w:hAnsi="Arial"/>
                <w:b/>
                <w:sz w:val="20"/>
                <w:lang w:val="en-CA"/>
              </w:rPr>
            </w:pPr>
            <w:r>
              <w:rPr>
                <w:rFonts w:ascii="Arial" w:hAnsi="Arial"/>
                <w:b/>
                <w:sz w:val="20"/>
              </w:rPr>
              <w:t>Total</w:t>
            </w:r>
            <w:r w:rsidR="00DF1F1D">
              <w:rPr>
                <w:rFonts w:ascii="Arial" w:hAnsi="Arial"/>
                <w:b/>
                <w:sz w:val="20"/>
              </w:rPr>
              <w:t xml:space="preserve"> </w:t>
            </w:r>
            <w:r>
              <w:rPr>
                <w:rFonts w:ascii="Arial" w:hAnsi="Arial"/>
                <w:b/>
                <w:sz w:val="20"/>
              </w:rPr>
              <w:t>Securities</w:t>
            </w:r>
            <w:r w:rsidR="00DF1F1D">
              <w:rPr>
                <w:rFonts w:ascii="Arial" w:hAnsi="Arial"/>
                <w:b/>
                <w:sz w:val="20"/>
              </w:rPr>
              <w:t xml:space="preserve"> </w:t>
            </w:r>
            <w:r>
              <w:rPr>
                <w:rFonts w:ascii="Arial" w:hAnsi="Arial"/>
                <w:b/>
                <w:sz w:val="20"/>
              </w:rPr>
              <w:t>Previously</w:t>
            </w:r>
            <w:r w:rsidR="00EA4133">
              <w:rPr>
                <w:rFonts w:ascii="Arial" w:hAnsi="Arial"/>
                <w:b/>
                <w:sz w:val="20"/>
              </w:rPr>
              <w:t xml:space="preserve"> Owned, Controlled or Directed</w:t>
            </w:r>
          </w:p>
        </w:tc>
        <w:tc>
          <w:tcPr>
            <w:tcW w:w="1080" w:type="dxa"/>
          </w:tcPr>
          <w:p w14:paraId="0C8A7620" w14:textId="77777777" w:rsidR="00EA4133" w:rsidRDefault="00EA4133">
            <w:pPr>
              <w:pStyle w:val="BodyText"/>
              <w:spacing w:before="0" w:line="280" w:lineRule="exact"/>
              <w:jc w:val="center"/>
              <w:rPr>
                <w:rFonts w:ascii="Arial" w:hAnsi="Arial"/>
                <w:b/>
                <w:sz w:val="20"/>
                <w:lang w:val="en-CA"/>
              </w:rPr>
            </w:pPr>
          </w:p>
          <w:p w14:paraId="36E27395"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Payment Date</w:t>
            </w:r>
            <w:r>
              <w:rPr>
                <w:rFonts w:ascii="Arial" w:hAnsi="Arial"/>
                <w:b/>
                <w:sz w:val="16"/>
                <w:lang w:val="en-CA"/>
              </w:rPr>
              <w:t>(1)</w:t>
            </w:r>
          </w:p>
        </w:tc>
        <w:tc>
          <w:tcPr>
            <w:tcW w:w="1080" w:type="dxa"/>
          </w:tcPr>
          <w:p w14:paraId="2878D952" w14:textId="77777777" w:rsidR="00EA4133" w:rsidRDefault="00EA4133">
            <w:pPr>
              <w:pStyle w:val="BodyText"/>
              <w:spacing w:before="0" w:line="280" w:lineRule="exact"/>
              <w:jc w:val="center"/>
              <w:rPr>
                <w:rFonts w:ascii="Arial" w:hAnsi="Arial"/>
                <w:b/>
                <w:color w:val="000000"/>
                <w:sz w:val="20"/>
                <w:lang w:val="en-CA"/>
              </w:rPr>
            </w:pPr>
          </w:p>
          <w:p w14:paraId="3F35EF7D" w14:textId="77777777" w:rsidR="00EA4133" w:rsidRDefault="00EA4133">
            <w:pPr>
              <w:pStyle w:val="BodyText"/>
              <w:spacing w:before="0" w:line="280" w:lineRule="exact"/>
              <w:jc w:val="center"/>
              <w:rPr>
                <w:rFonts w:ascii="Arial" w:hAnsi="Arial"/>
                <w:b/>
                <w:color w:val="000000"/>
                <w:sz w:val="20"/>
                <w:lang w:val="en-CA"/>
              </w:rPr>
            </w:pPr>
            <w:r>
              <w:rPr>
                <w:rFonts w:ascii="Arial" w:hAnsi="Arial"/>
                <w:b/>
                <w:color w:val="000000"/>
                <w:sz w:val="20"/>
                <w:lang w:val="en-CA"/>
              </w:rPr>
              <w:t>Describe relations</w:t>
            </w:r>
            <w:r w:rsidR="004A1403">
              <w:rPr>
                <w:rFonts w:ascii="Arial" w:hAnsi="Arial"/>
                <w:b/>
                <w:color w:val="000000"/>
                <w:sz w:val="20"/>
                <w:lang w:val="en-CA"/>
              </w:rPr>
              <w:t>-</w:t>
            </w:r>
            <w:r>
              <w:rPr>
                <w:rFonts w:ascii="Arial" w:hAnsi="Arial"/>
                <w:b/>
                <w:color w:val="000000"/>
                <w:sz w:val="20"/>
                <w:lang w:val="en-CA"/>
              </w:rPr>
              <w:t xml:space="preserve">hip to Issuer </w:t>
            </w:r>
            <w:r>
              <w:rPr>
                <w:rFonts w:ascii="Arial" w:hAnsi="Arial"/>
                <w:b/>
                <w:color w:val="000000"/>
                <w:sz w:val="16"/>
                <w:lang w:val="en-CA"/>
              </w:rPr>
              <w:t>(2)</w:t>
            </w:r>
          </w:p>
        </w:tc>
      </w:tr>
      <w:tr w:rsidR="00A90670" w14:paraId="1058C970" w14:textId="77777777">
        <w:trPr>
          <w:trHeight w:val="864"/>
        </w:trPr>
        <w:tc>
          <w:tcPr>
            <w:tcW w:w="1368" w:type="dxa"/>
          </w:tcPr>
          <w:p w14:paraId="6754299F" w14:textId="77777777" w:rsidR="00A90670" w:rsidRPr="00A90670" w:rsidRDefault="00A90670">
            <w:pPr>
              <w:pStyle w:val="BodyText"/>
              <w:spacing w:before="0" w:line="280" w:lineRule="exact"/>
              <w:jc w:val="center"/>
              <w:rPr>
                <w:rFonts w:ascii="Arial" w:hAnsi="Arial"/>
                <w:sz w:val="20"/>
                <w:lang w:val="en-CA"/>
              </w:rPr>
            </w:pPr>
          </w:p>
        </w:tc>
        <w:tc>
          <w:tcPr>
            <w:tcW w:w="1350" w:type="dxa"/>
          </w:tcPr>
          <w:p w14:paraId="22CDA602" w14:textId="77777777" w:rsidR="00A90670" w:rsidRDefault="00A90670">
            <w:pPr>
              <w:pStyle w:val="BodyText"/>
              <w:spacing w:before="0" w:line="280" w:lineRule="exact"/>
              <w:jc w:val="center"/>
              <w:rPr>
                <w:rFonts w:ascii="Arial" w:hAnsi="Arial"/>
                <w:b/>
                <w:sz w:val="20"/>
                <w:lang w:val="en-CA"/>
              </w:rPr>
            </w:pPr>
          </w:p>
        </w:tc>
        <w:tc>
          <w:tcPr>
            <w:tcW w:w="1170" w:type="dxa"/>
          </w:tcPr>
          <w:p w14:paraId="46666E1F" w14:textId="77777777" w:rsidR="00A90670" w:rsidRDefault="00A90670">
            <w:pPr>
              <w:pStyle w:val="BodyText"/>
              <w:spacing w:before="0" w:line="280" w:lineRule="exact"/>
              <w:jc w:val="center"/>
              <w:rPr>
                <w:rFonts w:ascii="Arial" w:hAnsi="Arial"/>
                <w:b/>
                <w:sz w:val="20"/>
                <w:lang w:val="en-CA"/>
              </w:rPr>
            </w:pPr>
          </w:p>
        </w:tc>
        <w:tc>
          <w:tcPr>
            <w:tcW w:w="1350" w:type="dxa"/>
          </w:tcPr>
          <w:p w14:paraId="629B7B78" w14:textId="77777777" w:rsidR="00A90670" w:rsidRDefault="00A90670">
            <w:pPr>
              <w:pStyle w:val="BodyText"/>
              <w:spacing w:before="0" w:line="280" w:lineRule="exact"/>
              <w:jc w:val="center"/>
              <w:rPr>
                <w:rFonts w:ascii="Arial" w:hAnsi="Arial"/>
                <w:b/>
                <w:sz w:val="20"/>
                <w:lang w:val="en-CA"/>
              </w:rPr>
            </w:pPr>
          </w:p>
        </w:tc>
        <w:tc>
          <w:tcPr>
            <w:tcW w:w="1350" w:type="dxa"/>
          </w:tcPr>
          <w:p w14:paraId="01DC8D21" w14:textId="77777777" w:rsidR="00A90670" w:rsidRDefault="00A90670">
            <w:pPr>
              <w:pStyle w:val="BodyText"/>
              <w:spacing w:before="0" w:line="280" w:lineRule="exact"/>
              <w:jc w:val="center"/>
              <w:rPr>
                <w:rFonts w:ascii="Arial" w:hAnsi="Arial"/>
                <w:b/>
                <w:sz w:val="20"/>
                <w:lang w:val="en-CA"/>
              </w:rPr>
            </w:pPr>
          </w:p>
        </w:tc>
        <w:tc>
          <w:tcPr>
            <w:tcW w:w="1710" w:type="dxa"/>
          </w:tcPr>
          <w:p w14:paraId="051ED900" w14:textId="77777777" w:rsidR="00A90670" w:rsidRDefault="00A90670">
            <w:pPr>
              <w:pStyle w:val="BodyText"/>
              <w:spacing w:before="0" w:line="280" w:lineRule="exact"/>
              <w:jc w:val="center"/>
              <w:rPr>
                <w:rFonts w:ascii="Arial" w:hAnsi="Arial"/>
                <w:b/>
                <w:sz w:val="20"/>
              </w:rPr>
            </w:pPr>
          </w:p>
        </w:tc>
        <w:tc>
          <w:tcPr>
            <w:tcW w:w="1080" w:type="dxa"/>
          </w:tcPr>
          <w:p w14:paraId="0B777659" w14:textId="77777777" w:rsidR="00A90670" w:rsidRDefault="00A90670">
            <w:pPr>
              <w:pStyle w:val="BodyText"/>
              <w:spacing w:before="0" w:line="280" w:lineRule="exact"/>
              <w:jc w:val="center"/>
              <w:rPr>
                <w:rFonts w:ascii="Arial" w:hAnsi="Arial"/>
                <w:b/>
                <w:sz w:val="20"/>
                <w:lang w:val="en-CA"/>
              </w:rPr>
            </w:pPr>
          </w:p>
        </w:tc>
        <w:tc>
          <w:tcPr>
            <w:tcW w:w="1080" w:type="dxa"/>
          </w:tcPr>
          <w:p w14:paraId="0103F849" w14:textId="77777777" w:rsidR="00A90670" w:rsidRDefault="00A90670">
            <w:pPr>
              <w:pStyle w:val="BodyText"/>
              <w:spacing w:before="0" w:line="280" w:lineRule="exact"/>
              <w:jc w:val="center"/>
              <w:rPr>
                <w:rFonts w:ascii="Arial" w:hAnsi="Arial"/>
                <w:b/>
                <w:color w:val="000000"/>
                <w:sz w:val="20"/>
                <w:lang w:val="en-CA"/>
              </w:rPr>
            </w:pPr>
          </w:p>
        </w:tc>
      </w:tr>
      <w:tr w:rsidR="00A90670" w14:paraId="65307344" w14:textId="77777777">
        <w:trPr>
          <w:trHeight w:val="864"/>
        </w:trPr>
        <w:tc>
          <w:tcPr>
            <w:tcW w:w="1368" w:type="dxa"/>
          </w:tcPr>
          <w:p w14:paraId="3934941D" w14:textId="77777777" w:rsidR="00A90670" w:rsidRDefault="00A90670">
            <w:pPr>
              <w:pStyle w:val="BodyText"/>
              <w:rPr>
                <w:rFonts w:ascii="Arial" w:hAnsi="Arial"/>
                <w:lang w:val="en-CA"/>
              </w:rPr>
            </w:pPr>
          </w:p>
          <w:p w14:paraId="3122E8B8" w14:textId="77777777" w:rsidR="00A90670" w:rsidRDefault="00A90670">
            <w:pPr>
              <w:pStyle w:val="BodyText"/>
              <w:rPr>
                <w:rFonts w:ascii="Arial" w:hAnsi="Arial"/>
                <w:lang w:val="en-CA"/>
              </w:rPr>
            </w:pPr>
          </w:p>
        </w:tc>
        <w:tc>
          <w:tcPr>
            <w:tcW w:w="1350" w:type="dxa"/>
          </w:tcPr>
          <w:p w14:paraId="2346B223" w14:textId="77777777" w:rsidR="00A90670" w:rsidRDefault="00A90670">
            <w:pPr>
              <w:pStyle w:val="BodyText"/>
              <w:rPr>
                <w:rFonts w:ascii="Arial" w:hAnsi="Arial"/>
                <w:lang w:val="en-CA"/>
              </w:rPr>
            </w:pPr>
          </w:p>
        </w:tc>
        <w:tc>
          <w:tcPr>
            <w:tcW w:w="1170" w:type="dxa"/>
          </w:tcPr>
          <w:p w14:paraId="6A2CB3A4" w14:textId="77777777" w:rsidR="00A90670" w:rsidRDefault="00A90670">
            <w:pPr>
              <w:pStyle w:val="BodyText"/>
              <w:rPr>
                <w:rFonts w:ascii="Arial" w:hAnsi="Arial"/>
                <w:lang w:val="en-CA"/>
              </w:rPr>
            </w:pPr>
          </w:p>
        </w:tc>
        <w:tc>
          <w:tcPr>
            <w:tcW w:w="1350" w:type="dxa"/>
          </w:tcPr>
          <w:p w14:paraId="4FF48CFE" w14:textId="77777777" w:rsidR="00A90670" w:rsidRDefault="00A90670">
            <w:pPr>
              <w:pStyle w:val="BodyText"/>
              <w:rPr>
                <w:rFonts w:ascii="Arial" w:hAnsi="Arial"/>
                <w:lang w:val="en-CA"/>
              </w:rPr>
            </w:pPr>
          </w:p>
        </w:tc>
        <w:tc>
          <w:tcPr>
            <w:tcW w:w="1350" w:type="dxa"/>
          </w:tcPr>
          <w:p w14:paraId="73D1D41F" w14:textId="77777777" w:rsidR="00A90670" w:rsidRDefault="00A90670">
            <w:pPr>
              <w:pStyle w:val="BodyText"/>
              <w:rPr>
                <w:rFonts w:ascii="Arial" w:hAnsi="Arial"/>
                <w:lang w:val="en-CA"/>
              </w:rPr>
            </w:pPr>
          </w:p>
        </w:tc>
        <w:tc>
          <w:tcPr>
            <w:tcW w:w="1710" w:type="dxa"/>
          </w:tcPr>
          <w:p w14:paraId="53C3A006" w14:textId="77777777" w:rsidR="00A90670" w:rsidRDefault="00A90670">
            <w:pPr>
              <w:pStyle w:val="BodyText"/>
              <w:rPr>
                <w:rFonts w:ascii="Arial" w:hAnsi="Arial"/>
                <w:lang w:val="en-CA"/>
              </w:rPr>
            </w:pPr>
          </w:p>
        </w:tc>
        <w:tc>
          <w:tcPr>
            <w:tcW w:w="1080" w:type="dxa"/>
          </w:tcPr>
          <w:p w14:paraId="12DEDC46" w14:textId="77777777" w:rsidR="00A90670" w:rsidRDefault="00A90670">
            <w:pPr>
              <w:pStyle w:val="BodyText"/>
              <w:rPr>
                <w:rFonts w:ascii="Arial" w:hAnsi="Arial"/>
                <w:lang w:val="en-CA"/>
              </w:rPr>
            </w:pPr>
          </w:p>
        </w:tc>
        <w:tc>
          <w:tcPr>
            <w:tcW w:w="1080" w:type="dxa"/>
          </w:tcPr>
          <w:p w14:paraId="0AB537F5" w14:textId="77777777" w:rsidR="00A90670" w:rsidRDefault="00A90670">
            <w:pPr>
              <w:pStyle w:val="BodyText"/>
              <w:rPr>
                <w:rFonts w:ascii="Arial" w:hAnsi="Arial"/>
                <w:lang w:val="en-CA"/>
              </w:rPr>
            </w:pPr>
          </w:p>
        </w:tc>
      </w:tr>
      <w:tr w:rsidR="00A90670" w14:paraId="7B1D81B0" w14:textId="77777777">
        <w:trPr>
          <w:trHeight w:val="864"/>
        </w:trPr>
        <w:tc>
          <w:tcPr>
            <w:tcW w:w="1368" w:type="dxa"/>
          </w:tcPr>
          <w:p w14:paraId="0EC2D990" w14:textId="77777777" w:rsidR="00A90670" w:rsidRDefault="00A90670">
            <w:pPr>
              <w:pStyle w:val="BodyText"/>
              <w:rPr>
                <w:rFonts w:ascii="Arial" w:hAnsi="Arial"/>
                <w:lang w:val="en-CA"/>
              </w:rPr>
            </w:pPr>
          </w:p>
        </w:tc>
        <w:tc>
          <w:tcPr>
            <w:tcW w:w="1350" w:type="dxa"/>
          </w:tcPr>
          <w:p w14:paraId="64212554" w14:textId="77777777" w:rsidR="00A90670" w:rsidRDefault="00A90670">
            <w:pPr>
              <w:pStyle w:val="BodyText"/>
              <w:rPr>
                <w:rFonts w:ascii="Arial" w:hAnsi="Arial"/>
                <w:lang w:val="en-CA"/>
              </w:rPr>
            </w:pPr>
          </w:p>
        </w:tc>
        <w:tc>
          <w:tcPr>
            <w:tcW w:w="1170" w:type="dxa"/>
          </w:tcPr>
          <w:p w14:paraId="66A1F44F" w14:textId="77777777" w:rsidR="00A90670" w:rsidRDefault="00A90670">
            <w:pPr>
              <w:pStyle w:val="BodyText"/>
              <w:rPr>
                <w:rFonts w:ascii="Arial" w:hAnsi="Arial"/>
                <w:lang w:val="en-CA"/>
              </w:rPr>
            </w:pPr>
          </w:p>
        </w:tc>
        <w:tc>
          <w:tcPr>
            <w:tcW w:w="1350" w:type="dxa"/>
          </w:tcPr>
          <w:p w14:paraId="6E267102" w14:textId="77777777" w:rsidR="00A90670" w:rsidRDefault="00A90670">
            <w:pPr>
              <w:pStyle w:val="BodyText"/>
              <w:rPr>
                <w:rFonts w:ascii="Arial" w:hAnsi="Arial"/>
                <w:lang w:val="en-CA"/>
              </w:rPr>
            </w:pPr>
          </w:p>
        </w:tc>
        <w:tc>
          <w:tcPr>
            <w:tcW w:w="1350" w:type="dxa"/>
          </w:tcPr>
          <w:p w14:paraId="53CA52A9" w14:textId="77777777" w:rsidR="00A90670" w:rsidRDefault="00A90670">
            <w:pPr>
              <w:pStyle w:val="BodyText"/>
              <w:rPr>
                <w:rFonts w:ascii="Arial" w:hAnsi="Arial"/>
                <w:lang w:val="en-CA"/>
              </w:rPr>
            </w:pPr>
          </w:p>
        </w:tc>
        <w:tc>
          <w:tcPr>
            <w:tcW w:w="1710" w:type="dxa"/>
          </w:tcPr>
          <w:p w14:paraId="13D1FDD5" w14:textId="77777777" w:rsidR="00A90670" w:rsidRDefault="00A90670">
            <w:pPr>
              <w:pStyle w:val="BodyText"/>
              <w:rPr>
                <w:rFonts w:ascii="Arial" w:hAnsi="Arial"/>
                <w:lang w:val="en-CA"/>
              </w:rPr>
            </w:pPr>
          </w:p>
        </w:tc>
        <w:tc>
          <w:tcPr>
            <w:tcW w:w="1080" w:type="dxa"/>
          </w:tcPr>
          <w:p w14:paraId="7A037F16" w14:textId="77777777" w:rsidR="00A90670" w:rsidRDefault="00A90670">
            <w:pPr>
              <w:pStyle w:val="BodyText"/>
              <w:rPr>
                <w:rFonts w:ascii="Arial" w:hAnsi="Arial"/>
                <w:lang w:val="en-CA"/>
              </w:rPr>
            </w:pPr>
          </w:p>
        </w:tc>
        <w:tc>
          <w:tcPr>
            <w:tcW w:w="1080" w:type="dxa"/>
          </w:tcPr>
          <w:p w14:paraId="732F5D5C" w14:textId="77777777" w:rsidR="00A90670" w:rsidRDefault="00A90670">
            <w:pPr>
              <w:pStyle w:val="BodyText"/>
              <w:rPr>
                <w:rFonts w:ascii="Arial" w:hAnsi="Arial"/>
                <w:lang w:val="en-CA"/>
              </w:rPr>
            </w:pP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EA4133">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77777777" w:rsidR="00EA4133" w:rsidRDefault="00EA4133">
      <w:pPr>
        <w:pStyle w:val="List"/>
        <w:tabs>
          <w:tab w:val="left" w:pos="9162"/>
        </w:tabs>
        <w:rPr>
          <w:rFonts w:ascii="Arial" w:hAnsi="Arial"/>
        </w:rPr>
      </w:pPr>
      <w:r>
        <w:rPr>
          <w:rFonts w:ascii="Arial" w:hAnsi="Arial"/>
        </w:rPr>
        <w:t>1.</w:t>
      </w:r>
      <w:r>
        <w:rPr>
          <w:rFonts w:ascii="Arial" w:hAnsi="Arial"/>
        </w:rPr>
        <w:tab/>
        <w:t xml:space="preserve">Total amount of funds to be raised: </w:t>
      </w:r>
      <w:r>
        <w:rPr>
          <w:rFonts w:ascii="Arial" w:hAnsi="Arial"/>
          <w:u w:val="single"/>
        </w:rPr>
        <w:tab/>
      </w:r>
      <w:r>
        <w:rPr>
          <w:rFonts w:ascii="Arial" w:hAnsi="Arial"/>
        </w:rPr>
        <w:t xml:space="preserve"> .</w:t>
      </w:r>
    </w:p>
    <w:p w14:paraId="450BFC06" w14:textId="77777777" w:rsidR="00EA4133" w:rsidRDefault="00EA4133">
      <w:pPr>
        <w:pStyle w:val="BodyText"/>
        <w:tabs>
          <w:tab w:val="left" w:pos="1080"/>
          <w:tab w:val="left" w:pos="9180"/>
        </w:tabs>
        <w:ind w:left="1080" w:hanging="1080"/>
        <w:rPr>
          <w:rFonts w:ascii="Arial" w:hAnsi="Arial"/>
        </w:rPr>
      </w:pPr>
      <w:r>
        <w:rPr>
          <w:rFonts w:ascii="Arial" w:hAnsi="Arial"/>
        </w:rPr>
        <w:t>2.</w:t>
      </w:r>
      <w:r>
        <w:rPr>
          <w:rFonts w:ascii="Arial" w:hAnsi="Arial"/>
        </w:rPr>
        <w:tab/>
        <w:t xml:space="preserve">Provide full details of the use of the proceeds.  The disclosure should be sufficiently complete to enable a reader to appreciate the significance of the transaction without reference to any other material.  </w:t>
      </w:r>
      <w:r>
        <w:rPr>
          <w:rFonts w:ascii="Arial" w:hAnsi="Arial"/>
          <w:u w:val="single"/>
        </w:rPr>
        <w:tab/>
      </w:r>
      <w:r>
        <w:rPr>
          <w:rFonts w:ascii="Arial" w:hAnsi="Arial"/>
        </w:rPr>
        <w:t xml:space="preserve"> .</w:t>
      </w:r>
    </w:p>
    <w:p w14:paraId="77D0554F" w14:textId="77777777" w:rsidR="00EA4133" w:rsidRDefault="00EA4133">
      <w:pPr>
        <w:pStyle w:val="BodyText"/>
        <w:numPr>
          <w:ilvl w:val="0"/>
          <w:numId w:val="10"/>
        </w:numPr>
        <w:tabs>
          <w:tab w:val="left" w:pos="9180"/>
        </w:tabs>
        <w:rPr>
          <w:rFonts w:ascii="Arial" w:hAnsi="Arial"/>
        </w:rPr>
      </w:pPr>
      <w:r>
        <w:rPr>
          <w:rFonts w:ascii="Arial" w:hAnsi="Arial"/>
        </w:rPr>
        <w:lastRenderedPageBreak/>
        <w:t xml:space="preserve">Provide particulars of any proceeds which are to be paid to Related Persons of the Issuer: </w:t>
      </w:r>
      <w:r>
        <w:rPr>
          <w:rFonts w:ascii="Arial" w:hAnsi="Arial"/>
          <w:u w:val="single"/>
        </w:rPr>
        <w:tab/>
      </w:r>
      <w:r>
        <w:rPr>
          <w:rFonts w:ascii="Arial" w:hAnsi="Arial"/>
        </w:rPr>
        <w:tab/>
      </w:r>
      <w:r>
        <w:rPr>
          <w:rFonts w:ascii="Arial" w:hAnsi="Arial"/>
          <w:u w:val="single"/>
        </w:rPr>
        <w:tab/>
      </w:r>
      <w:r>
        <w:rPr>
          <w:rFonts w:ascii="Arial" w:hAnsi="Arial"/>
        </w:rPr>
        <w:t xml:space="preserve"> .</w:t>
      </w:r>
    </w:p>
    <w:p w14:paraId="0E659D75" w14:textId="77777777" w:rsidR="00EA4133" w:rsidRDefault="00EA4133">
      <w:pPr>
        <w:pStyle w:val="BodyText"/>
        <w:numPr>
          <w:ilvl w:val="0"/>
          <w:numId w:val="10"/>
        </w:numPr>
        <w:tabs>
          <w:tab w:val="left" w:pos="9180"/>
        </w:tabs>
        <w:rPr>
          <w:rFonts w:ascii="Arial" w:hAnsi="Arial"/>
        </w:rPr>
      </w:pPr>
      <w:r>
        <w:rPr>
          <w:rFonts w:ascii="Arial" w:hAnsi="Arial"/>
        </w:rPr>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p>
    <w:p w14:paraId="6B563864" w14:textId="77777777" w:rsidR="00EA4133" w:rsidRDefault="00EA4133">
      <w:pPr>
        <w:pStyle w:val="BodyText"/>
        <w:numPr>
          <w:ilvl w:val="0"/>
          <w:numId w:val="10"/>
        </w:numPr>
        <w:tabs>
          <w:tab w:val="left" w:pos="9180"/>
        </w:tabs>
        <w:rPr>
          <w:rFonts w:ascii="Arial" w:hAnsi="Arial"/>
        </w:rPr>
      </w:pPr>
      <w:r>
        <w:rPr>
          <w:rFonts w:ascii="Arial" w:hAnsi="Arial"/>
        </w:rPr>
        <w:t>Description of securities to be issued:</w:t>
      </w:r>
    </w:p>
    <w:p w14:paraId="65BE3895" w14:textId="77777777" w:rsidR="00EA4133" w:rsidRDefault="00EA4133">
      <w:pPr>
        <w:pStyle w:val="BodyText"/>
        <w:keepNext/>
        <w:keepLines/>
        <w:tabs>
          <w:tab w:val="left" w:pos="1080"/>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Class  </w:t>
      </w:r>
      <w:r>
        <w:rPr>
          <w:rFonts w:ascii="Arial" w:hAnsi="Arial"/>
          <w:u w:val="single"/>
        </w:rPr>
        <w:tab/>
      </w:r>
      <w:r>
        <w:rPr>
          <w:rFonts w:ascii="Arial" w:hAnsi="Arial"/>
        </w:rPr>
        <w:t xml:space="preserve"> .</w:t>
      </w:r>
    </w:p>
    <w:p w14:paraId="4D8D8777" w14:textId="77777777" w:rsidR="00EA4133" w:rsidRDefault="00EA4133">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t xml:space="preserve">Number </w:t>
      </w:r>
      <w:r>
        <w:rPr>
          <w:rFonts w:ascii="Arial" w:hAnsi="Arial"/>
          <w:u w:val="single"/>
        </w:rPr>
        <w:tab/>
      </w:r>
      <w:r>
        <w:rPr>
          <w:rFonts w:ascii="Arial" w:hAnsi="Arial"/>
        </w:rPr>
        <w:t xml:space="preserve"> .</w:t>
      </w:r>
    </w:p>
    <w:p w14:paraId="4992CA2E" w14:textId="77777777" w:rsidR="00EA4133" w:rsidRDefault="00EA4133">
      <w:pPr>
        <w:pStyle w:val="BodyText"/>
        <w:tabs>
          <w:tab w:val="left" w:pos="1080"/>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 xml:space="preserve">Price per security </w:t>
      </w:r>
      <w:r>
        <w:rPr>
          <w:rFonts w:ascii="Arial" w:hAnsi="Arial"/>
          <w:u w:val="single"/>
        </w:rPr>
        <w:tab/>
      </w:r>
      <w:r>
        <w:rPr>
          <w:rFonts w:ascii="Arial" w:hAnsi="Arial"/>
        </w:rPr>
        <w:t xml:space="preserve"> .</w:t>
      </w:r>
    </w:p>
    <w:p w14:paraId="1F631A68" w14:textId="77777777" w:rsidR="00EA4133" w:rsidRDefault="00EA4133">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Pr>
          <w:rFonts w:ascii="Arial" w:hAnsi="Arial"/>
          <w:u w:val="single"/>
        </w:rPr>
        <w:tab/>
      </w:r>
    </w:p>
    <w:p w14:paraId="37F8DD80" w14:textId="77777777" w:rsidR="00EA4133" w:rsidRDefault="00EA4133">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77777777" w:rsidR="00EA4133" w:rsidRDefault="00EA4133">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Number </w:t>
      </w:r>
      <w:r>
        <w:rPr>
          <w:rFonts w:ascii="Arial" w:hAnsi="Arial"/>
          <w:u w:val="single"/>
        </w:rPr>
        <w:tab/>
      </w:r>
      <w:r>
        <w:rPr>
          <w:rFonts w:ascii="Arial" w:hAnsi="Arial"/>
        </w:rPr>
        <w:t xml:space="preserve"> .</w:t>
      </w:r>
    </w:p>
    <w:p w14:paraId="465055BA" w14:textId="77777777" w:rsidR="00EA4133" w:rsidRDefault="00EA4133">
      <w:pPr>
        <w:pStyle w:val="List"/>
        <w:numPr>
          <w:ilvl w:val="0"/>
          <w:numId w:val="11"/>
        </w:numPr>
        <w:tabs>
          <w:tab w:val="left" w:pos="1080"/>
          <w:tab w:val="left" w:pos="1440"/>
          <w:tab w:val="left" w:pos="9180"/>
        </w:tabs>
        <w:rPr>
          <w:rFonts w:ascii="Arial" w:hAnsi="Arial"/>
          <w:u w:val="single"/>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options)  </w:t>
      </w:r>
      <w:r>
        <w:rPr>
          <w:rFonts w:ascii="Arial" w:hAnsi="Arial"/>
          <w:u w:val="single"/>
        </w:rPr>
        <w:tab/>
      </w:r>
    </w:p>
    <w:p w14:paraId="12F5A08E" w14:textId="77777777" w:rsidR="00EA4133" w:rsidRDefault="00EA4133">
      <w:pPr>
        <w:pStyle w:val="List"/>
        <w:tabs>
          <w:tab w:val="left" w:pos="1080"/>
          <w:tab w:val="left" w:pos="1440"/>
          <w:tab w:val="left" w:pos="2160"/>
          <w:tab w:val="left" w:pos="9180"/>
        </w:tabs>
        <w:ind w:left="0" w:firstLine="0"/>
        <w:rPr>
          <w:rFonts w:ascii="Arial" w:hAnsi="Arial"/>
        </w:rPr>
      </w:pPr>
      <w:r>
        <w:rPr>
          <w:rFonts w:ascii="Arial" w:hAnsi="Arial"/>
        </w:rPr>
        <w:tab/>
      </w:r>
      <w:r>
        <w:rPr>
          <w:rFonts w:ascii="Arial" w:hAnsi="Arial"/>
        </w:rPr>
        <w:tab/>
      </w:r>
      <w:r>
        <w:rPr>
          <w:rFonts w:ascii="Arial" w:hAnsi="Arial"/>
        </w:rPr>
        <w:tab/>
      </w:r>
      <w:r>
        <w:rPr>
          <w:rFonts w:ascii="Arial" w:hAnsi="Arial"/>
          <w:u w:val="single"/>
        </w:rPr>
        <w:tab/>
      </w:r>
      <w:r>
        <w:rPr>
          <w:rFonts w:ascii="Arial" w:hAnsi="Arial"/>
        </w:rPr>
        <w:t xml:space="preserve"> .</w:t>
      </w:r>
    </w:p>
    <w:p w14:paraId="741D3535" w14:textId="77777777" w:rsidR="00EA4133" w:rsidRDefault="00EA4133">
      <w:pPr>
        <w:pStyle w:val="List"/>
        <w:tabs>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Exercise price</w:t>
      </w:r>
      <w:r>
        <w:rPr>
          <w:rFonts w:ascii="Arial" w:hAnsi="Arial"/>
          <w:u w:val="single"/>
        </w:rPr>
        <w:tab/>
      </w:r>
      <w:r>
        <w:rPr>
          <w:rFonts w:ascii="Arial" w:hAnsi="Arial"/>
        </w:rPr>
        <w:t xml:space="preserve"> .</w:t>
      </w:r>
    </w:p>
    <w:p w14:paraId="1F8F395A" w14:textId="77777777" w:rsidR="00EA4133" w:rsidRDefault="00EA4133">
      <w:pPr>
        <w:pStyle w:val="List"/>
        <w:tabs>
          <w:tab w:val="left" w:pos="1440"/>
          <w:tab w:val="left" w:pos="2160"/>
          <w:tab w:val="left" w:pos="3600"/>
          <w:tab w:val="left" w:pos="5040"/>
          <w:tab w:val="left" w:pos="7560"/>
          <w:tab w:val="left" w:pos="9180"/>
        </w:tabs>
        <w:rPr>
          <w:rFonts w:ascii="Arial" w:hAnsi="Arial"/>
        </w:rPr>
      </w:pPr>
      <w:r>
        <w:rPr>
          <w:rFonts w:ascii="Arial" w:hAnsi="Arial"/>
        </w:rPr>
        <w:tab/>
        <w:t xml:space="preserve">(d) </w:t>
      </w:r>
      <w:r>
        <w:rPr>
          <w:rFonts w:ascii="Arial" w:hAnsi="Arial"/>
        </w:rPr>
        <w:tab/>
        <w:t xml:space="preserve">Expiry date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14:paraId="5497F85A" w14:textId="77777777" w:rsidR="00EA4133" w:rsidRDefault="00EA4133">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77777777" w:rsidR="00EA4133" w:rsidRDefault="00EA4133">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Aggregate principal amount </w:t>
      </w:r>
      <w:r>
        <w:rPr>
          <w:rFonts w:ascii="Arial" w:hAnsi="Arial"/>
          <w:u w:val="single"/>
        </w:rPr>
        <w:tab/>
      </w:r>
      <w:r>
        <w:rPr>
          <w:rFonts w:ascii="Arial" w:hAnsi="Arial"/>
        </w:rPr>
        <w:t xml:space="preserve"> .</w:t>
      </w:r>
    </w:p>
    <w:p w14:paraId="0386DC6F" w14:textId="77777777" w:rsidR="00EA4133" w:rsidRDefault="00EA4133">
      <w:pPr>
        <w:pStyle w:val="List"/>
        <w:tabs>
          <w:tab w:val="left" w:pos="1440"/>
          <w:tab w:val="left" w:pos="2160"/>
          <w:tab w:val="left" w:pos="9180"/>
        </w:tabs>
        <w:rPr>
          <w:rFonts w:ascii="Arial" w:hAnsi="Arial"/>
        </w:rPr>
      </w:pPr>
      <w:r>
        <w:rPr>
          <w:rFonts w:ascii="Arial" w:hAnsi="Arial"/>
        </w:rPr>
        <w:tab/>
        <w:t xml:space="preserve">(b) </w:t>
      </w:r>
      <w:r>
        <w:rPr>
          <w:rFonts w:ascii="Arial" w:hAnsi="Arial"/>
        </w:rPr>
        <w:tab/>
        <w:t xml:space="preserve">Maturity date </w:t>
      </w:r>
      <w:r>
        <w:rPr>
          <w:rFonts w:ascii="Arial" w:hAnsi="Arial"/>
          <w:u w:val="single"/>
        </w:rPr>
        <w:tab/>
      </w:r>
      <w:r>
        <w:rPr>
          <w:rFonts w:ascii="Arial" w:hAnsi="Arial"/>
        </w:rPr>
        <w:t xml:space="preserve"> .</w:t>
      </w:r>
    </w:p>
    <w:p w14:paraId="67C3495E" w14:textId="77777777"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(c) </w:t>
      </w:r>
      <w:r>
        <w:rPr>
          <w:rFonts w:ascii="Arial" w:hAnsi="Arial"/>
        </w:rPr>
        <w:tab/>
      </w:r>
      <w:r>
        <w:rPr>
          <w:rFonts w:ascii="Arial" w:hAnsi="Arial"/>
        </w:rPr>
        <w:tab/>
        <w:t xml:space="preserve">Interest rate </w:t>
      </w:r>
      <w:r>
        <w:rPr>
          <w:rFonts w:ascii="Arial" w:hAnsi="Arial"/>
          <w:u w:val="single"/>
        </w:rPr>
        <w:tab/>
      </w:r>
      <w:r>
        <w:rPr>
          <w:rFonts w:ascii="Arial" w:hAnsi="Arial"/>
        </w:rPr>
        <w:t xml:space="preserve"> .</w:t>
      </w:r>
    </w:p>
    <w:p w14:paraId="49E27A15" w14:textId="77777777"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(d) </w:t>
      </w:r>
      <w:r>
        <w:rPr>
          <w:rFonts w:ascii="Arial" w:hAnsi="Arial"/>
        </w:rPr>
        <w:tab/>
        <w:t xml:space="preserve">Conversion terms </w:t>
      </w:r>
      <w:r>
        <w:rPr>
          <w:rFonts w:ascii="Arial" w:hAnsi="Arial"/>
          <w:u w:val="single"/>
        </w:rPr>
        <w:tab/>
      </w:r>
      <w:r>
        <w:rPr>
          <w:rFonts w:ascii="Arial" w:hAnsi="Arial"/>
        </w:rPr>
        <w:t xml:space="preserve"> .</w:t>
      </w:r>
    </w:p>
    <w:p w14:paraId="0D785116" w14:textId="77777777"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(e) </w:t>
      </w:r>
      <w:r>
        <w:rPr>
          <w:rFonts w:ascii="Arial" w:hAnsi="Arial"/>
        </w:rPr>
        <w:tab/>
        <w:t xml:space="preserve">Default provisions </w:t>
      </w:r>
      <w:r>
        <w:rPr>
          <w:rFonts w:ascii="Arial" w:hAnsi="Arial"/>
          <w:u w:val="single"/>
        </w:rPr>
        <w:tab/>
      </w:r>
      <w:r>
        <w:rPr>
          <w:rFonts w:ascii="Arial" w:hAnsi="Arial"/>
        </w:rPr>
        <w:t xml:space="preserve"> .</w:t>
      </w:r>
    </w:p>
    <w:p w14:paraId="5BCB7A54" w14:textId="77777777" w:rsidR="00EA4133" w:rsidRDefault="00EA4133">
      <w:pPr>
        <w:pStyle w:val="List"/>
        <w:numPr>
          <w:ilvl w:val="0"/>
          <w:numId w:val="10"/>
        </w:numPr>
        <w:jc w:val="both"/>
        <w:rPr>
          <w:rFonts w:ascii="Arial" w:hAnsi="Arial"/>
        </w:rPr>
      </w:pPr>
      <w:r>
        <w:rPr>
          <w:rFonts w:ascii="Arial" w:hAnsi="Arial"/>
        </w:rPr>
        <w:t>Provide the following information for any agent’s fee, commission, bonus or finder’s fee, or other compensation paid or to be paid in connection with the placement (including warrants, options, etc.):</w:t>
      </w:r>
    </w:p>
    <w:p w14:paraId="2820D158" w14:textId="77777777" w:rsidR="00EA4133" w:rsidRDefault="00EA4133">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w:t>
      </w:r>
      <w:r>
        <w:rPr>
          <w:rFonts w:ascii="Arial" w:hAnsi="Arial"/>
        </w:rPr>
        <w:lastRenderedPageBreak/>
        <w:t xml:space="preserve">corporation, identify persons owning or exercising voting control over 20% or more of the voting shares if known to the Issuer): </w:t>
      </w:r>
      <w:r>
        <w:rPr>
          <w:rFonts w:ascii="Arial" w:hAnsi="Arial"/>
          <w:u w:val="single"/>
        </w:rPr>
        <w:tab/>
      </w:r>
      <w:r>
        <w:rPr>
          <w:rFonts w:ascii="Arial" w:hAnsi="Arial"/>
        </w:rPr>
        <w:t xml:space="preserve"> .</w:t>
      </w:r>
    </w:p>
    <w:p w14:paraId="0E0BD4DE" w14:textId="77777777" w:rsidR="00EA4133" w:rsidRDefault="00EA4133">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Pr>
          <w:rFonts w:ascii="Arial" w:hAnsi="Arial"/>
          <w:u w:val="single"/>
        </w:rPr>
        <w:tab/>
      </w:r>
      <w:r>
        <w:rPr>
          <w:rFonts w:ascii="Arial" w:hAnsi="Arial"/>
        </w:rPr>
        <w:t xml:space="preserve"> .</w:t>
      </w:r>
    </w:p>
    <w:p w14:paraId="76F20F74" w14:textId="77777777" w:rsidR="00EA4133" w:rsidRDefault="00EA4133">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Pr>
          <w:rFonts w:ascii="Arial" w:hAnsi="Arial"/>
          <w:u w:val="single"/>
        </w:rPr>
        <w:tab/>
      </w:r>
      <w:r>
        <w:rPr>
          <w:rFonts w:ascii="Arial" w:hAnsi="Arial"/>
        </w:rPr>
        <w:t xml:space="preserve"> .</w:t>
      </w:r>
    </w:p>
    <w:p w14:paraId="3F47C7EE" w14:textId="77777777" w:rsidR="00EA4133" w:rsidRDefault="00EA4133">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Pr>
          <w:rFonts w:ascii="Arial" w:hAnsi="Arial"/>
          <w:u w:val="single"/>
        </w:rPr>
        <w:tab/>
      </w:r>
      <w:r>
        <w:rPr>
          <w:rFonts w:ascii="Arial" w:hAnsi="Arial"/>
        </w:rPr>
        <w:t xml:space="preserve"> .</w:t>
      </w:r>
    </w:p>
    <w:p w14:paraId="3FCDD9CA" w14:textId="77777777" w:rsidR="00EA4133" w:rsidRDefault="00EA4133">
      <w:pPr>
        <w:pStyle w:val="List"/>
        <w:tabs>
          <w:tab w:val="left" w:pos="2160"/>
          <w:tab w:val="left" w:pos="9180"/>
        </w:tabs>
        <w:ind w:left="2160"/>
        <w:rPr>
          <w:rFonts w:ascii="Arial" w:hAnsi="Arial"/>
        </w:rPr>
      </w:pPr>
      <w:r>
        <w:rPr>
          <w:rFonts w:ascii="Arial" w:hAnsi="Arial"/>
        </w:rPr>
        <w:t>(e)</w:t>
      </w:r>
      <w:r>
        <w:rPr>
          <w:rFonts w:ascii="Arial" w:hAnsi="Arial"/>
        </w:rPr>
        <w:tab/>
        <w:t xml:space="preserve">Expiry date of any options, warrants etc. </w:t>
      </w:r>
      <w:r>
        <w:rPr>
          <w:rFonts w:ascii="Arial" w:hAnsi="Arial"/>
          <w:u w:val="single"/>
        </w:rPr>
        <w:tab/>
      </w:r>
      <w:r>
        <w:rPr>
          <w:rFonts w:ascii="Arial" w:hAnsi="Arial"/>
        </w:rPr>
        <w:t xml:space="preserve"> .</w:t>
      </w:r>
    </w:p>
    <w:p w14:paraId="5728FC8A" w14:textId="77777777" w:rsidR="00EA4133" w:rsidRDefault="00EA4133">
      <w:pPr>
        <w:pStyle w:val="List"/>
        <w:tabs>
          <w:tab w:val="num" w:pos="1080"/>
          <w:tab w:val="left" w:pos="2160"/>
          <w:tab w:val="left" w:pos="9180"/>
        </w:tabs>
        <w:ind w:left="2160"/>
        <w:rPr>
          <w:rFonts w:ascii="Arial" w:hAnsi="Arial"/>
        </w:rPr>
      </w:pPr>
      <w:r>
        <w:rPr>
          <w:rFonts w:ascii="Arial" w:hAnsi="Arial"/>
        </w:rPr>
        <w:t>(f)</w:t>
      </w:r>
      <w:r>
        <w:rPr>
          <w:rFonts w:ascii="Arial" w:hAnsi="Arial"/>
        </w:rPr>
        <w:tab/>
        <w:t xml:space="preserve">Exercise price of any options, warrants etc. </w:t>
      </w:r>
      <w:r>
        <w:rPr>
          <w:rFonts w:ascii="Arial" w:hAnsi="Arial"/>
          <w:u w:val="single"/>
        </w:rPr>
        <w:tab/>
      </w:r>
      <w:r>
        <w:rPr>
          <w:rFonts w:ascii="Arial" w:hAnsi="Arial"/>
        </w:rPr>
        <w:t xml:space="preserve"> .</w:t>
      </w:r>
    </w:p>
    <w:p w14:paraId="5A6D1206" w14:textId="77777777" w:rsidR="00EA4133" w:rsidRDefault="00EA4133">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r>
        <w:rPr>
          <w:rFonts w:ascii="Arial" w:hAnsi="Arial"/>
          <w:u w:val="single"/>
        </w:rPr>
        <w:tab/>
      </w:r>
    </w:p>
    <w:p w14:paraId="25594C7E" w14:textId="77777777" w:rsidR="00EA4133" w:rsidRDefault="00EA4133">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1E640232" w14:textId="77777777" w:rsidR="00EA4133" w:rsidRDefault="00EA4133">
      <w:pPr>
        <w:pStyle w:val="List"/>
        <w:numPr>
          <w:ilvl w:val="0"/>
          <w:numId w:val="10"/>
        </w:numPr>
        <w:rPr>
          <w:rFonts w:ascii="Arial" w:hAnsi="Arial"/>
        </w:rPr>
      </w:pPr>
      <w:r>
        <w:rPr>
          <w:rFonts w:ascii="Arial" w:hAnsi="Arial"/>
        </w:rPr>
        <w:t>Describe any unusual particulars of the transaction (i.e. tax “flow through” shares, etc.).</w:t>
      </w:r>
    </w:p>
    <w:p w14:paraId="7DB4EC89" w14:textId="77777777" w:rsidR="00EA4133" w:rsidRDefault="00EA4133">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20E342B3" w14:textId="2092C782" w:rsidR="00EA4133" w:rsidRDefault="00EA4133">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77777777" w:rsidR="00EA4133" w:rsidRDefault="00EA4133">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329377FB" w14:textId="77777777" w:rsidR="00EA4133" w:rsidRDefault="00EA4133">
      <w:pPr>
        <w:pStyle w:val="List"/>
        <w:tabs>
          <w:tab w:val="left" w:pos="9180"/>
        </w:tabs>
        <w:spacing w:before="0"/>
        <w:jc w:val="both"/>
        <w:rPr>
          <w:rFonts w:ascii="Arial" w:hAnsi="Arial"/>
        </w:rPr>
      </w:pPr>
    </w:p>
    <w:p w14:paraId="5E6E97CC" w14:textId="77777777" w:rsidR="00EA4133" w:rsidRDefault="00EA4133">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Pr>
          <w:rFonts w:ascii="Arial" w:hAnsi="Arial"/>
          <w:u w:val="single"/>
        </w:rPr>
        <w:tab/>
      </w:r>
    </w:p>
    <w:p w14:paraId="53C24F1D" w14:textId="77777777" w:rsidR="00EA4133" w:rsidRDefault="00EA4133">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p>
    <w:p w14:paraId="6061FBDA" w14:textId="77777777" w:rsidR="00EA4133" w:rsidRDefault="00EA4133">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2A07BEC0" w14:textId="77777777" w:rsidR="00EA4133" w:rsidRDefault="00EA4133">
      <w:pPr>
        <w:pStyle w:val="List"/>
        <w:tabs>
          <w:tab w:val="left" w:pos="1080"/>
          <w:tab w:val="left" w:pos="9180"/>
        </w:tabs>
        <w:spacing w:before="0"/>
        <w:ind w:left="0" w:firstLine="0"/>
        <w:jc w:val="both"/>
        <w:rPr>
          <w:rFonts w:ascii="Arial" w:hAnsi="Arial"/>
        </w:rPr>
      </w:pPr>
      <w:r>
        <w:rPr>
          <w:rFonts w:ascii="Arial" w:hAnsi="Arial"/>
        </w:rPr>
        <w:tab/>
      </w:r>
    </w:p>
    <w:p w14:paraId="1ED7B34F" w14:textId="3928FE92" w:rsidR="003C6D7E" w:rsidRPr="00F0284D" w:rsidRDefault="00EA4133" w:rsidP="00F0284D">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p>
    <w:p w14:paraId="540694C5" w14:textId="77777777" w:rsidR="00EA4133" w:rsidRDefault="0035331C">
      <w:pPr>
        <w:pStyle w:val="BodyText"/>
        <w:tabs>
          <w:tab w:val="left" w:pos="1080"/>
          <w:tab w:val="left" w:pos="4230"/>
        </w:tabs>
        <w:rPr>
          <w:rFonts w:ascii="Arial" w:hAnsi="Arial"/>
          <w:color w:val="000000"/>
        </w:rPr>
      </w:pPr>
      <w:r>
        <w:rPr>
          <w:rFonts w:ascii="Arial" w:hAnsi="Arial"/>
          <w:b/>
          <w:color w:val="000000"/>
        </w:rPr>
        <w:t xml:space="preserve">Part </w:t>
      </w:r>
      <w:r w:rsidR="00EA4133">
        <w:rPr>
          <w:rFonts w:ascii="Arial" w:hAnsi="Arial"/>
          <w:b/>
          <w:color w:val="000000"/>
        </w:rPr>
        <w:t>2.</w:t>
      </w:r>
      <w:r w:rsidR="00EA4133">
        <w:rPr>
          <w:rFonts w:ascii="Arial" w:hAnsi="Arial"/>
          <w:b/>
          <w:color w:val="000000"/>
        </w:rPr>
        <w:tab/>
        <w:t>Acquisition</w:t>
      </w:r>
    </w:p>
    <w:p w14:paraId="1B8636D0" w14:textId="77777777" w:rsidR="00EA4133" w:rsidRDefault="00EA4133">
      <w:pPr>
        <w:pStyle w:val="List"/>
        <w:tabs>
          <w:tab w:val="left" w:pos="9180"/>
        </w:tabs>
        <w:spacing w:before="0"/>
        <w:ind w:left="0" w:firstLine="0"/>
        <w:jc w:val="both"/>
        <w:rPr>
          <w:rFonts w:ascii="Arial" w:hAnsi="Arial"/>
          <w:color w:val="000000"/>
        </w:rPr>
      </w:pPr>
    </w:p>
    <w:p w14:paraId="63CD795A" w14:textId="77777777" w:rsidR="00584363" w:rsidRDefault="00EA4133">
      <w:pPr>
        <w:pStyle w:val="List"/>
        <w:numPr>
          <w:ilvl w:val="0"/>
          <w:numId w:val="14"/>
        </w:numPr>
        <w:tabs>
          <w:tab w:val="clear" w:pos="360"/>
          <w:tab w:val="num" w:pos="1080"/>
          <w:tab w:val="left" w:pos="9180"/>
        </w:tabs>
        <w:spacing w:before="0"/>
        <w:ind w:left="1080" w:hanging="1080"/>
        <w:jc w:val="both"/>
        <w:rPr>
          <w:rFonts w:ascii="Arial" w:hAnsi="Arial"/>
          <w:color w:val="000000"/>
        </w:rPr>
      </w:pPr>
      <w:r>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p>
    <w:p w14:paraId="3594F09C" w14:textId="77777777" w:rsidR="00584363" w:rsidRDefault="00584363" w:rsidP="00584363">
      <w:pPr>
        <w:pStyle w:val="List"/>
        <w:tabs>
          <w:tab w:val="left" w:pos="9180"/>
        </w:tabs>
        <w:spacing w:before="0"/>
        <w:ind w:firstLine="0"/>
        <w:jc w:val="both"/>
        <w:rPr>
          <w:rFonts w:ascii="Arial" w:hAnsi="Arial"/>
          <w:color w:val="000000"/>
        </w:rPr>
      </w:pPr>
    </w:p>
    <w:p w14:paraId="0F647868" w14:textId="5F123835" w:rsidR="00F75C47" w:rsidRPr="00584363" w:rsidRDefault="00F75C47" w:rsidP="00584363">
      <w:pPr>
        <w:pStyle w:val="List"/>
        <w:tabs>
          <w:tab w:val="left" w:pos="9180"/>
        </w:tabs>
        <w:spacing w:before="0"/>
        <w:ind w:firstLine="0"/>
        <w:jc w:val="both"/>
        <w:rPr>
          <w:rFonts w:ascii="Arial" w:hAnsi="Arial"/>
          <w:color w:val="000000"/>
          <w:u w:val="single"/>
        </w:rPr>
      </w:pPr>
      <w:r>
        <w:rPr>
          <w:rFonts w:ascii="Arial" w:hAnsi="Arial"/>
          <w:color w:val="000000"/>
          <w:u w:val="single"/>
        </w:rPr>
        <w:t>The Issuer will acquire 100% of the issued and outstanding</w:t>
      </w:r>
      <w:r w:rsidR="00584363">
        <w:rPr>
          <w:rFonts w:ascii="Arial" w:hAnsi="Arial"/>
          <w:color w:val="000000"/>
          <w:u w:val="single"/>
        </w:rPr>
        <w:t xml:space="preserve"> common</w:t>
      </w:r>
      <w:r>
        <w:rPr>
          <w:rFonts w:ascii="Arial" w:hAnsi="Arial"/>
          <w:color w:val="000000"/>
          <w:u w:val="single"/>
        </w:rPr>
        <w:t xml:space="preserve"> shares </w:t>
      </w:r>
      <w:r w:rsidR="00584363">
        <w:rPr>
          <w:rFonts w:ascii="Arial" w:hAnsi="Arial"/>
          <w:color w:val="000000"/>
          <w:u w:val="single"/>
        </w:rPr>
        <w:t>(“</w:t>
      </w:r>
      <w:r w:rsidR="00584363" w:rsidRPr="00584363">
        <w:rPr>
          <w:rFonts w:ascii="Arial" w:hAnsi="Arial"/>
          <w:b/>
          <w:bCs/>
          <w:color w:val="000000"/>
          <w:u w:val="single"/>
        </w:rPr>
        <w:t>Fluent Shares</w:t>
      </w:r>
      <w:r w:rsidR="00584363">
        <w:rPr>
          <w:rFonts w:ascii="Arial" w:hAnsi="Arial"/>
          <w:color w:val="000000"/>
          <w:u w:val="single"/>
        </w:rPr>
        <w:t xml:space="preserve">”) </w:t>
      </w:r>
      <w:r>
        <w:rPr>
          <w:rFonts w:ascii="Arial" w:hAnsi="Arial"/>
          <w:color w:val="000000"/>
          <w:u w:val="single"/>
        </w:rPr>
        <w:t>of Fluent Corp. (“</w:t>
      </w:r>
      <w:r>
        <w:rPr>
          <w:rFonts w:ascii="Arial" w:hAnsi="Arial"/>
          <w:b/>
          <w:bCs/>
          <w:color w:val="000000"/>
          <w:u w:val="single"/>
        </w:rPr>
        <w:t>Fluent</w:t>
      </w:r>
      <w:r>
        <w:rPr>
          <w:rFonts w:ascii="Arial" w:hAnsi="Arial"/>
          <w:color w:val="000000"/>
          <w:u w:val="single"/>
        </w:rPr>
        <w:t>”), an Ontario corporation</w:t>
      </w:r>
      <w:r w:rsidR="00584363">
        <w:rPr>
          <w:rFonts w:ascii="Arial" w:hAnsi="Arial"/>
          <w:color w:val="000000"/>
          <w:u w:val="single"/>
        </w:rPr>
        <w:t xml:space="preserve">, </w:t>
      </w:r>
      <w:r w:rsidR="00584363" w:rsidRPr="00584363">
        <w:rPr>
          <w:rFonts w:ascii="Arial" w:hAnsi="Arial"/>
          <w:color w:val="000000"/>
          <w:u w:val="single"/>
        </w:rPr>
        <w:t xml:space="preserve">after conversion of all proportionate voting shares of </w:t>
      </w:r>
      <w:r w:rsidR="00584363">
        <w:rPr>
          <w:rFonts w:ascii="Arial" w:hAnsi="Arial"/>
          <w:color w:val="000000"/>
          <w:u w:val="single"/>
        </w:rPr>
        <w:t>Fluent</w:t>
      </w:r>
      <w:r w:rsidR="00584363" w:rsidRPr="00584363">
        <w:rPr>
          <w:rFonts w:ascii="Arial" w:hAnsi="Arial"/>
          <w:color w:val="000000"/>
          <w:u w:val="single"/>
        </w:rPr>
        <w:t xml:space="preserve"> and non-voting, non-participating exchangeable shares of F</w:t>
      </w:r>
      <w:r w:rsidR="00584363">
        <w:rPr>
          <w:rFonts w:ascii="Arial" w:hAnsi="Arial"/>
          <w:color w:val="000000"/>
          <w:u w:val="single"/>
        </w:rPr>
        <w:t>luent</w:t>
      </w:r>
      <w:r>
        <w:rPr>
          <w:rFonts w:ascii="Arial" w:hAnsi="Arial"/>
          <w:color w:val="000000"/>
          <w:u w:val="single"/>
        </w:rPr>
        <w:t xml:space="preserve"> and</w:t>
      </w:r>
      <w:r w:rsidR="00584363">
        <w:rPr>
          <w:rFonts w:ascii="Arial" w:hAnsi="Arial"/>
          <w:color w:val="000000"/>
          <w:u w:val="single"/>
        </w:rPr>
        <w:t>,</w:t>
      </w:r>
      <w:r>
        <w:rPr>
          <w:rFonts w:ascii="Arial" w:hAnsi="Arial"/>
          <w:color w:val="000000"/>
          <w:u w:val="single"/>
        </w:rPr>
        <w:t xml:space="preserve"> in consideration t</w:t>
      </w:r>
      <w:r w:rsidR="004A2981">
        <w:rPr>
          <w:rFonts w:ascii="Arial" w:hAnsi="Arial"/>
          <w:color w:val="000000"/>
          <w:u w:val="single"/>
        </w:rPr>
        <w:t>hereof</w:t>
      </w:r>
      <w:r w:rsidR="00584363">
        <w:rPr>
          <w:rFonts w:ascii="Arial" w:hAnsi="Arial"/>
          <w:color w:val="000000"/>
          <w:u w:val="single"/>
        </w:rPr>
        <w:t>,</w:t>
      </w:r>
      <w:r w:rsidR="004A2981">
        <w:rPr>
          <w:rFonts w:ascii="Arial" w:hAnsi="Arial"/>
          <w:color w:val="000000"/>
          <w:u w:val="single"/>
        </w:rPr>
        <w:t xml:space="preserve"> </w:t>
      </w:r>
      <w:r w:rsidR="00584363" w:rsidRPr="00584363">
        <w:rPr>
          <w:rFonts w:ascii="Arial" w:hAnsi="Arial"/>
          <w:color w:val="000000"/>
          <w:u w:val="single"/>
        </w:rPr>
        <w:t xml:space="preserve">shareholders </w:t>
      </w:r>
      <w:r w:rsidR="00584363" w:rsidRPr="00AA5FF1">
        <w:rPr>
          <w:rFonts w:ascii="Arial" w:hAnsi="Arial"/>
          <w:color w:val="000000"/>
          <w:u w:val="single"/>
        </w:rPr>
        <w:t>of Fluent (the “</w:t>
      </w:r>
      <w:r w:rsidR="00584363" w:rsidRPr="00AA5FF1">
        <w:rPr>
          <w:rFonts w:ascii="Arial" w:hAnsi="Arial"/>
          <w:b/>
          <w:bCs/>
          <w:color w:val="000000"/>
          <w:u w:val="single"/>
        </w:rPr>
        <w:t>Fluent Shareholde</w:t>
      </w:r>
      <w:r w:rsidR="00584363" w:rsidRPr="001D1036">
        <w:rPr>
          <w:rFonts w:ascii="Arial" w:hAnsi="Arial"/>
          <w:b/>
          <w:bCs/>
          <w:color w:val="000000"/>
          <w:u w:val="single"/>
        </w:rPr>
        <w:t>rs</w:t>
      </w:r>
      <w:r w:rsidR="00584363" w:rsidRPr="001D1036">
        <w:rPr>
          <w:rFonts w:ascii="Arial" w:hAnsi="Arial"/>
          <w:color w:val="000000"/>
          <w:u w:val="single"/>
        </w:rPr>
        <w:t xml:space="preserve">”) will receive </w:t>
      </w:r>
      <w:r w:rsidR="00D12A8B" w:rsidRPr="001D1036">
        <w:rPr>
          <w:rFonts w:ascii="Arial" w:hAnsi="Arial"/>
          <w:color w:val="000000"/>
          <w:u w:val="single"/>
        </w:rPr>
        <w:t>0.0705</w:t>
      </w:r>
      <w:r w:rsidR="00FA7D85">
        <w:rPr>
          <w:rFonts w:ascii="Arial" w:hAnsi="Arial"/>
          <w:color w:val="000000"/>
          <w:u w:val="single"/>
        </w:rPr>
        <w:t>359</w:t>
      </w:r>
      <w:r w:rsidR="00D12A8B">
        <w:rPr>
          <w:rFonts w:ascii="Arial" w:hAnsi="Arial"/>
          <w:color w:val="000000"/>
          <w:u w:val="single"/>
        </w:rPr>
        <w:t xml:space="preserve"> </w:t>
      </w:r>
      <w:r w:rsidR="00584363" w:rsidRPr="00584363">
        <w:rPr>
          <w:rFonts w:ascii="Arial" w:hAnsi="Arial"/>
          <w:color w:val="000000"/>
          <w:u w:val="single"/>
        </w:rPr>
        <w:t xml:space="preserve">of a </w:t>
      </w:r>
      <w:r w:rsidR="00584363">
        <w:rPr>
          <w:rFonts w:ascii="Arial" w:hAnsi="Arial"/>
          <w:color w:val="000000"/>
          <w:u w:val="single"/>
        </w:rPr>
        <w:t>Share fo</w:t>
      </w:r>
      <w:r w:rsidR="00584363" w:rsidRPr="00584363">
        <w:rPr>
          <w:rFonts w:ascii="Arial" w:hAnsi="Arial"/>
          <w:color w:val="000000"/>
          <w:u w:val="single"/>
        </w:rPr>
        <w:t xml:space="preserve">r each </w:t>
      </w:r>
      <w:r w:rsidR="00584363">
        <w:rPr>
          <w:rFonts w:ascii="Arial" w:hAnsi="Arial"/>
          <w:color w:val="000000"/>
          <w:u w:val="single"/>
        </w:rPr>
        <w:t>Fluent S</w:t>
      </w:r>
      <w:r w:rsidR="00584363" w:rsidRPr="00584363">
        <w:rPr>
          <w:rFonts w:ascii="Arial" w:hAnsi="Arial"/>
          <w:color w:val="000000"/>
          <w:u w:val="single"/>
        </w:rPr>
        <w:t>hare</w:t>
      </w:r>
      <w:r w:rsidR="00584363">
        <w:rPr>
          <w:rFonts w:ascii="Arial" w:hAnsi="Arial"/>
          <w:color w:val="000000"/>
          <w:u w:val="single"/>
        </w:rPr>
        <w:t xml:space="preserve"> held</w:t>
      </w:r>
      <w:r w:rsidR="00584363" w:rsidRPr="00584363">
        <w:rPr>
          <w:rFonts w:ascii="Arial" w:hAnsi="Arial"/>
          <w:color w:val="000000"/>
          <w:u w:val="single"/>
        </w:rPr>
        <w:t>, representing total consideration of approximately US$</w:t>
      </w:r>
      <w:r w:rsidR="00DF1F1D" w:rsidRPr="00DC2C64">
        <w:rPr>
          <w:rFonts w:ascii="Arial" w:hAnsi="Arial"/>
          <w:color w:val="000000"/>
          <w:u w:val="single"/>
        </w:rPr>
        <w:t>69.</w:t>
      </w:r>
      <w:r w:rsidR="00FA7D85">
        <w:rPr>
          <w:rFonts w:ascii="Arial" w:hAnsi="Arial"/>
          <w:color w:val="000000"/>
          <w:u w:val="single"/>
        </w:rPr>
        <w:t>3</w:t>
      </w:r>
      <w:r w:rsidR="00DF1F1D">
        <w:rPr>
          <w:rFonts w:ascii="Arial" w:hAnsi="Arial"/>
          <w:color w:val="000000"/>
          <w:u w:val="single"/>
        </w:rPr>
        <w:t xml:space="preserve"> million </w:t>
      </w:r>
      <w:r w:rsidR="00584363" w:rsidRPr="00584363">
        <w:rPr>
          <w:rFonts w:ascii="Arial" w:hAnsi="Arial"/>
          <w:color w:val="000000"/>
          <w:u w:val="single"/>
        </w:rPr>
        <w:t>based on the closing price of the Shares</w:t>
      </w:r>
      <w:r w:rsidR="003D39DE">
        <w:rPr>
          <w:rFonts w:ascii="Arial" w:hAnsi="Arial"/>
          <w:color w:val="000000"/>
          <w:u w:val="single"/>
        </w:rPr>
        <w:t xml:space="preserve"> on</w:t>
      </w:r>
      <w:r w:rsidR="00584363" w:rsidRPr="00584363">
        <w:rPr>
          <w:rFonts w:ascii="Arial" w:hAnsi="Arial"/>
          <w:color w:val="000000"/>
          <w:u w:val="single"/>
        </w:rPr>
        <w:t xml:space="preserve"> </w:t>
      </w:r>
      <w:r w:rsidR="009E219A">
        <w:rPr>
          <w:rFonts w:ascii="Arial" w:hAnsi="Arial"/>
          <w:color w:val="000000"/>
          <w:u w:val="single"/>
        </w:rPr>
        <w:t>April 29</w:t>
      </w:r>
      <w:r w:rsidR="00584363" w:rsidRPr="00584363">
        <w:rPr>
          <w:rFonts w:ascii="Arial" w:hAnsi="Arial"/>
          <w:color w:val="000000"/>
          <w:u w:val="single"/>
        </w:rPr>
        <w:t>, 202</w:t>
      </w:r>
      <w:r w:rsidR="00584363">
        <w:rPr>
          <w:rFonts w:ascii="Arial" w:hAnsi="Arial"/>
          <w:color w:val="000000"/>
          <w:u w:val="single"/>
        </w:rPr>
        <w:t>6 (the “</w:t>
      </w:r>
      <w:r w:rsidR="00584363" w:rsidRPr="00584363">
        <w:rPr>
          <w:rFonts w:ascii="Arial" w:hAnsi="Arial"/>
          <w:b/>
          <w:bCs/>
          <w:color w:val="000000"/>
          <w:u w:val="single"/>
        </w:rPr>
        <w:t>Proposed Transaction</w:t>
      </w:r>
      <w:r w:rsidR="00584363" w:rsidRPr="00584363">
        <w:rPr>
          <w:rFonts w:ascii="Arial" w:hAnsi="Arial"/>
          <w:color w:val="000000"/>
          <w:u w:val="single"/>
        </w:rPr>
        <w:t>”).</w:t>
      </w:r>
    </w:p>
    <w:p w14:paraId="724B8B88" w14:textId="77777777" w:rsidR="00F75C47" w:rsidRDefault="00F75C47" w:rsidP="00F75C47">
      <w:pPr>
        <w:pStyle w:val="List"/>
        <w:tabs>
          <w:tab w:val="left" w:pos="9180"/>
        </w:tabs>
        <w:spacing w:before="0"/>
        <w:ind w:firstLine="0"/>
        <w:jc w:val="both"/>
        <w:rPr>
          <w:rFonts w:ascii="Arial" w:hAnsi="Arial"/>
          <w:color w:val="000000"/>
          <w:u w:val="single"/>
        </w:rPr>
      </w:pPr>
    </w:p>
    <w:p w14:paraId="7E1F4335" w14:textId="43F9888E" w:rsidR="00EA4133" w:rsidRDefault="00F75C47" w:rsidP="004F629B">
      <w:pPr>
        <w:pStyle w:val="List"/>
        <w:tabs>
          <w:tab w:val="left" w:pos="9180"/>
        </w:tabs>
        <w:spacing w:before="0"/>
        <w:ind w:firstLine="0"/>
        <w:jc w:val="both"/>
        <w:rPr>
          <w:rFonts w:ascii="Arial" w:hAnsi="Arial"/>
          <w:color w:val="000000"/>
        </w:rPr>
      </w:pPr>
      <w:r>
        <w:rPr>
          <w:rFonts w:ascii="Arial" w:hAnsi="Arial"/>
          <w:color w:val="000000"/>
          <w:u w:val="single"/>
        </w:rPr>
        <w:t>Fluent is a vertically</w:t>
      </w:r>
      <w:r w:rsidRPr="00F75C47">
        <w:rPr>
          <w:rFonts w:ascii="Arial" w:hAnsi="Arial"/>
          <w:color w:val="000000"/>
          <w:u w:val="single"/>
        </w:rPr>
        <w:t xml:space="preserve">-integrated cannabis company with licenses and operations in Florida, Texas, and New York. </w:t>
      </w:r>
      <w:r>
        <w:rPr>
          <w:rFonts w:ascii="Arial" w:hAnsi="Arial"/>
          <w:color w:val="000000"/>
          <w:u w:val="single"/>
        </w:rPr>
        <w:t xml:space="preserve">Fluent </w:t>
      </w:r>
      <w:r w:rsidRPr="00F75C47">
        <w:rPr>
          <w:rFonts w:ascii="Arial" w:hAnsi="Arial"/>
          <w:color w:val="000000"/>
          <w:u w:val="single"/>
        </w:rPr>
        <w:t>is headquartered in Tampa, Florida</w:t>
      </w:r>
      <w:r w:rsidR="004F629B">
        <w:rPr>
          <w:rFonts w:ascii="Arial" w:hAnsi="Arial"/>
          <w:color w:val="000000"/>
          <w:u w:val="single"/>
        </w:rPr>
        <w:t xml:space="preserve"> and </w:t>
      </w:r>
      <w:r w:rsidR="00DF1F1D">
        <w:rPr>
          <w:rFonts w:ascii="Arial" w:hAnsi="Arial"/>
          <w:color w:val="000000"/>
          <w:u w:val="single"/>
        </w:rPr>
        <w:t>the Fluent Shares</w:t>
      </w:r>
      <w:r>
        <w:rPr>
          <w:rFonts w:ascii="Arial" w:hAnsi="Arial"/>
          <w:color w:val="000000"/>
          <w:u w:val="single"/>
        </w:rPr>
        <w:t xml:space="preserve"> trade on the CSE under </w:t>
      </w:r>
      <w:r w:rsidRPr="00F75C47">
        <w:rPr>
          <w:rFonts w:ascii="Arial" w:hAnsi="Arial"/>
          <w:color w:val="000000"/>
          <w:u w:val="single"/>
        </w:rPr>
        <w:t>the symbol “FNT.U” and on the OTCQB under the symbol “OTCQB: CNTMF”.</w:t>
      </w:r>
    </w:p>
    <w:p w14:paraId="605F9673" w14:textId="77777777" w:rsidR="004F629B" w:rsidRPr="004F629B" w:rsidRDefault="00EA4133">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Provide details of the acquisition including the date, parties to and type of agreement (eg: sale, option, license etc.) and relationship to the Issuer.</w:t>
      </w:r>
      <w:r w:rsidR="004F629B">
        <w:rPr>
          <w:rFonts w:ascii="Arial" w:hAnsi="Arial"/>
          <w:color w:val="000000"/>
        </w:rPr>
        <w:t xml:space="preserve"> </w:t>
      </w:r>
      <w:r>
        <w:rPr>
          <w:rFonts w:ascii="Arial" w:hAnsi="Arial"/>
          <w:color w:val="000000"/>
        </w:rPr>
        <w:t xml:space="preserve">The disclosure should be sufficiently complete to enable a reader to appreciate the significance of the acquisition without reference to any other material: </w:t>
      </w:r>
    </w:p>
    <w:p w14:paraId="5192C181" w14:textId="5635B558" w:rsidR="00584363" w:rsidRPr="00584363" w:rsidRDefault="004F629B" w:rsidP="00584363">
      <w:pPr>
        <w:pStyle w:val="List"/>
        <w:tabs>
          <w:tab w:val="left" w:pos="9180"/>
        </w:tabs>
        <w:ind w:firstLine="0"/>
        <w:jc w:val="both"/>
        <w:rPr>
          <w:rFonts w:ascii="Arial" w:hAnsi="Arial"/>
          <w:u w:val="single"/>
          <w:lang w:val="en-CA"/>
        </w:rPr>
      </w:pPr>
      <w:r>
        <w:rPr>
          <w:rFonts w:ascii="Arial" w:hAnsi="Arial"/>
          <w:color w:val="000000"/>
          <w:u w:val="single"/>
        </w:rPr>
        <w:t xml:space="preserve">The Issuer and Fluent entered into an Arrangement Agreement dated as of </w:t>
      </w:r>
      <w:r w:rsidR="009E219A">
        <w:rPr>
          <w:rFonts w:ascii="Arial" w:hAnsi="Arial"/>
          <w:color w:val="000000"/>
          <w:u w:val="single"/>
        </w:rPr>
        <w:t>April 29</w:t>
      </w:r>
      <w:r>
        <w:rPr>
          <w:rFonts w:ascii="Arial" w:hAnsi="Arial"/>
          <w:color w:val="000000"/>
          <w:u w:val="single"/>
        </w:rPr>
        <w:t>, 2026</w:t>
      </w:r>
      <w:r w:rsidR="00346A4C">
        <w:rPr>
          <w:rFonts w:ascii="Arial" w:hAnsi="Arial"/>
          <w:color w:val="000000"/>
          <w:u w:val="single"/>
        </w:rPr>
        <w:t xml:space="preserve"> (the “</w:t>
      </w:r>
      <w:r w:rsidR="00346A4C">
        <w:rPr>
          <w:rFonts w:ascii="Arial" w:hAnsi="Arial"/>
          <w:b/>
          <w:bCs/>
          <w:color w:val="000000"/>
          <w:u w:val="single"/>
        </w:rPr>
        <w:t>Arrangement Agreement</w:t>
      </w:r>
      <w:r w:rsidR="00346A4C">
        <w:rPr>
          <w:rFonts w:ascii="Arial" w:hAnsi="Arial"/>
          <w:color w:val="000000"/>
          <w:u w:val="single"/>
        </w:rPr>
        <w:t>”)</w:t>
      </w:r>
      <w:r w:rsidR="00584363">
        <w:rPr>
          <w:rFonts w:ascii="Arial" w:hAnsi="Arial"/>
          <w:color w:val="000000"/>
          <w:u w:val="single"/>
        </w:rPr>
        <w:t xml:space="preserve"> in respect of the Proposed Transaction</w:t>
      </w:r>
      <w:r>
        <w:rPr>
          <w:rFonts w:ascii="Arial" w:hAnsi="Arial"/>
          <w:color w:val="000000"/>
          <w:u w:val="single"/>
        </w:rPr>
        <w:t xml:space="preserve">, pursuant to which the Issuer will acquire all of the issued and outstanding </w:t>
      </w:r>
      <w:r w:rsidR="00584363">
        <w:rPr>
          <w:rFonts w:ascii="Arial" w:hAnsi="Arial"/>
          <w:color w:val="000000"/>
          <w:u w:val="single"/>
        </w:rPr>
        <w:t>Fluent Shares</w:t>
      </w:r>
      <w:r>
        <w:rPr>
          <w:rFonts w:ascii="Arial" w:hAnsi="Arial"/>
          <w:color w:val="000000"/>
          <w:u w:val="single"/>
        </w:rPr>
        <w:t xml:space="preserve"> by way of a plan of arrangement under the </w:t>
      </w:r>
      <w:r w:rsidR="00346A4C">
        <w:rPr>
          <w:rFonts w:ascii="Arial" w:hAnsi="Arial"/>
          <w:i/>
          <w:iCs/>
          <w:color w:val="000000"/>
          <w:u w:val="single"/>
        </w:rPr>
        <w:t xml:space="preserve">Business Corporations Act </w:t>
      </w:r>
      <w:r w:rsidR="00346A4C">
        <w:rPr>
          <w:rFonts w:ascii="Arial" w:hAnsi="Arial"/>
          <w:color w:val="000000"/>
          <w:u w:val="single"/>
        </w:rPr>
        <w:t>(Ontario).</w:t>
      </w:r>
      <w:r w:rsidR="00584363">
        <w:rPr>
          <w:rFonts w:ascii="Arial" w:hAnsi="Arial"/>
          <w:color w:val="000000"/>
          <w:u w:val="single"/>
        </w:rPr>
        <w:t xml:space="preserve"> The Issuer will issue </w:t>
      </w:r>
      <w:r w:rsidR="00584363" w:rsidRPr="005D612E">
        <w:rPr>
          <w:rFonts w:ascii="Arial" w:hAnsi="Arial"/>
          <w:color w:val="000000"/>
          <w:u w:val="single"/>
        </w:rPr>
        <w:t xml:space="preserve">approximately </w:t>
      </w:r>
      <w:r w:rsidR="00584363" w:rsidRPr="00D12A8B">
        <w:rPr>
          <w:rFonts w:ascii="Arial" w:hAnsi="Arial"/>
          <w:color w:val="000000"/>
          <w:u w:val="single"/>
        </w:rPr>
        <w:t>165,000,000</w:t>
      </w:r>
      <w:r w:rsidR="00584363">
        <w:rPr>
          <w:rFonts w:ascii="Arial" w:hAnsi="Arial"/>
          <w:u w:val="single"/>
          <w:lang w:val="en-CA"/>
        </w:rPr>
        <w:t xml:space="preserve"> Shares (the “</w:t>
      </w:r>
      <w:r w:rsidR="00584363">
        <w:rPr>
          <w:rFonts w:ascii="Arial" w:hAnsi="Arial"/>
          <w:b/>
          <w:bCs/>
          <w:u w:val="single"/>
          <w:lang w:val="en-CA"/>
        </w:rPr>
        <w:t>Consideration</w:t>
      </w:r>
      <w:r w:rsidR="00584363">
        <w:rPr>
          <w:rFonts w:ascii="Arial" w:hAnsi="Arial"/>
          <w:u w:val="single"/>
          <w:lang w:val="en-CA"/>
        </w:rPr>
        <w:t xml:space="preserve">”) </w:t>
      </w:r>
      <w:r w:rsidR="00584363" w:rsidRPr="00346A4C">
        <w:rPr>
          <w:rFonts w:ascii="Arial" w:hAnsi="Arial"/>
          <w:u w:val="single"/>
          <w:lang w:val="en-CA"/>
        </w:rPr>
        <w:t>as</w:t>
      </w:r>
      <w:r w:rsidR="00584363">
        <w:rPr>
          <w:rFonts w:ascii="Arial" w:hAnsi="Arial"/>
          <w:u w:val="single"/>
          <w:lang w:val="en-CA"/>
        </w:rPr>
        <w:t xml:space="preserve"> the closing consideration for the Proposed Transaction. </w:t>
      </w:r>
      <w:r w:rsidR="00584363" w:rsidRPr="00584363">
        <w:rPr>
          <w:rFonts w:ascii="Arial" w:hAnsi="Arial"/>
          <w:color w:val="000000"/>
          <w:u w:val="single"/>
        </w:rPr>
        <w:t xml:space="preserve">Additional details of the </w:t>
      </w:r>
      <w:r w:rsidR="00584363">
        <w:rPr>
          <w:rFonts w:ascii="Arial" w:hAnsi="Arial"/>
          <w:color w:val="000000"/>
          <w:u w:val="single"/>
        </w:rPr>
        <w:t xml:space="preserve">Proposed </w:t>
      </w:r>
      <w:r w:rsidR="00584363" w:rsidRPr="00584363">
        <w:rPr>
          <w:rFonts w:ascii="Arial" w:hAnsi="Arial"/>
          <w:color w:val="000000"/>
          <w:u w:val="single"/>
        </w:rPr>
        <w:t xml:space="preserve">Transaction will be described in the management information circular </w:t>
      </w:r>
      <w:r w:rsidR="00DF1F1D">
        <w:rPr>
          <w:rFonts w:ascii="Arial" w:hAnsi="Arial"/>
          <w:color w:val="000000"/>
          <w:u w:val="single"/>
        </w:rPr>
        <w:t xml:space="preserve">of Fluent </w:t>
      </w:r>
      <w:r w:rsidR="00584363" w:rsidRPr="00584363">
        <w:rPr>
          <w:rFonts w:ascii="Arial" w:hAnsi="Arial"/>
          <w:color w:val="000000"/>
          <w:u w:val="single"/>
        </w:rPr>
        <w:t>(the “</w:t>
      </w:r>
      <w:r w:rsidR="00584363" w:rsidRPr="00584363">
        <w:rPr>
          <w:rFonts w:ascii="Arial" w:hAnsi="Arial"/>
          <w:b/>
          <w:bCs/>
          <w:color w:val="000000"/>
          <w:u w:val="single"/>
        </w:rPr>
        <w:t>Circular</w:t>
      </w:r>
      <w:r w:rsidR="00584363" w:rsidRPr="00584363">
        <w:rPr>
          <w:rFonts w:ascii="Arial" w:hAnsi="Arial"/>
          <w:color w:val="000000"/>
          <w:u w:val="single"/>
        </w:rPr>
        <w:t xml:space="preserve">”) that will be mailed to </w:t>
      </w:r>
      <w:r w:rsidR="00584363">
        <w:rPr>
          <w:rFonts w:ascii="Arial" w:hAnsi="Arial"/>
          <w:color w:val="000000"/>
          <w:u w:val="single"/>
        </w:rPr>
        <w:t>Fluen</w:t>
      </w:r>
      <w:r w:rsidR="00584363" w:rsidRPr="00584363">
        <w:rPr>
          <w:rFonts w:ascii="Arial" w:hAnsi="Arial"/>
          <w:color w:val="000000"/>
          <w:u w:val="single"/>
        </w:rPr>
        <w:t xml:space="preserve">t Shareholders in connection with a special meeting of </w:t>
      </w:r>
      <w:r w:rsidR="00584363">
        <w:rPr>
          <w:rFonts w:ascii="Arial" w:hAnsi="Arial"/>
          <w:color w:val="000000"/>
          <w:u w:val="single"/>
        </w:rPr>
        <w:t xml:space="preserve">Fluent </w:t>
      </w:r>
      <w:r w:rsidR="00584363" w:rsidRPr="00584363">
        <w:rPr>
          <w:rFonts w:ascii="Arial" w:hAnsi="Arial"/>
          <w:color w:val="000000"/>
          <w:u w:val="single"/>
        </w:rPr>
        <w:t>Shareholders (the “</w:t>
      </w:r>
      <w:r w:rsidR="00584363" w:rsidRPr="00584363">
        <w:rPr>
          <w:rFonts w:ascii="Arial" w:hAnsi="Arial"/>
          <w:b/>
          <w:bCs/>
          <w:color w:val="000000"/>
          <w:u w:val="single"/>
        </w:rPr>
        <w:t>Meeting</w:t>
      </w:r>
      <w:r w:rsidR="00584363" w:rsidRPr="00584363">
        <w:rPr>
          <w:rFonts w:ascii="Arial" w:hAnsi="Arial"/>
          <w:color w:val="000000"/>
          <w:u w:val="single"/>
        </w:rPr>
        <w:t xml:space="preserve">”) expected to </w:t>
      </w:r>
      <w:r w:rsidR="00584363" w:rsidRPr="00DF1F1D">
        <w:rPr>
          <w:rFonts w:ascii="Arial" w:hAnsi="Arial"/>
          <w:color w:val="000000"/>
          <w:u w:val="single"/>
        </w:rPr>
        <w:t>be held in the second quarter</w:t>
      </w:r>
      <w:r w:rsidR="00584363">
        <w:rPr>
          <w:rFonts w:ascii="Arial" w:hAnsi="Arial"/>
          <w:color w:val="000000"/>
          <w:u w:val="single"/>
        </w:rPr>
        <w:t xml:space="preserve"> of 2026</w:t>
      </w:r>
      <w:r w:rsidR="00584363" w:rsidRPr="00584363">
        <w:rPr>
          <w:rFonts w:ascii="Arial" w:hAnsi="Arial"/>
          <w:color w:val="000000"/>
          <w:u w:val="single"/>
        </w:rPr>
        <w:t xml:space="preserve"> to approve the </w:t>
      </w:r>
      <w:r w:rsidR="00584363">
        <w:rPr>
          <w:rFonts w:ascii="Arial" w:hAnsi="Arial"/>
          <w:color w:val="000000"/>
          <w:u w:val="single"/>
        </w:rPr>
        <w:t xml:space="preserve">Proposed </w:t>
      </w:r>
      <w:r w:rsidR="00584363" w:rsidRPr="00584363">
        <w:rPr>
          <w:rFonts w:ascii="Arial" w:hAnsi="Arial"/>
          <w:color w:val="000000"/>
          <w:u w:val="single"/>
        </w:rPr>
        <w:t>Transaction.</w:t>
      </w:r>
    </w:p>
    <w:p w14:paraId="3451B34C" w14:textId="13D02038" w:rsidR="00584363" w:rsidRDefault="00346A4C" w:rsidP="00EE6E68">
      <w:pPr>
        <w:pStyle w:val="List"/>
        <w:tabs>
          <w:tab w:val="left" w:pos="9180"/>
        </w:tabs>
        <w:ind w:firstLine="0"/>
        <w:jc w:val="both"/>
        <w:rPr>
          <w:rFonts w:ascii="Arial" w:hAnsi="Arial"/>
          <w:color w:val="000000"/>
          <w:u w:val="single"/>
        </w:rPr>
      </w:pPr>
      <w:r>
        <w:rPr>
          <w:rFonts w:ascii="Arial" w:hAnsi="Arial"/>
          <w:color w:val="000000"/>
          <w:u w:val="single"/>
        </w:rPr>
        <w:t>The Proposed Transaction will be completed as soon as possible, upon satisfaction of the conditions set out in the Arrangement Agreement</w:t>
      </w:r>
      <w:r w:rsidR="00584363">
        <w:rPr>
          <w:rFonts w:ascii="Arial" w:hAnsi="Arial"/>
          <w:color w:val="000000"/>
          <w:u w:val="single"/>
        </w:rPr>
        <w:t xml:space="preserve"> including, among other things, </w:t>
      </w:r>
      <w:r w:rsidR="00584363" w:rsidRPr="00584363">
        <w:rPr>
          <w:rFonts w:ascii="Arial" w:hAnsi="Arial"/>
          <w:color w:val="000000"/>
          <w:u w:val="single"/>
        </w:rPr>
        <w:t xml:space="preserve">the receipt of the necessary approvals of the </w:t>
      </w:r>
      <w:r w:rsidR="00584363">
        <w:rPr>
          <w:rFonts w:ascii="Arial" w:hAnsi="Arial"/>
          <w:color w:val="000000"/>
          <w:u w:val="single"/>
        </w:rPr>
        <w:t>Ontario Superior Court of Justice</w:t>
      </w:r>
      <w:r w:rsidR="00584363" w:rsidRPr="00584363">
        <w:rPr>
          <w:rFonts w:ascii="Arial" w:hAnsi="Arial"/>
          <w:color w:val="000000"/>
          <w:u w:val="single"/>
        </w:rPr>
        <w:t xml:space="preserve">, the approval of </w:t>
      </w:r>
      <w:r w:rsidR="00584363">
        <w:rPr>
          <w:rFonts w:ascii="Arial" w:hAnsi="Arial"/>
          <w:color w:val="000000"/>
          <w:u w:val="single"/>
        </w:rPr>
        <w:t>the</w:t>
      </w:r>
      <w:r w:rsidR="00584363" w:rsidRPr="00584363">
        <w:rPr>
          <w:rFonts w:ascii="Arial" w:hAnsi="Arial"/>
          <w:color w:val="000000"/>
          <w:u w:val="single"/>
        </w:rPr>
        <w:t xml:space="preserve"> </w:t>
      </w:r>
      <w:r w:rsidR="00584363">
        <w:rPr>
          <w:rFonts w:ascii="Arial" w:hAnsi="Arial"/>
          <w:color w:val="000000"/>
          <w:u w:val="single"/>
        </w:rPr>
        <w:t>Fluent</w:t>
      </w:r>
      <w:r w:rsidR="00584363" w:rsidRPr="00584363">
        <w:rPr>
          <w:rFonts w:ascii="Arial" w:hAnsi="Arial"/>
          <w:color w:val="000000"/>
          <w:u w:val="single"/>
        </w:rPr>
        <w:t xml:space="preserve"> Shareholders at the Meeting, receipt of the required regulatory approvals and other customary conditions of closing</w:t>
      </w:r>
      <w:r>
        <w:rPr>
          <w:rFonts w:ascii="Arial" w:hAnsi="Arial"/>
          <w:color w:val="000000"/>
          <w:u w:val="single"/>
        </w:rPr>
        <w:t xml:space="preserve">. </w:t>
      </w:r>
      <w:r w:rsidR="00872362">
        <w:rPr>
          <w:rFonts w:ascii="Arial" w:hAnsi="Arial"/>
          <w:color w:val="000000"/>
          <w:u w:val="single"/>
        </w:rPr>
        <w:t xml:space="preserve"> Approval of the Issuer’s shareholders is not required. </w:t>
      </w:r>
    </w:p>
    <w:p w14:paraId="26CFF340" w14:textId="528E93F8" w:rsidR="00EA4133" w:rsidRPr="00EE6E68" w:rsidRDefault="00346A4C" w:rsidP="00EE6E68">
      <w:pPr>
        <w:pStyle w:val="List"/>
        <w:tabs>
          <w:tab w:val="left" w:pos="9180"/>
        </w:tabs>
        <w:ind w:firstLine="0"/>
        <w:jc w:val="both"/>
        <w:rPr>
          <w:rFonts w:ascii="Arial" w:hAnsi="Arial"/>
          <w:u w:val="single"/>
          <w:lang w:val="en-CA"/>
        </w:rPr>
      </w:pPr>
      <w:r>
        <w:rPr>
          <w:rFonts w:ascii="Arial" w:hAnsi="Arial"/>
          <w:color w:val="000000"/>
          <w:u w:val="single"/>
        </w:rPr>
        <w:t xml:space="preserve">Fluent and the Issuer are arm’s length parties. </w:t>
      </w:r>
    </w:p>
    <w:p w14:paraId="12B3ACEE" w14:textId="77777777" w:rsidR="00EA4133" w:rsidRDefault="00EA4133">
      <w:pPr>
        <w:pStyle w:val="List"/>
        <w:numPr>
          <w:ilvl w:val="0"/>
          <w:numId w:val="16"/>
        </w:numPr>
        <w:jc w:val="both"/>
        <w:rPr>
          <w:rFonts w:ascii="Arial" w:hAnsi="Arial"/>
          <w:color w:val="000000"/>
        </w:rPr>
      </w:pPr>
      <w:r>
        <w:rPr>
          <w:rFonts w:ascii="Arial" w:hAnsi="Arial"/>
          <w:color w:val="000000"/>
        </w:rPr>
        <w:t>Provide the following information in relation to the total consideration for the acquisition (including details of all cash, securities or other consideration) and any required work commitments:</w:t>
      </w:r>
    </w:p>
    <w:p w14:paraId="11FDCF4D" w14:textId="51ABD618" w:rsidR="00EA4133" w:rsidRPr="00DC2C64" w:rsidRDefault="00EA4133" w:rsidP="00872362">
      <w:pPr>
        <w:pStyle w:val="List"/>
        <w:numPr>
          <w:ilvl w:val="0"/>
          <w:numId w:val="13"/>
        </w:numPr>
        <w:tabs>
          <w:tab w:val="left" w:pos="9180"/>
        </w:tabs>
        <w:jc w:val="both"/>
        <w:rPr>
          <w:rFonts w:ascii="Arial" w:hAnsi="Arial"/>
          <w:color w:val="000000"/>
        </w:rPr>
      </w:pPr>
      <w:r w:rsidRPr="00DC2C64">
        <w:rPr>
          <w:rFonts w:ascii="Arial" w:hAnsi="Arial"/>
          <w:color w:val="000000"/>
        </w:rPr>
        <w:t xml:space="preserve">Total aggregate consideration in Canadian dollars: </w:t>
      </w:r>
      <w:r w:rsidR="00EE6E68" w:rsidRPr="00DC2C64">
        <w:rPr>
          <w:rFonts w:ascii="Arial" w:hAnsi="Arial"/>
          <w:color w:val="000000"/>
          <w:u w:val="single"/>
        </w:rPr>
        <w:t>As of signing, the Consideration was estimated to be US$</w:t>
      </w:r>
      <w:r w:rsidR="00DF1F1D" w:rsidRPr="00DC2C64">
        <w:rPr>
          <w:rFonts w:ascii="Arial" w:hAnsi="Arial"/>
          <w:color w:val="000000"/>
          <w:u w:val="single"/>
        </w:rPr>
        <w:t>6</w:t>
      </w:r>
      <w:r w:rsidR="001D1036" w:rsidRPr="00DC2C64">
        <w:rPr>
          <w:rFonts w:ascii="Arial" w:hAnsi="Arial"/>
          <w:color w:val="000000"/>
          <w:u w:val="single"/>
        </w:rPr>
        <w:t>9</w:t>
      </w:r>
      <w:r w:rsidR="00FA7D85">
        <w:rPr>
          <w:rFonts w:ascii="Arial" w:hAnsi="Arial"/>
          <w:color w:val="000000"/>
          <w:u w:val="single"/>
        </w:rPr>
        <w:t xml:space="preserve">,300,000 </w:t>
      </w:r>
      <w:r w:rsidR="00EE6E68" w:rsidRPr="00DC2C64">
        <w:rPr>
          <w:rFonts w:ascii="Arial" w:hAnsi="Arial"/>
          <w:color w:val="000000"/>
          <w:u w:val="single"/>
        </w:rPr>
        <w:lastRenderedPageBreak/>
        <w:t>(CAD$</w:t>
      </w:r>
      <w:r w:rsidR="00DF1F1D" w:rsidRPr="00DC2C64">
        <w:rPr>
          <w:rFonts w:ascii="Arial" w:hAnsi="Arial"/>
          <w:color w:val="000000"/>
          <w:u w:val="single"/>
        </w:rPr>
        <w:t>9</w:t>
      </w:r>
      <w:r w:rsidR="001D1036" w:rsidRPr="00DC2C64">
        <w:rPr>
          <w:rFonts w:ascii="Arial" w:hAnsi="Arial"/>
          <w:color w:val="000000"/>
          <w:u w:val="single"/>
        </w:rPr>
        <w:t>5</w:t>
      </w:r>
      <w:r w:rsidR="00DF1F1D" w:rsidRPr="00DC2C64">
        <w:rPr>
          <w:rFonts w:ascii="Arial" w:hAnsi="Arial"/>
          <w:color w:val="000000"/>
          <w:u w:val="single"/>
        </w:rPr>
        <w:t>,</w:t>
      </w:r>
      <w:r w:rsidR="001D1036" w:rsidRPr="00DC2C64">
        <w:rPr>
          <w:rFonts w:ascii="Arial" w:hAnsi="Arial"/>
          <w:color w:val="000000"/>
          <w:u w:val="single"/>
        </w:rPr>
        <w:t>700</w:t>
      </w:r>
      <w:r w:rsidR="00DF1F1D" w:rsidRPr="00DC2C64">
        <w:rPr>
          <w:rFonts w:ascii="Arial" w:hAnsi="Arial"/>
          <w:color w:val="000000"/>
          <w:u w:val="single"/>
        </w:rPr>
        <w:t>,000</w:t>
      </w:r>
      <w:r w:rsidR="00872362" w:rsidRPr="00DC2C64">
        <w:rPr>
          <w:rFonts w:ascii="Arial" w:hAnsi="Arial"/>
          <w:color w:val="000000"/>
          <w:u w:val="single"/>
        </w:rPr>
        <w:t xml:space="preserve"> using the Bank of Canada closing exchange rate on </w:t>
      </w:r>
      <w:r w:rsidR="009E219A" w:rsidRPr="00DC2C64">
        <w:rPr>
          <w:rFonts w:ascii="Arial" w:hAnsi="Arial"/>
          <w:color w:val="000000"/>
          <w:u w:val="single"/>
        </w:rPr>
        <w:t>April 29</w:t>
      </w:r>
      <w:r w:rsidR="00872362" w:rsidRPr="00DC2C64">
        <w:rPr>
          <w:rFonts w:ascii="Arial" w:hAnsi="Arial"/>
          <w:color w:val="000000"/>
          <w:u w:val="single"/>
        </w:rPr>
        <w:t xml:space="preserve">, 2026, based on the closing price of the Shares on </w:t>
      </w:r>
      <w:r w:rsidR="009E219A" w:rsidRPr="00DC2C64">
        <w:rPr>
          <w:rFonts w:ascii="Arial" w:hAnsi="Arial"/>
          <w:color w:val="000000"/>
          <w:u w:val="single"/>
        </w:rPr>
        <w:t>April 29</w:t>
      </w:r>
      <w:r w:rsidR="00872362" w:rsidRPr="00DC2C64">
        <w:rPr>
          <w:rFonts w:ascii="Arial" w:hAnsi="Arial"/>
          <w:color w:val="000000"/>
          <w:u w:val="single"/>
        </w:rPr>
        <w:t>, 2026</w:t>
      </w:r>
      <w:r w:rsidR="00EE6E68" w:rsidRPr="00DC2C64">
        <w:rPr>
          <w:rFonts w:ascii="Arial" w:hAnsi="Arial"/>
          <w:color w:val="000000"/>
          <w:u w:val="single"/>
        </w:rPr>
        <w:t>)</w:t>
      </w:r>
      <w:r w:rsidRPr="00DC2C64">
        <w:rPr>
          <w:rFonts w:ascii="Arial" w:hAnsi="Arial"/>
          <w:color w:val="000000"/>
        </w:rPr>
        <w:t>.</w:t>
      </w:r>
    </w:p>
    <w:p w14:paraId="51067039" w14:textId="1D5856E0" w:rsidR="00EA4133" w:rsidRPr="00DC2C64" w:rsidRDefault="00EA4133">
      <w:pPr>
        <w:pStyle w:val="List"/>
        <w:numPr>
          <w:ilvl w:val="0"/>
          <w:numId w:val="13"/>
        </w:numPr>
        <w:tabs>
          <w:tab w:val="left" w:pos="2160"/>
          <w:tab w:val="left" w:pos="9180"/>
        </w:tabs>
        <w:rPr>
          <w:rFonts w:ascii="Arial" w:hAnsi="Arial"/>
          <w:color w:val="000000"/>
        </w:rPr>
      </w:pPr>
      <w:r w:rsidRPr="00DC2C64">
        <w:rPr>
          <w:rFonts w:ascii="Arial" w:hAnsi="Arial"/>
          <w:color w:val="000000"/>
        </w:rPr>
        <w:t xml:space="preserve">Cash: </w:t>
      </w:r>
      <w:r w:rsidR="00EE6E68" w:rsidRPr="00DC2C64">
        <w:rPr>
          <w:rFonts w:ascii="Arial" w:hAnsi="Arial"/>
          <w:color w:val="000000"/>
          <w:u w:val="single"/>
        </w:rPr>
        <w:t>Nil</w:t>
      </w:r>
      <w:r w:rsidRPr="00DC2C64">
        <w:rPr>
          <w:rFonts w:ascii="Arial" w:hAnsi="Arial"/>
          <w:color w:val="000000"/>
        </w:rPr>
        <w:t>.</w:t>
      </w:r>
    </w:p>
    <w:p w14:paraId="0EE18080" w14:textId="514072A6" w:rsidR="00EA4133" w:rsidRPr="00DC2C64" w:rsidRDefault="00EA4133" w:rsidP="00872362">
      <w:pPr>
        <w:pStyle w:val="List"/>
        <w:numPr>
          <w:ilvl w:val="0"/>
          <w:numId w:val="13"/>
        </w:numPr>
        <w:tabs>
          <w:tab w:val="left" w:pos="2160"/>
          <w:tab w:val="left" w:pos="9180"/>
        </w:tabs>
        <w:jc w:val="both"/>
        <w:rPr>
          <w:rFonts w:ascii="Arial" w:hAnsi="Arial"/>
          <w:color w:val="000000"/>
        </w:rPr>
      </w:pPr>
      <w:r w:rsidRPr="00DC2C64">
        <w:rPr>
          <w:rFonts w:ascii="Arial" w:hAnsi="Arial"/>
          <w:color w:val="000000"/>
        </w:rPr>
        <w:t xml:space="preserve">Securities (including options, warrants etc.) and dollar value: </w:t>
      </w:r>
      <w:r w:rsidR="00872362" w:rsidRPr="00DC2C64">
        <w:rPr>
          <w:rFonts w:ascii="Arial" w:hAnsi="Arial"/>
          <w:u w:val="single"/>
          <w:lang w:val="en-CA"/>
        </w:rPr>
        <w:t>165,000,000</w:t>
      </w:r>
      <w:r w:rsidR="00EE6E68" w:rsidRPr="00DC2C64">
        <w:rPr>
          <w:rFonts w:ascii="Arial" w:hAnsi="Arial"/>
          <w:u w:val="single"/>
          <w:lang w:val="en-CA"/>
        </w:rPr>
        <w:t xml:space="preserve"> Shares at US$</w:t>
      </w:r>
      <w:r w:rsidR="00DF1F1D" w:rsidRPr="00DC2C64">
        <w:rPr>
          <w:rFonts w:ascii="Arial" w:hAnsi="Arial"/>
          <w:u w:val="single"/>
          <w:lang w:val="en-CA"/>
        </w:rPr>
        <w:t>0.42</w:t>
      </w:r>
      <w:r w:rsidR="00EE6E68" w:rsidRPr="00DC2C64">
        <w:rPr>
          <w:rFonts w:ascii="Arial" w:hAnsi="Arial"/>
          <w:u w:val="single"/>
          <w:lang w:val="en-CA"/>
        </w:rPr>
        <w:t xml:space="preserve"> per Share</w:t>
      </w:r>
      <w:r w:rsidR="00872362" w:rsidRPr="00DC2C64">
        <w:rPr>
          <w:rFonts w:ascii="Arial" w:hAnsi="Arial"/>
          <w:u w:val="single"/>
          <w:lang w:val="en-CA"/>
        </w:rPr>
        <w:t xml:space="preserve"> </w:t>
      </w:r>
      <w:r w:rsidR="00872362" w:rsidRPr="00DC2C64">
        <w:rPr>
          <w:rFonts w:ascii="Arial" w:hAnsi="Arial"/>
          <w:color w:val="000000"/>
          <w:u w:val="single"/>
        </w:rPr>
        <w:t>(CAD$</w:t>
      </w:r>
      <w:r w:rsidR="00DF1F1D" w:rsidRPr="00DC2C64">
        <w:rPr>
          <w:rFonts w:ascii="Arial" w:hAnsi="Arial"/>
          <w:color w:val="000000"/>
          <w:u w:val="single"/>
        </w:rPr>
        <w:t>0.5</w:t>
      </w:r>
      <w:r w:rsidR="001D1036" w:rsidRPr="00DC2C64">
        <w:rPr>
          <w:rFonts w:ascii="Arial" w:hAnsi="Arial"/>
          <w:color w:val="000000"/>
          <w:u w:val="single"/>
        </w:rPr>
        <w:t>8</w:t>
      </w:r>
      <w:r w:rsidR="00872362" w:rsidRPr="00DC2C64">
        <w:rPr>
          <w:rFonts w:ascii="Arial" w:hAnsi="Arial"/>
          <w:color w:val="000000"/>
          <w:u w:val="single"/>
        </w:rPr>
        <w:t xml:space="preserve"> per Share using the Bank of Canada closing exchange rate on </w:t>
      </w:r>
      <w:r w:rsidR="009E219A" w:rsidRPr="00DC2C64">
        <w:rPr>
          <w:rFonts w:ascii="Arial" w:hAnsi="Arial"/>
          <w:color w:val="000000"/>
          <w:u w:val="single"/>
        </w:rPr>
        <w:t>April 29</w:t>
      </w:r>
      <w:r w:rsidR="00872362" w:rsidRPr="00DC2C64">
        <w:rPr>
          <w:rFonts w:ascii="Arial" w:hAnsi="Arial"/>
          <w:color w:val="000000"/>
          <w:u w:val="single"/>
        </w:rPr>
        <w:t xml:space="preserve">, 2026, based on the closing price of the Shares on </w:t>
      </w:r>
      <w:r w:rsidR="009E219A" w:rsidRPr="00DC2C64">
        <w:rPr>
          <w:rFonts w:ascii="Arial" w:hAnsi="Arial"/>
          <w:color w:val="000000"/>
          <w:u w:val="single"/>
        </w:rPr>
        <w:t>April 29</w:t>
      </w:r>
      <w:r w:rsidR="00872362" w:rsidRPr="00DC2C64">
        <w:rPr>
          <w:rFonts w:ascii="Arial" w:hAnsi="Arial"/>
          <w:color w:val="000000"/>
          <w:u w:val="single"/>
        </w:rPr>
        <w:t>, 2026)</w:t>
      </w:r>
      <w:r w:rsidR="00EE6E68" w:rsidRPr="00DC2C64">
        <w:rPr>
          <w:rFonts w:ascii="Arial" w:hAnsi="Arial"/>
          <w:u w:val="single"/>
          <w:lang w:val="en-CA"/>
        </w:rPr>
        <w:t xml:space="preserve">. </w:t>
      </w:r>
    </w:p>
    <w:p w14:paraId="7C0B5562" w14:textId="0A3E4BE2" w:rsidR="00EA4133" w:rsidRPr="00DC2C64" w:rsidRDefault="00EA4133">
      <w:pPr>
        <w:pStyle w:val="List"/>
        <w:numPr>
          <w:ilvl w:val="0"/>
          <w:numId w:val="13"/>
        </w:numPr>
        <w:tabs>
          <w:tab w:val="left" w:pos="2160"/>
          <w:tab w:val="left" w:pos="9180"/>
        </w:tabs>
        <w:rPr>
          <w:rFonts w:ascii="Arial" w:hAnsi="Arial"/>
          <w:color w:val="000000"/>
        </w:rPr>
      </w:pPr>
      <w:r w:rsidRPr="00DC2C64">
        <w:rPr>
          <w:rFonts w:ascii="Arial" w:hAnsi="Arial"/>
          <w:color w:val="000000"/>
        </w:rPr>
        <w:t>Other:</w:t>
      </w:r>
      <w:r w:rsidR="0024011E" w:rsidRPr="00DC2C64">
        <w:rPr>
          <w:rFonts w:ascii="Arial" w:hAnsi="Arial"/>
          <w:color w:val="000000"/>
        </w:rPr>
        <w:t xml:space="preserve"> </w:t>
      </w:r>
      <w:r w:rsidR="0024011E" w:rsidRPr="00DC2C64">
        <w:rPr>
          <w:rFonts w:ascii="Arial" w:hAnsi="Arial"/>
          <w:color w:val="000000"/>
          <w:u w:val="single"/>
        </w:rPr>
        <w:t>N/A</w:t>
      </w:r>
      <w:r w:rsidRPr="00DC2C64">
        <w:rPr>
          <w:rFonts w:ascii="Arial" w:hAnsi="Arial"/>
          <w:color w:val="000000"/>
        </w:rPr>
        <w:t>.</w:t>
      </w:r>
    </w:p>
    <w:p w14:paraId="59D79B38" w14:textId="0E48DD17" w:rsidR="00EA4133" w:rsidRPr="00DC2C64" w:rsidRDefault="00EA4133" w:rsidP="00B76AEE">
      <w:pPr>
        <w:pStyle w:val="List"/>
        <w:numPr>
          <w:ilvl w:val="0"/>
          <w:numId w:val="13"/>
        </w:numPr>
        <w:tabs>
          <w:tab w:val="left" w:pos="2160"/>
          <w:tab w:val="left" w:pos="9180"/>
        </w:tabs>
        <w:jc w:val="both"/>
        <w:rPr>
          <w:rFonts w:ascii="Arial" w:hAnsi="Arial"/>
          <w:color w:val="000000"/>
        </w:rPr>
      </w:pPr>
      <w:r w:rsidRPr="00DC2C64">
        <w:rPr>
          <w:rFonts w:ascii="Arial" w:hAnsi="Arial"/>
          <w:color w:val="000000"/>
        </w:rPr>
        <w:t xml:space="preserve">Expiry date of options, warrants, etc. if any: </w:t>
      </w:r>
      <w:r w:rsidR="00BD26A3" w:rsidRPr="00DC2C64">
        <w:rPr>
          <w:rFonts w:ascii="Arial" w:hAnsi="Arial"/>
          <w:color w:val="000000"/>
          <w:u w:val="single"/>
        </w:rPr>
        <w:t>Prior to the effective time of the Proposed Transaction, each outstanding Fluent option will vest and become fully exercisable, and any Fluent option that remains unexercised will be terminated for no consideration. Each outstanding Fluent RSU will vest in full and be settled in Fluent Shares immediately prior to the effective time of the Proposed Transaction. In connection with the closing of the Proposed Transaction, Fluent’s stock option plan, Fluent’s restricted share unit plan, and all agreements governing Fluent options and Fluent RSUs will be terminated.</w:t>
      </w:r>
    </w:p>
    <w:p w14:paraId="3F6A8EAF" w14:textId="4E2A6B48" w:rsidR="00EA4133" w:rsidRPr="00DC2C64" w:rsidRDefault="00EA4133">
      <w:pPr>
        <w:pStyle w:val="List"/>
        <w:numPr>
          <w:ilvl w:val="0"/>
          <w:numId w:val="13"/>
        </w:numPr>
        <w:tabs>
          <w:tab w:val="left" w:pos="2160"/>
          <w:tab w:val="left" w:pos="9180"/>
        </w:tabs>
        <w:rPr>
          <w:rFonts w:ascii="Arial" w:hAnsi="Arial"/>
          <w:color w:val="000000"/>
        </w:rPr>
      </w:pPr>
      <w:r w:rsidRPr="00DC2C64">
        <w:rPr>
          <w:rFonts w:ascii="Arial" w:hAnsi="Arial"/>
          <w:color w:val="000000"/>
        </w:rPr>
        <w:t xml:space="preserve">Exercise price of options, warrants, etc. if any: </w:t>
      </w:r>
      <w:r w:rsidR="0024011E" w:rsidRPr="00DC2C64">
        <w:rPr>
          <w:rFonts w:ascii="Arial" w:hAnsi="Arial"/>
          <w:color w:val="000000"/>
          <w:u w:val="single"/>
        </w:rPr>
        <w:t>N/A</w:t>
      </w:r>
      <w:r w:rsidRPr="00DC2C64">
        <w:rPr>
          <w:rFonts w:ascii="Arial" w:hAnsi="Arial"/>
          <w:color w:val="000000"/>
        </w:rPr>
        <w:t>.</w:t>
      </w:r>
    </w:p>
    <w:p w14:paraId="75F09328" w14:textId="4C6299EC" w:rsidR="00EA4133" w:rsidRPr="00DC2C64" w:rsidRDefault="00EA4133">
      <w:pPr>
        <w:pStyle w:val="List"/>
        <w:numPr>
          <w:ilvl w:val="0"/>
          <w:numId w:val="13"/>
        </w:numPr>
        <w:tabs>
          <w:tab w:val="left" w:pos="2160"/>
          <w:tab w:val="left" w:pos="9180"/>
        </w:tabs>
        <w:rPr>
          <w:rFonts w:ascii="Arial" w:hAnsi="Arial"/>
          <w:color w:val="000000"/>
        </w:rPr>
      </w:pPr>
      <w:r w:rsidRPr="00DC2C64">
        <w:rPr>
          <w:rFonts w:ascii="Arial" w:hAnsi="Arial"/>
          <w:color w:val="000000"/>
        </w:rPr>
        <w:t xml:space="preserve">Work commitments: </w:t>
      </w:r>
      <w:r w:rsidR="0024011E" w:rsidRPr="00DC2C64">
        <w:rPr>
          <w:rFonts w:ascii="Arial" w:hAnsi="Arial"/>
          <w:color w:val="000000"/>
          <w:u w:val="single"/>
        </w:rPr>
        <w:t>N/A</w:t>
      </w:r>
      <w:r w:rsidRPr="00DC2C64">
        <w:rPr>
          <w:rFonts w:ascii="Arial" w:hAnsi="Arial"/>
          <w:color w:val="000000"/>
        </w:rPr>
        <w:t xml:space="preserve"> .</w:t>
      </w:r>
    </w:p>
    <w:p w14:paraId="294A5F97" w14:textId="5F1AC902" w:rsidR="00EA4133" w:rsidRPr="00DC2C64" w:rsidRDefault="00EA4133">
      <w:pPr>
        <w:pStyle w:val="List"/>
        <w:numPr>
          <w:ilvl w:val="0"/>
          <w:numId w:val="16"/>
        </w:numPr>
        <w:tabs>
          <w:tab w:val="left" w:pos="9180"/>
        </w:tabs>
        <w:rPr>
          <w:rFonts w:ascii="Arial" w:hAnsi="Arial"/>
          <w:color w:val="000000"/>
        </w:rPr>
      </w:pPr>
      <w:r w:rsidRPr="00DC2C64">
        <w:rPr>
          <w:rFonts w:ascii="Arial" w:hAnsi="Arial"/>
          <w:color w:val="000000"/>
        </w:rPr>
        <w:t>State how the purchase or sale price was determined (e.g. arm’s-length negotiation, independent committee of the Board, third party valuation etc).</w:t>
      </w:r>
      <w:r w:rsidR="0024011E" w:rsidRPr="00DC2C64">
        <w:rPr>
          <w:rFonts w:ascii="Arial" w:hAnsi="Arial"/>
          <w:color w:val="000000"/>
        </w:rPr>
        <w:t xml:space="preserve"> </w:t>
      </w:r>
      <w:r w:rsidR="0024011E" w:rsidRPr="00DC2C64">
        <w:rPr>
          <w:rFonts w:ascii="Arial" w:hAnsi="Arial"/>
          <w:color w:val="000000"/>
          <w:u w:val="single"/>
        </w:rPr>
        <w:t xml:space="preserve">The </w:t>
      </w:r>
      <w:r w:rsidR="00F405DE" w:rsidRPr="00DC2C64">
        <w:rPr>
          <w:rFonts w:ascii="Arial" w:hAnsi="Arial"/>
          <w:color w:val="000000"/>
          <w:u w:val="single"/>
        </w:rPr>
        <w:t>terms of the Arrangement Agreement were</w:t>
      </w:r>
      <w:r w:rsidR="0024011E" w:rsidRPr="00DC2C64">
        <w:rPr>
          <w:rFonts w:ascii="Arial" w:hAnsi="Arial"/>
          <w:color w:val="000000"/>
          <w:u w:val="single"/>
        </w:rPr>
        <w:t xml:space="preserve"> determined by arm’s length negotiation.</w:t>
      </w:r>
    </w:p>
    <w:p w14:paraId="6F132E51" w14:textId="6404C4ED" w:rsidR="00EA4133" w:rsidRPr="00DC2C64" w:rsidRDefault="00EA4133" w:rsidP="0024011E">
      <w:pPr>
        <w:pStyle w:val="List"/>
        <w:numPr>
          <w:ilvl w:val="0"/>
          <w:numId w:val="16"/>
        </w:numPr>
        <w:tabs>
          <w:tab w:val="left" w:pos="9180"/>
        </w:tabs>
        <w:rPr>
          <w:rFonts w:ascii="Arial" w:hAnsi="Arial"/>
          <w:color w:val="000000"/>
        </w:rPr>
      </w:pPr>
      <w:r w:rsidRPr="00DC2C64">
        <w:rPr>
          <w:rFonts w:ascii="Arial" w:hAnsi="Arial"/>
          <w:color w:val="000000"/>
        </w:rPr>
        <w:t>Provide details of any appraisal or valuation of the subject of the acquisition known to management of the Issuer:</w:t>
      </w:r>
      <w:r w:rsidR="0024011E" w:rsidRPr="00DC2C64">
        <w:rPr>
          <w:rFonts w:ascii="Arial" w:hAnsi="Arial"/>
          <w:color w:val="000000"/>
        </w:rPr>
        <w:t xml:space="preserve"> </w:t>
      </w:r>
      <w:r w:rsidR="00F405DE" w:rsidRPr="00DC2C64">
        <w:rPr>
          <w:rFonts w:ascii="Arial" w:hAnsi="Arial"/>
          <w:color w:val="000000"/>
          <w:u w:val="single"/>
        </w:rPr>
        <w:t>N/A.</w:t>
      </w:r>
    </w:p>
    <w:p w14:paraId="75E11F98" w14:textId="77777777" w:rsidR="0024011E" w:rsidRPr="00DC2C64" w:rsidRDefault="00EA4133">
      <w:pPr>
        <w:pStyle w:val="List"/>
        <w:numPr>
          <w:ilvl w:val="0"/>
          <w:numId w:val="16"/>
        </w:numPr>
        <w:jc w:val="both"/>
        <w:rPr>
          <w:rFonts w:ascii="Arial" w:hAnsi="Arial"/>
          <w:color w:val="000000"/>
        </w:rPr>
      </w:pPr>
      <w:r w:rsidRPr="00DC2C64">
        <w:rPr>
          <w:rFonts w:ascii="Arial" w:hAnsi="Arial"/>
          <w:color w:val="000000"/>
        </w:rPr>
        <w:t>The names of parties receiving securities of the Issuer pursuant to the acquisition and the number of securities to be issued are described as follows:</w:t>
      </w:r>
    </w:p>
    <w:p w14:paraId="271A1C20" w14:textId="77777777" w:rsidR="0024011E" w:rsidRPr="00DC2C64" w:rsidRDefault="0024011E" w:rsidP="0024011E">
      <w:pPr>
        <w:pStyle w:val="List"/>
        <w:ind w:left="0" w:firstLine="426"/>
        <w:jc w:val="both"/>
        <w:rPr>
          <w:rFonts w:ascii="Arial" w:hAnsi="Arial"/>
          <w:color w:val="000000"/>
        </w:rPr>
      </w:pPr>
    </w:p>
    <w:tbl>
      <w:tblPr>
        <w:tblStyle w:val="TableGrid"/>
        <w:tblW w:w="0" w:type="auto"/>
        <w:tblInd w:w="421" w:type="dxa"/>
        <w:tblLook w:val="04A0" w:firstRow="1" w:lastRow="0" w:firstColumn="1" w:lastColumn="0" w:noHBand="0" w:noVBand="1"/>
      </w:tblPr>
      <w:tblGrid>
        <w:gridCol w:w="1268"/>
        <w:gridCol w:w="1329"/>
        <w:gridCol w:w="1087"/>
        <w:gridCol w:w="1347"/>
        <w:gridCol w:w="1306"/>
        <w:gridCol w:w="1242"/>
        <w:gridCol w:w="1350"/>
      </w:tblGrid>
      <w:tr w:rsidR="00180434" w:rsidRPr="00DC2C64" w14:paraId="3C472EE9" w14:textId="77777777" w:rsidTr="0024011E">
        <w:tc>
          <w:tcPr>
            <w:tcW w:w="1417" w:type="dxa"/>
          </w:tcPr>
          <w:p w14:paraId="2B7FD0E7" w14:textId="24EC8DF3" w:rsidR="0024011E" w:rsidRPr="00DC2C64" w:rsidRDefault="0024011E" w:rsidP="0024011E">
            <w:pPr>
              <w:pStyle w:val="List"/>
              <w:spacing w:before="0"/>
              <w:ind w:left="0" w:firstLine="0"/>
              <w:jc w:val="both"/>
              <w:rPr>
                <w:rFonts w:ascii="Arial" w:hAnsi="Arial"/>
                <w:color w:val="000000"/>
              </w:rPr>
            </w:pPr>
            <w:r w:rsidRPr="00DC2C64">
              <w:rPr>
                <w:rFonts w:ascii="Arial" w:hAnsi="Arial"/>
                <w:b/>
                <w:sz w:val="20"/>
                <w:lang w:val="en-CA"/>
              </w:rPr>
              <w:t>Name of Party (If not an individual, name all insiders of the Party)</w:t>
            </w:r>
          </w:p>
        </w:tc>
        <w:tc>
          <w:tcPr>
            <w:tcW w:w="1276" w:type="dxa"/>
          </w:tcPr>
          <w:p w14:paraId="617DE643" w14:textId="3F9D8619" w:rsidR="0024011E" w:rsidRPr="00DC2C64" w:rsidRDefault="0024011E" w:rsidP="0024011E">
            <w:pPr>
              <w:pStyle w:val="List"/>
              <w:spacing w:before="0"/>
              <w:ind w:left="0" w:firstLine="0"/>
              <w:jc w:val="both"/>
              <w:rPr>
                <w:rFonts w:ascii="Arial" w:hAnsi="Arial"/>
                <w:color w:val="000000"/>
              </w:rPr>
            </w:pPr>
            <w:r w:rsidRPr="00DC2C64">
              <w:rPr>
                <w:rFonts w:ascii="Arial" w:hAnsi="Arial"/>
                <w:b/>
                <w:sz w:val="20"/>
                <w:lang w:val="en-CA"/>
              </w:rPr>
              <w:t>Number and Type of Securities to be Issued</w:t>
            </w:r>
          </w:p>
        </w:tc>
        <w:tc>
          <w:tcPr>
            <w:tcW w:w="1276" w:type="dxa"/>
          </w:tcPr>
          <w:p w14:paraId="35F788F5" w14:textId="0CA3A628" w:rsidR="0024011E" w:rsidRPr="00DC2C64" w:rsidRDefault="0024011E" w:rsidP="0024011E">
            <w:pPr>
              <w:pStyle w:val="List"/>
              <w:spacing w:before="0"/>
              <w:ind w:left="0" w:firstLine="0"/>
              <w:jc w:val="both"/>
              <w:rPr>
                <w:rFonts w:ascii="Arial" w:hAnsi="Arial"/>
                <w:color w:val="000000"/>
              </w:rPr>
            </w:pPr>
            <w:r w:rsidRPr="00DC2C64">
              <w:rPr>
                <w:rFonts w:ascii="Arial" w:hAnsi="Arial"/>
                <w:b/>
                <w:sz w:val="20"/>
                <w:lang w:val="en-CA"/>
              </w:rPr>
              <w:t>Dollar value per Security (CDN$)</w:t>
            </w:r>
          </w:p>
        </w:tc>
        <w:tc>
          <w:tcPr>
            <w:tcW w:w="1417" w:type="dxa"/>
          </w:tcPr>
          <w:p w14:paraId="744DF911" w14:textId="10E2F378" w:rsidR="0024011E" w:rsidRPr="00DC2C64" w:rsidRDefault="0024011E" w:rsidP="0024011E">
            <w:pPr>
              <w:pStyle w:val="List"/>
              <w:spacing w:before="0"/>
              <w:ind w:left="0" w:firstLine="0"/>
              <w:jc w:val="both"/>
              <w:rPr>
                <w:rFonts w:ascii="Arial" w:hAnsi="Arial"/>
                <w:color w:val="000000"/>
              </w:rPr>
            </w:pPr>
            <w:r w:rsidRPr="00DC2C64">
              <w:rPr>
                <w:rFonts w:ascii="Arial" w:hAnsi="Arial"/>
                <w:b/>
                <w:sz w:val="20"/>
                <w:lang w:val="en-CA"/>
              </w:rPr>
              <w:t>Conversion price (if applicable)</w:t>
            </w:r>
          </w:p>
        </w:tc>
        <w:tc>
          <w:tcPr>
            <w:tcW w:w="992" w:type="dxa"/>
          </w:tcPr>
          <w:p w14:paraId="6E58E7C0" w14:textId="78F23E73" w:rsidR="0024011E" w:rsidRPr="00DC2C64" w:rsidRDefault="0024011E" w:rsidP="0024011E">
            <w:pPr>
              <w:pStyle w:val="List"/>
              <w:spacing w:before="0"/>
              <w:ind w:left="0" w:firstLine="0"/>
              <w:jc w:val="both"/>
              <w:rPr>
                <w:rFonts w:ascii="Arial" w:hAnsi="Arial"/>
                <w:color w:val="000000"/>
              </w:rPr>
            </w:pPr>
            <w:r w:rsidRPr="00DC2C64">
              <w:rPr>
                <w:rFonts w:ascii="Arial" w:hAnsi="Arial"/>
                <w:b/>
                <w:sz w:val="20"/>
                <w:lang w:val="en-CA"/>
              </w:rPr>
              <w:t>Prospectus Exemption</w:t>
            </w:r>
          </w:p>
        </w:tc>
        <w:tc>
          <w:tcPr>
            <w:tcW w:w="1276" w:type="dxa"/>
          </w:tcPr>
          <w:p w14:paraId="63BFA436" w14:textId="6B532558" w:rsidR="0024011E" w:rsidRPr="00DC2C64" w:rsidRDefault="0024011E" w:rsidP="0024011E">
            <w:pPr>
              <w:pStyle w:val="List"/>
              <w:spacing w:before="0"/>
              <w:ind w:left="0" w:firstLine="0"/>
              <w:jc w:val="both"/>
              <w:rPr>
                <w:rFonts w:ascii="Arial" w:hAnsi="Arial"/>
                <w:color w:val="000000"/>
              </w:rPr>
            </w:pPr>
            <w:r w:rsidRPr="00DC2C64">
              <w:rPr>
                <w:rFonts w:ascii="Arial" w:hAnsi="Arial"/>
                <w:b/>
                <w:sz w:val="20"/>
              </w:rPr>
              <w:t>Total Securities, Previously Owned, Controlled or Directed by Party</w:t>
            </w:r>
          </w:p>
        </w:tc>
        <w:tc>
          <w:tcPr>
            <w:tcW w:w="1275" w:type="dxa"/>
          </w:tcPr>
          <w:p w14:paraId="4A0BA85F" w14:textId="0F0D129F" w:rsidR="0024011E" w:rsidRPr="00DC2C64" w:rsidRDefault="0024011E" w:rsidP="0024011E">
            <w:pPr>
              <w:pStyle w:val="BodyText"/>
              <w:keepNext/>
              <w:keepLines/>
              <w:spacing w:before="0" w:line="280" w:lineRule="exact"/>
              <w:jc w:val="center"/>
              <w:rPr>
                <w:rFonts w:ascii="Arial" w:hAnsi="Arial"/>
                <w:b/>
                <w:color w:val="000000"/>
                <w:sz w:val="20"/>
                <w:lang w:val="en-CA"/>
              </w:rPr>
            </w:pPr>
            <w:r w:rsidRPr="00DC2C64">
              <w:rPr>
                <w:rFonts w:ascii="Arial" w:hAnsi="Arial"/>
                <w:b/>
                <w:color w:val="000000"/>
                <w:sz w:val="20"/>
                <w:lang w:val="en-CA"/>
              </w:rPr>
              <w:t>Describe relationship to Issuer</w:t>
            </w:r>
          </w:p>
        </w:tc>
      </w:tr>
      <w:tr w:rsidR="00180434" w14:paraId="53DD2C58" w14:textId="77777777" w:rsidTr="0024011E">
        <w:tc>
          <w:tcPr>
            <w:tcW w:w="1417" w:type="dxa"/>
          </w:tcPr>
          <w:p w14:paraId="11DF77CA" w14:textId="03D28D2B" w:rsidR="0024011E" w:rsidRPr="00DC2C64" w:rsidRDefault="00180434" w:rsidP="0024011E">
            <w:pPr>
              <w:pStyle w:val="List"/>
              <w:spacing w:before="0"/>
              <w:ind w:left="0" w:firstLine="0"/>
              <w:jc w:val="both"/>
              <w:rPr>
                <w:rFonts w:ascii="Arial" w:hAnsi="Arial"/>
                <w:color w:val="000000"/>
                <w:sz w:val="20"/>
              </w:rPr>
            </w:pPr>
            <w:r w:rsidRPr="00DC2C64">
              <w:rPr>
                <w:rFonts w:ascii="Arial" w:hAnsi="Arial"/>
                <w:color w:val="000000"/>
                <w:sz w:val="20"/>
              </w:rPr>
              <w:lastRenderedPageBreak/>
              <w:t>Holders of Fluent Shares</w:t>
            </w:r>
          </w:p>
        </w:tc>
        <w:tc>
          <w:tcPr>
            <w:tcW w:w="1276" w:type="dxa"/>
          </w:tcPr>
          <w:p w14:paraId="45033D60" w14:textId="4DFEE397" w:rsidR="0024011E" w:rsidRPr="00DC2C64" w:rsidRDefault="00180434" w:rsidP="0024011E">
            <w:pPr>
              <w:pStyle w:val="List"/>
              <w:spacing w:before="0"/>
              <w:ind w:left="0" w:firstLine="0"/>
              <w:jc w:val="both"/>
              <w:rPr>
                <w:rFonts w:ascii="Arial" w:hAnsi="Arial"/>
                <w:color w:val="000000"/>
                <w:sz w:val="20"/>
              </w:rPr>
            </w:pPr>
            <w:r w:rsidRPr="00DC2C64">
              <w:rPr>
                <w:rFonts w:ascii="Arial" w:hAnsi="Arial"/>
                <w:color w:val="000000"/>
                <w:sz w:val="20"/>
              </w:rPr>
              <w:t>Approx. 165,000,000</w:t>
            </w:r>
            <w:r w:rsidR="00DF1F1D" w:rsidRPr="00DC2C64">
              <w:rPr>
                <w:rFonts w:ascii="Arial" w:hAnsi="Arial"/>
                <w:color w:val="000000"/>
                <w:sz w:val="20"/>
              </w:rPr>
              <w:t xml:space="preserve"> Shares</w:t>
            </w:r>
          </w:p>
        </w:tc>
        <w:tc>
          <w:tcPr>
            <w:tcW w:w="1276" w:type="dxa"/>
          </w:tcPr>
          <w:p w14:paraId="2856602C" w14:textId="7DBF2147" w:rsidR="0024011E" w:rsidRPr="00DC2C64" w:rsidRDefault="00180434" w:rsidP="0024011E">
            <w:pPr>
              <w:pStyle w:val="List"/>
              <w:spacing w:before="0"/>
              <w:ind w:left="0" w:firstLine="0"/>
              <w:jc w:val="both"/>
              <w:rPr>
                <w:rFonts w:ascii="Arial" w:hAnsi="Arial"/>
                <w:color w:val="000000"/>
                <w:sz w:val="20"/>
              </w:rPr>
            </w:pPr>
            <w:r w:rsidRPr="00DC2C64">
              <w:rPr>
                <w:rFonts w:ascii="Arial" w:hAnsi="Arial"/>
                <w:color w:val="000000"/>
                <w:sz w:val="20"/>
              </w:rPr>
              <w:t xml:space="preserve">Approx. </w:t>
            </w:r>
            <w:r w:rsidR="0024011E" w:rsidRPr="00DC2C64">
              <w:rPr>
                <w:rFonts w:ascii="Arial" w:hAnsi="Arial"/>
                <w:color w:val="000000"/>
                <w:sz w:val="20"/>
              </w:rPr>
              <w:t>$</w:t>
            </w:r>
            <w:r w:rsidR="00DF1F1D" w:rsidRPr="00DC2C64">
              <w:rPr>
                <w:rFonts w:ascii="Arial" w:hAnsi="Arial"/>
                <w:color w:val="000000"/>
                <w:sz w:val="20"/>
              </w:rPr>
              <w:t>0.5</w:t>
            </w:r>
            <w:r w:rsidR="001D1036" w:rsidRPr="00DC2C64">
              <w:rPr>
                <w:rFonts w:ascii="Arial" w:hAnsi="Arial"/>
                <w:color w:val="000000"/>
                <w:sz w:val="20"/>
              </w:rPr>
              <w:t>8</w:t>
            </w:r>
          </w:p>
        </w:tc>
        <w:tc>
          <w:tcPr>
            <w:tcW w:w="1417" w:type="dxa"/>
          </w:tcPr>
          <w:p w14:paraId="14B438BA" w14:textId="79961CA7" w:rsidR="0024011E" w:rsidRPr="00DC2C64" w:rsidRDefault="0024011E" w:rsidP="0024011E">
            <w:pPr>
              <w:pStyle w:val="List"/>
              <w:spacing w:before="0"/>
              <w:ind w:left="0" w:firstLine="0"/>
              <w:jc w:val="both"/>
              <w:rPr>
                <w:rFonts w:ascii="Arial" w:hAnsi="Arial"/>
                <w:color w:val="000000"/>
                <w:sz w:val="20"/>
              </w:rPr>
            </w:pPr>
            <w:r w:rsidRPr="00DC2C64">
              <w:rPr>
                <w:rFonts w:ascii="Arial" w:hAnsi="Arial"/>
                <w:color w:val="000000"/>
                <w:sz w:val="20"/>
              </w:rPr>
              <w:t>N/A</w:t>
            </w:r>
          </w:p>
        </w:tc>
        <w:tc>
          <w:tcPr>
            <w:tcW w:w="992" w:type="dxa"/>
          </w:tcPr>
          <w:p w14:paraId="60F0E8A6" w14:textId="1F1802B6" w:rsidR="0024011E" w:rsidRPr="00DC2C64" w:rsidRDefault="006C4556" w:rsidP="0024011E">
            <w:pPr>
              <w:pStyle w:val="List"/>
              <w:spacing w:before="0"/>
              <w:ind w:left="0" w:firstLine="0"/>
              <w:jc w:val="both"/>
              <w:rPr>
                <w:rFonts w:ascii="Arial" w:hAnsi="Arial"/>
                <w:color w:val="000000"/>
                <w:sz w:val="20"/>
              </w:rPr>
            </w:pPr>
            <w:r w:rsidRPr="00DC2C64">
              <w:rPr>
                <w:rFonts w:ascii="Arial" w:hAnsi="Arial"/>
                <w:color w:val="000000"/>
                <w:sz w:val="20"/>
              </w:rPr>
              <w:t>s. 2.11, NI 45-106</w:t>
            </w:r>
          </w:p>
        </w:tc>
        <w:tc>
          <w:tcPr>
            <w:tcW w:w="1276" w:type="dxa"/>
          </w:tcPr>
          <w:p w14:paraId="151A012C" w14:textId="1A41F786" w:rsidR="0024011E" w:rsidRPr="00DC2C64" w:rsidRDefault="0024011E" w:rsidP="0024011E">
            <w:pPr>
              <w:pStyle w:val="List"/>
              <w:spacing w:before="0"/>
              <w:ind w:left="0" w:firstLine="0"/>
              <w:jc w:val="both"/>
              <w:rPr>
                <w:rFonts w:ascii="Arial" w:hAnsi="Arial"/>
                <w:color w:val="000000"/>
                <w:sz w:val="20"/>
              </w:rPr>
            </w:pPr>
            <w:r w:rsidRPr="00DC2C64">
              <w:rPr>
                <w:rFonts w:ascii="Arial" w:hAnsi="Arial"/>
                <w:color w:val="000000"/>
                <w:sz w:val="20"/>
              </w:rPr>
              <w:t>Nil</w:t>
            </w:r>
          </w:p>
        </w:tc>
        <w:tc>
          <w:tcPr>
            <w:tcW w:w="1275" w:type="dxa"/>
          </w:tcPr>
          <w:p w14:paraId="21ABB8CC" w14:textId="2FF1172D" w:rsidR="0024011E" w:rsidRPr="00180434" w:rsidRDefault="0024011E" w:rsidP="0024011E">
            <w:pPr>
              <w:pStyle w:val="List"/>
              <w:spacing w:before="0"/>
              <w:ind w:left="0" w:firstLine="0"/>
              <w:jc w:val="both"/>
              <w:rPr>
                <w:rFonts w:ascii="Arial" w:hAnsi="Arial"/>
                <w:color w:val="000000"/>
                <w:sz w:val="20"/>
              </w:rPr>
            </w:pPr>
            <w:r w:rsidRPr="00DC2C64">
              <w:rPr>
                <w:rFonts w:ascii="Arial" w:hAnsi="Arial"/>
                <w:color w:val="000000"/>
                <w:sz w:val="20"/>
              </w:rPr>
              <w:t>Arm’s Length</w:t>
            </w:r>
          </w:p>
        </w:tc>
      </w:tr>
    </w:tbl>
    <w:p w14:paraId="0CB8AD5A" w14:textId="31778C03" w:rsidR="00EA4133" w:rsidRDefault="00EA4133" w:rsidP="006C4556">
      <w:pPr>
        <w:pStyle w:val="List"/>
        <w:numPr>
          <w:ilvl w:val="0"/>
          <w:numId w:val="16"/>
        </w:numPr>
        <w:tabs>
          <w:tab w:val="left" w:pos="9180"/>
        </w:tabs>
        <w:jc w:val="both"/>
        <w:rPr>
          <w:rFonts w:ascii="Arial" w:hAnsi="Arial"/>
          <w:color w:val="000000"/>
        </w:rPr>
      </w:pPr>
      <w:r>
        <w:rPr>
          <w:rFonts w:ascii="Arial" w:hAnsi="Arial"/>
          <w:color w:val="000000"/>
        </w:rPr>
        <w:t xml:space="preserve">Details of the steps taken by the Issuer to ensure that the vendor has good title to the assets being acquired: </w:t>
      </w:r>
      <w:r w:rsidR="006C4556">
        <w:rPr>
          <w:rFonts w:ascii="Arial" w:hAnsi="Arial"/>
          <w:color w:val="000000"/>
          <w:u w:val="single"/>
        </w:rPr>
        <w:t xml:space="preserve">The Issuer performed industry standard due diligence reviews in respect of Fluent and its subsidiaries, as provided by Fluent in a virtual data room, by publicly available searches, and by public disclosure record. The Issuer also received </w:t>
      </w:r>
      <w:r w:rsidR="00754817">
        <w:rPr>
          <w:rFonts w:ascii="Arial" w:hAnsi="Arial"/>
          <w:color w:val="000000"/>
          <w:u w:val="single"/>
        </w:rPr>
        <w:t>customary</w:t>
      </w:r>
      <w:r w:rsidR="006C4556">
        <w:rPr>
          <w:rFonts w:ascii="Arial" w:hAnsi="Arial"/>
          <w:color w:val="000000"/>
          <w:u w:val="single"/>
        </w:rPr>
        <w:t xml:space="preserve"> representations and warranties from Fluent in the Arrangement Agreement.</w:t>
      </w:r>
      <w:r>
        <w:rPr>
          <w:rFonts w:ascii="Arial" w:hAnsi="Arial"/>
          <w:color w:val="000000"/>
        </w:rPr>
        <w:t xml:space="preserve"> </w:t>
      </w:r>
    </w:p>
    <w:p w14:paraId="23DEFD69" w14:textId="572E4B69" w:rsidR="00EA4133" w:rsidRDefault="00EA4133">
      <w:pPr>
        <w:pStyle w:val="List"/>
        <w:numPr>
          <w:ilvl w:val="0"/>
          <w:numId w:val="16"/>
        </w:numPr>
        <w:jc w:val="both"/>
        <w:rPr>
          <w:rFonts w:ascii="Arial" w:hAnsi="Arial"/>
        </w:rPr>
      </w:pPr>
      <w:r>
        <w:rPr>
          <w:rFonts w:ascii="Arial" w:hAnsi="Arial"/>
        </w:rPr>
        <w:t>Provide the following information for any agent’s fee, commission, bonus or finder’s fee, or other compensation paid or to be paid in connection with the acquisition (including warrants, options, etc.):</w:t>
      </w:r>
      <w:r w:rsidR="006C4556">
        <w:rPr>
          <w:rFonts w:ascii="Arial" w:hAnsi="Arial"/>
        </w:rPr>
        <w:t xml:space="preserve"> </w:t>
      </w:r>
      <w:r w:rsidR="006C4556">
        <w:rPr>
          <w:rFonts w:ascii="Arial" w:hAnsi="Arial"/>
          <w:u w:val="single"/>
        </w:rPr>
        <w:t>N/A.</w:t>
      </w:r>
    </w:p>
    <w:p w14:paraId="3CAC62F6" w14:textId="52432FAC" w:rsidR="00EA4133" w:rsidRDefault="00EA4133">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r w:rsidR="007C4F86">
        <w:rPr>
          <w:rFonts w:ascii="Arial" w:hAnsi="Arial"/>
        </w:rPr>
        <w:t>and</w:t>
      </w:r>
      <w:r w:rsidR="00754817">
        <w:rPr>
          <w:rFonts w:ascii="Arial" w:hAnsi="Arial"/>
        </w:rPr>
        <w:t xml:space="preserve"> </w:t>
      </w:r>
      <w:r w:rsidR="007C4F86">
        <w:rPr>
          <w:rFonts w:ascii="Arial" w:hAnsi="Arial"/>
        </w:rPr>
        <w:t>i</w:t>
      </w:r>
      <w:r>
        <w:rPr>
          <w:rFonts w:ascii="Arial" w:hAnsi="Arial"/>
        </w:rPr>
        <w:t xml:space="preserve">f a corporation, identify persons owning or exercising voting control over 20% or more of the voting shares if known to the Issuer): </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7777777" w:rsidR="00EA4133" w:rsidRDefault="00EA4133">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Pr>
          <w:rFonts w:ascii="Arial" w:hAnsi="Arial"/>
          <w:u w:val="single"/>
        </w:rPr>
        <w:tab/>
      </w:r>
      <w:r>
        <w:rPr>
          <w:rFonts w:ascii="Arial" w:hAnsi="Arial"/>
        </w:rPr>
        <w:t xml:space="preserve"> .</w:t>
      </w:r>
    </w:p>
    <w:p w14:paraId="622999A0" w14:textId="77777777" w:rsidR="00EA4133" w:rsidRDefault="00EA4133">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Pr>
          <w:rFonts w:ascii="Arial" w:hAnsi="Arial"/>
          <w:u w:val="single"/>
        </w:rPr>
        <w:tab/>
      </w:r>
      <w:r>
        <w:rPr>
          <w:rFonts w:ascii="Arial" w:hAnsi="Arial"/>
        </w:rPr>
        <w:t xml:space="preserve"> .</w:t>
      </w:r>
    </w:p>
    <w:p w14:paraId="70F76AAF" w14:textId="77777777" w:rsidR="00EA4133" w:rsidRDefault="00EA4133">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Pr>
          <w:rFonts w:ascii="Arial" w:hAnsi="Arial"/>
          <w:u w:val="single"/>
        </w:rPr>
        <w:tab/>
      </w:r>
      <w:r>
        <w:rPr>
          <w:rFonts w:ascii="Arial" w:hAnsi="Arial"/>
        </w:rPr>
        <w:t xml:space="preserve"> .</w:t>
      </w:r>
    </w:p>
    <w:p w14:paraId="5EC4BA6D" w14:textId="77777777" w:rsidR="00EA4133" w:rsidRDefault="00EA4133">
      <w:pPr>
        <w:pStyle w:val="List"/>
        <w:numPr>
          <w:ilvl w:val="0"/>
          <w:numId w:val="15"/>
        </w:numPr>
        <w:tabs>
          <w:tab w:val="left" w:pos="9180"/>
        </w:tabs>
        <w:rPr>
          <w:rFonts w:ascii="Arial" w:hAnsi="Arial"/>
        </w:rPr>
      </w:pPr>
      <w:r>
        <w:rPr>
          <w:rFonts w:ascii="Arial" w:hAnsi="Arial"/>
        </w:rPr>
        <w:t xml:space="preserve">Expiry date of any options, warrants etc. </w:t>
      </w:r>
      <w:r>
        <w:rPr>
          <w:rFonts w:ascii="Arial" w:hAnsi="Arial"/>
          <w:u w:val="single"/>
        </w:rPr>
        <w:tab/>
      </w:r>
    </w:p>
    <w:p w14:paraId="3C30D55E" w14:textId="77777777" w:rsidR="00EA4133" w:rsidRPr="00771F7F" w:rsidRDefault="00EA4133">
      <w:pPr>
        <w:pStyle w:val="List"/>
        <w:numPr>
          <w:ilvl w:val="0"/>
          <w:numId w:val="15"/>
        </w:numPr>
        <w:tabs>
          <w:tab w:val="left" w:pos="2160"/>
          <w:tab w:val="left" w:pos="9180"/>
        </w:tabs>
        <w:rPr>
          <w:rFonts w:ascii="Arial" w:hAnsi="Arial"/>
          <w:color w:val="000000"/>
        </w:rPr>
      </w:pPr>
      <w:r>
        <w:rPr>
          <w:rFonts w:ascii="Arial" w:hAnsi="Arial"/>
        </w:rPr>
        <w:t xml:space="preserve">Exercise price of any options, warrants etc. </w:t>
      </w:r>
      <w:r>
        <w:rPr>
          <w:rFonts w:ascii="Arial" w:hAnsi="Arial"/>
          <w:u w:val="single"/>
        </w:rPr>
        <w:tab/>
      </w:r>
      <w:r>
        <w:rPr>
          <w:rFonts w:ascii="Arial" w:hAnsi="Arial"/>
        </w:rPr>
        <w:t xml:space="preserve"> .</w:t>
      </w:r>
    </w:p>
    <w:p w14:paraId="2EA624BB" w14:textId="67284C22" w:rsidR="00EA4133" w:rsidRDefault="00EA4133">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sidR="006C4556">
        <w:rPr>
          <w:rFonts w:ascii="Arial" w:hAnsi="Arial"/>
          <w:color w:val="000000"/>
          <w:u w:val="single"/>
        </w:rPr>
        <w:t>N/A.</w:t>
      </w:r>
    </w:p>
    <w:p w14:paraId="08EECECF" w14:textId="6B977A69" w:rsidR="00EA4133" w:rsidRDefault="00EA4133" w:rsidP="006C4556">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sidR="006C4556">
        <w:rPr>
          <w:rFonts w:ascii="Arial" w:hAnsi="Arial"/>
          <w:color w:val="000000"/>
          <w:u w:val="single"/>
        </w:rPr>
        <w:t>N/A.</w:t>
      </w:r>
    </w:p>
    <w:p w14:paraId="096E2C62" w14:textId="77777777" w:rsidR="006C4556" w:rsidRDefault="006C4556">
      <w:pPr>
        <w:rPr>
          <w:rFonts w:ascii="Arial" w:hAnsi="Arial"/>
          <w:b/>
          <w:sz w:val="24"/>
          <w:lang w:val="en-GB"/>
        </w:rPr>
      </w:pPr>
      <w:r>
        <w:rPr>
          <w:rFonts w:ascii="Arial" w:hAnsi="Arial"/>
          <w:b/>
        </w:rPr>
        <w:br w:type="page"/>
      </w:r>
    </w:p>
    <w:p w14:paraId="4C809545" w14:textId="2D3FF386" w:rsidR="00EA4133" w:rsidRDefault="00EA4133">
      <w:pPr>
        <w:pStyle w:val="List"/>
        <w:tabs>
          <w:tab w:val="left" w:pos="1080"/>
        </w:tabs>
        <w:ind w:left="0" w:firstLine="0"/>
        <w:rPr>
          <w:rFonts w:ascii="Arial" w:hAnsi="Arial"/>
        </w:rPr>
      </w:pPr>
      <w:r>
        <w:rPr>
          <w:rFonts w:ascii="Arial" w:hAnsi="Arial"/>
          <w:b/>
        </w:rPr>
        <w:lastRenderedPageBreak/>
        <w:t>Certificate Of Compliance</w:t>
      </w:r>
    </w:p>
    <w:p w14:paraId="7BEB4923" w14:textId="77777777" w:rsidR="00EA4133" w:rsidRDefault="00EA4133">
      <w:pPr>
        <w:pStyle w:val="BodyText"/>
        <w:rPr>
          <w:rFonts w:ascii="Arial" w:hAnsi="Arial"/>
        </w:rPr>
      </w:pPr>
      <w:r>
        <w:rPr>
          <w:rFonts w:ascii="Arial" w:hAnsi="Arial"/>
        </w:rPr>
        <w:t>The undersigned hereby certifies that:</w:t>
      </w:r>
    </w:p>
    <w:p w14:paraId="0C61B216" w14:textId="77777777" w:rsidR="00EA4133" w:rsidRDefault="00EA4133">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EA4133">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C500F0"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C500F0"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C500F0" w:rsidP="00C500F0">
      <w:pPr>
        <w:pStyle w:val="List"/>
        <w:ind w:left="1440" w:hanging="360"/>
        <w:jc w:val="both"/>
        <w:rPr>
          <w:rFonts w:ascii="Arial" w:hAnsi="Arial"/>
        </w:rPr>
      </w:pPr>
      <w:r w:rsidRPr="00C500F0">
        <w:rPr>
          <w:rFonts w:ascii="Arial" w:hAnsi="Arial" w:cs="Arial"/>
          <w:szCs w:val="24"/>
        </w:rPr>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EA4133">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is in compliance with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EA4133">
      <w:pPr>
        <w:pStyle w:val="List"/>
        <w:numPr>
          <w:ilvl w:val="0"/>
          <w:numId w:val="7"/>
        </w:numPr>
        <w:jc w:val="both"/>
        <w:rPr>
          <w:rFonts w:ascii="Arial" w:hAnsi="Arial"/>
        </w:rPr>
      </w:pPr>
      <w:r>
        <w:rPr>
          <w:rFonts w:ascii="Arial" w:hAnsi="Arial"/>
        </w:rPr>
        <w:t xml:space="preserve">All of the information in this Form 9 Notice of </w:t>
      </w:r>
      <w:r w:rsidR="00CF076A">
        <w:rPr>
          <w:rFonts w:ascii="Arial" w:hAnsi="Arial"/>
        </w:rPr>
        <w:t>Issuance of Securities</w:t>
      </w:r>
      <w:r>
        <w:rPr>
          <w:rFonts w:ascii="Arial" w:hAnsi="Arial"/>
        </w:rPr>
        <w:t xml:space="preserve"> is true.</w:t>
      </w:r>
    </w:p>
    <w:p w14:paraId="7EF295FA" w14:textId="7D0771DD" w:rsidR="00EA4133" w:rsidRDefault="00EA4133">
      <w:pPr>
        <w:pStyle w:val="BodyText"/>
        <w:tabs>
          <w:tab w:val="left" w:pos="4680"/>
          <w:tab w:val="left" w:pos="7200"/>
        </w:tabs>
        <w:spacing w:before="480"/>
        <w:jc w:val="both"/>
        <w:rPr>
          <w:rFonts w:ascii="Arial" w:hAnsi="Arial"/>
        </w:rPr>
      </w:pPr>
      <w:r>
        <w:rPr>
          <w:rFonts w:ascii="Arial" w:hAnsi="Arial"/>
        </w:rPr>
        <w:t xml:space="preserve">Dated </w:t>
      </w:r>
      <w:r w:rsidR="009E219A" w:rsidRPr="00E64875">
        <w:rPr>
          <w:rFonts w:ascii="Arial" w:hAnsi="Arial"/>
        </w:rPr>
        <w:t>April 30</w:t>
      </w:r>
      <w:r w:rsidR="003D39DE" w:rsidRPr="00E64875">
        <w:rPr>
          <w:rFonts w:ascii="Arial" w:hAnsi="Arial"/>
        </w:rPr>
        <w:t>, 2026</w:t>
      </w:r>
      <w:r w:rsidRPr="00E64875">
        <w:rPr>
          <w:rFonts w:ascii="Arial" w:hAnsi="Arial"/>
        </w:rPr>
        <w:t>.</w:t>
      </w:r>
    </w:p>
    <w:p w14:paraId="3B70848B" w14:textId="21F00D09" w:rsidR="00EA4133" w:rsidRDefault="00EA4133">
      <w:pPr>
        <w:pStyle w:val="List"/>
        <w:tabs>
          <w:tab w:val="left" w:pos="9180"/>
        </w:tabs>
        <w:ind w:left="5760" w:hanging="5760"/>
        <w:rPr>
          <w:rFonts w:ascii="Arial" w:hAnsi="Arial"/>
        </w:rPr>
      </w:pPr>
      <w:r>
        <w:rPr>
          <w:rFonts w:ascii="Arial" w:hAnsi="Arial"/>
        </w:rPr>
        <w:tab/>
      </w:r>
      <w:r w:rsidR="00DF1F1D">
        <w:rPr>
          <w:rFonts w:ascii="Arial" w:hAnsi="Arial"/>
          <w:u w:val="single"/>
        </w:rPr>
        <w:t>Tyson Macdonald</w:t>
      </w:r>
      <w:r>
        <w:rPr>
          <w:rFonts w:ascii="Arial" w:hAnsi="Arial"/>
          <w:u w:val="single"/>
        </w:rPr>
        <w:tab/>
      </w:r>
      <w:r>
        <w:rPr>
          <w:rFonts w:ascii="Arial" w:hAnsi="Arial"/>
          <w:u w:val="single"/>
        </w:rPr>
        <w:br/>
      </w:r>
      <w:r>
        <w:rPr>
          <w:rFonts w:ascii="Arial" w:hAnsi="Arial"/>
        </w:rPr>
        <w:t>Name of Director or Senior Officer</w:t>
      </w:r>
    </w:p>
    <w:p w14:paraId="6699918D" w14:textId="77596706" w:rsidR="00EA4133" w:rsidRDefault="00EA4133">
      <w:pPr>
        <w:pStyle w:val="List"/>
        <w:tabs>
          <w:tab w:val="left" w:pos="9180"/>
          <w:tab w:val="left" w:pos="9360"/>
        </w:tabs>
        <w:ind w:left="5760" w:hanging="5760"/>
        <w:rPr>
          <w:rFonts w:ascii="Arial" w:hAnsi="Arial"/>
        </w:rPr>
      </w:pPr>
      <w:r>
        <w:rPr>
          <w:rFonts w:ascii="Arial" w:hAnsi="Arial"/>
        </w:rPr>
        <w:tab/>
      </w:r>
      <w:r w:rsidR="003D39DE" w:rsidRPr="003D39DE">
        <w:rPr>
          <w:rFonts w:ascii="Arial" w:hAnsi="Arial"/>
          <w:u w:val="single"/>
        </w:rPr>
        <w:t>/s/ Tyson Macdonald</w:t>
      </w:r>
      <w:r>
        <w:rPr>
          <w:rFonts w:ascii="Arial" w:hAnsi="Arial"/>
          <w:u w:val="single"/>
        </w:rPr>
        <w:tab/>
      </w:r>
      <w:r>
        <w:rPr>
          <w:rFonts w:ascii="Arial" w:hAnsi="Arial"/>
        </w:rPr>
        <w:br/>
        <w:t>Signature</w:t>
      </w:r>
    </w:p>
    <w:p w14:paraId="2C71ABE2" w14:textId="0B79C996" w:rsidR="00EA4133" w:rsidRDefault="00EA4133">
      <w:pPr>
        <w:pStyle w:val="List"/>
        <w:tabs>
          <w:tab w:val="left" w:pos="9180"/>
          <w:tab w:val="left" w:pos="9360"/>
        </w:tabs>
        <w:ind w:left="5760" w:hanging="5760"/>
        <w:rPr>
          <w:rFonts w:ascii="Arial" w:hAnsi="Arial"/>
        </w:rPr>
      </w:pPr>
      <w:r>
        <w:rPr>
          <w:rFonts w:ascii="Arial" w:hAnsi="Arial"/>
        </w:rPr>
        <w:tab/>
      </w:r>
      <w:r w:rsidR="00754817">
        <w:rPr>
          <w:rFonts w:ascii="Arial" w:hAnsi="Arial"/>
          <w:u w:val="single"/>
        </w:rPr>
        <w:t>C</w:t>
      </w:r>
      <w:r w:rsidR="00E171F6">
        <w:rPr>
          <w:rFonts w:ascii="Arial" w:hAnsi="Arial"/>
          <w:u w:val="single"/>
        </w:rPr>
        <w:t>hief Financial Officer</w:t>
      </w:r>
      <w:r>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7777777" w:rsidR="00C500F0" w:rsidRDefault="00C500F0">
      <w:pPr>
        <w:pStyle w:val="List"/>
        <w:tabs>
          <w:tab w:val="left" w:pos="9180"/>
          <w:tab w:val="left" w:pos="9360"/>
        </w:tabs>
        <w:ind w:left="5760" w:hanging="5760"/>
        <w:rPr>
          <w:rFonts w:ascii="Arial" w:hAnsi="Arial"/>
        </w:rPr>
      </w:pPr>
    </w:p>
    <w:p w14:paraId="425771F1" w14:textId="77777777" w:rsidR="00754817" w:rsidRDefault="00754817">
      <w:pPr>
        <w:rPr>
          <w:rFonts w:ascii="Arial" w:eastAsia="Calibri" w:hAnsi="Arial" w:cs="Arial"/>
          <w:b/>
          <w:sz w:val="24"/>
          <w:szCs w:val="24"/>
        </w:rPr>
      </w:pPr>
      <w:r>
        <w:rPr>
          <w:rFonts w:ascii="Arial" w:eastAsia="Calibri" w:hAnsi="Arial" w:cs="Arial"/>
          <w:b/>
          <w:sz w:val="24"/>
          <w:szCs w:val="24"/>
        </w:rPr>
        <w:br w:type="page"/>
      </w:r>
    </w:p>
    <w:p w14:paraId="6D15FE40" w14:textId="28EDB577" w:rsidR="00C500F0" w:rsidRPr="00C500F0" w:rsidRDefault="00C500F0"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lastRenderedPageBreak/>
        <w:t>Appendix A</w:t>
      </w:r>
    </w:p>
    <w:p w14:paraId="7FC7DB93" w14:textId="77777777" w:rsidR="00C500F0" w:rsidRPr="00C500F0" w:rsidRDefault="00C500F0"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law and they may use it for their own investigations.</w:t>
      </w:r>
    </w:p>
    <w:p w14:paraId="13807761"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keep the information confidential at all times.</w:t>
      </w:r>
    </w:p>
    <w:p w14:paraId="705151C7"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6E96" w14:textId="77777777" w:rsidR="00EB22FC" w:rsidRDefault="00EB22FC">
      <w:r>
        <w:separator/>
      </w:r>
    </w:p>
  </w:endnote>
  <w:endnote w:type="continuationSeparator" w:id="0">
    <w:p w14:paraId="3C2FF140" w14:textId="77777777" w:rsidR="00EB22FC" w:rsidRDefault="00EB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89CA" w14:textId="7A4066E8" w:rsidR="00B43697" w:rsidRPr="00B86758" w:rsidRDefault="00B43697" w:rsidP="00B86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45B8" w14:textId="77777777" w:rsidR="00B43697" w:rsidRDefault="00B43697" w:rsidP="00BD545D">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4294967295" distB="4294967295" distL="114300" distR="114300" simplePos="0" relativeHeight="251659264" behindDoc="0" locked="0" layoutInCell="1" allowOverlap="1" wp14:anchorId="503225BF" wp14:editId="2EDEE1D6">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B63AB" id="Line 3"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6pt" to="46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DgaMLS2gAAAAcBAAAPAAAAZHJzL2Rvd25yZXYu&#10;eG1sTI5LS8QwFIX3gv8hXMHdTPpAmalNh0HUjSA4Vtdpc22LyU1pMp36773iwlmeB+d85W5xVsw4&#10;hcGTgnSdgEBqvRmoU1C/Pa42IELUZLT1hAq+McCuurwodWH8iV5xPsRO8AiFQivoYxwLKUPbo9Nh&#10;7Uckzj795HRkOXXSTPrE487KLElupdMD8UOvR7zvsf06HJ2C/cfzQ/4yN85bs+3qd+Pq5ClT6vpq&#10;2d+BiLjE/zL84jM6VMzU+COZIKyCTcpFBas8A8HxNk9vQDR/hqxKec5f/QAAAP//AwBQSwECLQAU&#10;AAYACAAAACEAtoM4kv4AAADhAQAAEwAAAAAAAAAAAAAAAAAAAAAAW0NvbnRlbnRfVHlwZXNdLnht&#10;bFBLAQItABQABgAIAAAAIQA4/SH/1gAAAJQBAAALAAAAAAAAAAAAAAAAAC8BAABfcmVscy8ucmVs&#10;c1BLAQItABQABgAIAAAAIQB/klO5twEAAFIDAAAOAAAAAAAAAAAAAAAAAC4CAABkcnMvZTJvRG9j&#10;LnhtbFBLAQItABQABgAIAAAAIQDgaMLS2gAAAAcBAAAPAAAAAAAAAAAAAAAAABEEAABkcnMvZG93&#10;bnJldi54bWxQSwUGAAAAAAQABADzAAAAGAUAAAAA&#10;"/>
          </w:pict>
        </mc:Fallback>
      </mc:AlternateContent>
    </w:r>
    <w:r>
      <w:rPr>
        <w:rFonts w:ascii="Arial" w:hAnsi="Arial" w:cs="Arial"/>
        <w:b/>
      </w:rPr>
      <w:t>FORM 9 – NOTICE OF ISSUANCE OR PROPOSED ISSUANCE OF</w:t>
    </w:r>
  </w:p>
  <w:p w14:paraId="43E660E9" w14:textId="77777777" w:rsidR="00B43697" w:rsidRDefault="00B43697" w:rsidP="00BD545D">
    <w:pPr>
      <w:tabs>
        <w:tab w:val="center" w:pos="4674"/>
        <w:tab w:val="left" w:pos="8460"/>
      </w:tabs>
      <w:jc w:val="center"/>
      <w:rPr>
        <w:rStyle w:val="PageNumber"/>
        <w:rFonts w:ascii="Arial" w:hAnsi="Arial" w:cs="Arial"/>
        <w:b/>
      </w:rPr>
    </w:pPr>
    <w:r>
      <w:rPr>
        <w:rFonts w:ascii="Arial" w:hAnsi="Arial" w:cs="Arial"/>
        <w:b/>
      </w:rPr>
      <w:t>LISTED SECURITIES</w:t>
    </w:r>
  </w:p>
  <w:p w14:paraId="7820A5E7" w14:textId="77777777" w:rsidR="00B43697" w:rsidRDefault="00B43697" w:rsidP="00BD545D">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17899844" w14:textId="77777777" w:rsidR="00B43697" w:rsidRPr="00BD545D" w:rsidRDefault="00B43697" w:rsidP="00BD545D">
    <w:pPr>
      <w:pStyle w:val="Footer"/>
      <w:jc w:val="center"/>
      <w:rPr>
        <w:rFonts w:ascii="Arial" w:hAnsi="Arial" w:cs="Arial"/>
        <w:sz w:val="16"/>
        <w:szCs w:val="16"/>
      </w:rPr>
    </w:pPr>
    <w:r w:rsidRPr="002557FD">
      <w:rPr>
        <w:rStyle w:val="PageNumber"/>
        <w:rFonts w:ascii="Arial" w:hAnsi="Arial" w:cs="Arial"/>
        <w:sz w:val="16"/>
        <w:szCs w:val="16"/>
      </w:rPr>
      <w:t xml:space="preserve">Page </w:t>
    </w:r>
    <w:r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Pr="002557FD">
      <w:rPr>
        <w:rStyle w:val="PageNumber"/>
        <w:rFonts w:ascii="Arial" w:hAnsi="Arial" w:cs="Arial"/>
        <w:sz w:val="16"/>
        <w:szCs w:val="16"/>
      </w:rPr>
      <w:fldChar w:fldCharType="separate"/>
    </w:r>
    <w:r>
      <w:rPr>
        <w:rStyle w:val="PageNumber"/>
        <w:rFonts w:ascii="Arial" w:hAnsi="Arial" w:cs="Arial"/>
        <w:sz w:val="16"/>
        <w:szCs w:val="16"/>
      </w:rPr>
      <w:t>1</w:t>
    </w:r>
    <w:r w:rsidRPr="002557F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332E" w14:textId="77777777" w:rsidR="00B43697" w:rsidRDefault="00B43697" w:rsidP="006974E0">
    <w:pPr>
      <w:pStyle w:val="Footer"/>
    </w:pPr>
    <w:fldSimple w:instr=" DOCPROPERTY FOOTERPATH \* MERGEFORMAT ">
      <w:r>
        <w:t>3214.001\0180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F1A2" w14:textId="77777777" w:rsidR="00EB22FC" w:rsidRDefault="00EB22FC">
      <w:r>
        <w:separator/>
      </w:r>
    </w:p>
  </w:footnote>
  <w:footnote w:type="continuationSeparator" w:id="0">
    <w:p w14:paraId="00605868" w14:textId="77777777" w:rsidR="00EB22FC" w:rsidRDefault="00EB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EC57" w14:textId="77777777" w:rsidR="004A2981" w:rsidRDefault="004A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668E" w14:textId="77777777" w:rsidR="004A2981" w:rsidRDefault="004A2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6B70" w14:textId="77777777" w:rsidR="004A2981" w:rsidRDefault="004A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0D23DB"/>
    <w:multiLevelType w:val="hybridMultilevel"/>
    <w:tmpl w:val="F452773C"/>
    <w:lvl w:ilvl="0" w:tplc="FB1AC73C">
      <w:start w:val="1"/>
      <w:numFmt w:val="decimal"/>
      <w:lvlText w:val="(%1)"/>
      <w:lvlJc w:val="left"/>
      <w:pPr>
        <w:ind w:left="765" w:hanging="360"/>
      </w:pPr>
      <w:rPr>
        <w:rFonts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3"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4"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5"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6"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7" w15:restartNumberingAfterBreak="0">
    <w:nsid w:val="385C6C5B"/>
    <w:multiLevelType w:val="hybridMultilevel"/>
    <w:tmpl w:val="D9DEBE06"/>
    <w:lvl w:ilvl="0" w:tplc="ED94D1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9"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0"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1"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2"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3"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4"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5"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6" w15:restartNumberingAfterBreak="0">
    <w:nsid w:val="79D94BAD"/>
    <w:multiLevelType w:val="hybridMultilevel"/>
    <w:tmpl w:val="266EA8F8"/>
    <w:lvl w:ilvl="0" w:tplc="C79AD9D0">
      <w:start w:val="3"/>
      <w:numFmt w:val="decimal"/>
      <w:lvlText w:val="%1."/>
      <w:lvlJc w:val="left"/>
      <w:pPr>
        <w:tabs>
          <w:tab w:val="num" w:pos="1080"/>
        </w:tabs>
        <w:ind w:left="1080" w:hanging="108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A196E4E"/>
    <w:multiLevelType w:val="hybridMultilevel"/>
    <w:tmpl w:val="113C6E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3"/>
  </w:num>
  <w:num w:numId="2" w16cid:durableId="1018237643">
    <w:abstractNumId w:val="13"/>
  </w:num>
  <w:num w:numId="3" w16cid:durableId="448670653">
    <w:abstractNumId w:val="10"/>
  </w:num>
  <w:num w:numId="4" w16cid:durableId="1698196109">
    <w:abstractNumId w:val="14"/>
  </w:num>
  <w:num w:numId="5" w16cid:durableId="69162638">
    <w:abstractNumId w:val="12"/>
  </w:num>
  <w:num w:numId="6" w16cid:durableId="1373195072">
    <w:abstractNumId w:val="0"/>
  </w:num>
  <w:num w:numId="7" w16cid:durableId="1009331414">
    <w:abstractNumId w:val="11"/>
  </w:num>
  <w:num w:numId="8" w16cid:durableId="2009747472">
    <w:abstractNumId w:val="6"/>
  </w:num>
  <w:num w:numId="9" w16cid:durableId="329254125">
    <w:abstractNumId w:val="8"/>
  </w:num>
  <w:num w:numId="10" w16cid:durableId="616760397">
    <w:abstractNumId w:val="5"/>
  </w:num>
  <w:num w:numId="11" w16cid:durableId="519587576">
    <w:abstractNumId w:val="15"/>
  </w:num>
  <w:num w:numId="12" w16cid:durableId="1030448350">
    <w:abstractNumId w:val="18"/>
  </w:num>
  <w:num w:numId="13" w16cid:durableId="1361396453">
    <w:abstractNumId w:val="4"/>
  </w:num>
  <w:num w:numId="14" w16cid:durableId="366293824">
    <w:abstractNumId w:val="9"/>
  </w:num>
  <w:num w:numId="15" w16cid:durableId="1443957339">
    <w:abstractNumId w:val="1"/>
  </w:num>
  <w:num w:numId="16" w16cid:durableId="1574317130">
    <w:abstractNumId w:val="16"/>
  </w:num>
  <w:num w:numId="17" w16cid:durableId="564879573">
    <w:abstractNumId w:val="7"/>
  </w:num>
  <w:num w:numId="18" w16cid:durableId="1142162873">
    <w:abstractNumId w:val="17"/>
  </w:num>
  <w:num w:numId="19" w16cid:durableId="1982347578">
    <w:abstractNumId w:val="11"/>
    <w:lvlOverride w:ilvl="0">
      <w:startOverride w:val="2"/>
    </w:lvlOverride>
  </w:num>
  <w:num w:numId="20" w16cid:durableId="1748572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1060A"/>
    <w:rsid w:val="000209D2"/>
    <w:rsid w:val="000561B6"/>
    <w:rsid w:val="0006492D"/>
    <w:rsid w:val="000B64EF"/>
    <w:rsid w:val="000C7CEC"/>
    <w:rsid w:val="000F6F6B"/>
    <w:rsid w:val="00116314"/>
    <w:rsid w:val="0012089E"/>
    <w:rsid w:val="00122D6D"/>
    <w:rsid w:val="00173F0B"/>
    <w:rsid w:val="00180434"/>
    <w:rsid w:val="00186DA5"/>
    <w:rsid w:val="00190935"/>
    <w:rsid w:val="001D1036"/>
    <w:rsid w:val="0024011E"/>
    <w:rsid w:val="00241926"/>
    <w:rsid w:val="002557FD"/>
    <w:rsid w:val="002560F1"/>
    <w:rsid w:val="0027045E"/>
    <w:rsid w:val="0027701F"/>
    <w:rsid w:val="002B1174"/>
    <w:rsid w:val="002F0416"/>
    <w:rsid w:val="002F68ED"/>
    <w:rsid w:val="00305EB6"/>
    <w:rsid w:val="00326D55"/>
    <w:rsid w:val="00342E14"/>
    <w:rsid w:val="003431FD"/>
    <w:rsid w:val="00346A4C"/>
    <w:rsid w:val="0035331C"/>
    <w:rsid w:val="00366991"/>
    <w:rsid w:val="003A7A88"/>
    <w:rsid w:val="003C6D7E"/>
    <w:rsid w:val="003D39DE"/>
    <w:rsid w:val="003E68AB"/>
    <w:rsid w:val="003F3683"/>
    <w:rsid w:val="00414BC8"/>
    <w:rsid w:val="00456624"/>
    <w:rsid w:val="00462439"/>
    <w:rsid w:val="00467615"/>
    <w:rsid w:val="00467D7E"/>
    <w:rsid w:val="00483E6B"/>
    <w:rsid w:val="004A1403"/>
    <w:rsid w:val="004A2981"/>
    <w:rsid w:val="004B082B"/>
    <w:rsid w:val="004B214D"/>
    <w:rsid w:val="004C35B2"/>
    <w:rsid w:val="004C69F2"/>
    <w:rsid w:val="004F629B"/>
    <w:rsid w:val="00500867"/>
    <w:rsid w:val="00544BCF"/>
    <w:rsid w:val="00584363"/>
    <w:rsid w:val="00590B7C"/>
    <w:rsid w:val="005C63CE"/>
    <w:rsid w:val="005D612E"/>
    <w:rsid w:val="005E6148"/>
    <w:rsid w:val="005E655F"/>
    <w:rsid w:val="00617A0E"/>
    <w:rsid w:val="0062717F"/>
    <w:rsid w:val="0064090F"/>
    <w:rsid w:val="006440A4"/>
    <w:rsid w:val="00692E1E"/>
    <w:rsid w:val="006C4556"/>
    <w:rsid w:val="007526B6"/>
    <w:rsid w:val="00754817"/>
    <w:rsid w:val="00755258"/>
    <w:rsid w:val="007568B3"/>
    <w:rsid w:val="007B0425"/>
    <w:rsid w:val="007B667E"/>
    <w:rsid w:val="007C4F86"/>
    <w:rsid w:val="007E3430"/>
    <w:rsid w:val="008003B9"/>
    <w:rsid w:val="00801A1A"/>
    <w:rsid w:val="00821E60"/>
    <w:rsid w:val="00840B45"/>
    <w:rsid w:val="00872362"/>
    <w:rsid w:val="00884056"/>
    <w:rsid w:val="008F27FF"/>
    <w:rsid w:val="008F4C45"/>
    <w:rsid w:val="009136E7"/>
    <w:rsid w:val="009466F0"/>
    <w:rsid w:val="00951528"/>
    <w:rsid w:val="00953527"/>
    <w:rsid w:val="00976766"/>
    <w:rsid w:val="0097763E"/>
    <w:rsid w:val="009846AF"/>
    <w:rsid w:val="009C1EC2"/>
    <w:rsid w:val="009E219A"/>
    <w:rsid w:val="009E46EC"/>
    <w:rsid w:val="00A00C54"/>
    <w:rsid w:val="00A03695"/>
    <w:rsid w:val="00A10285"/>
    <w:rsid w:val="00A6085F"/>
    <w:rsid w:val="00A90670"/>
    <w:rsid w:val="00A93530"/>
    <w:rsid w:val="00A9392C"/>
    <w:rsid w:val="00AA5FF1"/>
    <w:rsid w:val="00AA6B80"/>
    <w:rsid w:val="00AD38A2"/>
    <w:rsid w:val="00B43697"/>
    <w:rsid w:val="00B52FA4"/>
    <w:rsid w:val="00B859CB"/>
    <w:rsid w:val="00B86758"/>
    <w:rsid w:val="00B90847"/>
    <w:rsid w:val="00B923F6"/>
    <w:rsid w:val="00B94B78"/>
    <w:rsid w:val="00BD26A3"/>
    <w:rsid w:val="00BE2894"/>
    <w:rsid w:val="00C024CC"/>
    <w:rsid w:val="00C07BB9"/>
    <w:rsid w:val="00C10A32"/>
    <w:rsid w:val="00C26CDC"/>
    <w:rsid w:val="00C4655F"/>
    <w:rsid w:val="00C500F0"/>
    <w:rsid w:val="00C536D3"/>
    <w:rsid w:val="00C63B8A"/>
    <w:rsid w:val="00CB791C"/>
    <w:rsid w:val="00CC2519"/>
    <w:rsid w:val="00CD77D4"/>
    <w:rsid w:val="00CF076A"/>
    <w:rsid w:val="00CF2A90"/>
    <w:rsid w:val="00CF5580"/>
    <w:rsid w:val="00CF72A4"/>
    <w:rsid w:val="00D12A8B"/>
    <w:rsid w:val="00D15E44"/>
    <w:rsid w:val="00DA6830"/>
    <w:rsid w:val="00DB17C3"/>
    <w:rsid w:val="00DB640C"/>
    <w:rsid w:val="00DB70FD"/>
    <w:rsid w:val="00DC2C64"/>
    <w:rsid w:val="00DD7233"/>
    <w:rsid w:val="00DF1F1D"/>
    <w:rsid w:val="00E027C9"/>
    <w:rsid w:val="00E171F6"/>
    <w:rsid w:val="00E55E58"/>
    <w:rsid w:val="00E57E84"/>
    <w:rsid w:val="00E64875"/>
    <w:rsid w:val="00E83A64"/>
    <w:rsid w:val="00E97C13"/>
    <w:rsid w:val="00EA4133"/>
    <w:rsid w:val="00EB22FC"/>
    <w:rsid w:val="00EE6E68"/>
    <w:rsid w:val="00EF6F2B"/>
    <w:rsid w:val="00F0284D"/>
    <w:rsid w:val="00F0645C"/>
    <w:rsid w:val="00F33BBE"/>
    <w:rsid w:val="00F405DE"/>
    <w:rsid w:val="00F40662"/>
    <w:rsid w:val="00F75259"/>
    <w:rsid w:val="00F75C47"/>
    <w:rsid w:val="00F85467"/>
    <w:rsid w:val="00FA7D85"/>
    <w:rsid w:val="00FC0A23"/>
    <w:rsid w:val="00FD61B9"/>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link w:val="TitleChar"/>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 w:type="character" w:styleId="CommentReference">
    <w:name w:val="annotation reference"/>
    <w:basedOn w:val="DefaultParagraphFont"/>
    <w:uiPriority w:val="99"/>
    <w:semiHidden/>
    <w:unhideWhenUsed/>
    <w:rsid w:val="00F85467"/>
    <w:rPr>
      <w:sz w:val="16"/>
      <w:szCs w:val="16"/>
    </w:rPr>
  </w:style>
  <w:style w:type="paragraph" w:styleId="CommentText">
    <w:name w:val="annotation text"/>
    <w:basedOn w:val="Normal"/>
    <w:link w:val="CommentTextChar"/>
    <w:uiPriority w:val="99"/>
    <w:unhideWhenUsed/>
    <w:rsid w:val="00F85467"/>
  </w:style>
  <w:style w:type="character" w:customStyle="1" w:styleId="CommentTextChar">
    <w:name w:val="Comment Text Char"/>
    <w:basedOn w:val="DefaultParagraphFont"/>
    <w:link w:val="CommentText"/>
    <w:uiPriority w:val="99"/>
    <w:rsid w:val="00F85467"/>
  </w:style>
  <w:style w:type="paragraph" w:styleId="CommentSubject">
    <w:name w:val="annotation subject"/>
    <w:basedOn w:val="CommentText"/>
    <w:next w:val="CommentText"/>
    <w:link w:val="CommentSubjectChar"/>
    <w:uiPriority w:val="99"/>
    <w:semiHidden/>
    <w:unhideWhenUsed/>
    <w:rsid w:val="00F85467"/>
    <w:rPr>
      <w:b/>
      <w:bCs/>
    </w:rPr>
  </w:style>
  <w:style w:type="character" w:customStyle="1" w:styleId="CommentSubjectChar">
    <w:name w:val="Comment Subject Char"/>
    <w:basedOn w:val="CommentTextChar"/>
    <w:link w:val="CommentSubject"/>
    <w:uiPriority w:val="99"/>
    <w:semiHidden/>
    <w:rsid w:val="00F85467"/>
    <w:rPr>
      <w:b/>
      <w:bCs/>
    </w:rPr>
  </w:style>
  <w:style w:type="paragraph" w:customStyle="1" w:styleId="DocID">
    <w:name w:val="DocID"/>
    <w:basedOn w:val="Footer"/>
    <w:next w:val="Footer"/>
    <w:link w:val="DocIDChar"/>
    <w:rsid w:val="00B43697"/>
    <w:pPr>
      <w:tabs>
        <w:tab w:val="clear" w:pos="4320"/>
        <w:tab w:val="clear" w:pos="8640"/>
      </w:tabs>
    </w:pPr>
    <w:rPr>
      <w:rFonts w:ascii="Arial" w:hAnsi="Arial" w:cs="Arial"/>
      <w:sz w:val="16"/>
      <w:lang w:val="en-CA" w:eastAsia="en-CA"/>
    </w:rPr>
  </w:style>
  <w:style w:type="character" w:customStyle="1" w:styleId="BodyTextChar">
    <w:name w:val="Body Text Char"/>
    <w:basedOn w:val="DefaultParagraphFont"/>
    <w:link w:val="BodyText"/>
    <w:rsid w:val="00B43697"/>
    <w:rPr>
      <w:sz w:val="24"/>
      <w:lang w:val="en-GB"/>
    </w:rPr>
  </w:style>
  <w:style w:type="character" w:customStyle="1" w:styleId="TitleChar">
    <w:name w:val="Title Char"/>
    <w:basedOn w:val="BodyTextChar"/>
    <w:link w:val="Title"/>
    <w:rsid w:val="00B43697"/>
    <w:rPr>
      <w:rFonts w:ascii="Arial" w:hAnsi="Arial"/>
      <w:b/>
      <w:sz w:val="40"/>
      <w:lang w:val="en-GB"/>
    </w:rPr>
  </w:style>
  <w:style w:type="character" w:customStyle="1" w:styleId="DocIDChar">
    <w:name w:val="DocID Char"/>
    <w:basedOn w:val="TitleChar"/>
    <w:link w:val="DocID"/>
    <w:rsid w:val="00B43697"/>
    <w:rPr>
      <w:rFonts w:ascii="Arial" w:hAnsi="Arial" w:cs="Arial"/>
      <w:b w:val="0"/>
      <w:sz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28116">
      <w:bodyDiv w:val="1"/>
      <w:marLeft w:val="0"/>
      <w:marRight w:val="0"/>
      <w:marTop w:val="0"/>
      <w:marBottom w:val="0"/>
      <w:divBdr>
        <w:top w:val="none" w:sz="0" w:space="0" w:color="auto"/>
        <w:left w:val="none" w:sz="0" w:space="0" w:color="auto"/>
        <w:bottom w:val="none" w:sz="0" w:space="0" w:color="auto"/>
        <w:right w:val="none" w:sz="0" w:space="0" w:color="auto"/>
      </w:divBdr>
    </w:div>
    <w:div w:id="19855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stings@thecs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2437</Words>
  <Characters>13362</Characters>
  <Application>Microsoft Office Word</Application>
  <DocSecurity>0</DocSecurity>
  <Lines>431</Lines>
  <Paragraphs>181</Paragraphs>
  <ScaleCrop>false</ScaleCrop>
  <HeadingPairs>
    <vt:vector size="2" baseType="variant">
      <vt:variant>
        <vt:lpstr>Title</vt:lpstr>
      </vt:variant>
      <vt:variant>
        <vt:i4>1</vt:i4>
      </vt:variant>
    </vt:vector>
  </HeadingPairs>
  <TitlesOfParts>
    <vt:vector size="1" baseType="lpstr">
      <vt:lpstr/>
    </vt:vector>
  </TitlesOfParts>
  <Company>Vancouver Stock Exchange</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lstdjoh</dc:creator>
  <cp:keywords/>
  <cp:lastModifiedBy>Mandell, Jamie</cp:lastModifiedBy>
  <cp:revision>12</cp:revision>
  <cp:lastPrinted>2004-05-20T20:47:00Z</cp:lastPrinted>
  <dcterms:created xsi:type="dcterms:W3CDTF">2026-04-29T16:31:00Z</dcterms:created>
  <dcterms:modified xsi:type="dcterms:W3CDTF">2026-04-30T00:50:00Z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3214.001\0180</vt:lpwstr>
  </property>
  <property fmtid="{D5CDD505-2E9C-101B-9397-08002B2CF9AE}" pid="3" name="_DocHome">
    <vt:i4>-1234525863</vt:i4>
  </property>
  <property fmtid="{D5CDD505-2E9C-101B-9397-08002B2CF9AE}" pid="4" name="DocumentNumber">
    <vt:lpwstr>61046309</vt:lpwstr>
  </property>
  <property fmtid="{D5CDD505-2E9C-101B-9397-08002B2CF9AE}" pid="5" name="DocumentVersion">
    <vt:lpwstr>9</vt:lpwstr>
  </property>
  <property fmtid="{D5CDD505-2E9C-101B-9397-08002B2CF9AE}" pid="6" name="ClientNumber">
    <vt:lpwstr>118368</vt:lpwstr>
  </property>
  <property fmtid="{D5CDD505-2E9C-101B-9397-08002B2CF9AE}" pid="7" name="MatterNumber">
    <vt:lpwstr>00006</vt:lpwstr>
  </property>
  <property fmtid="{D5CDD505-2E9C-101B-9397-08002B2CF9AE}" pid="8" name="ClientName">
    <vt:lpwstr>Vireo Growth Inc.</vt:lpwstr>
  </property>
  <property fmtid="{D5CDD505-2E9C-101B-9397-08002B2CF9AE}" pid="9" name="MatterName">
    <vt:lpwstr>Project Sunshine (Fluent)</vt:lpwstr>
  </property>
  <property fmtid="{D5CDD505-2E9C-101B-9397-08002B2CF9AE}" pid="10" name="DatabaseName">
    <vt:lpwstr>FIRMDOCS</vt:lpwstr>
  </property>
  <property fmtid="{D5CDD505-2E9C-101B-9397-08002B2CF9AE}" pid="11" name="TypistName">
    <vt:lpwstr>EAC</vt:lpwstr>
  </property>
  <property fmtid="{D5CDD505-2E9C-101B-9397-08002B2CF9AE}" pid="12" name="AuthorName">
    <vt:lpwstr>EAC</vt:lpwstr>
  </property>
  <property fmtid="{D5CDD505-2E9C-101B-9397-08002B2CF9AE}" pid="13" name="InUseBy">
    <vt:lpwstr>J3M</vt:lpwstr>
  </property>
  <property fmtid="{D5CDD505-2E9C-101B-9397-08002B2CF9AE}" pid="14" name="EditDate">
    <vt:lpwstr>4/29/2026 9:06:42 PM</vt:lpwstr>
  </property>
  <property fmtid="{D5CDD505-2E9C-101B-9397-08002B2CF9AE}" pid="15" name="EditTime">
    <vt:lpwstr/>
  </property>
  <property fmtid="{D5CDD505-2E9C-101B-9397-08002B2CF9AE}" pid="16" name="IsiManageWork">
    <vt:lpwstr>True</vt:lpwstr>
  </property>
  <property fmtid="{D5CDD505-2E9C-101B-9397-08002B2CF9AE}" pid="17" name="CUS_DocIDActiveBits">
    <vt:lpwstr>98304</vt:lpwstr>
  </property>
  <property fmtid="{D5CDD505-2E9C-101B-9397-08002B2CF9AE}" pid="18" name="CUS_DocIDLocation">
    <vt:lpwstr>NO_DOC_ID</vt:lpwstr>
  </property>
  <property fmtid="{D5CDD505-2E9C-101B-9397-08002B2CF9AE}" pid="19" name="CUS_DocIDReference">
    <vt:lpwstr>noDocID</vt:lpwstr>
  </property>
</Properties>
</file>