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814A1" w:rsidRPr="0001060A" w:rsidP="0094396B" w14:paraId="4E7604B5" w14:textId="0C723C21">
      <w:pPr>
        <w:pStyle w:val="Title"/>
        <w:spacing w:before="0"/>
        <w:rPr>
          <w:color w:val="auto"/>
          <w:sz w:val="28"/>
          <w:shd w:val="clear" w:color="auto" w:fill="auto"/>
          <w:lang w:val="en-CA"/>
        </w:rPr>
      </w:pPr>
      <w:r w:rsidRPr="0001060A">
        <w:rPr>
          <w:sz w:val="28"/>
          <w:lang w:val="en-CA"/>
        </w:rPr>
        <w:t>FORM 9</w:t>
      </w:r>
    </w:p>
    <w:p w:rsidR="007814A1" w:rsidRPr="007568B3" w:rsidP="007814A1" w14:paraId="209F8533" w14:textId="77777777">
      <w:pPr>
        <w:pStyle w:val="Title"/>
        <w:spacing w:before="0" w:after="0"/>
        <w:rPr>
          <w:color w:val="auto"/>
          <w:sz w:val="28"/>
          <w:u w:val="single"/>
          <w:shd w:val="clear" w:color="auto" w:fill="auto"/>
          <w:lang w:val="en-CA"/>
        </w:rPr>
      </w:pPr>
      <w:r w:rsidRPr="007568B3">
        <w:rPr>
          <w:sz w:val="28"/>
          <w:u w:val="single"/>
          <w:lang w:val="en-CA"/>
        </w:rPr>
        <w:t xml:space="preserve">NOTICE OF </w:t>
      </w:r>
      <w:r>
        <w:rPr>
          <w:sz w:val="28"/>
          <w:u w:val="single"/>
          <w:lang w:val="en-CA"/>
        </w:rPr>
        <w:t xml:space="preserve">ISSUANCE OR </w:t>
      </w:r>
      <w:r w:rsidRPr="007568B3">
        <w:rPr>
          <w:sz w:val="28"/>
          <w:u w:val="single"/>
          <w:lang w:val="en-CA"/>
        </w:rPr>
        <w:t xml:space="preserve">PROPOSED ISSUANCE OF </w:t>
      </w:r>
      <w:r>
        <w:rPr>
          <w:sz w:val="28"/>
          <w:u w:val="single"/>
          <w:lang w:val="en-CA"/>
        </w:rPr>
        <w:t>LISTED</w:t>
      </w:r>
      <w:r w:rsidRPr="007568B3">
        <w:rPr>
          <w:sz w:val="28"/>
          <w:u w:val="single"/>
          <w:lang w:val="en-CA"/>
        </w:rPr>
        <w:t xml:space="preserve"> SECURITIES </w:t>
      </w:r>
    </w:p>
    <w:p w:rsidR="007814A1" w:rsidP="007814A1" w14:paraId="22C5A928" w14:textId="77777777">
      <w:pPr>
        <w:pStyle w:val="Title"/>
        <w:spacing w:before="0" w:after="0"/>
        <w:rPr>
          <w:color w:val="auto"/>
          <w:sz w:val="28"/>
          <w:u w:val="single"/>
          <w:shd w:val="clear" w:color="auto" w:fill="auto"/>
          <w:lang w:val="en-CA"/>
        </w:rPr>
      </w:pPr>
      <w:r>
        <w:rPr>
          <w:sz w:val="28"/>
          <w:u w:val="single"/>
          <w:lang w:val="en-CA"/>
        </w:rPr>
        <w:t>(or securities convertible or exchangeable into listed securities</w:t>
      </w:r>
      <w:r>
        <w:rPr>
          <w:rStyle w:val="FootnoteReference"/>
        </w:rPr>
        <w:footnoteRef/>
      </w:r>
      <w:r>
        <w:rPr>
          <w:sz w:val="28"/>
          <w:u w:val="single"/>
          <w:lang w:val="en-CA"/>
        </w:rPr>
        <w:t>)</w:t>
      </w:r>
    </w:p>
    <w:p w:rsidR="007814A1" w:rsidP="007814A1" w14:paraId="13F71CC8" w14:textId="77777777">
      <w:pPr>
        <w:pStyle w:val="BodyText"/>
        <w:rPr>
          <w:rFonts w:ascii="Arial" w:hAnsi="Arial"/>
          <w:color w:val="auto"/>
          <w:shd w:val="clear" w:color="auto" w:fill="auto"/>
          <w:lang w:val="en-CA"/>
        </w:rPr>
      </w:pPr>
      <w:r>
        <w:rPr>
          <w:rFonts w:ascii="Arial" w:hAnsi="Arial"/>
          <w:lang w:val="en-CA"/>
        </w:rPr>
        <w:t xml:space="preserve">Name of Listed Issuer: </w:t>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r>
      <w:r>
        <w:rPr>
          <w:rFonts w:ascii="Arial" w:hAnsi="Arial"/>
          <w:lang w:val="en-CA"/>
        </w:rPr>
        <w:tab/>
        <w:t>Symbol(s):</w:t>
      </w:r>
    </w:p>
    <w:tbl>
      <w:tblPr>
        <w:tblStyle w:val="TableGrid"/>
        <w:tblW w:w="0" w:type="auto"/>
        <w:tblLook w:val="04A0"/>
      </w:tblPr>
      <w:tblGrid>
        <w:gridCol w:w="6329"/>
        <w:gridCol w:w="3021"/>
      </w:tblGrid>
      <w:tr w14:paraId="50945E40" w14:textId="77777777" w:rsidTr="0054177F">
        <w:tblPrEx>
          <w:tblW w:w="0" w:type="auto"/>
          <w:tblLook w:val="04A0"/>
        </w:tblPrEx>
        <w:tc>
          <w:tcPr>
            <w:tcW w:w="6487" w:type="dxa"/>
          </w:tcPr>
          <w:p w:rsidR="007814A1" w:rsidRPr="00910130" w:rsidP="0083784F" w14:paraId="0A17CF72" w14:textId="6E8F1B7D">
            <w:pPr>
              <w:pStyle w:val="BodyText"/>
              <w:jc w:val="center"/>
              <w:rPr>
                <w:rFonts w:ascii="Arial" w:hAnsi="Arial"/>
                <w:color w:val="0F243E"/>
                <w:shd w:val="clear" w:color="auto" w:fill="auto"/>
                <w:lang w:val="en-CA"/>
              </w:rPr>
            </w:pPr>
            <w:r w:rsidRPr="00910130">
              <w:rPr>
                <w:rFonts w:ascii="Arial" w:hAnsi="Arial"/>
                <w:color w:val="0F243E" w:themeColor="text2" w:themeShade="80"/>
                <w:lang w:val="en-CA"/>
              </w:rPr>
              <w:t xml:space="preserve">Vext Science, Inc. </w:t>
            </w:r>
            <w:r w:rsidRPr="00910130">
              <w:rPr>
                <w:rFonts w:ascii="Arial" w:hAnsi="Arial"/>
                <w:color w:val="0F243E" w:themeColor="text2" w:themeShade="80"/>
                <w:lang w:val="en-CA"/>
              </w:rPr>
              <w:t>(the “</w:t>
            </w:r>
            <w:r w:rsidRPr="00910130">
              <w:rPr>
                <w:rFonts w:ascii="Arial" w:hAnsi="Arial"/>
                <w:b/>
                <w:color w:val="0F243E" w:themeColor="text2" w:themeShade="80"/>
                <w:lang w:val="en-CA"/>
              </w:rPr>
              <w:t>Issuer</w:t>
            </w:r>
            <w:r w:rsidRPr="00910130">
              <w:rPr>
                <w:rFonts w:ascii="Arial" w:hAnsi="Arial"/>
                <w:color w:val="0F243E" w:themeColor="text2" w:themeShade="80"/>
                <w:lang w:val="en-CA"/>
              </w:rPr>
              <w:t>”).</w:t>
            </w:r>
          </w:p>
        </w:tc>
        <w:tc>
          <w:tcPr>
            <w:tcW w:w="3089" w:type="dxa"/>
          </w:tcPr>
          <w:p w:rsidR="007814A1" w:rsidRPr="00910130" w:rsidP="0054177F" w14:paraId="4E7DF106" w14:textId="03EA3544">
            <w:pPr>
              <w:pStyle w:val="BodyText"/>
              <w:jc w:val="center"/>
              <w:rPr>
                <w:rFonts w:ascii="Arial" w:hAnsi="Arial"/>
                <w:color w:val="0F243E"/>
                <w:shd w:val="clear" w:color="auto" w:fill="auto"/>
                <w:lang w:val="en-CA"/>
              </w:rPr>
            </w:pPr>
            <w:r w:rsidRPr="004703AF">
              <w:rPr>
                <w:rFonts w:ascii="Arial" w:hAnsi="Arial"/>
                <w:b/>
                <w:color w:val="0F243E" w:themeColor="text2" w:themeShade="80"/>
                <w:lang w:val="en-CA"/>
              </w:rPr>
              <w:t>VEXT</w:t>
            </w:r>
          </w:p>
        </w:tc>
      </w:tr>
    </w:tbl>
    <w:p w:rsidR="007814A1" w:rsidRPr="00094C60" w:rsidP="00105BEA" w14:paraId="66F0ACBE" w14:textId="3E01ABAD">
      <w:pPr>
        <w:pStyle w:val="BodyText"/>
        <w:tabs>
          <w:tab w:val="left" w:pos="3150"/>
          <w:tab w:val="left" w:pos="7650"/>
          <w:tab w:val="left" w:pos="8010"/>
          <w:tab w:val="left" w:pos="8640"/>
        </w:tabs>
        <w:spacing w:after="240"/>
        <w:rPr>
          <w:rFonts w:ascii="Arial" w:hAnsi="Arial"/>
          <w:color w:val="002060"/>
          <w:sz w:val="32"/>
          <w:shd w:val="clear" w:color="auto" w:fill="auto"/>
          <w:lang w:val="en-CA"/>
        </w:rPr>
      </w:pPr>
      <w:r>
        <w:rPr>
          <w:rFonts w:ascii="Arial" w:hAnsi="Arial"/>
          <w:lang w:val="en-CA"/>
        </w:rPr>
        <w:t xml:space="preserve">Date:  </w:t>
      </w:r>
      <w:r w:rsidR="006F00FB">
        <w:rPr>
          <w:rFonts w:ascii="Arial" w:hAnsi="Arial"/>
          <w:color w:val="0F243E" w:themeColor="text2" w:themeShade="80"/>
          <w:u w:val="single"/>
          <w:lang w:val="en-CA"/>
        </w:rPr>
        <w:t>January 19</w:t>
      </w:r>
      <w:r w:rsidRPr="00094C60">
        <w:rPr>
          <w:rFonts w:ascii="Arial" w:hAnsi="Arial"/>
          <w:color w:val="0F243E" w:themeColor="text2" w:themeShade="80"/>
          <w:u w:val="single"/>
          <w:lang w:val="en-CA"/>
        </w:rPr>
        <w:t xml:space="preserve">, </w:t>
      </w:r>
      <w:r w:rsidR="007535E4">
        <w:rPr>
          <w:rFonts w:ascii="Arial" w:hAnsi="Arial"/>
          <w:color w:val="0F243E" w:themeColor="text2" w:themeShade="80"/>
          <w:u w:val="single"/>
          <w:lang w:val="en-CA"/>
        </w:rPr>
        <w:t>202</w:t>
      </w:r>
      <w:r w:rsidR="000F5D25">
        <w:rPr>
          <w:rFonts w:ascii="Arial" w:hAnsi="Arial"/>
          <w:color w:val="0F243E" w:themeColor="text2" w:themeShade="80"/>
          <w:u w:val="single"/>
          <w:lang w:val="en-CA"/>
        </w:rPr>
        <w:t>1</w:t>
      </w:r>
      <w:r>
        <w:rPr>
          <w:rFonts w:ascii="Arial" w:hAnsi="Arial"/>
          <w:lang w:val="en-CA"/>
        </w:rPr>
        <w:tab/>
        <w:t>Is this an updating or amending Notice:</w:t>
      </w:r>
      <w:r>
        <w:rPr>
          <w:rFonts w:ascii="Arial" w:hAnsi="Arial"/>
          <w:lang w:val="en-CA"/>
        </w:rPr>
        <w:tab/>
      </w:r>
      <w:r w:rsidR="00C77243">
        <w:rPr>
          <w:rFonts w:ascii="Monotype Sorts" w:hAnsi="Monotype Sorts"/>
          <w:lang w:val="en-CA"/>
        </w:rPr>
        <w:sym w:font="Monotype Sorts" w:char="F07F"/>
      </w:r>
      <w:r w:rsidR="00C77243">
        <w:rPr>
          <w:rFonts w:ascii="Monotype Sorts" w:hAnsi="Monotype Sorts"/>
          <w:lang w:val="en-CA"/>
        </w:rPr>
        <w:sym w:font="Monotype Sorts" w:char="F020"/>
      </w:r>
      <w:r w:rsidR="00C77243">
        <w:rPr>
          <w:rFonts w:ascii="Arial" w:hAnsi="Arial"/>
          <w:color w:val="0F243E" w:themeColor="text2" w:themeShade="80"/>
          <w:lang w:val="en-CA"/>
        </w:rPr>
        <w:t>Yes</w:t>
      </w:r>
      <w:r w:rsidRPr="00B24BBA" w:rsidR="00C77243">
        <w:rPr>
          <w:rFonts w:ascii="Wingdings" w:hAnsi="Wingdings"/>
          <w:color w:val="002060"/>
          <w:lang w:val="en-CA"/>
        </w:rPr>
        <w:sym w:font="Wingdings" w:char="F020"/>
      </w:r>
      <w:r w:rsidRPr="00B24BBA" w:rsidR="00235EBF">
        <w:rPr>
          <w:rFonts w:ascii="Wingdings" w:hAnsi="Wingdings"/>
          <w:color w:val="002060"/>
          <w:lang w:val="en-CA"/>
        </w:rPr>
        <w:sym w:font="Wingdings" w:char="F078"/>
      </w:r>
      <w:r w:rsidR="00C77243">
        <w:rPr>
          <w:rFonts w:ascii="Arial" w:hAnsi="Arial"/>
          <w:color w:val="002060"/>
          <w:lang w:val="en-CA"/>
        </w:rPr>
        <w:t xml:space="preserve"> No</w:t>
      </w:r>
    </w:p>
    <w:p w:rsidR="007814A1" w:rsidRPr="00C77243" w:rsidP="007814A1" w14:paraId="3A1FD9A7" w14:textId="50BA0AB9">
      <w:pPr>
        <w:pStyle w:val="BodyText"/>
        <w:tabs>
          <w:tab w:val="left" w:pos="9180"/>
        </w:tabs>
        <w:spacing w:before="0" w:after="120"/>
        <w:rPr>
          <w:rFonts w:ascii="Arial" w:hAnsi="Arial"/>
          <w:color w:val="0F243E"/>
          <w:u w:val="single"/>
          <w:shd w:val="clear" w:color="auto" w:fill="auto"/>
          <w:lang w:val="en-CA"/>
        </w:rPr>
      </w:pPr>
      <w:r>
        <w:rPr>
          <w:rFonts w:ascii="Arial" w:hAnsi="Arial"/>
          <w:lang w:val="en-CA"/>
        </w:rPr>
        <w:t xml:space="preserve">If yes provide date(s) of prior Notices:  </w:t>
      </w:r>
      <w:r w:rsidRPr="00C77243" w:rsidR="00C77243">
        <w:rPr>
          <w:rFonts w:ascii="Arial" w:hAnsi="Arial"/>
          <w:color w:val="0F243E" w:themeColor="text2" w:themeShade="80"/>
          <w:u w:val="single"/>
          <w:lang w:val="en-CA"/>
        </w:rPr>
        <w:t>N</w:t>
      </w:r>
      <w:r w:rsidR="00C77243">
        <w:rPr>
          <w:rFonts w:ascii="Arial" w:hAnsi="Arial"/>
          <w:color w:val="0F243E" w:themeColor="text2" w:themeShade="80"/>
          <w:u w:val="single"/>
          <w:lang w:val="en-CA"/>
        </w:rPr>
        <w:t>/A</w:t>
      </w:r>
    </w:p>
    <w:p w:rsidR="000E2FB2" w:rsidP="004703AF" w14:paraId="7D88761F" w14:textId="77777777">
      <w:pPr>
        <w:pStyle w:val="BodyText"/>
        <w:tabs>
          <w:tab w:val="left" w:pos="9180"/>
        </w:tabs>
        <w:spacing w:before="0" w:after="120"/>
        <w:jc w:val="both"/>
        <w:rPr>
          <w:rFonts w:ascii="Arial" w:hAnsi="Arial"/>
          <w:color w:val="auto"/>
          <w:shd w:val="clear" w:color="auto" w:fill="auto"/>
          <w:lang w:val="en-CA"/>
        </w:rPr>
      </w:pPr>
      <w:r>
        <w:rPr>
          <w:rFonts w:ascii="Arial" w:hAnsi="Arial"/>
          <w:lang w:val="en-CA"/>
        </w:rPr>
        <w:t xml:space="preserve">Issued and Outstanding Securities of Issuer Prior to Issuance:  </w:t>
      </w:r>
    </w:p>
    <w:p w:rsidR="000E2FB2" w:rsidP="000E2FB2" w14:paraId="168034A0" w14:textId="02FB9FEF">
      <w:pPr>
        <w:pStyle w:val="BodyText"/>
        <w:numPr>
          <w:ilvl w:val="0"/>
          <w:numId w:val="21"/>
        </w:numPr>
        <w:tabs>
          <w:tab w:val="left" w:pos="9180"/>
        </w:tabs>
        <w:spacing w:before="0" w:after="120"/>
        <w:jc w:val="both"/>
        <w:rPr>
          <w:rFonts w:ascii="Arial" w:hAnsi="Arial"/>
          <w:color w:val="auto"/>
          <w:u w:val="single"/>
          <w:shd w:val="clear" w:color="auto" w:fill="auto"/>
          <w:lang w:val="en-CA"/>
        </w:rPr>
      </w:pPr>
      <w:r w:rsidRPr="00500873">
        <w:rPr>
          <w:rFonts w:ascii="Arial" w:hAnsi="Arial"/>
          <w:u w:val="single"/>
          <w:lang w:val="en-CA"/>
        </w:rPr>
        <w:t>46,</w:t>
      </w:r>
      <w:r w:rsidRPr="00500873" w:rsidR="00500873">
        <w:rPr>
          <w:rFonts w:ascii="Arial" w:hAnsi="Arial"/>
          <w:u w:val="single"/>
          <w:lang w:val="en-CA"/>
        </w:rPr>
        <w:t>883,2</w:t>
      </w:r>
      <w:r w:rsidRPr="00500873">
        <w:rPr>
          <w:rFonts w:ascii="Arial" w:hAnsi="Arial"/>
          <w:u w:val="single"/>
          <w:lang w:val="en-CA"/>
        </w:rPr>
        <w:t>91 common</w:t>
      </w:r>
      <w:r w:rsidRPr="00020140">
        <w:rPr>
          <w:rFonts w:ascii="Arial" w:hAnsi="Arial"/>
          <w:u w:val="single"/>
          <w:lang w:val="en-CA"/>
        </w:rPr>
        <w:t xml:space="preserve"> shares (“</w:t>
      </w:r>
      <w:r w:rsidRPr="00020140">
        <w:rPr>
          <w:rFonts w:ascii="Arial" w:hAnsi="Arial"/>
          <w:b/>
          <w:u w:val="single"/>
          <w:lang w:val="en-CA"/>
        </w:rPr>
        <w:t>Subordinated Voting Shares</w:t>
      </w:r>
      <w:r w:rsidRPr="00020140">
        <w:rPr>
          <w:rFonts w:ascii="Arial" w:hAnsi="Arial"/>
          <w:u w:val="single"/>
          <w:lang w:val="en-CA"/>
        </w:rPr>
        <w:t>”)</w:t>
      </w:r>
      <w:r>
        <w:rPr>
          <w:rFonts w:ascii="Arial" w:hAnsi="Arial"/>
          <w:u w:val="single"/>
          <w:lang w:val="en-CA"/>
        </w:rPr>
        <w:t>;</w:t>
      </w:r>
      <w:r w:rsidRPr="00020140">
        <w:rPr>
          <w:rFonts w:ascii="Arial" w:hAnsi="Arial"/>
          <w:u w:val="single"/>
          <w:lang w:val="en-CA"/>
        </w:rPr>
        <w:t xml:space="preserve"> and</w:t>
      </w:r>
    </w:p>
    <w:p w:rsidR="004703AF" w:rsidP="000E2FB2" w14:paraId="77D2962A" w14:textId="64F261C2">
      <w:pPr>
        <w:pStyle w:val="BodyText"/>
        <w:numPr>
          <w:ilvl w:val="0"/>
          <w:numId w:val="21"/>
        </w:numPr>
        <w:tabs>
          <w:tab w:val="left" w:pos="9180"/>
        </w:tabs>
        <w:spacing w:before="0" w:after="120"/>
        <w:jc w:val="both"/>
        <w:rPr>
          <w:rFonts w:ascii="Arial" w:hAnsi="Arial"/>
          <w:color w:val="auto"/>
          <w:u w:val="single"/>
          <w:shd w:val="clear" w:color="auto" w:fill="auto"/>
          <w:lang w:val="en-CA"/>
        </w:rPr>
      </w:pPr>
      <w:r>
        <w:rPr>
          <w:rFonts w:ascii="Arial" w:hAnsi="Arial"/>
          <w:u w:val="single"/>
          <w:lang w:val="en-CA"/>
        </w:rPr>
        <w:t>684,471</w:t>
      </w:r>
      <w:r w:rsidRPr="00020140">
        <w:rPr>
          <w:rFonts w:ascii="Arial" w:hAnsi="Arial"/>
          <w:u w:val="single"/>
          <w:lang w:val="en-CA"/>
        </w:rPr>
        <w:t xml:space="preserve"> Class A common shares (“</w:t>
      </w:r>
      <w:r w:rsidRPr="00020140">
        <w:rPr>
          <w:rFonts w:ascii="Arial" w:hAnsi="Arial"/>
          <w:b/>
          <w:u w:val="single"/>
          <w:lang w:val="en-CA"/>
        </w:rPr>
        <w:t>Super Voting Shares</w:t>
      </w:r>
      <w:r>
        <w:rPr>
          <w:rFonts w:ascii="Arial" w:hAnsi="Arial"/>
          <w:u w:val="single"/>
          <w:lang w:val="en-CA"/>
        </w:rPr>
        <w:t>”)</w:t>
      </w:r>
    </w:p>
    <w:p w:rsidR="004703AF" w:rsidP="004703AF" w14:paraId="1590DB13" w14:textId="77777777">
      <w:pPr>
        <w:pStyle w:val="BodyText"/>
        <w:tabs>
          <w:tab w:val="left" w:pos="9180"/>
        </w:tabs>
        <w:spacing w:before="0" w:after="120"/>
        <w:jc w:val="both"/>
        <w:rPr>
          <w:rFonts w:ascii="Arial" w:hAnsi="Arial"/>
          <w:color w:val="auto"/>
          <w:shd w:val="clear" w:color="auto" w:fill="auto"/>
          <w:lang w:val="en-CA"/>
        </w:rPr>
      </w:pPr>
    </w:p>
    <w:p w:rsidR="007814A1" w:rsidRPr="00840B45" w:rsidP="004703AF" w14:paraId="2405B1A7" w14:textId="718AE07A">
      <w:pPr>
        <w:pStyle w:val="BodyText"/>
        <w:tabs>
          <w:tab w:val="left" w:pos="9180"/>
        </w:tabs>
        <w:spacing w:before="0" w:after="120"/>
        <w:jc w:val="both"/>
        <w:rPr>
          <w:rFonts w:ascii="Arial" w:hAnsi="Arial"/>
          <w:b/>
          <w:color w:val="auto"/>
          <w:shd w:val="clear" w:color="auto" w:fill="auto"/>
          <w:lang w:val="en-CA"/>
        </w:rPr>
      </w:pPr>
      <w:r>
        <w:rPr>
          <w:rFonts w:ascii="Arial" w:hAnsi="Arial"/>
          <w:b/>
          <w:lang w:val="en-CA"/>
        </w:rPr>
        <w:t>Pricing</w:t>
      </w:r>
    </w:p>
    <w:p w:rsidR="007814A1" w:rsidRPr="00A06E5B" w:rsidP="00BF7F80" w14:paraId="097D0B32" w14:textId="5AD8EB42">
      <w:pPr>
        <w:pStyle w:val="BodyText"/>
        <w:tabs>
          <w:tab w:val="left" w:pos="9180"/>
        </w:tabs>
        <w:spacing w:before="0" w:after="120"/>
        <w:jc w:val="both"/>
        <w:rPr>
          <w:rFonts w:ascii="Arial" w:hAnsi="Arial"/>
          <w:color w:val="auto"/>
          <w:u w:val="single"/>
          <w:shd w:val="clear" w:color="auto" w:fill="auto"/>
          <w:lang w:val="en-CA"/>
        </w:rPr>
      </w:pPr>
      <w:r>
        <w:rPr>
          <w:rFonts w:ascii="Arial" w:hAnsi="Arial"/>
          <w:lang w:val="en-CA"/>
        </w:rPr>
        <w:t>Date of news release announcing proposed</w:t>
      </w:r>
      <w:r w:rsidRPr="00A06E5B">
        <w:rPr>
          <w:rFonts w:ascii="Arial" w:hAnsi="Arial"/>
          <w:lang w:val="en-CA"/>
        </w:rPr>
        <w:t xml:space="preserve"> issuance:</w:t>
      </w:r>
      <w:r w:rsidRPr="00A06E5B" w:rsidR="000F5D25">
        <w:rPr>
          <w:rFonts w:ascii="Arial" w:hAnsi="Arial"/>
          <w:lang w:val="en-CA"/>
        </w:rPr>
        <w:t xml:space="preserve"> </w:t>
      </w:r>
      <w:r w:rsidRPr="00A06E5B" w:rsidR="00A06E5B">
        <w:rPr>
          <w:rFonts w:ascii="Arial" w:hAnsi="Arial"/>
          <w:u w:val="single"/>
          <w:lang w:val="en-CA"/>
        </w:rPr>
        <w:t>January 19, 2021</w:t>
      </w:r>
      <w:r w:rsidRPr="00A06E5B" w:rsidR="00C77243">
        <w:rPr>
          <w:rFonts w:ascii="Arial" w:hAnsi="Arial"/>
          <w:u w:val="single"/>
          <w:lang w:val="en-CA"/>
        </w:rPr>
        <w:t>.</w:t>
      </w:r>
    </w:p>
    <w:p w:rsidR="007814A1" w:rsidRPr="00A06E5B" w:rsidP="007814A1" w14:paraId="1D232122" w14:textId="3AB7C448">
      <w:pPr>
        <w:pStyle w:val="BodyText"/>
        <w:tabs>
          <w:tab w:val="left" w:pos="9180"/>
        </w:tabs>
        <w:spacing w:before="0" w:after="120"/>
        <w:rPr>
          <w:rFonts w:ascii="Arial" w:hAnsi="Arial"/>
          <w:color w:val="auto"/>
          <w:u w:val="single"/>
          <w:shd w:val="clear" w:color="auto" w:fill="auto"/>
          <w:lang w:val="en-CA"/>
        </w:rPr>
      </w:pPr>
      <w:r w:rsidRPr="00A06E5B">
        <w:rPr>
          <w:rFonts w:ascii="Arial" w:hAnsi="Arial"/>
          <w:lang w:val="en-CA"/>
        </w:rPr>
        <w:t xml:space="preserve">Date of confidential request for price protection: </w:t>
      </w:r>
      <w:r w:rsidRPr="00A06E5B" w:rsidR="000F5D25">
        <w:rPr>
          <w:rFonts w:ascii="Arial" w:hAnsi="Arial"/>
          <w:u w:val="single"/>
          <w:lang w:val="en-CA"/>
        </w:rPr>
        <w:t>January 13, 2021</w:t>
      </w:r>
    </w:p>
    <w:p w:rsidR="007814A1" w:rsidRPr="00A06E5B" w:rsidP="00BF7F80" w14:paraId="67BAD005" w14:textId="10B4F7ED">
      <w:pPr>
        <w:pStyle w:val="BodyText"/>
        <w:tabs>
          <w:tab w:val="left" w:pos="9180"/>
        </w:tabs>
        <w:spacing w:before="0" w:after="120"/>
        <w:jc w:val="both"/>
        <w:rPr>
          <w:rFonts w:ascii="Arial" w:hAnsi="Arial"/>
          <w:color w:val="auto"/>
          <w:shd w:val="clear" w:color="auto" w:fill="auto"/>
          <w:lang w:val="en-CA"/>
        </w:rPr>
      </w:pPr>
      <w:r w:rsidRPr="00A06E5B">
        <w:rPr>
          <w:rFonts w:ascii="Arial" w:hAnsi="Arial"/>
          <w:lang w:val="en-CA"/>
        </w:rPr>
        <w:t xml:space="preserve">Closing Market Price on Day Preceding the news release: </w:t>
      </w:r>
      <w:r w:rsidRPr="00A06E5B" w:rsidR="000F5D25">
        <w:rPr>
          <w:rFonts w:ascii="Arial" w:hAnsi="Arial"/>
          <w:u w:val="single"/>
          <w:lang w:val="en-CA"/>
        </w:rPr>
        <w:t>N/A</w:t>
      </w:r>
      <w:r w:rsidRPr="00A06E5B" w:rsidR="000F5D25">
        <w:rPr>
          <w:rFonts w:ascii="Arial" w:hAnsi="Arial"/>
          <w:lang w:val="en-CA"/>
        </w:rPr>
        <w:t xml:space="preserve"> </w:t>
      </w:r>
      <w:r w:rsidRPr="00A06E5B">
        <w:rPr>
          <w:rFonts w:ascii="Arial" w:hAnsi="Arial"/>
          <w:lang w:val="en-CA"/>
        </w:rPr>
        <w:t>or</w:t>
      </w:r>
    </w:p>
    <w:p w:rsidR="007814A1" w:rsidRPr="00A06E5B" w:rsidP="007814A1" w14:paraId="04CB3247" w14:textId="073443C4">
      <w:pPr>
        <w:pStyle w:val="BodyText"/>
        <w:tabs>
          <w:tab w:val="left" w:pos="6030"/>
        </w:tabs>
        <w:spacing w:before="0" w:after="120"/>
        <w:rPr>
          <w:rFonts w:ascii="Arial" w:hAnsi="Arial"/>
          <w:color w:val="auto"/>
          <w:u w:val="single"/>
          <w:shd w:val="clear" w:color="auto" w:fill="auto"/>
          <w:lang w:val="en-CA"/>
        </w:rPr>
      </w:pPr>
      <w:r w:rsidRPr="00A06E5B">
        <w:rPr>
          <w:rFonts w:ascii="Arial" w:hAnsi="Arial"/>
          <w:lang w:val="en-CA"/>
        </w:rPr>
        <w:t xml:space="preserve">Day preceding request for price protection: </w:t>
      </w:r>
      <w:r w:rsidRPr="00A06E5B" w:rsidR="000F5D25">
        <w:rPr>
          <w:rFonts w:ascii="Arial" w:hAnsi="Arial"/>
          <w:u w:val="single"/>
          <w:lang w:val="en-CA"/>
        </w:rPr>
        <w:t>$1.32</w:t>
      </w:r>
      <w:r w:rsidRPr="00A06E5B" w:rsidR="00D50094">
        <w:rPr>
          <w:rFonts w:ascii="Arial" w:hAnsi="Arial"/>
          <w:u w:val="single"/>
          <w:lang w:val="en-CA"/>
        </w:rPr>
        <w:t xml:space="preserve"> </w:t>
      </w:r>
      <w:r w:rsidRPr="00A06E5B" w:rsidR="000F5D25">
        <w:rPr>
          <w:rFonts w:ascii="Arial" w:hAnsi="Arial"/>
          <w:u w:val="single"/>
          <w:lang w:val="en-CA"/>
        </w:rPr>
        <w:t>(as at January 12, 2021)</w:t>
      </w:r>
    </w:p>
    <w:p w:rsidR="004703AF" w:rsidP="007814A1" w14:paraId="249755DD" w14:textId="77777777">
      <w:pPr>
        <w:pStyle w:val="BodyText"/>
        <w:tabs>
          <w:tab w:val="left" w:pos="9180"/>
        </w:tabs>
        <w:spacing w:before="0" w:after="120"/>
        <w:rPr>
          <w:rFonts w:ascii="Arial" w:hAnsi="Arial"/>
          <w:b/>
          <w:color w:val="auto"/>
          <w:shd w:val="clear" w:color="auto" w:fill="auto"/>
          <w:lang w:val="en-CA"/>
        </w:rPr>
      </w:pPr>
    </w:p>
    <w:p w:rsidR="007814A1" w:rsidP="007814A1" w14:paraId="025474D6" w14:textId="4DCF4BAF">
      <w:pPr>
        <w:pStyle w:val="BodyText"/>
        <w:tabs>
          <w:tab w:val="left" w:pos="9180"/>
        </w:tabs>
        <w:spacing w:before="0" w:after="120"/>
        <w:rPr>
          <w:rFonts w:ascii="Arial" w:hAnsi="Arial"/>
          <w:b/>
          <w:color w:val="auto"/>
          <w:shd w:val="clear" w:color="auto" w:fill="auto"/>
          <w:lang w:val="en-CA"/>
        </w:rPr>
      </w:pPr>
      <w:r>
        <w:rPr>
          <w:rFonts w:ascii="Arial" w:hAnsi="Arial"/>
          <w:b/>
          <w:lang w:val="en-CA"/>
        </w:rPr>
        <w:t>Closing</w:t>
      </w:r>
    </w:p>
    <w:p w:rsidR="007814A1" w:rsidRPr="00A06E5B" w:rsidP="00F6719C" w14:paraId="7D12DB34" w14:textId="37C74118">
      <w:pPr>
        <w:pStyle w:val="BodyText"/>
        <w:spacing w:before="0" w:after="120"/>
        <w:rPr>
          <w:rFonts w:ascii="Arial" w:hAnsi="Arial"/>
          <w:color w:val="auto"/>
          <w:u w:val="single"/>
          <w:shd w:val="clear" w:color="auto" w:fill="auto"/>
          <w:lang w:val="en-CA"/>
        </w:rPr>
      </w:pPr>
      <w:r>
        <w:rPr>
          <w:rFonts w:ascii="Arial" w:hAnsi="Arial"/>
          <w:lang w:val="en-CA"/>
        </w:rPr>
        <w:t>Number of securities to be issued</w:t>
      </w:r>
      <w:r w:rsidRPr="00A06E5B">
        <w:rPr>
          <w:rFonts w:ascii="Arial" w:hAnsi="Arial"/>
          <w:lang w:val="en-CA"/>
        </w:rPr>
        <w:t xml:space="preserve">: </w:t>
      </w:r>
      <w:r w:rsidRPr="00A06E5B" w:rsidR="000D58A4">
        <w:rPr>
          <w:rFonts w:ascii="Arial" w:hAnsi="Arial"/>
          <w:u w:val="single"/>
          <w:lang w:val="en-CA"/>
        </w:rPr>
        <w:t>1,785,715</w:t>
      </w:r>
      <w:r w:rsidRPr="00A06E5B" w:rsidR="00C77243">
        <w:rPr>
          <w:rFonts w:ascii="Arial" w:hAnsi="Arial"/>
          <w:u w:val="single"/>
          <w:lang w:val="en-CA"/>
        </w:rPr>
        <w:t xml:space="preserve"> </w:t>
      </w:r>
      <w:r w:rsidRPr="00A06E5B" w:rsidR="00864D59">
        <w:rPr>
          <w:rFonts w:ascii="Arial" w:hAnsi="Arial"/>
          <w:u w:val="single"/>
          <w:lang w:val="en-CA"/>
        </w:rPr>
        <w:t>units (“</w:t>
      </w:r>
      <w:r w:rsidRPr="00A06E5B" w:rsidR="00864D59">
        <w:rPr>
          <w:rFonts w:ascii="Arial" w:hAnsi="Arial"/>
          <w:b/>
          <w:u w:val="single"/>
          <w:lang w:val="en-CA"/>
        </w:rPr>
        <w:t>Units</w:t>
      </w:r>
      <w:r w:rsidRPr="00A06E5B" w:rsidR="00864D59">
        <w:rPr>
          <w:rFonts w:ascii="Arial" w:hAnsi="Arial"/>
          <w:u w:val="single"/>
          <w:lang w:val="en-CA"/>
        </w:rPr>
        <w:t>”)</w:t>
      </w:r>
    </w:p>
    <w:p w:rsidR="00D63B19" w:rsidP="00AA1E8D" w14:paraId="0E4333B1" w14:textId="77777777">
      <w:pPr>
        <w:pStyle w:val="BodyText"/>
        <w:tabs>
          <w:tab w:val="left" w:pos="9180"/>
        </w:tabs>
        <w:spacing w:before="0" w:after="120"/>
        <w:jc w:val="both"/>
        <w:rPr>
          <w:rFonts w:ascii="Arial" w:hAnsi="Arial"/>
          <w:color w:val="auto"/>
          <w:shd w:val="clear" w:color="auto" w:fill="auto"/>
          <w:lang w:val="en-CA"/>
        </w:rPr>
      </w:pPr>
      <w:r w:rsidRPr="00096C45">
        <w:rPr>
          <w:rFonts w:ascii="Arial" w:hAnsi="Arial"/>
          <w:lang w:val="en-CA"/>
        </w:rPr>
        <w:t>Issued and outstanding securities following issuance:</w:t>
      </w:r>
      <w:r w:rsidR="0073213E">
        <w:rPr>
          <w:rFonts w:ascii="Arial" w:hAnsi="Arial"/>
          <w:lang w:val="en-CA"/>
        </w:rPr>
        <w:t xml:space="preserve"> </w:t>
      </w:r>
      <w:r w:rsidR="005F2A06">
        <w:rPr>
          <w:rFonts w:ascii="Arial" w:hAnsi="Arial"/>
          <w:lang w:val="en-CA"/>
        </w:rPr>
        <w:t xml:space="preserve"> </w:t>
      </w:r>
    </w:p>
    <w:p w:rsidR="005F2A06" w:rsidRPr="00500873" w:rsidP="00D63B19" w14:paraId="15EA74A2" w14:textId="0AA95A8D">
      <w:pPr>
        <w:pStyle w:val="BodyText"/>
        <w:numPr>
          <w:ilvl w:val="0"/>
          <w:numId w:val="20"/>
        </w:numPr>
        <w:tabs>
          <w:tab w:val="left" w:pos="9180"/>
        </w:tabs>
        <w:spacing w:before="0" w:after="120"/>
        <w:jc w:val="both"/>
        <w:rPr>
          <w:rFonts w:ascii="Arial" w:hAnsi="Arial"/>
          <w:color w:val="auto"/>
          <w:shd w:val="clear" w:color="auto" w:fill="auto"/>
          <w:lang w:val="en-CA"/>
        </w:rPr>
      </w:pPr>
      <w:r w:rsidRPr="00500873">
        <w:rPr>
          <w:rFonts w:ascii="Arial" w:hAnsi="Arial"/>
          <w:u w:val="single"/>
          <w:lang w:val="en-CA"/>
        </w:rPr>
        <w:t>48,669</w:t>
      </w:r>
      <w:r w:rsidRPr="00500873" w:rsidR="004703AF">
        <w:rPr>
          <w:rFonts w:ascii="Arial" w:hAnsi="Arial"/>
          <w:u w:val="single"/>
          <w:lang w:val="en-CA"/>
        </w:rPr>
        <w:t>,</w:t>
      </w:r>
      <w:r w:rsidRPr="00500873">
        <w:rPr>
          <w:rFonts w:ascii="Arial" w:hAnsi="Arial"/>
          <w:u w:val="single"/>
          <w:lang w:val="en-CA"/>
        </w:rPr>
        <w:t>0</w:t>
      </w:r>
      <w:r w:rsidRPr="00500873" w:rsidR="004703AF">
        <w:rPr>
          <w:rFonts w:ascii="Arial" w:hAnsi="Arial"/>
          <w:u w:val="single"/>
          <w:lang w:val="en-CA"/>
        </w:rPr>
        <w:t>06</w:t>
      </w:r>
      <w:r w:rsidRPr="00500873">
        <w:rPr>
          <w:rFonts w:ascii="Arial" w:hAnsi="Arial"/>
          <w:u w:val="single"/>
          <w:lang w:val="en-CA"/>
        </w:rPr>
        <w:t xml:space="preserve"> common shares (“</w:t>
      </w:r>
      <w:r w:rsidRPr="00500873">
        <w:rPr>
          <w:rFonts w:ascii="Arial" w:hAnsi="Arial"/>
          <w:b/>
          <w:u w:val="single"/>
          <w:lang w:val="en-CA"/>
        </w:rPr>
        <w:t>Subordinated Voting Shares</w:t>
      </w:r>
      <w:r w:rsidRPr="00500873" w:rsidR="00D63B19">
        <w:rPr>
          <w:rFonts w:ascii="Arial" w:hAnsi="Arial"/>
          <w:u w:val="single"/>
          <w:lang w:val="en-CA"/>
        </w:rPr>
        <w:t>”) and</w:t>
      </w:r>
      <w:r w:rsidRPr="00500873" w:rsidR="00E342A3">
        <w:rPr>
          <w:rFonts w:ascii="Arial" w:hAnsi="Arial"/>
          <w:u w:val="single"/>
          <w:lang w:val="en-CA"/>
        </w:rPr>
        <w:t xml:space="preserve"> upon the issuance of a </w:t>
      </w:r>
      <w:r w:rsidRPr="00500873" w:rsidR="00D63B19">
        <w:rPr>
          <w:rFonts w:ascii="Arial" w:hAnsi="Arial"/>
          <w:u w:val="single"/>
          <w:lang w:val="en-CA"/>
        </w:rPr>
        <w:t xml:space="preserve">maximum </w:t>
      </w:r>
      <w:r w:rsidRPr="00500873" w:rsidR="00E342A3">
        <w:rPr>
          <w:rFonts w:ascii="Arial" w:hAnsi="Arial"/>
          <w:u w:val="single"/>
          <w:lang w:val="en-CA"/>
        </w:rPr>
        <w:t xml:space="preserve">of </w:t>
      </w:r>
      <w:r w:rsidRPr="00500873" w:rsidR="00D63B19">
        <w:rPr>
          <w:rFonts w:ascii="Arial" w:hAnsi="Arial"/>
          <w:u w:val="single"/>
        </w:rPr>
        <w:t xml:space="preserve">18,515,000 </w:t>
      </w:r>
      <w:r w:rsidRPr="00500873" w:rsidR="00D63B19">
        <w:rPr>
          <w:rFonts w:ascii="Arial" w:hAnsi="Arial"/>
          <w:u w:val="single"/>
          <w:lang w:val="en-CA"/>
        </w:rPr>
        <w:t>Qualified Shares (</w:t>
      </w:r>
      <w:r w:rsidRPr="00500873" w:rsidR="00F42167">
        <w:rPr>
          <w:rFonts w:ascii="Arial" w:hAnsi="Arial"/>
          <w:u w:val="single"/>
          <w:lang w:val="en-CA"/>
        </w:rPr>
        <w:t xml:space="preserve">hereinafter </w:t>
      </w:r>
      <w:r w:rsidRPr="00500873" w:rsidR="00D63B19">
        <w:rPr>
          <w:rFonts w:ascii="Arial" w:hAnsi="Arial"/>
          <w:u w:val="single"/>
          <w:lang w:val="en-CA"/>
        </w:rPr>
        <w:t>defined</w:t>
      </w:r>
      <w:r w:rsidRPr="00500873" w:rsidR="00E342A3">
        <w:rPr>
          <w:rFonts w:ascii="Arial" w:hAnsi="Arial"/>
          <w:u w:val="single"/>
          <w:lang w:val="en-CA"/>
        </w:rPr>
        <w:t xml:space="preserve">) pursuant to the </w:t>
      </w:r>
      <w:r w:rsidRPr="00500873" w:rsidR="00F42167">
        <w:rPr>
          <w:rFonts w:ascii="Arial" w:hAnsi="Arial"/>
          <w:u w:val="single"/>
          <w:lang w:val="en-CA"/>
        </w:rPr>
        <w:t>Public O</w:t>
      </w:r>
      <w:r w:rsidRPr="00500873" w:rsidR="004703AF">
        <w:rPr>
          <w:rFonts w:ascii="Arial" w:hAnsi="Arial"/>
          <w:u w:val="single"/>
          <w:lang w:val="en-CA"/>
        </w:rPr>
        <w:t>ffering</w:t>
      </w:r>
      <w:r w:rsidRPr="00500873" w:rsidR="00F42167">
        <w:rPr>
          <w:rFonts w:ascii="Arial" w:hAnsi="Arial"/>
          <w:u w:val="single"/>
          <w:lang w:val="en-CA"/>
        </w:rPr>
        <w:t xml:space="preserve"> (hereinafter defined)</w:t>
      </w:r>
      <w:r w:rsidRPr="00500873" w:rsidR="00E342A3">
        <w:rPr>
          <w:rFonts w:ascii="Arial" w:hAnsi="Arial"/>
          <w:u w:val="single"/>
          <w:lang w:val="en-CA"/>
        </w:rPr>
        <w:t xml:space="preserve">, </w:t>
      </w:r>
      <w:r w:rsidRPr="00500873">
        <w:rPr>
          <w:rFonts w:ascii="Arial" w:hAnsi="Arial"/>
          <w:u w:val="single"/>
          <w:lang w:val="en-CA"/>
        </w:rPr>
        <w:t>67</w:t>
      </w:r>
      <w:r w:rsidRPr="00500873" w:rsidR="00D63B19">
        <w:rPr>
          <w:rFonts w:ascii="Arial" w:hAnsi="Arial"/>
          <w:u w:val="single"/>
          <w:lang w:val="en-CA"/>
        </w:rPr>
        <w:t>,</w:t>
      </w:r>
      <w:r w:rsidRPr="00500873">
        <w:rPr>
          <w:rFonts w:ascii="Arial" w:hAnsi="Arial"/>
          <w:u w:val="single"/>
          <w:lang w:val="en-CA"/>
        </w:rPr>
        <w:t>184</w:t>
      </w:r>
      <w:r w:rsidRPr="00500873" w:rsidR="00D63B19">
        <w:rPr>
          <w:rFonts w:ascii="Arial" w:hAnsi="Arial"/>
          <w:u w:val="single"/>
          <w:lang w:val="en-CA"/>
        </w:rPr>
        <w:t>,</w:t>
      </w:r>
      <w:r w:rsidRPr="00500873">
        <w:rPr>
          <w:rFonts w:ascii="Arial" w:hAnsi="Arial"/>
          <w:u w:val="single"/>
          <w:lang w:val="en-CA"/>
        </w:rPr>
        <w:t>0</w:t>
      </w:r>
      <w:r w:rsidRPr="00500873" w:rsidR="00D63B19">
        <w:rPr>
          <w:rFonts w:ascii="Arial" w:hAnsi="Arial"/>
          <w:u w:val="single"/>
          <w:lang w:val="en-CA"/>
        </w:rPr>
        <w:t>06 Subordinated Voting Shares</w:t>
      </w:r>
      <w:r w:rsidRPr="00500873" w:rsidR="000E2FB2">
        <w:rPr>
          <w:rFonts w:ascii="Arial" w:hAnsi="Arial"/>
          <w:u w:val="single"/>
          <w:lang w:val="en-CA"/>
        </w:rPr>
        <w:t>; and</w:t>
      </w:r>
    </w:p>
    <w:p w:rsidR="00D63B19" w:rsidP="00D63B19" w14:paraId="00A628EC" w14:textId="56484BFA">
      <w:pPr>
        <w:pStyle w:val="BodyText"/>
        <w:numPr>
          <w:ilvl w:val="0"/>
          <w:numId w:val="20"/>
        </w:numPr>
        <w:tabs>
          <w:tab w:val="left" w:pos="9180"/>
        </w:tabs>
        <w:spacing w:before="0" w:after="120"/>
        <w:jc w:val="both"/>
        <w:rPr>
          <w:rFonts w:ascii="Arial" w:hAnsi="Arial"/>
          <w:color w:val="auto"/>
          <w:shd w:val="clear" w:color="auto" w:fill="auto"/>
          <w:lang w:val="en-CA"/>
        </w:rPr>
      </w:pPr>
      <w:r>
        <w:rPr>
          <w:rFonts w:ascii="Arial" w:hAnsi="Arial"/>
          <w:u w:val="single"/>
          <w:lang w:val="en-CA"/>
        </w:rPr>
        <w:t>684,471</w:t>
      </w:r>
      <w:r w:rsidRPr="00020140">
        <w:rPr>
          <w:rFonts w:ascii="Arial" w:hAnsi="Arial"/>
          <w:u w:val="single"/>
          <w:lang w:val="en-CA"/>
        </w:rPr>
        <w:t xml:space="preserve"> Class A common shares (“</w:t>
      </w:r>
      <w:r w:rsidRPr="00020140">
        <w:rPr>
          <w:rFonts w:ascii="Arial" w:hAnsi="Arial"/>
          <w:b/>
          <w:u w:val="single"/>
          <w:lang w:val="en-CA"/>
        </w:rPr>
        <w:t>Super Voting Shares</w:t>
      </w:r>
      <w:r>
        <w:rPr>
          <w:rFonts w:ascii="Arial" w:hAnsi="Arial"/>
          <w:u w:val="single"/>
          <w:lang w:val="en-CA"/>
        </w:rPr>
        <w:t>”)</w:t>
      </w:r>
    </w:p>
    <w:p w:rsidR="00D63B19" w:rsidP="007814A1" w14:paraId="1A6EB65E" w14:textId="77777777">
      <w:pPr>
        <w:pStyle w:val="BodyText"/>
        <w:tabs>
          <w:tab w:val="left" w:pos="9180"/>
        </w:tabs>
        <w:spacing w:before="0" w:after="120"/>
        <w:rPr>
          <w:rFonts w:ascii="Arial" w:hAnsi="Arial"/>
          <w:b/>
          <w:color w:val="auto"/>
          <w:sz w:val="22"/>
          <w:szCs w:val="22"/>
          <w:shd w:val="clear" w:color="auto" w:fill="auto"/>
          <w:lang w:val="en-CA"/>
        </w:rPr>
      </w:pPr>
    </w:p>
    <w:p w:rsidR="007814A1" w:rsidRPr="0094396B" w:rsidP="007814A1" w14:paraId="019B6C14" w14:textId="4AE05020">
      <w:pPr>
        <w:pStyle w:val="BodyText"/>
        <w:tabs>
          <w:tab w:val="left" w:pos="9180"/>
        </w:tabs>
        <w:spacing w:before="0" w:after="120"/>
        <w:rPr>
          <w:rFonts w:ascii="Arial" w:hAnsi="Arial"/>
          <w:b/>
          <w:color w:val="auto"/>
          <w:sz w:val="22"/>
          <w:szCs w:val="22"/>
          <w:shd w:val="clear" w:color="auto" w:fill="auto"/>
          <w:lang w:val="en-CA"/>
        </w:rPr>
      </w:pPr>
      <w:r w:rsidRPr="0094396B">
        <w:rPr>
          <w:rFonts w:ascii="Arial" w:hAnsi="Arial"/>
          <w:b/>
          <w:sz w:val="22"/>
          <w:szCs w:val="22"/>
          <w:lang w:val="en-CA"/>
        </w:rPr>
        <w:t>Instructions:</w:t>
      </w:r>
    </w:p>
    <w:p w:rsidR="007814A1" w:rsidRPr="0094396B" w:rsidP="007814A1" w14:paraId="428DE7D9" w14:textId="77777777">
      <w:pPr>
        <w:pStyle w:val="BodyText"/>
        <w:numPr>
          <w:ilvl w:val="0"/>
          <w:numId w:val="18"/>
        </w:numPr>
        <w:tabs>
          <w:tab w:val="left" w:pos="9180"/>
        </w:tabs>
        <w:spacing w:before="0" w:after="120"/>
        <w:ind w:left="426"/>
        <w:rPr>
          <w:rFonts w:ascii="Arial" w:hAnsi="Arial"/>
          <w:color w:val="auto"/>
          <w:sz w:val="22"/>
          <w:szCs w:val="22"/>
          <w:shd w:val="clear" w:color="auto" w:fill="auto"/>
          <w:lang w:val="en-CA"/>
        </w:rPr>
      </w:pPr>
      <w:r w:rsidRPr="0094396B">
        <w:rPr>
          <w:rFonts w:ascii="Arial" w:hAnsi="Arial"/>
          <w:sz w:val="22"/>
          <w:szCs w:val="22"/>
          <w:lang w:val="en-CA"/>
        </w:rPr>
        <w:t>For private placements (including debt settlement), complete tables 1A and 1B in Part 1 of this form.</w:t>
      </w:r>
    </w:p>
    <w:p w:rsidR="007814A1" w:rsidRPr="0094396B" w:rsidP="007814A1" w14:paraId="59044C98" w14:textId="77777777">
      <w:pPr>
        <w:pStyle w:val="BodyText"/>
        <w:numPr>
          <w:ilvl w:val="0"/>
          <w:numId w:val="18"/>
        </w:numPr>
        <w:tabs>
          <w:tab w:val="left" w:pos="9180"/>
        </w:tabs>
        <w:spacing w:before="0" w:after="120"/>
        <w:ind w:left="426"/>
        <w:rPr>
          <w:rFonts w:ascii="Arial" w:hAnsi="Arial"/>
          <w:color w:val="auto"/>
          <w:sz w:val="22"/>
          <w:szCs w:val="22"/>
          <w:shd w:val="clear" w:color="auto" w:fill="auto"/>
          <w:lang w:val="en-CA"/>
        </w:rPr>
      </w:pPr>
      <w:r w:rsidRPr="0094396B">
        <w:rPr>
          <w:rFonts w:ascii="Arial" w:hAnsi="Arial"/>
          <w:sz w:val="22"/>
          <w:szCs w:val="22"/>
          <w:lang w:val="en-CA"/>
        </w:rPr>
        <w:t>Complete Table 1A – Summary for all purchasers, excluding those identified in Item 8.</w:t>
      </w:r>
    </w:p>
    <w:p w:rsidR="007814A1" w:rsidRPr="0094396B" w:rsidP="007814A1" w14:paraId="14FB4394" w14:textId="77777777">
      <w:pPr>
        <w:pStyle w:val="BodyText"/>
        <w:numPr>
          <w:ilvl w:val="0"/>
          <w:numId w:val="18"/>
        </w:numPr>
        <w:tabs>
          <w:tab w:val="left" w:pos="9180"/>
        </w:tabs>
        <w:spacing w:before="0" w:after="120"/>
        <w:ind w:left="426"/>
        <w:rPr>
          <w:rFonts w:ascii="Arial" w:hAnsi="Arial"/>
          <w:color w:val="auto"/>
          <w:sz w:val="22"/>
          <w:szCs w:val="22"/>
          <w:shd w:val="clear" w:color="auto" w:fill="auto"/>
          <w:lang w:val="en-CA"/>
        </w:rPr>
      </w:pPr>
      <w:r w:rsidRPr="0094396B">
        <w:rPr>
          <w:rFonts w:ascii="Arial" w:hAnsi="Arial"/>
          <w:sz w:val="22"/>
          <w:szCs w:val="22"/>
          <w:lang w:val="en-CA"/>
        </w:rPr>
        <w:t>Complete Table 1B – Related Persons only for Related Persons</w:t>
      </w:r>
    </w:p>
    <w:p w:rsidR="007814A1" w:rsidRPr="0094396B" w:rsidP="007814A1" w14:paraId="065C4EE0" w14:textId="77777777">
      <w:pPr>
        <w:pStyle w:val="BodyText"/>
        <w:numPr>
          <w:ilvl w:val="0"/>
          <w:numId w:val="18"/>
        </w:numPr>
        <w:tabs>
          <w:tab w:val="left" w:pos="9180"/>
        </w:tabs>
        <w:spacing w:before="0" w:after="120"/>
        <w:ind w:left="426"/>
        <w:rPr>
          <w:rFonts w:ascii="Arial" w:hAnsi="Arial"/>
          <w:color w:val="auto"/>
          <w:sz w:val="22"/>
          <w:szCs w:val="22"/>
          <w:shd w:val="clear" w:color="auto" w:fill="auto"/>
          <w:lang w:val="en-CA"/>
        </w:rPr>
      </w:pPr>
      <w:r w:rsidRPr="0094396B">
        <w:rPr>
          <w:rFonts w:ascii="Arial" w:hAnsi="Arial"/>
          <w:sz w:val="22"/>
          <w:szCs w:val="22"/>
          <w:lang w:val="en-CA"/>
        </w:rPr>
        <w:t>If shares are being issued in connection with an acquisition (either as consideration or to raise funds for a cash acquisition) please proceed to Part 2 of this form.</w:t>
      </w:r>
    </w:p>
    <w:p w:rsidR="007814A1" w:rsidRPr="0094396B" w:rsidP="007814A1" w14:paraId="1E4A8D24" w14:textId="77777777">
      <w:pPr>
        <w:pStyle w:val="BodyText"/>
        <w:numPr>
          <w:ilvl w:val="0"/>
          <w:numId w:val="18"/>
        </w:numPr>
        <w:tabs>
          <w:tab w:val="left" w:pos="9180"/>
        </w:tabs>
        <w:spacing w:before="0" w:after="120"/>
        <w:ind w:left="426"/>
        <w:rPr>
          <w:rFonts w:ascii="Arial" w:hAnsi="Arial"/>
          <w:color w:val="auto"/>
          <w:sz w:val="22"/>
          <w:szCs w:val="22"/>
          <w:shd w:val="clear" w:color="auto" w:fill="auto"/>
          <w:lang w:val="en-CA"/>
        </w:rPr>
      </w:pPr>
      <w:r w:rsidRPr="0094396B">
        <w:rPr>
          <w:rFonts w:ascii="Arial" w:hAnsi="Arial"/>
          <w:sz w:val="22"/>
          <w:szCs w:val="22"/>
          <w:lang w:val="en-CA"/>
        </w:rPr>
        <w:t>An issuance of non-convertible debt does not have to be reported unless it is a significant transaction as defined in Policy 7, in which case it is to be reported on Form 10 – Notice of Proposed Transaction</w:t>
      </w:r>
    </w:p>
    <w:p w:rsidR="007814A1" w:rsidRPr="0094396B" w:rsidP="007814A1" w14:paraId="2D156689" w14:textId="45351CC2">
      <w:pPr>
        <w:pStyle w:val="BodyText"/>
        <w:numPr>
          <w:ilvl w:val="0"/>
          <w:numId w:val="18"/>
        </w:numPr>
        <w:tabs>
          <w:tab w:val="left" w:pos="9180"/>
        </w:tabs>
        <w:spacing w:before="0" w:after="120"/>
        <w:ind w:left="426"/>
        <w:rPr>
          <w:rFonts w:ascii="Arial" w:hAnsi="Arial"/>
          <w:b/>
          <w:color w:val="auto"/>
          <w:sz w:val="22"/>
          <w:szCs w:val="22"/>
          <w:shd w:val="clear" w:color="auto" w:fill="auto"/>
          <w:lang w:val="en-CA"/>
        </w:rPr>
      </w:pPr>
      <w:r w:rsidRPr="0094396B">
        <w:rPr>
          <w:rFonts w:ascii="Arial" w:hAnsi="Arial"/>
          <w:sz w:val="22"/>
          <w:szCs w:val="22"/>
          <w:lang w:val="en-CA"/>
        </w:rPr>
        <w:t xml:space="preserve">Post the completed Form 9 to the CSE website in accordance with </w:t>
      </w:r>
      <w:r w:rsidRPr="0094396B">
        <w:rPr>
          <w:rFonts w:ascii="Arial" w:hAnsi="Arial"/>
          <w:i/>
          <w:sz w:val="22"/>
          <w:szCs w:val="22"/>
          <w:lang w:val="en-CA"/>
        </w:rPr>
        <w:t>Policy 6 – Distributions.</w:t>
      </w:r>
      <w:r w:rsidRPr="0094396B">
        <w:rPr>
          <w:rFonts w:ascii="Arial" w:hAnsi="Arial"/>
          <w:sz w:val="22"/>
          <w:szCs w:val="22"/>
          <w:lang w:val="en-CA"/>
        </w:rPr>
        <w:t xml:space="preserve">  In addition, the completed form must be delivered to </w:t>
      </w:r>
      <w:r>
        <w:fldChar w:fldCharType="begin"/>
      </w:r>
      <w:r>
        <w:instrText xml:space="preserve"> HYPERLINK "mailto:listings@thecse.com" </w:instrText>
      </w:r>
      <w:r>
        <w:fldChar w:fldCharType="separate"/>
      </w:r>
      <w:r w:rsidRPr="0094396B">
        <w:rPr>
          <w:rStyle w:val="Hyperlink"/>
          <w:rFonts w:ascii="Arial" w:hAnsi="Arial"/>
          <w:sz w:val="22"/>
          <w:szCs w:val="22"/>
          <w:lang w:val="en-CA"/>
        </w:rPr>
        <w:t>listings@thecse.com</w:t>
      </w:r>
      <w:r>
        <w:fldChar w:fldCharType="end"/>
      </w:r>
      <w:r w:rsidRPr="0094396B">
        <w:rPr>
          <w:rFonts w:ascii="Arial" w:hAnsi="Arial"/>
          <w:sz w:val="22"/>
          <w:szCs w:val="22"/>
          <w:lang w:val="en-CA"/>
        </w:rPr>
        <w:t xml:space="preserve"> with an appendix that includes the information in Table 1B for ALL placees.</w:t>
      </w:r>
      <w:r w:rsidR="0073213E">
        <w:rPr>
          <w:rFonts w:ascii="Arial" w:hAnsi="Arial"/>
          <w:sz w:val="22"/>
          <w:szCs w:val="22"/>
          <w:lang w:val="en-CA"/>
        </w:rPr>
        <w:t xml:space="preserve"> </w:t>
      </w:r>
    </w:p>
    <w:p w:rsidR="007814A1" w:rsidP="007814A1" w14:paraId="290B620C" w14:textId="77777777">
      <w:pPr>
        <w:pStyle w:val="BodyText"/>
        <w:spacing w:before="0" w:after="240"/>
        <w:rPr>
          <w:rFonts w:ascii="Arial" w:hAnsi="Arial"/>
          <w:b/>
          <w:color w:val="auto"/>
          <w:shd w:val="clear" w:color="auto" w:fill="auto"/>
          <w:lang w:val="en-CA"/>
        </w:rPr>
      </w:pPr>
      <w:r>
        <w:rPr>
          <w:rFonts w:ascii="Arial" w:hAnsi="Arial"/>
          <w:b/>
          <w:lang w:val="en-CA"/>
        </w:rPr>
        <w:t>Part 1.</w:t>
      </w:r>
      <w:r>
        <w:rPr>
          <w:rFonts w:ascii="Arial" w:hAnsi="Arial"/>
          <w:b/>
          <w:lang w:val="en-CA"/>
        </w:rPr>
        <w:tab/>
        <w:t xml:space="preserve">Private Placement </w:t>
      </w:r>
    </w:p>
    <w:p w:rsidR="007814A1" w:rsidRPr="00C536D3" w:rsidP="007814A1" w14:paraId="34BD3CC1" w14:textId="77777777">
      <w:pPr>
        <w:pStyle w:val="BodyText"/>
        <w:rPr>
          <w:rFonts w:ascii="Arial" w:hAnsi="Arial"/>
          <w:b/>
          <w:color w:val="auto"/>
          <w:u w:val="single"/>
          <w:shd w:val="clear" w:color="auto" w:fill="auto"/>
          <w:lang w:val="en-CA"/>
        </w:rPr>
      </w:pPr>
      <w:r w:rsidRPr="00C536D3">
        <w:rPr>
          <w:rFonts w:ascii="Arial" w:hAnsi="Arial"/>
          <w:b/>
          <w:u w:val="single"/>
          <w:lang w:val="en-CA"/>
        </w:rPr>
        <w:t>Table 1A – Summary</w:t>
      </w:r>
    </w:p>
    <w:tbl>
      <w:tblPr>
        <w:tblStyle w:val="TableGrid"/>
        <w:tblW w:w="9499" w:type="dxa"/>
        <w:tblLayout w:type="fixed"/>
        <w:tblLook w:val="04A0"/>
      </w:tblPr>
      <w:tblGrid>
        <w:gridCol w:w="3652"/>
        <w:gridCol w:w="1293"/>
        <w:gridCol w:w="2160"/>
        <w:gridCol w:w="2394"/>
      </w:tblGrid>
      <w:tr w14:paraId="3EFFD299" w14:textId="77777777" w:rsidTr="00097085">
        <w:tblPrEx>
          <w:tblW w:w="9499" w:type="dxa"/>
          <w:tblLayout w:type="fixed"/>
          <w:tblLook w:val="04A0"/>
        </w:tblPrEx>
        <w:trPr>
          <w:tblHeader/>
        </w:trPr>
        <w:tc>
          <w:tcPr>
            <w:tcW w:w="3652" w:type="dxa"/>
            <w:vAlign w:val="bottom"/>
          </w:tcPr>
          <w:p w:rsidR="007814A1" w:rsidRPr="00C536D3" w:rsidP="0094396B" w14:paraId="5AD07C26" w14:textId="77777777">
            <w:pPr>
              <w:pStyle w:val="BodyText"/>
              <w:jc w:val="center"/>
              <w:rPr>
                <w:rFonts w:ascii="Arial" w:hAnsi="Arial"/>
                <w:color w:val="auto"/>
                <w:shd w:val="clear" w:color="auto" w:fill="auto"/>
                <w:lang w:val="en-CA"/>
              </w:rPr>
            </w:pPr>
            <w:r w:rsidRPr="00C536D3">
              <w:rPr>
                <w:rFonts w:ascii="Arial" w:hAnsi="Arial"/>
                <w:lang w:val="en-CA"/>
              </w:rPr>
              <w:t>Each jurisdiction in which purchasers reside</w:t>
            </w:r>
          </w:p>
        </w:tc>
        <w:tc>
          <w:tcPr>
            <w:tcW w:w="1293" w:type="dxa"/>
            <w:vAlign w:val="bottom"/>
          </w:tcPr>
          <w:p w:rsidR="007814A1" w:rsidRPr="00C536D3" w:rsidP="0094396B" w14:paraId="0B3794F3" w14:textId="77777777">
            <w:pPr>
              <w:pStyle w:val="BodyText"/>
              <w:jc w:val="center"/>
              <w:rPr>
                <w:rFonts w:ascii="Arial" w:hAnsi="Arial"/>
                <w:color w:val="auto"/>
                <w:shd w:val="clear" w:color="auto" w:fill="auto"/>
                <w:lang w:val="en-CA"/>
              </w:rPr>
            </w:pPr>
            <w:r w:rsidRPr="00C536D3">
              <w:rPr>
                <w:rFonts w:ascii="Arial" w:hAnsi="Arial"/>
                <w:lang w:val="en-CA"/>
              </w:rPr>
              <w:t>Number of Purchasers</w:t>
            </w:r>
          </w:p>
        </w:tc>
        <w:tc>
          <w:tcPr>
            <w:tcW w:w="2160" w:type="dxa"/>
            <w:vAlign w:val="bottom"/>
          </w:tcPr>
          <w:p w:rsidR="007814A1" w:rsidRPr="00C536D3" w:rsidP="0094396B" w14:paraId="6E59EB44" w14:textId="77777777">
            <w:pPr>
              <w:pStyle w:val="BodyText"/>
              <w:jc w:val="center"/>
              <w:rPr>
                <w:rFonts w:ascii="Arial" w:hAnsi="Arial"/>
                <w:color w:val="auto"/>
                <w:shd w:val="clear" w:color="auto" w:fill="auto"/>
                <w:lang w:val="en-CA"/>
              </w:rPr>
            </w:pPr>
            <w:r w:rsidRPr="00C536D3">
              <w:rPr>
                <w:rFonts w:ascii="Arial" w:hAnsi="Arial"/>
                <w:lang w:val="en-CA"/>
              </w:rPr>
              <w:t>Price per Security</w:t>
            </w:r>
            <w:r>
              <w:rPr>
                <w:rFonts w:ascii="Arial" w:hAnsi="Arial"/>
                <w:lang w:val="en-CA"/>
              </w:rPr>
              <w:t xml:space="preserve"> (CDN)</w:t>
            </w:r>
          </w:p>
        </w:tc>
        <w:tc>
          <w:tcPr>
            <w:tcW w:w="2394" w:type="dxa"/>
            <w:vAlign w:val="bottom"/>
          </w:tcPr>
          <w:p w:rsidR="007814A1" w:rsidRPr="00C536D3" w:rsidP="0094396B" w14:paraId="0AA38A5D" w14:textId="77777777">
            <w:pPr>
              <w:pStyle w:val="BodyText"/>
              <w:jc w:val="center"/>
              <w:rPr>
                <w:rFonts w:ascii="Arial" w:hAnsi="Arial"/>
                <w:color w:val="auto"/>
                <w:shd w:val="clear" w:color="auto" w:fill="auto"/>
                <w:lang w:val="en-CA"/>
              </w:rPr>
            </w:pPr>
            <w:r w:rsidRPr="00C536D3">
              <w:rPr>
                <w:rFonts w:ascii="Arial" w:hAnsi="Arial"/>
                <w:lang w:val="en-CA"/>
              </w:rPr>
              <w:t>Total dollar value (CDN$) raised in the jurisdiction</w:t>
            </w:r>
          </w:p>
        </w:tc>
      </w:tr>
      <w:tr w14:paraId="60EDB744" w14:textId="77777777" w:rsidTr="0054177F">
        <w:tblPrEx>
          <w:tblW w:w="9499" w:type="dxa"/>
          <w:tblLayout w:type="fixed"/>
          <w:tblLook w:val="04A0"/>
        </w:tblPrEx>
        <w:tc>
          <w:tcPr>
            <w:tcW w:w="3652" w:type="dxa"/>
          </w:tcPr>
          <w:p w:rsidR="00E73B97" w:rsidRPr="00096C45" w:rsidP="00E73B97" w14:paraId="773F15FD" w14:textId="731888D3">
            <w:pPr>
              <w:pStyle w:val="BodyText"/>
              <w:rPr>
                <w:rFonts w:ascii="Arial" w:hAnsi="Arial"/>
                <w:color w:val="auto"/>
                <w:shd w:val="clear" w:color="auto" w:fill="auto"/>
                <w:lang w:val="en-CA"/>
              </w:rPr>
            </w:pPr>
            <w:r w:rsidRPr="00A06E5B">
              <w:rPr>
                <w:rFonts w:ascii="Arial" w:hAnsi="Arial"/>
                <w:lang w:val="en-CA"/>
              </w:rPr>
              <w:t>[To be determined]</w:t>
            </w:r>
          </w:p>
        </w:tc>
        <w:tc>
          <w:tcPr>
            <w:tcW w:w="1293" w:type="dxa"/>
          </w:tcPr>
          <w:p w:rsidR="00E73B97" w:rsidRPr="00096C45" w:rsidP="00E73B97" w14:paraId="4A3B8604" w14:textId="40C7E0BB">
            <w:pPr>
              <w:pStyle w:val="BodyText"/>
              <w:jc w:val="center"/>
              <w:rPr>
                <w:rFonts w:ascii="Arial" w:hAnsi="Arial"/>
                <w:color w:val="auto"/>
                <w:shd w:val="clear" w:color="auto" w:fill="auto"/>
                <w:lang w:val="en-CA"/>
              </w:rPr>
            </w:pPr>
          </w:p>
        </w:tc>
        <w:tc>
          <w:tcPr>
            <w:tcW w:w="2160" w:type="dxa"/>
          </w:tcPr>
          <w:p w:rsidR="00E73B97" w:rsidRPr="00096C45" w:rsidP="00E73B97" w14:paraId="68913213" w14:textId="1278D674">
            <w:pPr>
              <w:pStyle w:val="BodyText"/>
              <w:jc w:val="center"/>
              <w:rPr>
                <w:rFonts w:ascii="Arial" w:hAnsi="Arial"/>
                <w:color w:val="auto"/>
                <w:shd w:val="clear" w:color="auto" w:fill="auto"/>
                <w:lang w:val="en-CA"/>
              </w:rPr>
            </w:pPr>
          </w:p>
        </w:tc>
        <w:tc>
          <w:tcPr>
            <w:tcW w:w="2394" w:type="dxa"/>
          </w:tcPr>
          <w:p w:rsidR="00E73B97" w:rsidRPr="00096C45" w:rsidP="00097085" w14:paraId="253AEEF3" w14:textId="1F0EB66A">
            <w:pPr>
              <w:pStyle w:val="BodyText"/>
              <w:jc w:val="center"/>
              <w:rPr>
                <w:rFonts w:ascii="Arial" w:hAnsi="Arial"/>
                <w:color w:val="auto"/>
                <w:shd w:val="clear" w:color="auto" w:fill="auto"/>
                <w:lang w:val="en-CA"/>
              </w:rPr>
            </w:pPr>
          </w:p>
        </w:tc>
      </w:tr>
      <w:tr w14:paraId="0D555C56" w14:textId="77777777" w:rsidTr="0054177F">
        <w:tblPrEx>
          <w:tblW w:w="9499" w:type="dxa"/>
          <w:tblLayout w:type="fixed"/>
          <w:tblLook w:val="04A0"/>
        </w:tblPrEx>
        <w:tc>
          <w:tcPr>
            <w:tcW w:w="3652" w:type="dxa"/>
          </w:tcPr>
          <w:p w:rsidR="001162C0" w:rsidRPr="00096C45" w:rsidP="001162C0" w14:paraId="1A9CA77D" w14:textId="070EA2E9">
            <w:pPr>
              <w:pStyle w:val="BodyText"/>
              <w:rPr>
                <w:rFonts w:ascii="Arial" w:hAnsi="Arial"/>
                <w:color w:val="auto"/>
                <w:shd w:val="clear" w:color="auto" w:fill="auto"/>
                <w:lang w:val="en-CA"/>
              </w:rPr>
            </w:pPr>
          </w:p>
        </w:tc>
        <w:tc>
          <w:tcPr>
            <w:tcW w:w="1293" w:type="dxa"/>
          </w:tcPr>
          <w:p w:rsidR="001162C0" w:rsidRPr="00096C45" w:rsidP="001162C0" w14:paraId="06D21C96" w14:textId="044FDE45">
            <w:pPr>
              <w:pStyle w:val="BodyText"/>
              <w:jc w:val="center"/>
              <w:rPr>
                <w:rFonts w:ascii="Arial" w:hAnsi="Arial"/>
                <w:color w:val="auto"/>
                <w:shd w:val="clear" w:color="auto" w:fill="auto"/>
                <w:lang w:val="en-CA"/>
              </w:rPr>
            </w:pPr>
          </w:p>
        </w:tc>
        <w:tc>
          <w:tcPr>
            <w:tcW w:w="2160" w:type="dxa"/>
          </w:tcPr>
          <w:p w:rsidR="001162C0" w:rsidRPr="00096C45" w:rsidP="00097085" w14:paraId="459F667B" w14:textId="4BCCA12B">
            <w:pPr>
              <w:pStyle w:val="BodyText"/>
              <w:jc w:val="center"/>
              <w:rPr>
                <w:rFonts w:ascii="Arial" w:hAnsi="Arial"/>
                <w:color w:val="auto"/>
                <w:shd w:val="clear" w:color="auto" w:fill="auto"/>
                <w:lang w:val="en-CA"/>
              </w:rPr>
            </w:pPr>
          </w:p>
        </w:tc>
        <w:tc>
          <w:tcPr>
            <w:tcW w:w="2394" w:type="dxa"/>
          </w:tcPr>
          <w:p w:rsidR="001162C0" w:rsidRPr="00096C45" w:rsidP="00097085" w14:paraId="0F2B5B2C" w14:textId="14F9BCCC">
            <w:pPr>
              <w:pStyle w:val="BodyText"/>
              <w:jc w:val="center"/>
              <w:rPr>
                <w:rFonts w:ascii="Arial" w:hAnsi="Arial"/>
                <w:color w:val="auto"/>
                <w:shd w:val="clear" w:color="auto" w:fill="auto"/>
                <w:lang w:val="en-CA"/>
              </w:rPr>
            </w:pPr>
          </w:p>
        </w:tc>
      </w:tr>
      <w:tr w14:paraId="28E0E509" w14:textId="77777777" w:rsidTr="0054177F">
        <w:tblPrEx>
          <w:tblW w:w="9499" w:type="dxa"/>
          <w:tblLayout w:type="fixed"/>
          <w:tblLook w:val="04A0"/>
        </w:tblPrEx>
        <w:tc>
          <w:tcPr>
            <w:tcW w:w="3652" w:type="dxa"/>
          </w:tcPr>
          <w:p w:rsidR="00E73B97" w:rsidRPr="00096C45" w:rsidP="00E73B97" w14:paraId="751A5515" w14:textId="77777777">
            <w:pPr>
              <w:pStyle w:val="BodyText"/>
              <w:rPr>
                <w:rFonts w:ascii="Arial" w:hAnsi="Arial"/>
                <w:color w:val="auto"/>
                <w:shd w:val="clear" w:color="auto" w:fill="auto"/>
                <w:lang w:val="en-CA"/>
              </w:rPr>
            </w:pPr>
            <w:r w:rsidRPr="00096C45">
              <w:rPr>
                <w:rFonts w:ascii="Arial" w:hAnsi="Arial"/>
                <w:lang w:val="en-CA"/>
              </w:rPr>
              <w:t>Total number of purchasers:</w:t>
            </w:r>
          </w:p>
        </w:tc>
        <w:tc>
          <w:tcPr>
            <w:tcW w:w="1293" w:type="dxa"/>
          </w:tcPr>
          <w:p w:rsidR="00E73B97" w:rsidRPr="00096C45" w:rsidP="00E73B97" w14:paraId="0E3EEB43" w14:textId="06481210">
            <w:pPr>
              <w:pStyle w:val="BodyText"/>
              <w:jc w:val="center"/>
              <w:rPr>
                <w:rFonts w:ascii="Arial" w:hAnsi="Arial"/>
                <w:color w:val="auto"/>
                <w:shd w:val="clear" w:color="auto" w:fill="auto"/>
                <w:lang w:val="en-CA"/>
              </w:rPr>
            </w:pPr>
          </w:p>
        </w:tc>
        <w:tc>
          <w:tcPr>
            <w:tcW w:w="2160" w:type="dxa"/>
          </w:tcPr>
          <w:p w:rsidR="00E73B97" w:rsidRPr="00096C45" w:rsidP="00E73B97" w14:paraId="1ED41AB8" w14:textId="65D7E75F">
            <w:pPr>
              <w:pStyle w:val="BodyText"/>
              <w:jc w:val="center"/>
              <w:rPr>
                <w:rFonts w:ascii="Arial" w:hAnsi="Arial"/>
                <w:color w:val="auto"/>
                <w:shd w:val="clear" w:color="auto" w:fill="auto"/>
                <w:lang w:val="en-CA"/>
              </w:rPr>
            </w:pPr>
          </w:p>
        </w:tc>
        <w:tc>
          <w:tcPr>
            <w:tcW w:w="2394" w:type="dxa"/>
          </w:tcPr>
          <w:p w:rsidR="00E73B97" w:rsidRPr="00096C45" w:rsidP="00E73B97" w14:paraId="4A11D338" w14:textId="77777777">
            <w:pPr>
              <w:pStyle w:val="BodyText"/>
              <w:jc w:val="center"/>
              <w:rPr>
                <w:rFonts w:ascii="Arial" w:hAnsi="Arial"/>
                <w:color w:val="auto"/>
                <w:shd w:val="clear" w:color="auto" w:fill="auto"/>
                <w:lang w:val="en-CA"/>
              </w:rPr>
            </w:pPr>
          </w:p>
        </w:tc>
      </w:tr>
      <w:tr w14:paraId="68C2CD1C" w14:textId="77777777" w:rsidTr="0054177F">
        <w:tblPrEx>
          <w:tblW w:w="9499" w:type="dxa"/>
          <w:tblLayout w:type="fixed"/>
          <w:tblLook w:val="04A0"/>
        </w:tblPrEx>
        <w:tc>
          <w:tcPr>
            <w:tcW w:w="7105" w:type="dxa"/>
            <w:gridSpan w:val="3"/>
          </w:tcPr>
          <w:p w:rsidR="00E73B97" w:rsidRPr="00096C45" w:rsidP="00E73B97" w14:paraId="56BF4E01" w14:textId="77777777">
            <w:pPr>
              <w:pStyle w:val="BodyText"/>
              <w:rPr>
                <w:rFonts w:ascii="Arial" w:hAnsi="Arial"/>
                <w:color w:val="auto"/>
                <w:shd w:val="clear" w:color="auto" w:fill="auto"/>
                <w:lang w:val="en-CA"/>
              </w:rPr>
            </w:pPr>
            <w:r w:rsidRPr="00096C45">
              <w:rPr>
                <w:rFonts w:ascii="Arial" w:hAnsi="Arial"/>
                <w:lang w:val="en-CA"/>
              </w:rPr>
              <w:t>Total dollar value of distribution in all jurisdictions:</w:t>
            </w:r>
          </w:p>
        </w:tc>
        <w:tc>
          <w:tcPr>
            <w:tcW w:w="2394" w:type="dxa"/>
          </w:tcPr>
          <w:p w:rsidR="00E73B97" w:rsidRPr="00097085" w:rsidP="00097085" w14:paraId="04205E00" w14:textId="13D67047">
            <w:pPr>
              <w:pStyle w:val="BodyText"/>
              <w:jc w:val="center"/>
              <w:rPr>
                <w:rFonts w:ascii="Arial" w:hAnsi="Arial"/>
                <w:b/>
                <w:color w:val="auto"/>
                <w:shd w:val="clear" w:color="auto" w:fill="auto"/>
                <w:lang w:val="en-CA"/>
              </w:rPr>
            </w:pPr>
          </w:p>
        </w:tc>
      </w:tr>
    </w:tbl>
    <w:p w:rsidR="007814A1" w:rsidRPr="00C536D3" w:rsidP="00E73B97" w14:paraId="02041FB5" w14:textId="77777777">
      <w:pPr>
        <w:pStyle w:val="BodyText"/>
        <w:spacing w:before="360"/>
        <w:rPr>
          <w:rFonts w:ascii="Arial" w:hAnsi="Arial"/>
          <w:b/>
          <w:color w:val="auto"/>
          <w:u w:val="single"/>
          <w:shd w:val="clear" w:color="auto" w:fill="auto"/>
          <w:lang w:val="en-CA"/>
        </w:rPr>
      </w:pPr>
      <w:r w:rsidRPr="00C536D3">
        <w:rPr>
          <w:rFonts w:ascii="Arial" w:hAnsi="Arial"/>
          <w:b/>
          <w:u w:val="single"/>
          <w:lang w:val="en-CA"/>
        </w:rPr>
        <w:t>Table 1B – Related Persons</w:t>
      </w:r>
    </w:p>
    <w:p w:rsidR="007814A1" w:rsidP="007814A1" w14:paraId="73411986" w14:textId="77777777">
      <w:pPr>
        <w:pStyle w:val="BodyText"/>
        <w:spacing w:before="0" w:after="240"/>
        <w:rPr>
          <w:rFonts w:ascii="Arial" w:hAnsi="Arial"/>
          <w:b/>
          <w:color w:val="auto"/>
          <w:shd w:val="clear" w:color="auto" w:fill="auto"/>
          <w:lang w:val="en-CA"/>
        </w:rPr>
      </w:pPr>
    </w:p>
    <w:tbl>
      <w:tblPr>
        <w:tblW w:w="10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15"/>
        <w:gridCol w:w="1255"/>
        <w:gridCol w:w="1192"/>
        <w:gridCol w:w="1376"/>
        <w:gridCol w:w="1376"/>
        <w:gridCol w:w="1461"/>
        <w:gridCol w:w="1100"/>
        <w:gridCol w:w="1100"/>
      </w:tblGrid>
      <w:tr w14:paraId="21447E25" w14:textId="77777777" w:rsidTr="00A06E5B">
        <w:tblPrEx>
          <w:tblW w:w="103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1965"/>
        </w:trPr>
        <w:tc>
          <w:tcPr>
            <w:tcW w:w="1515" w:type="dxa"/>
          </w:tcPr>
          <w:p w:rsidR="007814A1" w:rsidP="0054177F" w14:paraId="237D216B" w14:textId="77777777">
            <w:pPr>
              <w:pStyle w:val="BodyText"/>
              <w:spacing w:before="0" w:line="280" w:lineRule="exact"/>
              <w:jc w:val="center"/>
              <w:rPr>
                <w:rFonts w:ascii="Arial" w:hAnsi="Arial"/>
                <w:b/>
                <w:color w:val="auto"/>
                <w:sz w:val="20"/>
                <w:shd w:val="clear" w:color="auto" w:fill="auto"/>
                <w:lang w:val="en-CA"/>
              </w:rPr>
            </w:pPr>
          </w:p>
          <w:p w:rsidR="007814A1" w:rsidP="0054177F" w14:paraId="1277DA78" w14:textId="496965C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Full Name &amp;</w:t>
            </w:r>
            <w:r w:rsidR="00A06E5B">
              <w:rPr>
                <w:rFonts w:ascii="Arial" w:hAnsi="Arial"/>
                <w:b/>
                <w:sz w:val="20"/>
                <w:lang w:val="en-CA"/>
              </w:rPr>
              <w:t xml:space="preserve"> </w:t>
            </w:r>
            <w:r>
              <w:rPr>
                <w:rFonts w:ascii="Arial" w:hAnsi="Arial"/>
                <w:b/>
                <w:sz w:val="20"/>
                <w:lang w:val="en-CA"/>
              </w:rPr>
              <w:t>Municipality of Residence of Placee</w:t>
            </w:r>
          </w:p>
        </w:tc>
        <w:tc>
          <w:tcPr>
            <w:tcW w:w="1255" w:type="dxa"/>
          </w:tcPr>
          <w:p w:rsidR="007814A1" w:rsidP="0054177F" w14:paraId="1B04E3D8" w14:textId="77777777">
            <w:pPr>
              <w:pStyle w:val="BodyText"/>
              <w:spacing w:before="0" w:line="280" w:lineRule="exact"/>
              <w:jc w:val="center"/>
              <w:rPr>
                <w:rFonts w:ascii="Arial" w:hAnsi="Arial"/>
                <w:b/>
                <w:color w:val="auto"/>
                <w:sz w:val="20"/>
                <w:shd w:val="clear" w:color="auto" w:fill="auto"/>
                <w:lang w:val="en-CA"/>
              </w:rPr>
            </w:pPr>
          </w:p>
          <w:p w:rsidR="007814A1" w:rsidP="0054177F" w14:paraId="25A59C6E"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Number of Securities Purchased or to be Purchased</w:t>
            </w:r>
          </w:p>
        </w:tc>
        <w:tc>
          <w:tcPr>
            <w:tcW w:w="1192" w:type="dxa"/>
          </w:tcPr>
          <w:p w:rsidR="007814A1" w:rsidP="0054177F" w14:paraId="5D6EDBF6" w14:textId="77777777">
            <w:pPr>
              <w:pStyle w:val="BodyText"/>
              <w:spacing w:before="0" w:line="280" w:lineRule="exact"/>
              <w:jc w:val="center"/>
              <w:rPr>
                <w:rFonts w:ascii="Arial" w:hAnsi="Arial"/>
                <w:b/>
                <w:color w:val="auto"/>
                <w:sz w:val="20"/>
                <w:shd w:val="clear" w:color="auto" w:fill="auto"/>
                <w:lang w:val="en-CA"/>
              </w:rPr>
            </w:pPr>
          </w:p>
          <w:p w:rsidR="007814A1" w:rsidP="0054177F" w14:paraId="00F94875"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Purchase price per Security (CDN$)</w:t>
            </w:r>
          </w:p>
        </w:tc>
        <w:tc>
          <w:tcPr>
            <w:tcW w:w="1376" w:type="dxa"/>
          </w:tcPr>
          <w:p w:rsidR="007814A1" w:rsidP="0054177F" w14:paraId="765D6D0B" w14:textId="77777777">
            <w:pPr>
              <w:pStyle w:val="BodyText"/>
              <w:spacing w:before="0" w:line="280" w:lineRule="exact"/>
              <w:jc w:val="center"/>
              <w:rPr>
                <w:rFonts w:ascii="Arial" w:hAnsi="Arial"/>
                <w:b/>
                <w:color w:val="auto"/>
                <w:sz w:val="20"/>
                <w:shd w:val="clear" w:color="auto" w:fill="auto"/>
                <w:lang w:val="en-CA"/>
              </w:rPr>
            </w:pPr>
          </w:p>
          <w:p w:rsidR="007814A1" w:rsidP="0054177F" w14:paraId="792D3634"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Conversion</w:t>
            </w:r>
          </w:p>
          <w:p w:rsidR="007814A1" w:rsidP="0054177F" w14:paraId="56857455"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Price (if</w:t>
            </w:r>
          </w:p>
          <w:p w:rsidR="007814A1" w:rsidP="0054177F" w14:paraId="58CCBC11"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Applicable)</w:t>
            </w:r>
          </w:p>
          <w:p w:rsidR="007814A1" w:rsidP="0054177F" w14:paraId="4157B430"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(CDN$)</w:t>
            </w:r>
          </w:p>
        </w:tc>
        <w:tc>
          <w:tcPr>
            <w:tcW w:w="1376" w:type="dxa"/>
          </w:tcPr>
          <w:p w:rsidR="007814A1" w:rsidP="0054177F" w14:paraId="5CA87160" w14:textId="77777777">
            <w:pPr>
              <w:pStyle w:val="BodyText"/>
              <w:spacing w:before="0" w:line="280" w:lineRule="exact"/>
              <w:jc w:val="center"/>
              <w:rPr>
                <w:rFonts w:ascii="Arial" w:hAnsi="Arial"/>
                <w:b/>
                <w:color w:val="auto"/>
                <w:sz w:val="20"/>
                <w:shd w:val="clear" w:color="auto" w:fill="auto"/>
                <w:lang w:val="en-CA"/>
              </w:rPr>
            </w:pPr>
          </w:p>
          <w:p w:rsidR="007814A1" w:rsidP="0054177F" w14:paraId="451244D8"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Prospectus Exemption</w:t>
            </w:r>
          </w:p>
        </w:tc>
        <w:tc>
          <w:tcPr>
            <w:tcW w:w="1461" w:type="dxa"/>
          </w:tcPr>
          <w:p w:rsidR="007814A1" w:rsidP="0054177F" w14:paraId="68E7EB8E" w14:textId="77777777">
            <w:pPr>
              <w:pStyle w:val="BodyText"/>
              <w:spacing w:before="0" w:line="280" w:lineRule="exact"/>
              <w:jc w:val="center"/>
              <w:rPr>
                <w:rFonts w:ascii="Arial" w:hAnsi="Arial"/>
                <w:b/>
                <w:color w:val="auto"/>
                <w:sz w:val="20"/>
                <w:shd w:val="clear" w:color="auto" w:fill="auto"/>
              </w:rPr>
            </w:pPr>
          </w:p>
          <w:p w:rsidR="007814A1" w:rsidP="0054177F" w14:paraId="2444A5AB" w14:textId="322728CB">
            <w:pPr>
              <w:pStyle w:val="BodyText"/>
              <w:spacing w:before="0" w:line="280" w:lineRule="exact"/>
              <w:jc w:val="center"/>
              <w:rPr>
                <w:rFonts w:ascii="Arial" w:hAnsi="Arial"/>
                <w:b/>
                <w:color w:val="auto"/>
                <w:sz w:val="20"/>
                <w:shd w:val="clear" w:color="auto" w:fill="auto"/>
                <w:lang w:val="en-CA"/>
              </w:rPr>
            </w:pPr>
            <w:r>
              <w:rPr>
                <w:rFonts w:ascii="Arial" w:hAnsi="Arial"/>
                <w:b/>
                <w:sz w:val="20"/>
              </w:rPr>
              <w:t>Total</w:t>
            </w:r>
            <w:r w:rsidR="00A06E5B">
              <w:rPr>
                <w:rFonts w:ascii="Arial" w:hAnsi="Arial"/>
                <w:b/>
                <w:sz w:val="20"/>
              </w:rPr>
              <w:t xml:space="preserve"> </w:t>
            </w:r>
            <w:r>
              <w:rPr>
                <w:rFonts w:ascii="Arial" w:hAnsi="Arial"/>
                <w:b/>
                <w:sz w:val="20"/>
              </w:rPr>
              <w:t>Securities</w:t>
            </w:r>
            <w:r w:rsidR="00A06E5B">
              <w:rPr>
                <w:rFonts w:ascii="Arial" w:hAnsi="Arial"/>
                <w:b/>
                <w:sz w:val="20"/>
              </w:rPr>
              <w:t xml:space="preserve"> </w:t>
            </w:r>
            <w:r>
              <w:rPr>
                <w:rFonts w:ascii="Arial" w:hAnsi="Arial"/>
                <w:b/>
                <w:sz w:val="20"/>
              </w:rPr>
              <w:t>Previously Owned, Controlled or Directed</w:t>
            </w:r>
          </w:p>
        </w:tc>
        <w:tc>
          <w:tcPr>
            <w:tcW w:w="1100" w:type="dxa"/>
          </w:tcPr>
          <w:p w:rsidR="007814A1" w:rsidP="0054177F" w14:paraId="789446FE" w14:textId="77777777">
            <w:pPr>
              <w:pStyle w:val="BodyText"/>
              <w:spacing w:before="0" w:line="280" w:lineRule="exact"/>
              <w:jc w:val="center"/>
              <w:rPr>
                <w:rFonts w:ascii="Arial" w:hAnsi="Arial"/>
                <w:b/>
                <w:color w:val="auto"/>
                <w:sz w:val="20"/>
                <w:shd w:val="clear" w:color="auto" w:fill="auto"/>
                <w:lang w:val="en-CA"/>
              </w:rPr>
            </w:pPr>
          </w:p>
          <w:p w:rsidR="007814A1" w:rsidP="0054177F" w14:paraId="6B746F1D" w14:textId="77777777">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Payment Date</w:t>
            </w:r>
            <w:r>
              <w:rPr>
                <w:rFonts w:ascii="Arial" w:hAnsi="Arial"/>
                <w:b/>
                <w:sz w:val="16"/>
                <w:lang w:val="en-CA"/>
              </w:rPr>
              <w:t>(1)</w:t>
            </w:r>
          </w:p>
        </w:tc>
        <w:tc>
          <w:tcPr>
            <w:tcW w:w="1100" w:type="dxa"/>
          </w:tcPr>
          <w:p w:rsidR="007814A1" w:rsidP="0054177F" w14:paraId="6CD79AA7" w14:textId="77777777">
            <w:pPr>
              <w:pStyle w:val="BodyText"/>
              <w:spacing w:before="0" w:line="280" w:lineRule="exact"/>
              <w:jc w:val="center"/>
              <w:rPr>
                <w:rFonts w:ascii="Arial" w:hAnsi="Arial"/>
                <w:b/>
                <w:color w:val="auto"/>
                <w:sz w:val="20"/>
                <w:shd w:val="clear" w:color="auto" w:fill="auto"/>
                <w:lang w:val="en-CA"/>
              </w:rPr>
            </w:pPr>
          </w:p>
          <w:p w:rsidR="007814A1" w:rsidP="0054177F" w14:paraId="2654E0E5" w14:textId="77777777">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14:paraId="0ECD95D1" w14:textId="77777777" w:rsidTr="00A06E5B">
        <w:tblPrEx>
          <w:tblW w:w="10375" w:type="dxa"/>
          <w:tblLayout w:type="fixed"/>
          <w:tblLook w:val="0000"/>
        </w:tblPrEx>
        <w:trPr>
          <w:trHeight w:val="864"/>
        </w:trPr>
        <w:tc>
          <w:tcPr>
            <w:tcW w:w="1515" w:type="dxa"/>
          </w:tcPr>
          <w:p w:rsidR="003D5A4A" w:rsidRPr="003D5A4A" w:rsidP="003D5A4A" w14:paraId="5BA819D2" w14:textId="50951E87">
            <w:pPr>
              <w:pStyle w:val="BodyText"/>
              <w:spacing w:before="0" w:line="280" w:lineRule="exact"/>
              <w:jc w:val="center"/>
              <w:rPr>
                <w:rFonts w:ascii="Arial" w:hAnsi="Arial"/>
                <w:color w:val="auto"/>
                <w:szCs w:val="24"/>
                <w:shd w:val="clear" w:color="auto" w:fill="auto"/>
                <w:lang w:val="en-CA"/>
              </w:rPr>
            </w:pPr>
            <w:r w:rsidRPr="00A06E5B">
              <w:rPr>
                <w:rFonts w:ascii="Arial" w:hAnsi="Arial"/>
                <w:szCs w:val="24"/>
                <w:lang w:val="en-CA"/>
              </w:rPr>
              <w:t>[To be determined]</w:t>
            </w:r>
          </w:p>
        </w:tc>
        <w:tc>
          <w:tcPr>
            <w:tcW w:w="1255" w:type="dxa"/>
            <w:vAlign w:val="center"/>
          </w:tcPr>
          <w:p w:rsidR="003D5A4A" w:rsidP="003D5A4A" w14:paraId="5AF378F6" w14:textId="705324EA">
            <w:pPr>
              <w:pStyle w:val="BodyText"/>
              <w:spacing w:before="0" w:line="280" w:lineRule="exact"/>
              <w:jc w:val="center"/>
              <w:rPr>
                <w:rFonts w:ascii="Arial" w:hAnsi="Arial"/>
                <w:b/>
                <w:color w:val="auto"/>
                <w:sz w:val="20"/>
                <w:shd w:val="clear" w:color="auto" w:fill="auto"/>
                <w:lang w:val="en-CA"/>
              </w:rPr>
            </w:pPr>
          </w:p>
        </w:tc>
        <w:tc>
          <w:tcPr>
            <w:tcW w:w="1192" w:type="dxa"/>
            <w:vAlign w:val="center"/>
          </w:tcPr>
          <w:p w:rsidR="003D5A4A" w:rsidP="003D5A4A" w14:paraId="49744FE1" w14:textId="682F0EAE">
            <w:pPr>
              <w:pStyle w:val="BodyText"/>
              <w:spacing w:before="0" w:line="280" w:lineRule="exact"/>
              <w:jc w:val="center"/>
              <w:rPr>
                <w:rFonts w:ascii="Arial" w:hAnsi="Arial"/>
                <w:b/>
                <w:color w:val="auto"/>
                <w:sz w:val="20"/>
                <w:shd w:val="clear" w:color="auto" w:fill="auto"/>
                <w:lang w:val="en-CA"/>
              </w:rPr>
            </w:pPr>
          </w:p>
        </w:tc>
        <w:tc>
          <w:tcPr>
            <w:tcW w:w="1376" w:type="dxa"/>
            <w:vAlign w:val="center"/>
          </w:tcPr>
          <w:p w:rsidR="003D5A4A" w:rsidP="003D5A4A" w14:paraId="0E2954C4" w14:textId="62EE39DF">
            <w:pPr>
              <w:pStyle w:val="BodyText"/>
              <w:spacing w:before="0" w:line="280" w:lineRule="exact"/>
              <w:jc w:val="center"/>
              <w:rPr>
                <w:rFonts w:ascii="Arial" w:hAnsi="Arial"/>
                <w:b/>
                <w:color w:val="auto"/>
                <w:sz w:val="20"/>
                <w:shd w:val="clear" w:color="auto" w:fill="auto"/>
                <w:lang w:val="en-CA"/>
              </w:rPr>
            </w:pPr>
          </w:p>
        </w:tc>
        <w:tc>
          <w:tcPr>
            <w:tcW w:w="1376" w:type="dxa"/>
            <w:vAlign w:val="center"/>
          </w:tcPr>
          <w:p w:rsidR="003D5A4A" w:rsidP="003D5A4A" w14:paraId="62A59780" w14:textId="020708EE">
            <w:pPr>
              <w:pStyle w:val="BodyText"/>
              <w:spacing w:before="0" w:line="280" w:lineRule="exact"/>
              <w:jc w:val="center"/>
              <w:rPr>
                <w:rFonts w:ascii="Arial" w:hAnsi="Arial"/>
                <w:b/>
                <w:color w:val="auto"/>
                <w:sz w:val="20"/>
                <w:shd w:val="clear" w:color="auto" w:fill="auto"/>
                <w:lang w:val="en-CA"/>
              </w:rPr>
            </w:pPr>
          </w:p>
        </w:tc>
        <w:tc>
          <w:tcPr>
            <w:tcW w:w="1461" w:type="dxa"/>
            <w:vAlign w:val="center"/>
          </w:tcPr>
          <w:p w:rsidR="003D5A4A" w:rsidP="003D5A4A" w14:paraId="05B20177" w14:textId="67E61D83">
            <w:pPr>
              <w:pStyle w:val="BodyText"/>
              <w:spacing w:before="0" w:line="280" w:lineRule="exact"/>
              <w:jc w:val="center"/>
              <w:rPr>
                <w:rFonts w:ascii="Arial" w:hAnsi="Arial"/>
                <w:b/>
                <w:color w:val="auto"/>
                <w:sz w:val="20"/>
                <w:shd w:val="clear" w:color="auto" w:fill="auto"/>
              </w:rPr>
            </w:pPr>
          </w:p>
        </w:tc>
        <w:tc>
          <w:tcPr>
            <w:tcW w:w="1100" w:type="dxa"/>
            <w:vAlign w:val="center"/>
          </w:tcPr>
          <w:p w:rsidR="003D5A4A" w:rsidP="003D5A4A" w14:paraId="18EEDE4B" w14:textId="10354D60">
            <w:pPr>
              <w:pStyle w:val="BodyText"/>
              <w:spacing w:before="0" w:line="280" w:lineRule="exact"/>
              <w:jc w:val="center"/>
              <w:rPr>
                <w:rFonts w:ascii="Arial" w:hAnsi="Arial"/>
                <w:b/>
                <w:color w:val="auto"/>
                <w:sz w:val="20"/>
                <w:shd w:val="clear" w:color="auto" w:fill="auto"/>
                <w:lang w:val="en-CA"/>
              </w:rPr>
            </w:pPr>
          </w:p>
        </w:tc>
        <w:tc>
          <w:tcPr>
            <w:tcW w:w="1100" w:type="dxa"/>
            <w:vAlign w:val="center"/>
          </w:tcPr>
          <w:p w:rsidR="003D5A4A" w:rsidP="003D5A4A" w14:paraId="1ED28F3B" w14:textId="1CCD6F58">
            <w:pPr>
              <w:pStyle w:val="BodyText"/>
              <w:spacing w:before="0" w:line="280" w:lineRule="exact"/>
              <w:jc w:val="center"/>
              <w:rPr>
                <w:rFonts w:ascii="Arial" w:hAnsi="Arial"/>
                <w:b/>
                <w:color w:val="auto"/>
                <w:sz w:val="20"/>
                <w:shd w:val="clear" w:color="auto" w:fill="auto"/>
                <w:lang w:val="en-CA"/>
              </w:rPr>
            </w:pPr>
          </w:p>
        </w:tc>
      </w:tr>
      <w:tr w14:paraId="785E8E3B" w14:textId="77777777" w:rsidTr="00A06E5B">
        <w:tblPrEx>
          <w:tblW w:w="10375" w:type="dxa"/>
          <w:tblLayout w:type="fixed"/>
          <w:tblLook w:val="0000"/>
        </w:tblPrEx>
        <w:trPr>
          <w:trHeight w:val="864"/>
        </w:trPr>
        <w:tc>
          <w:tcPr>
            <w:tcW w:w="1515" w:type="dxa"/>
          </w:tcPr>
          <w:p w:rsidR="003D5A4A" w:rsidP="003D5A4A" w14:paraId="292FE428" w14:textId="77777777">
            <w:pPr>
              <w:pStyle w:val="BodyText"/>
              <w:rPr>
                <w:rFonts w:ascii="Arial" w:hAnsi="Arial"/>
                <w:color w:val="auto"/>
                <w:shd w:val="clear" w:color="auto" w:fill="auto"/>
                <w:lang w:val="en-CA"/>
              </w:rPr>
            </w:pPr>
          </w:p>
        </w:tc>
        <w:tc>
          <w:tcPr>
            <w:tcW w:w="1255" w:type="dxa"/>
          </w:tcPr>
          <w:p w:rsidR="003D5A4A" w:rsidP="003D5A4A" w14:paraId="2D508901" w14:textId="77777777">
            <w:pPr>
              <w:pStyle w:val="BodyText"/>
              <w:rPr>
                <w:rFonts w:ascii="Arial" w:hAnsi="Arial"/>
                <w:color w:val="auto"/>
                <w:shd w:val="clear" w:color="auto" w:fill="auto"/>
                <w:lang w:val="en-CA"/>
              </w:rPr>
            </w:pPr>
          </w:p>
        </w:tc>
        <w:tc>
          <w:tcPr>
            <w:tcW w:w="1192" w:type="dxa"/>
          </w:tcPr>
          <w:p w:rsidR="003D5A4A" w:rsidP="003D5A4A" w14:paraId="05A4C73B" w14:textId="77777777">
            <w:pPr>
              <w:pStyle w:val="BodyText"/>
              <w:rPr>
                <w:rFonts w:ascii="Arial" w:hAnsi="Arial"/>
                <w:color w:val="auto"/>
                <w:shd w:val="clear" w:color="auto" w:fill="auto"/>
                <w:lang w:val="en-CA"/>
              </w:rPr>
            </w:pPr>
          </w:p>
        </w:tc>
        <w:tc>
          <w:tcPr>
            <w:tcW w:w="1376" w:type="dxa"/>
          </w:tcPr>
          <w:p w:rsidR="003D5A4A" w:rsidP="003D5A4A" w14:paraId="1D7BCA13" w14:textId="77777777">
            <w:pPr>
              <w:pStyle w:val="BodyText"/>
              <w:rPr>
                <w:rFonts w:ascii="Arial" w:hAnsi="Arial"/>
                <w:color w:val="auto"/>
                <w:shd w:val="clear" w:color="auto" w:fill="auto"/>
                <w:lang w:val="en-CA"/>
              </w:rPr>
            </w:pPr>
          </w:p>
        </w:tc>
        <w:tc>
          <w:tcPr>
            <w:tcW w:w="1376" w:type="dxa"/>
          </w:tcPr>
          <w:p w:rsidR="003D5A4A" w:rsidP="003D5A4A" w14:paraId="3103F1C0" w14:textId="77777777">
            <w:pPr>
              <w:pStyle w:val="BodyText"/>
              <w:rPr>
                <w:rFonts w:ascii="Arial" w:hAnsi="Arial"/>
                <w:color w:val="auto"/>
                <w:shd w:val="clear" w:color="auto" w:fill="auto"/>
                <w:lang w:val="en-CA"/>
              </w:rPr>
            </w:pPr>
          </w:p>
        </w:tc>
        <w:tc>
          <w:tcPr>
            <w:tcW w:w="1461" w:type="dxa"/>
          </w:tcPr>
          <w:p w:rsidR="003D5A4A" w:rsidP="003D5A4A" w14:paraId="7F5E2B16" w14:textId="77777777">
            <w:pPr>
              <w:pStyle w:val="BodyText"/>
              <w:rPr>
                <w:rFonts w:ascii="Arial" w:hAnsi="Arial"/>
                <w:color w:val="auto"/>
                <w:shd w:val="clear" w:color="auto" w:fill="auto"/>
                <w:lang w:val="en-CA"/>
              </w:rPr>
            </w:pPr>
          </w:p>
        </w:tc>
        <w:tc>
          <w:tcPr>
            <w:tcW w:w="1100" w:type="dxa"/>
          </w:tcPr>
          <w:p w:rsidR="003D5A4A" w:rsidP="003D5A4A" w14:paraId="5AA7F11D" w14:textId="77777777">
            <w:pPr>
              <w:pStyle w:val="BodyText"/>
              <w:rPr>
                <w:rFonts w:ascii="Arial" w:hAnsi="Arial"/>
                <w:color w:val="auto"/>
                <w:shd w:val="clear" w:color="auto" w:fill="auto"/>
                <w:lang w:val="en-CA"/>
              </w:rPr>
            </w:pPr>
          </w:p>
        </w:tc>
        <w:tc>
          <w:tcPr>
            <w:tcW w:w="1100" w:type="dxa"/>
          </w:tcPr>
          <w:p w:rsidR="003D5A4A" w:rsidP="003D5A4A" w14:paraId="77D9C4C4" w14:textId="77777777">
            <w:pPr>
              <w:pStyle w:val="BodyText"/>
              <w:rPr>
                <w:rFonts w:ascii="Arial" w:hAnsi="Arial"/>
                <w:color w:val="auto"/>
                <w:shd w:val="clear" w:color="auto" w:fill="auto"/>
                <w:lang w:val="en-CA"/>
              </w:rPr>
            </w:pPr>
          </w:p>
        </w:tc>
      </w:tr>
    </w:tbl>
    <w:p w:rsidR="007814A1" w:rsidRPr="008003B9" w:rsidP="007814A1" w14:paraId="5E837786" w14:textId="77777777">
      <w:pPr>
        <w:pStyle w:val="BodyText"/>
        <w:rPr>
          <w:rFonts w:ascii="Arial" w:hAnsi="Arial" w:cs="Arial"/>
          <w:color w:val="auto"/>
          <w:sz w:val="20"/>
          <w:shd w:val="clear" w:color="auto" w:fill="auto"/>
        </w:rPr>
      </w:pPr>
    </w:p>
    <w:p w:rsidR="007814A1" w:rsidRPr="008003B9" w:rsidP="007814A1" w14:paraId="748D46E3" w14:textId="77777777">
      <w:pPr>
        <w:pStyle w:val="FootnoteText"/>
        <w:rPr>
          <w:rFonts w:ascii="Arial" w:hAnsi="Arial" w:cs="Arial"/>
          <w:color w:val="auto"/>
          <w:sz w:val="24"/>
          <w:szCs w:val="24"/>
          <w:shd w:val="clear" w:color="auto" w:fill="auto"/>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7814A1" w:rsidRPr="00094C60" w:rsidP="007814A1" w14:paraId="6AE5724A" w14:textId="2391423E">
      <w:pPr>
        <w:pStyle w:val="List"/>
        <w:tabs>
          <w:tab w:val="left" w:pos="9162"/>
        </w:tabs>
        <w:rPr>
          <w:rFonts w:ascii="Arial" w:hAnsi="Arial"/>
          <w:color w:val="0F243E"/>
          <w:u w:val="single"/>
          <w:shd w:val="clear" w:color="auto" w:fill="auto"/>
        </w:rPr>
      </w:pPr>
      <w:r>
        <w:rPr>
          <w:rFonts w:ascii="Arial" w:hAnsi="Arial"/>
        </w:rPr>
        <w:t>1.</w:t>
      </w:r>
      <w:r>
        <w:rPr>
          <w:rFonts w:ascii="Arial" w:hAnsi="Arial"/>
        </w:rPr>
        <w:tab/>
        <w:t xml:space="preserve">Total amount of funds to be raised: </w:t>
      </w:r>
      <w:r w:rsidRPr="00D50094" w:rsidR="00D50094">
        <w:rPr>
          <w:rFonts w:ascii="Arial" w:hAnsi="Arial"/>
          <w:u w:val="single"/>
        </w:rPr>
        <w:t>up to</w:t>
      </w:r>
      <w:r w:rsidR="000D58A4">
        <w:rPr>
          <w:rFonts w:ascii="Arial" w:hAnsi="Arial"/>
          <w:u w:val="single"/>
        </w:rPr>
        <w:t xml:space="preserve"> approx.</w:t>
      </w:r>
      <w:r w:rsidRPr="00D50094" w:rsidR="00D50094">
        <w:rPr>
          <w:rFonts w:ascii="Arial" w:hAnsi="Arial"/>
          <w:u w:val="single"/>
        </w:rPr>
        <w:t xml:space="preserve"> </w:t>
      </w:r>
      <w:r w:rsidRPr="00D50094">
        <w:rPr>
          <w:rFonts w:ascii="Arial" w:hAnsi="Arial"/>
          <w:color w:val="0F243E" w:themeColor="text2" w:themeShade="80"/>
          <w:u w:val="single"/>
          <w:lang w:val="en-CA"/>
        </w:rPr>
        <w:t>$</w:t>
      </w:r>
      <w:r w:rsidR="003D5A4A">
        <w:rPr>
          <w:rFonts w:ascii="Arial" w:hAnsi="Arial"/>
          <w:color w:val="0F243E" w:themeColor="text2" w:themeShade="80"/>
          <w:u w:val="single"/>
          <w:lang w:val="en-CA"/>
        </w:rPr>
        <w:t>2,000,000</w:t>
      </w:r>
      <w:r w:rsidRPr="00094C60">
        <w:rPr>
          <w:rFonts w:ascii="Arial" w:hAnsi="Arial"/>
          <w:color w:val="0F243E" w:themeColor="text2" w:themeShade="80"/>
          <w:u w:val="single"/>
          <w:lang w:val="en-CA"/>
        </w:rPr>
        <w:t>.</w:t>
      </w:r>
    </w:p>
    <w:p w:rsidR="007814A1" w:rsidP="007814A1" w14:paraId="7F5E7C96" w14:textId="77777777">
      <w:pPr>
        <w:pStyle w:val="BodyText"/>
        <w:tabs>
          <w:tab w:val="left" w:pos="1080"/>
          <w:tab w:val="left" w:pos="9180"/>
        </w:tabs>
        <w:ind w:left="1080" w:hanging="1080"/>
        <w:rPr>
          <w:rFonts w:ascii="Arial" w:hAnsi="Arial"/>
          <w:color w:val="auto"/>
          <w:u w:val="single"/>
          <w:shd w:val="clear" w:color="auto" w:fill="auto"/>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7814A1" w:rsidRPr="00094C60" w:rsidP="00910130" w14:paraId="66DE827F" w14:textId="0C555A53">
      <w:pPr>
        <w:pStyle w:val="BodyText"/>
        <w:tabs>
          <w:tab w:val="left" w:pos="1080"/>
          <w:tab w:val="left" w:pos="9180"/>
        </w:tabs>
        <w:ind w:left="1080" w:hanging="1080"/>
        <w:jc w:val="both"/>
        <w:rPr>
          <w:rFonts w:ascii="Arial" w:hAnsi="Arial"/>
          <w:color w:val="auto"/>
          <w:u w:val="single"/>
          <w:shd w:val="clear" w:color="auto" w:fill="auto"/>
        </w:rPr>
      </w:pPr>
      <w:r>
        <w:rPr>
          <w:spacing w:val="3"/>
          <w:sz w:val="20"/>
        </w:rPr>
        <w:tab/>
      </w:r>
      <w:r w:rsidRPr="00811488" w:rsidR="00D50094">
        <w:rPr>
          <w:rFonts w:ascii="Arial" w:hAnsi="Arial"/>
          <w:u w:val="single"/>
        </w:rPr>
        <w:t xml:space="preserve">The proceeds raised from the sale of </w:t>
      </w:r>
      <w:r w:rsidRPr="00D835D9" w:rsidR="003D5A4A">
        <w:rPr>
          <w:rFonts w:ascii="Arial" w:hAnsi="Arial"/>
          <w:u w:val="single"/>
        </w:rPr>
        <w:t>Units</w:t>
      </w:r>
      <w:r w:rsidR="003D5A4A">
        <w:rPr>
          <w:rFonts w:ascii="Arial" w:hAnsi="Arial"/>
          <w:u w:val="single"/>
        </w:rPr>
        <w:t xml:space="preserve"> under this offering (hereinafter, the “</w:t>
      </w:r>
      <w:r w:rsidRPr="003D5A4A" w:rsidR="003D5A4A">
        <w:rPr>
          <w:rFonts w:ascii="Arial" w:hAnsi="Arial"/>
          <w:b/>
          <w:u w:val="single"/>
        </w:rPr>
        <w:t>Private Placement</w:t>
      </w:r>
      <w:r w:rsidR="003D5A4A">
        <w:rPr>
          <w:rFonts w:ascii="Arial" w:hAnsi="Arial"/>
          <w:u w:val="single"/>
        </w:rPr>
        <w:t xml:space="preserve">”) </w:t>
      </w:r>
      <w:r w:rsidRPr="00811488" w:rsidR="00D50094">
        <w:rPr>
          <w:rFonts w:ascii="Arial" w:hAnsi="Arial"/>
          <w:u w:val="single"/>
        </w:rPr>
        <w:t xml:space="preserve">will be used by the Issuer for working capital and </w:t>
      </w:r>
      <w:r w:rsidR="00D50094">
        <w:rPr>
          <w:rFonts w:ascii="Arial" w:hAnsi="Arial"/>
          <w:u w:val="single"/>
        </w:rPr>
        <w:t xml:space="preserve">general </w:t>
      </w:r>
      <w:r w:rsidRPr="00811488" w:rsidR="00D50094">
        <w:rPr>
          <w:rFonts w:ascii="Arial" w:hAnsi="Arial"/>
          <w:u w:val="single"/>
        </w:rPr>
        <w:t>corporate purposes.</w:t>
      </w:r>
    </w:p>
    <w:p w:rsidR="007814A1" w:rsidP="007814A1" w14:paraId="014133A8" w14:textId="752E0128">
      <w:pPr>
        <w:pStyle w:val="BodyText"/>
        <w:numPr>
          <w:ilvl w:val="0"/>
          <w:numId w:val="10"/>
        </w:numPr>
        <w:tabs>
          <w:tab w:val="left" w:pos="9180"/>
        </w:tabs>
        <w:rPr>
          <w:rFonts w:ascii="Arial" w:hAnsi="Arial"/>
          <w:color w:val="auto"/>
          <w:shd w:val="clear" w:color="auto" w:fill="auto"/>
        </w:rPr>
      </w:pPr>
      <w:r>
        <w:rPr>
          <w:rFonts w:ascii="Arial" w:hAnsi="Arial"/>
        </w:rPr>
        <w:t>Provide particulars of any proceeds which are to be paid to Related Persons of the Issuer:</w:t>
      </w:r>
      <w:r w:rsidR="000307ED">
        <w:rPr>
          <w:rFonts w:ascii="Arial" w:hAnsi="Arial"/>
        </w:rPr>
        <w:t xml:space="preserve"> </w:t>
      </w:r>
      <w:r w:rsidRPr="00094C60" w:rsidR="000307ED">
        <w:rPr>
          <w:rFonts w:ascii="Arial" w:hAnsi="Arial"/>
          <w:color w:val="0F243E" w:themeColor="text2" w:themeShade="80"/>
          <w:u w:val="single"/>
        </w:rPr>
        <w:t>N/A</w:t>
      </w:r>
      <w:r>
        <w:rPr>
          <w:rFonts w:ascii="Arial" w:hAnsi="Arial"/>
          <w:u w:val="single"/>
        </w:rPr>
        <w:tab/>
      </w:r>
      <w:r>
        <w:rPr>
          <w:rFonts w:ascii="Arial" w:hAnsi="Arial"/>
        </w:rPr>
        <w:t xml:space="preserve"> .</w:t>
      </w:r>
    </w:p>
    <w:p w:rsidR="007814A1" w:rsidP="007814A1" w14:paraId="3D676EA0" w14:textId="6B379BD8">
      <w:pPr>
        <w:pStyle w:val="BodyText"/>
        <w:numPr>
          <w:ilvl w:val="0"/>
          <w:numId w:val="10"/>
        </w:numPr>
        <w:tabs>
          <w:tab w:val="left" w:pos="9180"/>
        </w:tabs>
        <w:rPr>
          <w:rFonts w:ascii="Arial" w:hAnsi="Arial"/>
          <w:color w:val="auto"/>
          <w:shd w:val="clear" w:color="auto" w:fill="auto"/>
        </w:rPr>
      </w:pPr>
      <w:r>
        <w:rPr>
          <w:rFonts w:ascii="Arial" w:hAnsi="Arial"/>
        </w:rPr>
        <w:t>If securities are issued in forgiveness of indebtedness, provide details of the debt agreement(s) or and the agreement to exchange the debt for securities.</w:t>
      </w:r>
      <w:r w:rsidR="00D50094">
        <w:rPr>
          <w:rFonts w:ascii="Arial" w:hAnsi="Arial"/>
        </w:rPr>
        <w:t xml:space="preserve"> </w:t>
      </w:r>
      <w:r w:rsidRPr="00D50094" w:rsidR="00D50094">
        <w:rPr>
          <w:rFonts w:ascii="Arial" w:hAnsi="Arial"/>
          <w:u w:val="single"/>
        </w:rPr>
        <w:t>N/A</w:t>
      </w:r>
      <w:r w:rsidR="000307ED">
        <w:rPr>
          <w:rFonts w:ascii="Arial" w:hAnsi="Arial"/>
          <w:u w:val="single"/>
        </w:rPr>
        <w:tab/>
      </w:r>
    </w:p>
    <w:p w:rsidR="007814A1" w:rsidP="007814A1" w14:paraId="440BCB9D" w14:textId="77777777">
      <w:pPr>
        <w:pStyle w:val="BodyText"/>
        <w:numPr>
          <w:ilvl w:val="0"/>
          <w:numId w:val="10"/>
        </w:numPr>
        <w:tabs>
          <w:tab w:val="left" w:pos="9180"/>
        </w:tabs>
        <w:rPr>
          <w:rFonts w:ascii="Arial" w:hAnsi="Arial"/>
          <w:color w:val="auto"/>
          <w:shd w:val="clear" w:color="auto" w:fill="auto"/>
        </w:rPr>
      </w:pPr>
      <w:r>
        <w:rPr>
          <w:rFonts w:ascii="Arial" w:hAnsi="Arial"/>
        </w:rPr>
        <w:t>Description of securities to be issued:</w:t>
      </w:r>
    </w:p>
    <w:p w:rsidR="007814A1" w:rsidRPr="00A06E5B" w:rsidP="007814A1" w14:paraId="138F2306" w14:textId="5E7B00ED">
      <w:pPr>
        <w:pStyle w:val="BodyText"/>
        <w:keepNext/>
        <w:keepLines/>
        <w:tabs>
          <w:tab w:val="left" w:pos="1080"/>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Class  </w:t>
      </w:r>
      <w:r w:rsidR="00B53C77">
        <w:rPr>
          <w:rFonts w:ascii="Arial" w:hAnsi="Arial"/>
          <w:u w:val="single"/>
        </w:rPr>
        <w:t xml:space="preserve">Subordinated Voting </w:t>
      </w:r>
      <w:r w:rsidRPr="00A06E5B" w:rsidR="007A6126">
        <w:rPr>
          <w:rFonts w:ascii="Arial" w:hAnsi="Arial"/>
          <w:u w:val="single"/>
        </w:rPr>
        <w:t>Shares</w:t>
      </w:r>
      <w:r w:rsidRPr="00A06E5B">
        <w:rPr>
          <w:rFonts w:ascii="Arial" w:hAnsi="Arial"/>
        </w:rPr>
        <w:t>.</w:t>
      </w:r>
    </w:p>
    <w:p w:rsidR="0094396B" w:rsidRPr="00A06E5B" w:rsidP="007814A1" w14:paraId="65ECC073" w14:textId="0106DE12">
      <w:pPr>
        <w:pStyle w:val="BodyText"/>
        <w:tabs>
          <w:tab w:val="left" w:pos="1080"/>
          <w:tab w:val="left" w:pos="1440"/>
          <w:tab w:val="left" w:pos="2160"/>
          <w:tab w:val="left" w:pos="9180"/>
        </w:tabs>
        <w:rPr>
          <w:rFonts w:ascii="Arial" w:hAnsi="Arial"/>
          <w:color w:val="auto"/>
          <w:u w:val="single"/>
          <w:shd w:val="clear" w:color="auto" w:fill="auto"/>
        </w:rPr>
      </w:pPr>
      <w:r w:rsidRPr="00A06E5B">
        <w:rPr>
          <w:rFonts w:ascii="Arial" w:hAnsi="Arial"/>
        </w:rPr>
        <w:tab/>
        <w:t>(b)</w:t>
      </w:r>
      <w:r w:rsidRPr="00A06E5B">
        <w:rPr>
          <w:rFonts w:ascii="Arial" w:hAnsi="Arial"/>
        </w:rPr>
        <w:tab/>
      </w:r>
      <w:r w:rsidRPr="00A06E5B">
        <w:rPr>
          <w:rFonts w:ascii="Arial" w:hAnsi="Arial"/>
        </w:rPr>
        <w:tab/>
        <w:t>Number</w:t>
      </w:r>
      <w:r w:rsidRPr="00A06E5B" w:rsidR="007A6126">
        <w:rPr>
          <w:rFonts w:ascii="Arial" w:hAnsi="Arial"/>
        </w:rPr>
        <w:t xml:space="preserve"> </w:t>
      </w:r>
      <w:r w:rsidRPr="00A06E5B" w:rsidR="00D50094">
        <w:rPr>
          <w:rFonts w:ascii="Arial" w:hAnsi="Arial"/>
          <w:u w:val="single"/>
        </w:rPr>
        <w:t>1,785,71</w:t>
      </w:r>
      <w:r w:rsidRPr="00A06E5B" w:rsidR="000D58A4">
        <w:rPr>
          <w:rFonts w:ascii="Arial" w:hAnsi="Arial"/>
          <w:u w:val="single"/>
        </w:rPr>
        <w:t>5</w:t>
      </w:r>
    </w:p>
    <w:p w:rsidR="007814A1" w:rsidRPr="00A06E5B" w:rsidP="007814A1" w14:paraId="1B6A5329" w14:textId="22747E90">
      <w:pPr>
        <w:pStyle w:val="BodyText"/>
        <w:tabs>
          <w:tab w:val="left" w:pos="1080"/>
          <w:tab w:val="left" w:pos="1440"/>
          <w:tab w:val="left" w:pos="2160"/>
          <w:tab w:val="left" w:pos="9180"/>
        </w:tabs>
        <w:rPr>
          <w:rFonts w:ascii="Arial" w:hAnsi="Arial"/>
          <w:color w:val="auto"/>
          <w:shd w:val="clear" w:color="auto" w:fill="auto"/>
        </w:rPr>
      </w:pPr>
      <w:r w:rsidRPr="00A06E5B">
        <w:rPr>
          <w:rFonts w:ascii="Arial" w:hAnsi="Arial"/>
        </w:rPr>
        <w:tab/>
        <w:t>(c)</w:t>
      </w:r>
      <w:r w:rsidRPr="00A06E5B">
        <w:rPr>
          <w:rFonts w:ascii="Arial" w:hAnsi="Arial"/>
        </w:rPr>
        <w:tab/>
      </w:r>
      <w:r w:rsidRPr="00A06E5B">
        <w:rPr>
          <w:rFonts w:ascii="Arial" w:hAnsi="Arial"/>
        </w:rPr>
        <w:tab/>
        <w:t>Price per security</w:t>
      </w:r>
      <w:r w:rsidRPr="00A06E5B" w:rsidR="0094396B">
        <w:rPr>
          <w:rFonts w:ascii="Arial" w:hAnsi="Arial"/>
        </w:rPr>
        <w:t xml:space="preserve"> </w:t>
      </w:r>
      <w:r w:rsidRPr="00A06E5B" w:rsidR="00D50094">
        <w:rPr>
          <w:rFonts w:ascii="Arial" w:hAnsi="Arial"/>
          <w:u w:val="single"/>
        </w:rPr>
        <w:t>$1.12</w:t>
      </w:r>
      <w:r w:rsidRPr="00A06E5B">
        <w:rPr>
          <w:rFonts w:ascii="Arial" w:hAnsi="Arial"/>
        </w:rPr>
        <w:t>.</w:t>
      </w:r>
    </w:p>
    <w:p w:rsidR="007814A1" w:rsidRPr="00A06E5B" w:rsidP="007A6126" w14:paraId="59050391" w14:textId="32209277">
      <w:pPr>
        <w:pStyle w:val="BodyText"/>
        <w:tabs>
          <w:tab w:val="left" w:pos="1080"/>
          <w:tab w:val="left" w:pos="1440"/>
          <w:tab w:val="left" w:pos="2160"/>
          <w:tab w:val="left" w:pos="9180"/>
        </w:tabs>
        <w:ind w:left="2160" w:hanging="2160"/>
        <w:rPr>
          <w:rFonts w:ascii="Arial" w:hAnsi="Arial"/>
          <w:color w:val="auto"/>
          <w:shd w:val="clear" w:color="auto" w:fill="auto"/>
        </w:rPr>
      </w:pPr>
      <w:r w:rsidRPr="00A06E5B">
        <w:rPr>
          <w:rFonts w:ascii="Arial" w:hAnsi="Arial"/>
        </w:rPr>
        <w:tab/>
        <w:t>(d)</w:t>
      </w:r>
      <w:r w:rsidRPr="00A06E5B">
        <w:rPr>
          <w:rFonts w:ascii="Arial" w:hAnsi="Arial"/>
        </w:rPr>
        <w:tab/>
      </w:r>
      <w:r w:rsidRPr="00A06E5B">
        <w:rPr>
          <w:rFonts w:ascii="Arial" w:hAnsi="Arial"/>
        </w:rPr>
        <w:tab/>
        <w:t>Voting rights</w:t>
      </w:r>
      <w:r w:rsidRPr="00A06E5B" w:rsidR="0094396B">
        <w:rPr>
          <w:rFonts w:ascii="Arial" w:hAnsi="Arial"/>
        </w:rPr>
        <w:t xml:space="preserve"> </w:t>
      </w:r>
      <w:r w:rsidR="00B53C77">
        <w:rPr>
          <w:rFonts w:ascii="Arial" w:hAnsi="Arial"/>
          <w:u w:val="single"/>
        </w:rPr>
        <w:t xml:space="preserve">One vote per Subordinated Voting </w:t>
      </w:r>
      <w:r w:rsidRPr="00A06E5B" w:rsidR="00B53C77">
        <w:rPr>
          <w:rFonts w:ascii="Arial" w:hAnsi="Arial"/>
          <w:u w:val="single"/>
        </w:rPr>
        <w:t>Share</w:t>
      </w:r>
      <w:r w:rsidRPr="00A06E5B" w:rsidR="003D5A4A">
        <w:rPr>
          <w:rFonts w:ascii="Arial" w:hAnsi="Arial"/>
          <w:u w:val="single"/>
        </w:rPr>
        <w:t>.</w:t>
      </w:r>
    </w:p>
    <w:p w:rsidR="007814A1" w:rsidP="007814A1" w14:paraId="3066A9F1" w14:textId="77777777">
      <w:pPr>
        <w:pStyle w:val="BodyText"/>
        <w:numPr>
          <w:ilvl w:val="0"/>
          <w:numId w:val="10"/>
        </w:numPr>
        <w:tabs>
          <w:tab w:val="left" w:pos="1440"/>
          <w:tab w:val="left" w:pos="2160"/>
          <w:tab w:val="left" w:pos="9180"/>
        </w:tabs>
        <w:rPr>
          <w:rFonts w:ascii="Arial" w:hAnsi="Arial"/>
          <w:color w:val="auto"/>
          <w:shd w:val="clear" w:color="auto" w:fill="auto"/>
        </w:rPr>
      </w:pPr>
      <w:r>
        <w:rPr>
          <w:rFonts w:ascii="Arial" w:hAnsi="Arial"/>
        </w:rPr>
        <w:t>Provide the following information if warrants, (options) or other convertible securities are to be issued:</w:t>
      </w:r>
    </w:p>
    <w:p w:rsidR="007814A1" w:rsidRPr="00A06E5B" w:rsidP="00176ADD" w14:paraId="6D925B57" w14:textId="4C464C07">
      <w:pPr>
        <w:pStyle w:val="List"/>
        <w:tabs>
          <w:tab w:val="left" w:pos="1440"/>
          <w:tab w:val="left" w:pos="2160"/>
          <w:tab w:val="left" w:pos="9180"/>
        </w:tabs>
        <w:ind w:left="2160"/>
        <w:rPr>
          <w:rFonts w:ascii="Arial" w:hAnsi="Arial"/>
          <w:color w:val="auto"/>
          <w:shd w:val="clear" w:color="auto" w:fill="auto"/>
        </w:rPr>
      </w:pPr>
      <w:r>
        <w:rPr>
          <w:rFonts w:ascii="Arial" w:hAnsi="Arial"/>
        </w:rPr>
        <w:t>(a)</w:t>
      </w:r>
      <w:r>
        <w:rPr>
          <w:rFonts w:ascii="Arial" w:hAnsi="Arial"/>
        </w:rPr>
        <w:tab/>
      </w:r>
      <w:r>
        <w:rPr>
          <w:rFonts w:ascii="Arial" w:hAnsi="Arial"/>
        </w:rPr>
        <w:tab/>
        <w:t xml:space="preserve">Number </w:t>
      </w:r>
      <w:r w:rsidRPr="00A06E5B" w:rsidR="00D50094">
        <w:rPr>
          <w:rFonts w:ascii="Arial" w:hAnsi="Arial"/>
          <w:u w:val="single"/>
        </w:rPr>
        <w:t>892,857</w:t>
      </w:r>
      <w:r w:rsidRPr="00A06E5B" w:rsidR="005405A4">
        <w:rPr>
          <w:rFonts w:ascii="Arial" w:hAnsi="Arial"/>
          <w:u w:val="single"/>
        </w:rPr>
        <w:t xml:space="preserve"> </w:t>
      </w:r>
      <w:r w:rsidRPr="00A06E5B" w:rsidR="0094396B">
        <w:rPr>
          <w:rFonts w:ascii="Arial" w:hAnsi="Arial"/>
          <w:u w:val="single"/>
        </w:rPr>
        <w:t>W</w:t>
      </w:r>
      <w:r w:rsidRPr="00A06E5B" w:rsidR="000307ED">
        <w:rPr>
          <w:rFonts w:ascii="Arial" w:hAnsi="Arial"/>
          <w:u w:val="single"/>
        </w:rPr>
        <w:t>arrants</w:t>
      </w:r>
      <w:r w:rsidRPr="00A06E5B">
        <w:rPr>
          <w:rFonts w:ascii="Arial" w:hAnsi="Arial"/>
        </w:rPr>
        <w:t>.</w:t>
      </w:r>
    </w:p>
    <w:p w:rsidR="007814A1" w:rsidRPr="00A06E5B" w:rsidP="00176ADD" w14:paraId="46B720EC" w14:textId="048246B6">
      <w:pPr>
        <w:pStyle w:val="List"/>
        <w:tabs>
          <w:tab w:val="left" w:pos="1440"/>
          <w:tab w:val="left" w:pos="2160"/>
          <w:tab w:val="left" w:pos="9180"/>
        </w:tabs>
        <w:ind w:left="2160"/>
        <w:rPr>
          <w:rFonts w:ascii="Arial" w:hAnsi="Arial"/>
          <w:color w:val="auto"/>
          <w:shd w:val="clear" w:color="auto" w:fill="auto"/>
        </w:rPr>
      </w:pPr>
      <w:r w:rsidRPr="00A06E5B">
        <w:rPr>
          <w:rFonts w:ascii="Arial" w:hAnsi="Arial"/>
        </w:rPr>
        <w:t>(b)</w:t>
      </w:r>
      <w:r w:rsidRPr="00A06E5B">
        <w:rPr>
          <w:rFonts w:ascii="Arial" w:hAnsi="Arial"/>
        </w:rPr>
        <w:tab/>
      </w:r>
      <w:r w:rsidRPr="00A06E5B">
        <w:rPr>
          <w:rFonts w:ascii="Arial" w:hAnsi="Arial"/>
        </w:rPr>
        <w:tab/>
        <w:t xml:space="preserve">Number of securities eligible to be purchased on exercise of warrants (or options) </w:t>
      </w:r>
      <w:r w:rsidRPr="00A06E5B" w:rsidR="00D50094">
        <w:rPr>
          <w:rFonts w:ascii="Arial" w:hAnsi="Arial"/>
          <w:u w:val="single"/>
        </w:rPr>
        <w:t>892,857</w:t>
      </w:r>
      <w:r w:rsidRPr="00A06E5B" w:rsidR="0056214D">
        <w:rPr>
          <w:rFonts w:ascii="Arial" w:hAnsi="Arial"/>
          <w:u w:val="single"/>
        </w:rPr>
        <w:t xml:space="preserve"> </w:t>
      </w:r>
      <w:r w:rsidR="00B53C77">
        <w:rPr>
          <w:rFonts w:ascii="Arial" w:hAnsi="Arial"/>
          <w:u w:val="single"/>
        </w:rPr>
        <w:t xml:space="preserve">Subordinated Voting </w:t>
      </w:r>
      <w:r w:rsidRPr="00A06E5B" w:rsidR="00B53C77">
        <w:rPr>
          <w:rFonts w:ascii="Arial" w:hAnsi="Arial"/>
          <w:u w:val="single"/>
        </w:rPr>
        <w:t>Share</w:t>
      </w:r>
      <w:r w:rsidRPr="00A06E5B" w:rsidR="00AF0338">
        <w:rPr>
          <w:rFonts w:ascii="Arial" w:hAnsi="Arial"/>
          <w:u w:val="single"/>
        </w:rPr>
        <w:t>s</w:t>
      </w:r>
      <w:r w:rsidRPr="00A06E5B" w:rsidR="001A3C35">
        <w:rPr>
          <w:rFonts w:ascii="Arial" w:hAnsi="Arial"/>
          <w:u w:val="single"/>
        </w:rPr>
        <w:t xml:space="preserve"> (the “</w:t>
      </w:r>
      <w:r w:rsidRPr="00A06E5B" w:rsidR="001A3C35">
        <w:rPr>
          <w:rFonts w:ascii="Arial" w:hAnsi="Arial"/>
          <w:b/>
          <w:u w:val="single"/>
        </w:rPr>
        <w:t>Warrant Shares</w:t>
      </w:r>
      <w:r w:rsidRPr="00A06E5B" w:rsidR="001A3C35">
        <w:rPr>
          <w:rFonts w:ascii="Arial" w:hAnsi="Arial"/>
          <w:u w:val="single"/>
        </w:rPr>
        <w:t>”)</w:t>
      </w:r>
      <w:r w:rsidRPr="00A06E5B">
        <w:rPr>
          <w:rFonts w:ascii="Arial" w:hAnsi="Arial"/>
        </w:rPr>
        <w:t>.</w:t>
      </w:r>
    </w:p>
    <w:p w:rsidR="007814A1" w:rsidRPr="00A06E5B" w:rsidP="007814A1" w14:paraId="7A76C6B6" w14:textId="6B476E7E">
      <w:pPr>
        <w:pStyle w:val="List"/>
        <w:tabs>
          <w:tab w:val="left" w:pos="1440"/>
          <w:tab w:val="left" w:pos="2160"/>
          <w:tab w:val="left" w:pos="9180"/>
        </w:tabs>
        <w:rPr>
          <w:rFonts w:ascii="Arial" w:hAnsi="Arial"/>
          <w:color w:val="auto"/>
          <w:shd w:val="clear" w:color="auto" w:fill="auto"/>
        </w:rPr>
      </w:pPr>
      <w:r w:rsidRPr="00A06E5B">
        <w:rPr>
          <w:rFonts w:ascii="Arial" w:hAnsi="Arial"/>
        </w:rPr>
        <w:tab/>
        <w:t>(c)</w:t>
      </w:r>
      <w:r w:rsidRPr="00A06E5B">
        <w:rPr>
          <w:rFonts w:ascii="Arial" w:hAnsi="Arial"/>
        </w:rPr>
        <w:tab/>
      </w:r>
      <w:r w:rsidRPr="00A06E5B">
        <w:rPr>
          <w:rFonts w:ascii="Arial" w:hAnsi="Arial"/>
        </w:rPr>
        <w:tab/>
        <w:t>Exercise price</w:t>
      </w:r>
      <w:r w:rsidRPr="00A06E5B">
        <w:rPr>
          <w:rFonts w:ascii="Arial" w:hAnsi="Arial"/>
          <w:u w:val="single"/>
        </w:rPr>
        <w:t xml:space="preserve"> </w:t>
      </w:r>
      <w:r w:rsidRPr="00A06E5B" w:rsidR="000307ED">
        <w:rPr>
          <w:rFonts w:ascii="Arial" w:hAnsi="Arial"/>
          <w:u w:val="single"/>
        </w:rPr>
        <w:t>$</w:t>
      </w:r>
      <w:r w:rsidRPr="00A06E5B" w:rsidR="00D50094">
        <w:rPr>
          <w:rFonts w:ascii="Arial" w:hAnsi="Arial"/>
          <w:u w:val="single"/>
        </w:rPr>
        <w:t>1.40</w:t>
      </w:r>
      <w:r w:rsidRPr="00A06E5B" w:rsidR="00AF0338">
        <w:rPr>
          <w:rFonts w:ascii="Arial" w:hAnsi="Arial"/>
          <w:u w:val="single"/>
        </w:rPr>
        <w:t xml:space="preserve"> per </w:t>
      </w:r>
      <w:r w:rsidRPr="00A06E5B" w:rsidR="001A3C35">
        <w:rPr>
          <w:rFonts w:ascii="Arial" w:hAnsi="Arial"/>
          <w:u w:val="single"/>
        </w:rPr>
        <w:t xml:space="preserve">Warrant </w:t>
      </w:r>
      <w:r w:rsidRPr="00A06E5B" w:rsidR="00AF0338">
        <w:rPr>
          <w:rFonts w:ascii="Arial" w:hAnsi="Arial"/>
          <w:u w:val="single"/>
        </w:rPr>
        <w:t>Share</w:t>
      </w:r>
      <w:r w:rsidRPr="00A06E5B">
        <w:rPr>
          <w:rFonts w:ascii="Arial" w:hAnsi="Arial"/>
        </w:rPr>
        <w:t>.</w:t>
      </w:r>
    </w:p>
    <w:p w:rsidR="001D258F" w:rsidRPr="00A06E5B" w:rsidP="00D50094" w14:paraId="141DD395" w14:textId="1A89B714">
      <w:pPr>
        <w:pStyle w:val="List"/>
        <w:tabs>
          <w:tab w:val="left" w:pos="1440"/>
          <w:tab w:val="left" w:pos="2160"/>
          <w:tab w:val="left" w:pos="3600"/>
          <w:tab w:val="left" w:pos="5040"/>
          <w:tab w:val="left" w:pos="7560"/>
          <w:tab w:val="left" w:pos="9180"/>
        </w:tabs>
        <w:ind w:left="2160"/>
        <w:jc w:val="both"/>
        <w:rPr>
          <w:rFonts w:ascii="Arial" w:hAnsi="Arial"/>
          <w:color w:val="auto"/>
          <w:u w:val="single"/>
          <w:shd w:val="clear" w:color="auto" w:fill="auto"/>
        </w:rPr>
      </w:pPr>
      <w:r w:rsidRPr="00A06E5B">
        <w:rPr>
          <w:rFonts w:ascii="Arial" w:hAnsi="Arial"/>
        </w:rPr>
        <w:t xml:space="preserve">(d) </w:t>
      </w:r>
      <w:r w:rsidRPr="00A06E5B">
        <w:rPr>
          <w:rFonts w:ascii="Arial" w:hAnsi="Arial"/>
        </w:rPr>
        <w:tab/>
        <w:t>Expiry date</w:t>
      </w:r>
      <w:r w:rsidRPr="00A06E5B">
        <w:rPr>
          <w:rFonts w:ascii="Arial" w:hAnsi="Arial"/>
        </w:rPr>
        <w:t>:</w:t>
      </w:r>
      <w:r w:rsidRPr="00A06E5B">
        <w:rPr>
          <w:rFonts w:ascii="Arial" w:hAnsi="Arial"/>
        </w:rPr>
        <w:t xml:space="preserve"> </w:t>
      </w:r>
      <w:r w:rsidRPr="00A06E5B" w:rsidR="00D50094">
        <w:rPr>
          <w:rFonts w:ascii="Arial" w:hAnsi="Arial"/>
          <w:u w:val="single"/>
        </w:rPr>
        <w:t>36 months from closing of the offering (the “</w:t>
      </w:r>
      <w:r w:rsidRPr="00A06E5B" w:rsidR="00D50094">
        <w:rPr>
          <w:rFonts w:ascii="Arial" w:hAnsi="Arial"/>
          <w:b/>
          <w:u w:val="single"/>
        </w:rPr>
        <w:t>Closing Date</w:t>
      </w:r>
      <w:r w:rsidRPr="00A06E5B" w:rsidR="00D50094">
        <w:rPr>
          <w:rFonts w:ascii="Arial" w:hAnsi="Arial"/>
          <w:u w:val="single"/>
        </w:rPr>
        <w:t>”), subject to Accelerated Exercise Period (as defined below)</w:t>
      </w:r>
    </w:p>
    <w:p w:rsidR="005F2A06" w:rsidRPr="00A06E5B" w:rsidP="005F2A06" w14:paraId="38809D5E" w14:textId="77777777">
      <w:pPr>
        <w:pStyle w:val="List"/>
        <w:tabs>
          <w:tab w:val="left" w:pos="1440"/>
          <w:tab w:val="left" w:pos="2160"/>
          <w:tab w:val="left" w:pos="3600"/>
          <w:tab w:val="left" w:pos="5040"/>
          <w:tab w:val="left" w:pos="7560"/>
          <w:tab w:val="left" w:pos="9180"/>
        </w:tabs>
        <w:ind w:left="2160" w:firstLine="0"/>
        <w:jc w:val="both"/>
        <w:rPr>
          <w:rFonts w:ascii="Arial" w:hAnsi="Arial"/>
          <w:color w:val="auto"/>
          <w:u w:val="single"/>
          <w:shd w:val="clear" w:color="auto" w:fill="auto"/>
        </w:rPr>
      </w:pPr>
      <w:r w:rsidRPr="00A06E5B">
        <w:rPr>
          <w:rFonts w:ascii="Arial" w:hAnsi="Arial"/>
          <w:u w:val="single"/>
        </w:rPr>
        <w:t>If, at any time prior to the expiry date of the Warrants, the volume weighted average trading price of the Subordinated Voting Shares on the Canadian Securities Exchange (or such other stock exchange where the Subordinated Voting Shares are then listed) is greater than or equal to $2.50 for a period of 20 consecutive trading days, the Issuer may, in its sole discretion, provide written notice to the holders of the Warrants by way of a news release advising that the Warrants will expire at 4:00 p.m. (Toronto Time) on the 30th day following the date of such notice unless exercised by the holders prior to such date (the “</w:t>
      </w:r>
      <w:r w:rsidRPr="00A06E5B">
        <w:rPr>
          <w:rFonts w:ascii="Arial" w:hAnsi="Arial"/>
          <w:b/>
          <w:u w:val="single"/>
        </w:rPr>
        <w:t>Accelerated Exercise Period</w:t>
      </w:r>
      <w:r w:rsidRPr="00A06E5B">
        <w:rPr>
          <w:rFonts w:ascii="Arial" w:hAnsi="Arial"/>
          <w:u w:val="single"/>
        </w:rPr>
        <w:t>”)</w:t>
      </w:r>
      <w:r w:rsidRPr="00A06E5B">
        <w:rPr>
          <w:rFonts w:ascii="Arial" w:hAnsi="Arial"/>
        </w:rPr>
        <w:t>.</w:t>
      </w:r>
    </w:p>
    <w:p w:rsidR="007814A1" w:rsidP="007814A1" w14:paraId="041544F9" w14:textId="77777777">
      <w:pPr>
        <w:pStyle w:val="Heading2"/>
        <w:numPr>
          <w:ilvl w:val="0"/>
          <w:numId w:val="10"/>
        </w:numPr>
        <w:tabs>
          <w:tab w:val="left" w:pos="1440"/>
          <w:tab w:val="left" w:pos="2160"/>
        </w:tabs>
        <w:rPr>
          <w:b w:val="0"/>
          <w:color w:val="auto"/>
          <w:sz w:val="24"/>
          <w:shd w:val="clear" w:color="auto" w:fill="auto"/>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7814A1" w:rsidRPr="00A06E5B" w:rsidP="007814A1" w14:paraId="3F03ABB8" w14:textId="0727356A">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Aggregate principal </w:t>
      </w:r>
      <w:r w:rsidRPr="00A06E5B">
        <w:rPr>
          <w:rFonts w:ascii="Arial" w:hAnsi="Arial"/>
        </w:rPr>
        <w:t xml:space="preserve">amount </w:t>
      </w:r>
      <w:r w:rsidRPr="00A06E5B">
        <w:rPr>
          <w:rFonts w:ascii="Arial" w:hAnsi="Arial"/>
          <w:u w:val="single"/>
        </w:rPr>
        <w:t>N/A</w:t>
      </w:r>
      <w:r w:rsidRPr="00A06E5B">
        <w:rPr>
          <w:rFonts w:ascii="Arial" w:hAnsi="Arial"/>
        </w:rPr>
        <w:t>.</w:t>
      </w:r>
    </w:p>
    <w:p w:rsidR="007814A1" w:rsidRPr="00A06E5B" w:rsidP="007814A1" w14:paraId="0ADF9294" w14:textId="41AB12C8">
      <w:pPr>
        <w:pStyle w:val="List"/>
        <w:tabs>
          <w:tab w:val="left" w:pos="1440"/>
          <w:tab w:val="left" w:pos="2160"/>
          <w:tab w:val="left" w:pos="9180"/>
        </w:tabs>
        <w:rPr>
          <w:rFonts w:ascii="Arial" w:hAnsi="Arial"/>
          <w:color w:val="auto"/>
          <w:shd w:val="clear" w:color="auto" w:fill="auto"/>
        </w:rPr>
      </w:pPr>
      <w:r w:rsidRPr="00A06E5B">
        <w:rPr>
          <w:rFonts w:ascii="Arial" w:hAnsi="Arial"/>
        </w:rPr>
        <w:tab/>
        <w:t xml:space="preserve">(b) </w:t>
      </w:r>
      <w:r w:rsidRPr="00A06E5B">
        <w:rPr>
          <w:rFonts w:ascii="Arial" w:hAnsi="Arial"/>
        </w:rPr>
        <w:tab/>
        <w:t xml:space="preserve">Maturity date </w:t>
      </w:r>
      <w:r w:rsidRPr="00A06E5B">
        <w:rPr>
          <w:rFonts w:ascii="Arial" w:hAnsi="Arial"/>
          <w:u w:val="single"/>
        </w:rPr>
        <w:t>N/A</w:t>
      </w:r>
      <w:r w:rsidRPr="00A06E5B">
        <w:rPr>
          <w:rFonts w:ascii="Arial" w:hAnsi="Arial"/>
        </w:rPr>
        <w:t>.</w:t>
      </w:r>
    </w:p>
    <w:p w:rsidR="007814A1" w:rsidRPr="00A06E5B" w:rsidP="007814A1" w14:paraId="3E06FE59" w14:textId="31C351F4">
      <w:pPr>
        <w:pStyle w:val="BodyText"/>
        <w:tabs>
          <w:tab w:val="left" w:pos="1080"/>
          <w:tab w:val="left" w:pos="1440"/>
          <w:tab w:val="left" w:pos="2160"/>
          <w:tab w:val="left" w:pos="9180"/>
        </w:tabs>
        <w:rPr>
          <w:rFonts w:ascii="Arial" w:hAnsi="Arial"/>
          <w:color w:val="auto"/>
          <w:shd w:val="clear" w:color="auto" w:fill="auto"/>
        </w:rPr>
      </w:pPr>
      <w:r w:rsidRPr="00A06E5B">
        <w:rPr>
          <w:rFonts w:ascii="Arial" w:hAnsi="Arial"/>
        </w:rPr>
        <w:tab/>
        <w:t xml:space="preserve">(c) </w:t>
      </w:r>
      <w:r w:rsidRPr="00A06E5B">
        <w:rPr>
          <w:rFonts w:ascii="Arial" w:hAnsi="Arial"/>
        </w:rPr>
        <w:tab/>
      </w:r>
      <w:r w:rsidRPr="00A06E5B">
        <w:rPr>
          <w:rFonts w:ascii="Arial" w:hAnsi="Arial"/>
        </w:rPr>
        <w:tab/>
        <w:t xml:space="preserve">Interest rate </w:t>
      </w:r>
      <w:r w:rsidRPr="00A06E5B">
        <w:rPr>
          <w:rFonts w:ascii="Arial" w:hAnsi="Arial"/>
          <w:u w:val="single"/>
        </w:rPr>
        <w:t>N/A</w:t>
      </w:r>
      <w:r w:rsidRPr="00A06E5B">
        <w:rPr>
          <w:rFonts w:ascii="Arial" w:hAnsi="Arial"/>
        </w:rPr>
        <w:t>.</w:t>
      </w:r>
    </w:p>
    <w:p w:rsidR="007814A1" w:rsidRPr="00A06E5B" w:rsidP="007814A1" w14:paraId="2D587A38" w14:textId="05A5CC60">
      <w:pPr>
        <w:pStyle w:val="BodyText"/>
        <w:tabs>
          <w:tab w:val="left" w:pos="1080"/>
          <w:tab w:val="left" w:pos="1440"/>
          <w:tab w:val="left" w:pos="2160"/>
          <w:tab w:val="left" w:pos="9180"/>
        </w:tabs>
        <w:rPr>
          <w:rFonts w:ascii="Arial" w:hAnsi="Arial"/>
          <w:color w:val="auto"/>
          <w:shd w:val="clear" w:color="auto" w:fill="auto"/>
        </w:rPr>
      </w:pPr>
      <w:r w:rsidRPr="00A06E5B">
        <w:rPr>
          <w:rFonts w:ascii="Arial" w:hAnsi="Arial"/>
        </w:rPr>
        <w:tab/>
        <w:t xml:space="preserve">(d) </w:t>
      </w:r>
      <w:r w:rsidRPr="00A06E5B">
        <w:rPr>
          <w:rFonts w:ascii="Arial" w:hAnsi="Arial"/>
        </w:rPr>
        <w:tab/>
        <w:t xml:space="preserve">Conversion terms </w:t>
      </w:r>
      <w:r w:rsidRPr="00A06E5B">
        <w:rPr>
          <w:rFonts w:ascii="Arial" w:hAnsi="Arial"/>
          <w:u w:val="single"/>
        </w:rPr>
        <w:t>N/A</w:t>
      </w:r>
      <w:r w:rsidRPr="00A06E5B">
        <w:rPr>
          <w:rFonts w:ascii="Arial" w:hAnsi="Arial"/>
        </w:rPr>
        <w:t>.</w:t>
      </w:r>
    </w:p>
    <w:p w:rsidR="007814A1" w:rsidRPr="00A06E5B" w:rsidP="007814A1" w14:paraId="365580AC" w14:textId="291A7D7C">
      <w:pPr>
        <w:pStyle w:val="BodyText"/>
        <w:tabs>
          <w:tab w:val="left" w:pos="1080"/>
          <w:tab w:val="left" w:pos="1440"/>
          <w:tab w:val="left" w:pos="2160"/>
          <w:tab w:val="left" w:pos="9180"/>
        </w:tabs>
        <w:rPr>
          <w:rFonts w:ascii="Arial" w:hAnsi="Arial"/>
          <w:color w:val="auto"/>
          <w:shd w:val="clear" w:color="auto" w:fill="auto"/>
        </w:rPr>
      </w:pPr>
      <w:r w:rsidRPr="00A06E5B">
        <w:rPr>
          <w:rFonts w:ascii="Arial" w:hAnsi="Arial"/>
        </w:rPr>
        <w:tab/>
        <w:t xml:space="preserve">(e) </w:t>
      </w:r>
      <w:r w:rsidRPr="00A06E5B">
        <w:rPr>
          <w:rFonts w:ascii="Arial" w:hAnsi="Arial"/>
        </w:rPr>
        <w:tab/>
        <w:t xml:space="preserve">Default provisions </w:t>
      </w:r>
      <w:r w:rsidRPr="00A06E5B">
        <w:rPr>
          <w:rFonts w:ascii="Arial" w:hAnsi="Arial"/>
          <w:u w:val="single"/>
        </w:rPr>
        <w:t>N/A</w:t>
      </w:r>
      <w:r w:rsidRPr="00A06E5B">
        <w:rPr>
          <w:rFonts w:ascii="Arial" w:hAnsi="Arial"/>
        </w:rPr>
        <w:t>.</w:t>
      </w:r>
    </w:p>
    <w:p w:rsidR="007814A1" w:rsidP="007814A1" w14:paraId="09362785" w14:textId="77777777">
      <w:pPr>
        <w:pStyle w:val="List"/>
        <w:numPr>
          <w:ilvl w:val="0"/>
          <w:numId w:val="10"/>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placement (including warrants, options, etc.):</w:t>
      </w:r>
    </w:p>
    <w:p w:rsidR="007814A1" w:rsidRPr="00BA1E3B" w:rsidP="007814A1" w14:paraId="7D96D568" w14:textId="35131A2E">
      <w:pPr>
        <w:pStyle w:val="List"/>
        <w:tabs>
          <w:tab w:val="left" w:pos="2160"/>
          <w:tab w:val="left" w:pos="9180"/>
        </w:tabs>
        <w:ind w:left="2160"/>
        <w:jc w:val="both"/>
        <w:rPr>
          <w:rFonts w:ascii="Arial" w:hAnsi="Arial"/>
          <w:color w:val="0F243E"/>
          <w:u w:val="single"/>
          <w:shd w:val="clear" w:color="auto" w:fill="auto"/>
        </w:rPr>
      </w:pPr>
      <w:r>
        <w:rPr>
          <w:rFonts w:ascii="Arial" w:hAnsi="Arial"/>
        </w:rPr>
        <w:t>(a)</w:t>
      </w:r>
      <w:r>
        <w:rPr>
          <w:rFonts w:ascii="Arial" w:hAnsi="Arial"/>
        </w:rPr>
        <w:tab/>
        <w:t xml:space="preserve">Details of any dealer, agent, broker or other person receiving compensation in connection with the placement (name, and if a corporation, identify persons owning or exercising voting control over 20% or more of the voting shares if known to the Issuer): </w:t>
      </w:r>
      <w:r>
        <w:rPr>
          <w:rFonts w:ascii="Arial" w:hAnsi="Arial"/>
        </w:rPr>
        <w:br/>
      </w:r>
      <w:r w:rsidR="00BA1E3B">
        <w:rPr>
          <w:rFonts w:ascii="Arial" w:hAnsi="Arial"/>
          <w:color w:val="0F243E" w:themeColor="text2" w:themeShade="80"/>
          <w:u w:val="single"/>
        </w:rPr>
        <w:t>To follow.</w:t>
      </w:r>
    </w:p>
    <w:p w:rsidR="007814A1" w:rsidRPr="00A06E5B" w:rsidP="00BA1E3B" w14:paraId="1E85EA8C" w14:textId="55EC0924">
      <w:pPr>
        <w:pStyle w:val="List"/>
        <w:tabs>
          <w:tab w:val="left" w:pos="2160"/>
          <w:tab w:val="left" w:pos="9180"/>
        </w:tabs>
        <w:ind w:left="2160"/>
        <w:jc w:val="both"/>
        <w:rPr>
          <w:rFonts w:ascii="Arial" w:hAnsi="Arial"/>
          <w:color w:val="auto"/>
          <w:shd w:val="clear" w:color="auto" w:fill="auto"/>
        </w:rPr>
      </w:pPr>
      <w:r>
        <w:rPr>
          <w:rFonts w:ascii="Arial" w:hAnsi="Arial"/>
        </w:rPr>
        <w:t>(b)</w:t>
      </w:r>
      <w:r>
        <w:rPr>
          <w:rFonts w:ascii="Arial" w:hAnsi="Arial"/>
        </w:rPr>
        <w:tab/>
        <w:t xml:space="preserve">Cash: </w:t>
      </w:r>
      <w:r w:rsidRPr="00F42167">
        <w:rPr>
          <w:rFonts w:ascii="Arial" w:hAnsi="Arial"/>
          <w:u w:val="single"/>
        </w:rPr>
        <w:t>The Issuer intends to pay eligible finders a cash fee equal to 7% of the gross proceeds received from subscribers introduced by such finders (</w:t>
      </w:r>
      <w:r>
        <w:rPr>
          <w:rFonts w:ascii="Arial" w:hAnsi="Arial"/>
          <w:u w:val="single"/>
        </w:rPr>
        <w:t xml:space="preserve">subject to a reduced fee of </w:t>
      </w:r>
      <w:r w:rsidRPr="00F42167">
        <w:rPr>
          <w:rFonts w:ascii="Arial" w:hAnsi="Arial"/>
          <w:u w:val="single"/>
        </w:rPr>
        <w:t xml:space="preserve">3.5% on maximum $2,000,000 proceeds from the sale of the Units under </w:t>
      </w:r>
      <w:r w:rsidR="00B53C77">
        <w:rPr>
          <w:rFonts w:ascii="Arial" w:hAnsi="Arial"/>
          <w:u w:val="single"/>
        </w:rPr>
        <w:t>the President’s l</w:t>
      </w:r>
      <w:r w:rsidRPr="00F42167">
        <w:rPr>
          <w:rFonts w:ascii="Arial" w:hAnsi="Arial"/>
          <w:u w:val="single"/>
        </w:rPr>
        <w:t>ist</w:t>
      </w:r>
      <w:r w:rsidRPr="00E342A3">
        <w:rPr>
          <w:rFonts w:ascii="Arial" w:hAnsi="Arial"/>
        </w:rPr>
        <w:t>)</w:t>
      </w:r>
      <w:r>
        <w:rPr>
          <w:rFonts w:ascii="Arial" w:hAnsi="Arial"/>
        </w:rPr>
        <w:t>.</w:t>
      </w:r>
    </w:p>
    <w:p w:rsidR="00BA1E3B" w:rsidRPr="00F42167" w:rsidP="00BA1E3B" w14:paraId="757A153A" w14:textId="6D248023">
      <w:pPr>
        <w:pStyle w:val="List"/>
        <w:ind w:left="2160"/>
        <w:jc w:val="both"/>
        <w:rPr>
          <w:rFonts w:ascii="Arial" w:hAnsi="Arial"/>
          <w:color w:val="auto"/>
          <w:u w:val="single"/>
          <w:shd w:val="clear" w:color="auto" w:fill="auto"/>
        </w:rPr>
      </w:pPr>
      <w:r>
        <w:rPr>
          <w:rFonts w:ascii="Arial" w:hAnsi="Arial"/>
        </w:rPr>
        <w:t>(c)</w:t>
      </w:r>
      <w:r>
        <w:rPr>
          <w:rFonts w:ascii="Arial" w:hAnsi="Arial"/>
        </w:rPr>
        <w:tab/>
      </w:r>
      <w:r w:rsidRPr="00A06E5B" w:rsidR="007814A1">
        <w:rPr>
          <w:rFonts w:ascii="Arial" w:hAnsi="Arial"/>
        </w:rPr>
        <w:t xml:space="preserve">Securities </w:t>
      </w:r>
      <w:r>
        <w:rPr>
          <w:rFonts w:ascii="Arial" w:hAnsi="Arial"/>
        </w:rPr>
        <w:t xml:space="preserve"> </w:t>
      </w:r>
      <w:r w:rsidRPr="00F42167">
        <w:rPr>
          <w:rFonts w:ascii="Arial" w:hAnsi="Arial"/>
          <w:u w:val="single"/>
        </w:rPr>
        <w:t>The Issuer intends to grant a number of transferable finders’ warrants (the “</w:t>
      </w:r>
      <w:r w:rsidRPr="00BA1E3B">
        <w:rPr>
          <w:rFonts w:ascii="Arial" w:hAnsi="Arial"/>
          <w:b/>
          <w:u w:val="single"/>
        </w:rPr>
        <w:t>Finders’ Warrants</w:t>
      </w:r>
      <w:r w:rsidRPr="00F42167">
        <w:rPr>
          <w:rFonts w:ascii="Arial" w:hAnsi="Arial"/>
          <w:u w:val="single"/>
        </w:rPr>
        <w:t xml:space="preserve">”) equal to 7% of the number of Units issued to subscribers introduced by such finders under the Private Placement (subject to a reduced amount of 3.5% on maximum $2,000,000 in Units sold </w:t>
      </w:r>
      <w:r w:rsidR="00B53C77">
        <w:rPr>
          <w:rFonts w:ascii="Arial" w:hAnsi="Arial"/>
          <w:u w:val="single"/>
        </w:rPr>
        <w:t>under the President’s l</w:t>
      </w:r>
      <w:r w:rsidRPr="00F42167">
        <w:rPr>
          <w:rFonts w:ascii="Arial" w:hAnsi="Arial"/>
          <w:u w:val="single"/>
        </w:rPr>
        <w:t xml:space="preserve">ist).  Each Finders’ Warrant will entitle the holder thereof to purchase one Subordinated Voting Share at an exercise price of $1.12 for a period of 36 months from the </w:t>
      </w:r>
      <w:r>
        <w:rPr>
          <w:rFonts w:ascii="Arial" w:hAnsi="Arial"/>
          <w:u w:val="single"/>
        </w:rPr>
        <w:t>Closing Date</w:t>
      </w:r>
      <w:r w:rsidRPr="00F42167">
        <w:rPr>
          <w:rFonts w:ascii="Arial" w:hAnsi="Arial"/>
          <w:u w:val="single"/>
        </w:rPr>
        <w:t>.</w:t>
      </w:r>
    </w:p>
    <w:p w:rsidR="007814A1" w:rsidRPr="00A06E5B" w:rsidP="007814A1" w14:paraId="64B9BAC0" w14:textId="3D5BCC07">
      <w:pPr>
        <w:pStyle w:val="List"/>
        <w:tabs>
          <w:tab w:val="left" w:pos="2160"/>
          <w:tab w:val="left" w:pos="9180"/>
        </w:tabs>
        <w:ind w:left="2160"/>
        <w:rPr>
          <w:rFonts w:ascii="Arial" w:hAnsi="Arial"/>
          <w:color w:val="auto"/>
          <w:shd w:val="clear" w:color="auto" w:fill="auto"/>
        </w:rPr>
      </w:pPr>
      <w:r w:rsidRPr="00A06E5B">
        <w:rPr>
          <w:rFonts w:ascii="Arial" w:hAnsi="Arial"/>
        </w:rPr>
        <w:t>(d)</w:t>
      </w:r>
      <w:r w:rsidRPr="00A06E5B">
        <w:rPr>
          <w:rFonts w:ascii="Arial" w:hAnsi="Arial"/>
        </w:rPr>
        <w:tab/>
        <w:t xml:space="preserve">Other </w:t>
      </w:r>
      <w:r w:rsidR="00BA1E3B">
        <w:rPr>
          <w:rFonts w:ascii="Arial" w:hAnsi="Arial"/>
          <w:u w:val="single"/>
        </w:rPr>
        <w:t>N/A</w:t>
      </w:r>
    </w:p>
    <w:p w:rsidR="007814A1" w:rsidRPr="00A06E5B" w:rsidP="007814A1" w14:paraId="443E56C1" w14:textId="284EB616">
      <w:pPr>
        <w:pStyle w:val="List"/>
        <w:tabs>
          <w:tab w:val="left" w:pos="2160"/>
          <w:tab w:val="left" w:pos="9180"/>
        </w:tabs>
        <w:ind w:left="2160"/>
        <w:rPr>
          <w:rFonts w:ascii="Arial" w:hAnsi="Arial"/>
          <w:color w:val="auto"/>
          <w:shd w:val="clear" w:color="auto" w:fill="auto"/>
        </w:rPr>
      </w:pPr>
      <w:r w:rsidRPr="00A06E5B">
        <w:rPr>
          <w:rFonts w:ascii="Arial" w:hAnsi="Arial"/>
        </w:rPr>
        <w:t>(e)</w:t>
      </w:r>
      <w:r w:rsidRPr="00A06E5B">
        <w:rPr>
          <w:rFonts w:ascii="Arial" w:hAnsi="Arial"/>
        </w:rPr>
        <w:tab/>
        <w:t>Expiry date of any options, warrants etc.</w:t>
      </w:r>
      <w:r w:rsidR="00BA1E3B">
        <w:rPr>
          <w:rFonts w:ascii="Arial" w:hAnsi="Arial"/>
          <w:u w:val="single"/>
        </w:rPr>
        <w:t xml:space="preserve"> </w:t>
      </w:r>
      <w:r w:rsidRPr="00BA1E3B" w:rsidR="00BA1E3B">
        <w:rPr>
          <w:rFonts w:ascii="Arial" w:hAnsi="Arial"/>
          <w:u w:val="single"/>
        </w:rPr>
        <w:t>36 months from the Closing Date</w:t>
      </w:r>
      <w:r w:rsidRPr="00A06E5B">
        <w:rPr>
          <w:rFonts w:ascii="Arial" w:hAnsi="Arial"/>
        </w:rPr>
        <w:t>.</w:t>
      </w:r>
    </w:p>
    <w:p w:rsidR="007814A1" w:rsidRPr="00A06E5B" w:rsidP="007814A1" w14:paraId="2692FF62" w14:textId="39CA5259">
      <w:pPr>
        <w:pStyle w:val="List"/>
        <w:tabs>
          <w:tab w:val="num" w:pos="1080"/>
          <w:tab w:val="left" w:pos="2160"/>
          <w:tab w:val="left" w:pos="9180"/>
        </w:tabs>
        <w:ind w:left="2160"/>
        <w:rPr>
          <w:rFonts w:ascii="Arial" w:hAnsi="Arial"/>
          <w:color w:val="auto"/>
          <w:shd w:val="clear" w:color="auto" w:fill="auto"/>
        </w:rPr>
      </w:pPr>
      <w:r w:rsidRPr="00A06E5B">
        <w:rPr>
          <w:rFonts w:ascii="Arial" w:hAnsi="Arial"/>
        </w:rPr>
        <w:t>(f)</w:t>
      </w:r>
      <w:r w:rsidRPr="00A06E5B">
        <w:rPr>
          <w:rFonts w:ascii="Arial" w:hAnsi="Arial"/>
        </w:rPr>
        <w:tab/>
        <w:t xml:space="preserve">Exercise price of any options, warrants etc. </w:t>
      </w:r>
      <w:r w:rsidRPr="00A06E5B" w:rsidR="00A130E8">
        <w:rPr>
          <w:rFonts w:ascii="Arial" w:hAnsi="Arial"/>
          <w:u w:val="single"/>
        </w:rPr>
        <w:t xml:space="preserve"> </w:t>
      </w:r>
      <w:r w:rsidR="00BA1E3B">
        <w:rPr>
          <w:rFonts w:ascii="Arial" w:hAnsi="Arial"/>
          <w:u w:val="single"/>
        </w:rPr>
        <w:t>$1.12 per Subordinated Voting Sh</w:t>
      </w:r>
      <w:r w:rsidR="00B53C77">
        <w:rPr>
          <w:rFonts w:ascii="Arial" w:hAnsi="Arial"/>
          <w:u w:val="single"/>
        </w:rPr>
        <w:t>are.</w:t>
      </w:r>
    </w:p>
    <w:p w:rsidR="007814A1" w:rsidP="007814A1" w14:paraId="705C2133" w14:textId="77777777">
      <w:pPr>
        <w:pStyle w:val="List"/>
        <w:numPr>
          <w:ilvl w:val="0"/>
          <w:numId w:val="10"/>
        </w:numPr>
        <w:tabs>
          <w:tab w:val="left" w:pos="9180"/>
        </w:tabs>
        <w:jc w:val="both"/>
        <w:rPr>
          <w:rFonts w:ascii="Arial" w:hAnsi="Arial"/>
          <w:color w:val="auto"/>
          <w:shd w:val="clear" w:color="auto" w:fill="auto"/>
        </w:rPr>
      </w:pPr>
      <w:r w:rsidRPr="00A06E5B">
        <w:rPr>
          <w:rFonts w:ascii="Arial" w:hAnsi="Arial"/>
        </w:rPr>
        <w:t xml:space="preserve">State whether the sales agent, broker, dealer or other person </w:t>
      </w:r>
      <w:r>
        <w:rPr>
          <w:rFonts w:ascii="Arial" w:hAnsi="Arial"/>
        </w:rPr>
        <w:t xml:space="preserve">receiving compensation in connection with the placement is Related Person or has any other relationship with the Issuer and provide details of the relationship </w:t>
      </w:r>
    </w:p>
    <w:p w:rsidR="007814A1" w:rsidRPr="00BA1E3B" w:rsidP="007814A1" w14:paraId="19729020" w14:textId="50516CFF">
      <w:pPr>
        <w:pStyle w:val="List"/>
        <w:tabs>
          <w:tab w:val="left" w:pos="1080"/>
          <w:tab w:val="left" w:pos="9180"/>
        </w:tabs>
        <w:ind w:firstLine="0"/>
        <w:jc w:val="both"/>
        <w:rPr>
          <w:rFonts w:ascii="Arial" w:hAnsi="Arial"/>
          <w:color w:val="auto"/>
          <w:u w:val="single"/>
          <w:shd w:val="clear" w:color="auto" w:fill="auto"/>
        </w:rPr>
      </w:pPr>
      <w:r>
        <w:rPr>
          <w:rFonts w:ascii="Arial" w:hAnsi="Arial"/>
          <w:u w:val="single"/>
        </w:rPr>
        <w:t>To follow.</w:t>
      </w:r>
    </w:p>
    <w:p w:rsidR="007814A1" w:rsidRPr="00A06E5B" w:rsidP="007814A1" w14:paraId="5B0FD2FF" w14:textId="36A81A4F">
      <w:pPr>
        <w:pStyle w:val="List"/>
        <w:numPr>
          <w:ilvl w:val="0"/>
          <w:numId w:val="10"/>
        </w:numPr>
        <w:rPr>
          <w:rFonts w:ascii="Arial" w:hAnsi="Arial"/>
          <w:color w:val="auto"/>
          <w:shd w:val="clear" w:color="auto" w:fill="auto"/>
        </w:rPr>
      </w:pPr>
      <w:r w:rsidRPr="00A06E5B">
        <w:rPr>
          <w:rFonts w:ascii="Arial" w:hAnsi="Arial"/>
        </w:rPr>
        <w:t>Describe any unusual particulars of the transaction (i.e. tax “flow through” shares, etc.).</w:t>
      </w:r>
    </w:p>
    <w:p w:rsidR="00DC1500" w:rsidRPr="00A06E5B" w:rsidP="007A6126" w14:paraId="3DC95C98" w14:textId="3E3B4D89">
      <w:pPr>
        <w:pStyle w:val="List"/>
        <w:tabs>
          <w:tab w:val="left" w:pos="1080"/>
          <w:tab w:val="left" w:pos="9180"/>
        </w:tabs>
        <w:ind w:firstLine="0"/>
        <w:jc w:val="both"/>
        <w:rPr>
          <w:rFonts w:ascii="Arial" w:hAnsi="Arial"/>
          <w:color w:val="auto"/>
          <w:u w:val="single"/>
          <w:shd w:val="clear" w:color="auto" w:fill="auto"/>
        </w:rPr>
      </w:pPr>
      <w:r w:rsidRPr="00A06E5B">
        <w:rPr>
          <w:rFonts w:ascii="Arial" w:hAnsi="Arial"/>
          <w:u w:val="single"/>
        </w:rPr>
        <w:t xml:space="preserve">The </w:t>
      </w:r>
      <w:r w:rsidRPr="00A06E5B" w:rsidR="00D835D9">
        <w:rPr>
          <w:rFonts w:ascii="Arial" w:hAnsi="Arial"/>
          <w:u w:val="single"/>
        </w:rPr>
        <w:t>Private Placement</w:t>
      </w:r>
      <w:r w:rsidRPr="00A06E5B">
        <w:rPr>
          <w:rFonts w:ascii="Arial" w:hAnsi="Arial"/>
          <w:u w:val="single"/>
        </w:rPr>
        <w:t xml:space="preserve"> is </w:t>
      </w:r>
      <w:r w:rsidRPr="00A06E5B" w:rsidR="00387961">
        <w:rPr>
          <w:rFonts w:ascii="Arial" w:hAnsi="Arial"/>
          <w:u w:val="single"/>
        </w:rPr>
        <w:t xml:space="preserve">scheduled to close </w:t>
      </w:r>
      <w:r w:rsidRPr="00A06E5B">
        <w:rPr>
          <w:rFonts w:ascii="Arial" w:hAnsi="Arial"/>
          <w:u w:val="single"/>
        </w:rPr>
        <w:t xml:space="preserve">concurrent with the Issuer’s public offering </w:t>
      </w:r>
      <w:r w:rsidRPr="00A06E5B" w:rsidR="00387961">
        <w:rPr>
          <w:rFonts w:ascii="Arial" w:hAnsi="Arial"/>
          <w:u w:val="single"/>
        </w:rPr>
        <w:t xml:space="preserve">on a bought deal basis </w:t>
      </w:r>
      <w:r w:rsidRPr="00A06E5B">
        <w:rPr>
          <w:rFonts w:ascii="Arial" w:hAnsi="Arial"/>
          <w:u w:val="single"/>
        </w:rPr>
        <w:t>(the “</w:t>
      </w:r>
      <w:r w:rsidRPr="00A06E5B">
        <w:rPr>
          <w:rFonts w:ascii="Arial" w:hAnsi="Arial"/>
          <w:b/>
          <w:u w:val="single"/>
        </w:rPr>
        <w:t>Public Offering</w:t>
      </w:r>
      <w:r w:rsidRPr="00A06E5B">
        <w:rPr>
          <w:rFonts w:ascii="Arial" w:hAnsi="Arial"/>
          <w:u w:val="single"/>
        </w:rPr>
        <w:t xml:space="preserve">”) of </w:t>
      </w:r>
      <w:r w:rsidRPr="00A06E5B" w:rsidR="00D835D9">
        <w:rPr>
          <w:rFonts w:ascii="Arial" w:hAnsi="Arial"/>
          <w:u w:val="single"/>
        </w:rPr>
        <w:t>up to 18,515,000</w:t>
      </w:r>
      <w:r w:rsidRPr="00A06E5B">
        <w:rPr>
          <w:rFonts w:ascii="Arial" w:hAnsi="Arial"/>
          <w:u w:val="single"/>
        </w:rPr>
        <w:t xml:space="preserve"> U</w:t>
      </w:r>
      <w:r w:rsidRPr="00A06E5B">
        <w:rPr>
          <w:rFonts w:ascii="Arial" w:hAnsi="Arial"/>
          <w:u w:val="single"/>
        </w:rPr>
        <w:t>nits</w:t>
      </w:r>
      <w:r w:rsidRPr="00A06E5B">
        <w:rPr>
          <w:rFonts w:ascii="Arial" w:hAnsi="Arial"/>
          <w:u w:val="single"/>
        </w:rPr>
        <w:t xml:space="preserve"> </w:t>
      </w:r>
      <w:r w:rsidRPr="00A06E5B" w:rsidR="00D835D9">
        <w:rPr>
          <w:rFonts w:ascii="Arial" w:hAnsi="Arial"/>
          <w:u w:val="single"/>
        </w:rPr>
        <w:t>(including an overallotment)</w:t>
      </w:r>
      <w:r w:rsidRPr="00A06E5B" w:rsidR="00387961">
        <w:rPr>
          <w:rFonts w:ascii="Arial" w:hAnsi="Arial"/>
          <w:u w:val="single"/>
        </w:rPr>
        <w:t>,</w:t>
      </w:r>
      <w:r w:rsidRPr="00A06E5B" w:rsidR="003D5A4A">
        <w:rPr>
          <w:rFonts w:ascii="Arial" w:hAnsi="Arial"/>
          <w:u w:val="single"/>
        </w:rPr>
        <w:t xml:space="preserve"> </w:t>
      </w:r>
      <w:r w:rsidRPr="00A06E5B">
        <w:rPr>
          <w:rFonts w:ascii="Arial" w:hAnsi="Arial"/>
          <w:u w:val="single"/>
        </w:rPr>
        <w:t>for aggregate gross proceeds of</w:t>
      </w:r>
      <w:r w:rsidRPr="00A06E5B">
        <w:rPr>
          <w:rFonts w:ascii="Arial" w:hAnsi="Arial"/>
          <w:u w:val="single"/>
        </w:rPr>
        <w:t xml:space="preserve"> up to</w:t>
      </w:r>
      <w:r w:rsidRPr="00A06E5B">
        <w:rPr>
          <w:rFonts w:ascii="Arial" w:hAnsi="Arial"/>
          <w:u w:val="single"/>
        </w:rPr>
        <w:t xml:space="preserve"> $</w:t>
      </w:r>
      <w:r w:rsidRPr="00A06E5B" w:rsidR="00D835D9">
        <w:rPr>
          <w:rFonts w:ascii="Arial" w:hAnsi="Arial"/>
          <w:u w:val="single"/>
        </w:rPr>
        <w:t>20,736,800</w:t>
      </w:r>
      <w:r w:rsidRPr="00A06E5B" w:rsidR="00387961">
        <w:rPr>
          <w:rFonts w:ascii="Arial" w:hAnsi="Arial"/>
          <w:u w:val="single"/>
        </w:rPr>
        <w:t xml:space="preserve">.  The </w:t>
      </w:r>
      <w:r w:rsidR="00B53C77">
        <w:rPr>
          <w:rFonts w:ascii="Arial" w:hAnsi="Arial"/>
          <w:u w:val="single"/>
        </w:rPr>
        <w:t xml:space="preserve">Subordinated Voting </w:t>
      </w:r>
      <w:r w:rsidRPr="00A06E5B" w:rsidR="00B53C77">
        <w:rPr>
          <w:rFonts w:ascii="Arial" w:hAnsi="Arial"/>
          <w:u w:val="single"/>
        </w:rPr>
        <w:t>Share</w:t>
      </w:r>
      <w:r w:rsidR="00B53C77">
        <w:rPr>
          <w:rFonts w:ascii="Arial" w:hAnsi="Arial"/>
          <w:u w:val="single"/>
        </w:rPr>
        <w:t>s</w:t>
      </w:r>
      <w:r w:rsidRPr="00A06E5B" w:rsidR="00D63B19">
        <w:rPr>
          <w:rFonts w:ascii="Arial" w:hAnsi="Arial"/>
          <w:u w:val="single"/>
        </w:rPr>
        <w:t xml:space="preserve"> (the “</w:t>
      </w:r>
      <w:r w:rsidRPr="00A06E5B" w:rsidR="00D63B19">
        <w:rPr>
          <w:rFonts w:ascii="Arial" w:hAnsi="Arial"/>
          <w:b/>
          <w:u w:val="single"/>
        </w:rPr>
        <w:t>Qualified Shares</w:t>
      </w:r>
      <w:r w:rsidRPr="00A06E5B" w:rsidR="00D63B19">
        <w:rPr>
          <w:rFonts w:ascii="Arial" w:hAnsi="Arial"/>
          <w:u w:val="single"/>
        </w:rPr>
        <w:t>”), Warrants (the “</w:t>
      </w:r>
      <w:r w:rsidRPr="00A06E5B" w:rsidR="00D63B19">
        <w:rPr>
          <w:rFonts w:ascii="Arial" w:hAnsi="Arial"/>
          <w:b/>
          <w:u w:val="single"/>
        </w:rPr>
        <w:t>Qualified Warrants</w:t>
      </w:r>
      <w:r w:rsidRPr="00A06E5B" w:rsidR="00D63B19">
        <w:rPr>
          <w:rFonts w:ascii="Arial" w:hAnsi="Arial"/>
          <w:u w:val="single"/>
        </w:rPr>
        <w:t xml:space="preserve">”) and </w:t>
      </w:r>
      <w:r w:rsidRPr="00A06E5B" w:rsidR="00387961">
        <w:rPr>
          <w:rFonts w:ascii="Arial" w:hAnsi="Arial"/>
          <w:u w:val="single"/>
        </w:rPr>
        <w:t>Units</w:t>
      </w:r>
      <w:r w:rsidRPr="00A06E5B" w:rsidR="00D63B19">
        <w:rPr>
          <w:rFonts w:ascii="Arial" w:hAnsi="Arial"/>
          <w:u w:val="single"/>
        </w:rPr>
        <w:t xml:space="preserve"> (the “</w:t>
      </w:r>
      <w:r w:rsidRPr="00A06E5B" w:rsidR="00D63B19">
        <w:rPr>
          <w:rFonts w:ascii="Arial" w:hAnsi="Arial"/>
          <w:b/>
          <w:u w:val="single"/>
        </w:rPr>
        <w:t>Qualified Unit</w:t>
      </w:r>
      <w:r w:rsidRPr="00A06E5B" w:rsidR="00D63B19">
        <w:rPr>
          <w:rFonts w:ascii="Arial" w:hAnsi="Arial"/>
          <w:u w:val="single"/>
        </w:rPr>
        <w:t>s”)</w:t>
      </w:r>
      <w:r w:rsidRPr="00A06E5B" w:rsidR="00387961">
        <w:rPr>
          <w:rFonts w:ascii="Arial" w:hAnsi="Arial"/>
          <w:u w:val="single"/>
        </w:rPr>
        <w:t xml:space="preserve"> to be sold under the Public Offering </w:t>
      </w:r>
      <w:r w:rsidRPr="00A06E5B">
        <w:rPr>
          <w:rFonts w:ascii="Arial" w:hAnsi="Arial"/>
          <w:u w:val="single"/>
        </w:rPr>
        <w:t>are to be qualified by a short form prospectus to be filed by the Issuer in all provi</w:t>
      </w:r>
      <w:r w:rsidRPr="00A06E5B" w:rsidR="005D7895">
        <w:rPr>
          <w:rFonts w:ascii="Arial" w:hAnsi="Arial"/>
          <w:u w:val="single"/>
        </w:rPr>
        <w:t xml:space="preserve">nces of Canada, except Quebec. </w:t>
      </w:r>
    </w:p>
    <w:p w:rsidR="007814A1" w:rsidRPr="001C6CA2" w:rsidP="007814A1" w14:paraId="6DD7DC9A" w14:textId="77777777">
      <w:pPr>
        <w:pStyle w:val="List"/>
        <w:numPr>
          <w:ilvl w:val="0"/>
          <w:numId w:val="10"/>
        </w:numPr>
        <w:rPr>
          <w:rFonts w:ascii="Arial" w:hAnsi="Arial"/>
          <w:color w:val="auto"/>
          <w:szCs w:val="24"/>
          <w:shd w:val="clear" w:color="auto" w:fill="auto"/>
        </w:rPr>
      </w:pPr>
      <w:r w:rsidRPr="001C6CA2">
        <w:rPr>
          <w:rFonts w:ascii="Arial" w:hAnsi="Arial"/>
          <w:szCs w:val="24"/>
        </w:rPr>
        <w:t>State whether the private placement will result in a change of control.</w:t>
      </w:r>
    </w:p>
    <w:p w:rsidR="007814A1" w:rsidRPr="00A06E5B" w:rsidP="007814A1" w14:paraId="0D36E1A8" w14:textId="672DDF2F">
      <w:pPr>
        <w:pStyle w:val="List"/>
        <w:tabs>
          <w:tab w:val="left" w:pos="1080"/>
          <w:tab w:val="left" w:pos="9180"/>
        </w:tabs>
        <w:ind w:firstLine="0"/>
        <w:jc w:val="both"/>
        <w:rPr>
          <w:rFonts w:ascii="Arial" w:hAnsi="Arial"/>
          <w:color w:val="auto"/>
          <w:szCs w:val="24"/>
          <w:u w:val="single"/>
          <w:shd w:val="clear" w:color="auto" w:fill="auto"/>
        </w:rPr>
      </w:pPr>
      <w:r w:rsidRPr="00A06E5B">
        <w:rPr>
          <w:rFonts w:ascii="Arial" w:hAnsi="Arial"/>
          <w:szCs w:val="24"/>
          <w:u w:val="single"/>
        </w:rPr>
        <w:t>No</w:t>
      </w:r>
      <w:r w:rsidRPr="00A06E5B">
        <w:rPr>
          <w:rFonts w:ascii="Arial" w:hAnsi="Arial"/>
          <w:szCs w:val="24"/>
        </w:rPr>
        <w:t>.</w:t>
      </w:r>
    </w:p>
    <w:p w:rsidR="007814A1" w:rsidRPr="00A06E5B" w:rsidP="007814A1" w14:paraId="0D7B981E" w14:textId="77777777">
      <w:pPr>
        <w:pStyle w:val="List"/>
        <w:tabs>
          <w:tab w:val="left" w:pos="9180"/>
        </w:tabs>
        <w:spacing w:before="0"/>
        <w:jc w:val="both"/>
        <w:rPr>
          <w:rFonts w:ascii="Arial" w:hAnsi="Arial"/>
          <w:color w:val="auto"/>
          <w:szCs w:val="24"/>
          <w:shd w:val="clear" w:color="auto" w:fill="auto"/>
        </w:rPr>
      </w:pPr>
    </w:p>
    <w:p w:rsidR="007814A1" w:rsidRPr="00A06E5B" w:rsidP="008E1A41" w14:paraId="2954508B" w14:textId="65D037FF">
      <w:pPr>
        <w:pStyle w:val="List"/>
        <w:numPr>
          <w:ilvl w:val="0"/>
          <w:numId w:val="10"/>
        </w:numPr>
        <w:tabs>
          <w:tab w:val="left" w:pos="9180"/>
        </w:tabs>
        <w:spacing w:before="0"/>
        <w:jc w:val="both"/>
        <w:rPr>
          <w:rFonts w:ascii="Arial" w:hAnsi="Arial"/>
          <w:color w:val="auto"/>
          <w:szCs w:val="24"/>
          <w:shd w:val="clear" w:color="auto" w:fill="auto"/>
        </w:rPr>
      </w:pPr>
      <w:r w:rsidRPr="00A06E5B">
        <w:rPr>
          <w:rFonts w:ascii="Arial" w:hAnsi="Arial"/>
          <w:szCs w:val="24"/>
        </w:rPr>
        <w:t xml:space="preserve">Where there is a change in the control of the Issuer resulting from the issuance of the private placement shares, indicate the names of the new controlling shareholders.  </w:t>
      </w:r>
      <w:r w:rsidRPr="00A06E5B">
        <w:rPr>
          <w:rFonts w:ascii="Arial" w:hAnsi="Arial"/>
          <w:szCs w:val="24"/>
          <w:u w:val="single"/>
        </w:rPr>
        <w:t>N/A</w:t>
      </w:r>
      <w:r w:rsidRPr="00A06E5B" w:rsidR="003D5A4A">
        <w:rPr>
          <w:rFonts w:ascii="Arial" w:hAnsi="Arial"/>
          <w:szCs w:val="24"/>
          <w:u w:val="single"/>
        </w:rPr>
        <w:t>.</w:t>
      </w:r>
    </w:p>
    <w:p w:rsidR="007814A1" w:rsidRPr="00A06E5B" w:rsidP="001C6CA2" w14:paraId="54116D17" w14:textId="6C50E645">
      <w:pPr>
        <w:pStyle w:val="List"/>
        <w:numPr>
          <w:ilvl w:val="0"/>
          <w:numId w:val="10"/>
        </w:numPr>
        <w:jc w:val="both"/>
        <w:rPr>
          <w:rFonts w:ascii="Arial" w:hAnsi="Arial"/>
          <w:color w:val="auto"/>
          <w:szCs w:val="24"/>
          <w:shd w:val="clear" w:color="auto" w:fill="auto"/>
        </w:rPr>
      </w:pPr>
      <w:r w:rsidRPr="00A06E5B">
        <w:rPr>
          <w:rFonts w:ascii="Arial" w:hAnsi="Arial"/>
          <w:szCs w:val="24"/>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 Resale of Securities.</w:t>
      </w:r>
    </w:p>
    <w:p w:rsidR="005100C7" w:rsidRPr="00A06E5B" w:rsidP="005100C7" w14:paraId="7372D4FA" w14:textId="732CDB85">
      <w:pPr>
        <w:pStyle w:val="List"/>
        <w:tabs>
          <w:tab w:val="left" w:pos="1080"/>
        </w:tabs>
        <w:ind w:firstLine="0"/>
        <w:jc w:val="both"/>
        <w:rPr>
          <w:rFonts w:ascii="Arial" w:hAnsi="Arial"/>
          <w:color w:val="auto"/>
          <w:szCs w:val="24"/>
          <w:u w:val="single"/>
          <w:shd w:val="clear" w:color="auto" w:fill="auto"/>
        </w:rPr>
      </w:pPr>
      <w:r w:rsidRPr="00A06E5B">
        <w:rPr>
          <w:rFonts w:ascii="Arial" w:hAnsi="Arial"/>
          <w:szCs w:val="24"/>
          <w:u w:val="single"/>
        </w:rPr>
        <w:t>All certificates for securities issued which are subject to a hold period bear the appropriate legend restricting their transfer until the expiry of the applicable hold period required by National Instrument 45-102.</w:t>
      </w:r>
    </w:p>
    <w:p w:rsidR="005100C7" w:rsidRPr="00A06E5B" w:rsidP="005100C7" w14:paraId="17616EE3" w14:textId="77777777">
      <w:pPr>
        <w:pStyle w:val="List"/>
        <w:tabs>
          <w:tab w:val="left" w:pos="1080"/>
        </w:tabs>
        <w:ind w:firstLine="0"/>
        <w:jc w:val="both"/>
        <w:rPr>
          <w:rFonts w:ascii="Arial" w:hAnsi="Arial"/>
          <w:color w:val="auto"/>
          <w:szCs w:val="24"/>
          <w:u w:val="single"/>
          <w:shd w:val="clear" w:color="auto" w:fill="auto"/>
        </w:rPr>
      </w:pPr>
      <w:r w:rsidRPr="00A06E5B">
        <w:rPr>
          <w:rFonts w:ascii="Arial" w:hAnsi="Arial"/>
          <w:szCs w:val="24"/>
          <w:u w:val="single"/>
        </w:rPr>
        <w:t xml:space="preserve">All certificates for securities issued to United States subscribers will also bear the following legend under the U.S. </w:t>
      </w:r>
      <w:r w:rsidRPr="00A06E5B">
        <w:rPr>
          <w:rFonts w:ascii="Arial" w:hAnsi="Arial"/>
          <w:i/>
          <w:szCs w:val="24"/>
          <w:u w:val="single"/>
        </w:rPr>
        <w:t>Securities Act of 1933</w:t>
      </w:r>
      <w:r w:rsidRPr="00A06E5B">
        <w:rPr>
          <w:rFonts w:ascii="Arial" w:hAnsi="Arial"/>
          <w:szCs w:val="24"/>
          <w:u w:val="single"/>
        </w:rPr>
        <w:t>, as amended:</w:t>
      </w:r>
      <w:r w:rsidRPr="00A06E5B">
        <w:rPr>
          <w:rFonts w:ascii="Arial" w:hAnsi="Arial"/>
          <w:szCs w:val="24"/>
          <w:u w:val="single"/>
        </w:rPr>
        <w:tab/>
      </w:r>
    </w:p>
    <w:p w:rsidR="005100C7" w:rsidRPr="00A06E5B" w:rsidP="005100C7" w14:paraId="4C42CA64" w14:textId="5E02139C">
      <w:pPr>
        <w:pStyle w:val="List"/>
        <w:ind w:firstLine="0"/>
        <w:jc w:val="both"/>
        <w:rPr>
          <w:rFonts w:ascii="Arial" w:hAnsi="Arial" w:cs="Arial"/>
          <w:color w:val="auto"/>
          <w:sz w:val="22"/>
          <w:szCs w:val="22"/>
          <w:shd w:val="clear" w:color="auto" w:fill="auto"/>
        </w:rPr>
      </w:pPr>
      <w:r w:rsidRPr="00A06E5B">
        <w:rPr>
          <w:rFonts w:ascii="Arial" w:hAnsi="Arial" w:cs="Arial"/>
          <w:sz w:val="22"/>
          <w:szCs w:val="22"/>
        </w:rPr>
        <w:t xml:space="preserve">THE SECURITIES REPRESENTED HAVE NOT BEEN AND WILL NOT BE REGISTERED UNDER THE UNITED STATES SECURITIES ACT OF 1933, AS AMENDED, (THE “U.S. SECURITIES ACT”) OR THE SECURITIES LAWS OF ANY STATE, AND MAY NOT BE OFFERED, SOLD, EXCHANGED, MORTGAGED, PLEDGED, HYPOTHECATED OR OTHERWISE TRANSFERRED, DIRECTLY OR INDIRECTLY, EXCEPT: (A) TO COMPANY, (B) OUTSIDE THE UNITED STATES IN COMPLIANCE WITH RULE 904 OF REGULATION S UNDER THE U.S. SECURITIES ACT AND IN COMPLIANCE WITH APPLICABLE CANADIAN SECURITIES LAWS AND REGULATIONS, (C) IN COMPLIANCE WITH (1) RULE 144 UNDER THE U.S. SECURITIES ACT, IF AVAILABLE, OR (2) RULE 144A UNDER THE U.S. SECURITIES ACT, IF AVAILABLE, AND IN COMPLIANCE WITH APPLICABLE STATE SECURITIES LAWS, OR (D) IN A TRANSACTION THAT DOES NOT REQUIRE REGISTRATION UNDER THE SECURITIES ACT AND ANY APPLICABLE STATE SECURITIES LAWS, AND, IN THE CASE OF CLAUSE (C)(1) OR (D), THE HOLDER FURNISHES TO THE COMPANY AN OPINION OF </w:t>
      </w:r>
      <w:r w:rsidRPr="00A06E5B">
        <w:rPr>
          <w:rFonts w:ascii="Arial" w:hAnsi="Arial" w:cs="Arial"/>
          <w:sz w:val="22"/>
          <w:szCs w:val="22"/>
        </w:rPr>
        <w:t>COUNSEL OF RECOGNIZED STANDING IN FORM AND SUBSTANCE SATISFACTORY TO THE COMPANY TO SUCH EFFECT.</w:t>
      </w:r>
    </w:p>
    <w:p w:rsidR="005100C7" w:rsidRPr="00BA1E3B" w:rsidP="00BA1E3B" w14:paraId="6AC3642A" w14:textId="3E3CF49F">
      <w:pPr>
        <w:pStyle w:val="List"/>
        <w:ind w:firstLine="0"/>
        <w:jc w:val="both"/>
        <w:rPr>
          <w:rFonts w:ascii="Arial" w:hAnsi="Arial" w:cs="Arial"/>
          <w:color w:val="auto"/>
          <w:sz w:val="22"/>
          <w:szCs w:val="22"/>
          <w:shd w:val="clear" w:color="auto" w:fill="auto"/>
        </w:rPr>
      </w:pPr>
      <w:r w:rsidRPr="00A06E5B">
        <w:rPr>
          <w:rFonts w:ascii="Arial" w:hAnsi="Arial" w:cs="Arial"/>
          <w:sz w:val="22"/>
          <w:szCs w:val="22"/>
        </w:rPr>
        <w:t>THE PRESENCE OF THIS LEGEND MAY IMPAIR THE ABILITY OF THE HOLDER HEREOF TO EFFECT "GOOD DELIVERY" OF THE SECURITIES REPRESENTED HEREBY ON A CANADIAN STOCK EXCHANGE.</w:t>
      </w:r>
    </w:p>
    <w:p w:rsidR="007814A1" w:rsidP="00F17043" w14:paraId="61EED619" w14:textId="62A861C7">
      <w:pPr>
        <w:pStyle w:val="BodyText"/>
        <w:tabs>
          <w:tab w:val="left" w:pos="1080"/>
          <w:tab w:val="left" w:pos="2880"/>
          <w:tab w:val="left" w:pos="4230"/>
        </w:tabs>
        <w:rPr>
          <w:rFonts w:ascii="Arial" w:hAnsi="Arial"/>
          <w:color w:val="auto"/>
          <w:shd w:val="clear" w:color="auto" w:fill="auto"/>
        </w:rPr>
      </w:pPr>
      <w:r>
        <w:rPr>
          <w:rFonts w:ascii="Arial" w:hAnsi="Arial"/>
          <w:b/>
          <w:color w:val="000000"/>
        </w:rPr>
        <w:t>Part 2.</w:t>
      </w:r>
      <w:r>
        <w:rPr>
          <w:rFonts w:ascii="Arial" w:hAnsi="Arial"/>
          <w:b/>
          <w:color w:val="000000"/>
        </w:rPr>
        <w:tab/>
        <w:t>Acquisition</w:t>
      </w:r>
      <w:r>
        <w:rPr>
          <w:rFonts w:ascii="Arial" w:hAnsi="Arial"/>
          <w:b/>
          <w:color w:val="000000"/>
        </w:rPr>
        <w:tab/>
      </w:r>
      <w:r w:rsidRPr="00A06E5B">
        <w:rPr>
          <w:rFonts w:ascii="Arial" w:hAnsi="Arial"/>
          <w:u w:val="single"/>
        </w:rPr>
        <w:t>N/A</w:t>
      </w:r>
    </w:p>
    <w:p w:rsidR="007814A1" w:rsidP="007814A1" w14:paraId="229867EF" w14:textId="77777777">
      <w:pPr>
        <w:pStyle w:val="List"/>
        <w:tabs>
          <w:tab w:val="left" w:pos="9180"/>
        </w:tabs>
        <w:spacing w:before="0"/>
        <w:ind w:left="0" w:firstLine="0"/>
        <w:jc w:val="both"/>
        <w:rPr>
          <w:rFonts w:ascii="Arial" w:hAnsi="Arial"/>
          <w:color w:val="auto"/>
          <w:shd w:val="clear" w:color="auto" w:fill="auto"/>
        </w:rPr>
      </w:pPr>
    </w:p>
    <w:p w:rsidR="007814A1" w:rsidP="007814A1" w14:paraId="4BD7F00D" w14:textId="77777777">
      <w:pPr>
        <w:pStyle w:val="List"/>
        <w:numPr>
          <w:ilvl w:val="0"/>
          <w:numId w:val="14"/>
        </w:numPr>
        <w:tabs>
          <w:tab w:val="clear" w:pos="360"/>
          <w:tab w:val="num" w:pos="1080"/>
          <w:tab w:val="left" w:pos="9180"/>
        </w:tabs>
        <w:spacing w:before="0"/>
        <w:ind w:left="1080" w:hanging="1080"/>
        <w:jc w:val="both"/>
        <w:rPr>
          <w:rFonts w:ascii="Arial" w:hAnsi="Arial"/>
          <w:color w:val="000000"/>
          <w:shd w:val="clear" w:color="auto" w:fill="auto"/>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7814A1" w:rsidP="007814A1" w14:paraId="3620ED5A" w14:textId="77777777">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w:t>
      </w:r>
    </w:p>
    <w:p w:rsidR="007814A1" w:rsidP="007814A1" w14:paraId="283E6C3D" w14:textId="77777777">
      <w:pPr>
        <w:pStyle w:val="List"/>
        <w:numPr>
          <w:ilvl w:val="0"/>
          <w:numId w:val="14"/>
        </w:numPr>
        <w:tabs>
          <w:tab w:val="clear" w:pos="360"/>
          <w:tab w:val="num" w:pos="1080"/>
          <w:tab w:val="left" w:pos="9180"/>
        </w:tabs>
        <w:ind w:left="1080" w:hanging="1080"/>
        <w:jc w:val="both"/>
        <w:rPr>
          <w:rFonts w:ascii="Arial" w:hAnsi="Arial"/>
          <w:color w:val="000000"/>
          <w:u w:val="single"/>
          <w:shd w:val="clear" w:color="auto" w:fill="auto"/>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7814A1" w:rsidP="007814A1" w14:paraId="7DCB3221" w14:textId="77777777">
      <w:pPr>
        <w:pStyle w:val="List"/>
        <w:tabs>
          <w:tab w:val="left" w:pos="1080"/>
          <w:tab w:val="left" w:pos="9180"/>
        </w:tabs>
        <w:spacing w:before="0"/>
        <w:ind w:left="0" w:firstLine="0"/>
        <w:jc w:val="both"/>
        <w:rPr>
          <w:rFonts w:ascii="Arial" w:hAnsi="Arial"/>
          <w:color w:val="000000"/>
          <w:shd w:val="clear" w:color="auto" w:fill="auto"/>
        </w:rPr>
      </w:pPr>
      <w:r>
        <w:rPr>
          <w:rFonts w:ascii="Arial" w:hAnsi="Arial"/>
          <w:color w:val="000000"/>
        </w:rPr>
        <w:tab/>
      </w:r>
      <w:r>
        <w:rPr>
          <w:rFonts w:ascii="Arial" w:hAnsi="Arial"/>
          <w:color w:val="000000"/>
          <w:u w:val="single"/>
        </w:rPr>
        <w:tab/>
      </w:r>
    </w:p>
    <w:p w:rsidR="007814A1" w:rsidP="007814A1" w14:paraId="774F113F" w14:textId="77777777">
      <w:pPr>
        <w:pStyle w:val="List"/>
        <w:numPr>
          <w:ilvl w:val="0"/>
          <w:numId w:val="16"/>
        </w:numPr>
        <w:jc w:val="both"/>
        <w:rPr>
          <w:rFonts w:ascii="Arial" w:hAnsi="Arial"/>
          <w:color w:val="000000"/>
          <w:shd w:val="clear" w:color="auto" w:fill="auto"/>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7814A1" w:rsidP="007814A1" w14:paraId="2F55A86E" w14:textId="77777777">
      <w:pPr>
        <w:pStyle w:val="List"/>
        <w:numPr>
          <w:ilvl w:val="0"/>
          <w:numId w:val="13"/>
        </w:numPr>
        <w:tabs>
          <w:tab w:val="left" w:pos="9180"/>
        </w:tabs>
        <w:rPr>
          <w:rFonts w:ascii="Arial" w:hAnsi="Arial"/>
          <w:color w:val="000000"/>
          <w:shd w:val="clear" w:color="auto" w:fill="auto"/>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7814A1" w:rsidP="007814A1" w14:paraId="042B5842"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7814A1" w:rsidP="007814A1" w14:paraId="0DE59CB8"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Securities (including options, warrants etc.) and dollar value: </w:t>
      </w:r>
      <w:r>
        <w:rPr>
          <w:rFonts w:ascii="Arial" w:hAnsi="Arial"/>
          <w:color w:val="000000"/>
          <w:u w:val="single"/>
        </w:rPr>
        <w:tab/>
      </w:r>
    </w:p>
    <w:p w:rsidR="007814A1" w:rsidP="007814A1" w14:paraId="3CB9EFEC" w14:textId="77777777">
      <w:pPr>
        <w:pStyle w:val="List"/>
        <w:tabs>
          <w:tab w:val="left" w:pos="1080"/>
          <w:tab w:val="left" w:pos="2160"/>
          <w:tab w:val="left" w:pos="9180"/>
        </w:tabs>
        <w:spacing w:before="0"/>
        <w:ind w:left="0" w:firstLine="0"/>
        <w:rPr>
          <w:rFonts w:ascii="Arial" w:hAnsi="Arial"/>
          <w:color w:val="000000"/>
          <w:shd w:val="clear" w:color="auto" w:fill="auto"/>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7814A1" w:rsidP="007814A1" w14:paraId="44360999"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7814A1" w:rsidP="007814A1" w14:paraId="681B1CC1"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7814A1" w:rsidP="007814A1" w14:paraId="732B00B6"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7814A1" w:rsidP="007814A1" w14:paraId="53C735D6" w14:textId="77777777">
      <w:pPr>
        <w:pStyle w:val="List"/>
        <w:numPr>
          <w:ilvl w:val="0"/>
          <w:numId w:val="13"/>
        </w:numPr>
        <w:tabs>
          <w:tab w:val="left" w:pos="2160"/>
          <w:tab w:val="left" w:pos="9180"/>
        </w:tabs>
        <w:rPr>
          <w:rFonts w:ascii="Arial" w:hAnsi="Arial"/>
          <w:color w:val="000000"/>
          <w:shd w:val="clear" w:color="auto" w:fill="auto"/>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7814A1" w:rsidP="007814A1" w14:paraId="1C6925FD" w14:textId="77777777">
      <w:pPr>
        <w:pStyle w:val="List"/>
        <w:numPr>
          <w:ilvl w:val="0"/>
          <w:numId w:val="16"/>
        </w:numPr>
        <w:tabs>
          <w:tab w:val="left" w:pos="9180"/>
        </w:tabs>
        <w:rPr>
          <w:rFonts w:ascii="Arial" w:hAnsi="Arial"/>
          <w:color w:val="000000"/>
          <w:shd w:val="clear" w:color="auto" w:fill="auto"/>
        </w:rPr>
      </w:pPr>
      <w:r>
        <w:rPr>
          <w:rFonts w:ascii="Arial" w:hAnsi="Arial"/>
          <w:color w:val="000000"/>
        </w:rPr>
        <w:t>State how the purchase or sale price was determined (e.g. arm’s-length negotiation, independent committee of the Board, third party valuation etc).</w:t>
      </w:r>
    </w:p>
    <w:p w:rsidR="007814A1" w:rsidP="007814A1" w14:paraId="08E32D2F" w14:textId="77777777">
      <w:pPr>
        <w:pStyle w:val="List"/>
        <w:numPr>
          <w:ilvl w:val="0"/>
          <w:numId w:val="16"/>
        </w:numPr>
        <w:tabs>
          <w:tab w:val="left" w:pos="9180"/>
        </w:tabs>
        <w:rPr>
          <w:rFonts w:ascii="Arial" w:hAnsi="Arial"/>
          <w:color w:val="000000"/>
          <w:shd w:val="clear" w:color="auto" w:fill="auto"/>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7814A1" w:rsidP="007814A1" w14:paraId="0E49287D" w14:textId="77777777">
      <w:pPr>
        <w:pStyle w:val="List"/>
        <w:tabs>
          <w:tab w:val="left" w:pos="1080"/>
          <w:tab w:val="left" w:pos="2160"/>
          <w:tab w:val="left" w:pos="9180"/>
        </w:tabs>
        <w:spacing w:before="0"/>
        <w:ind w:left="0" w:firstLine="0"/>
        <w:rPr>
          <w:rFonts w:ascii="Arial" w:hAnsi="Arial"/>
          <w:color w:val="000000"/>
          <w:shd w:val="clear" w:color="auto" w:fill="auto"/>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7814A1" w:rsidP="007814A1" w14:paraId="27A2F0AB" w14:textId="77777777">
      <w:pPr>
        <w:pStyle w:val="List"/>
        <w:numPr>
          <w:ilvl w:val="0"/>
          <w:numId w:val="16"/>
        </w:numPr>
        <w:jc w:val="both"/>
        <w:rPr>
          <w:rFonts w:ascii="Arial" w:hAnsi="Arial"/>
          <w:color w:val="000000"/>
          <w:shd w:val="clear" w:color="auto" w:fill="auto"/>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260"/>
        <w:gridCol w:w="1260"/>
        <w:gridCol w:w="1440"/>
        <w:gridCol w:w="1440"/>
        <w:gridCol w:w="1620"/>
        <w:gridCol w:w="1530"/>
      </w:tblGrid>
      <w:tr w14:paraId="7F51AE41" w14:textId="77777777" w:rsidTr="0054177F">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c>
          <w:tcPr>
            <w:tcW w:w="1440" w:type="dxa"/>
            <w:vAlign w:val="bottom"/>
          </w:tcPr>
          <w:p w:rsidR="007814A1" w:rsidRPr="00A06E5B" w:rsidP="0054177F" w14:paraId="30F79EDF"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lang w:val="en-CA"/>
              </w:rPr>
              <w:t>Name of Party (If not an individual, name all insiders of the Party)</w:t>
            </w:r>
          </w:p>
        </w:tc>
        <w:tc>
          <w:tcPr>
            <w:tcW w:w="1260" w:type="dxa"/>
            <w:vAlign w:val="bottom"/>
          </w:tcPr>
          <w:p w:rsidR="007814A1" w:rsidRPr="00A06E5B" w:rsidP="0054177F" w14:paraId="2696A72E"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lang w:val="en-CA"/>
              </w:rPr>
              <w:t>Number and Type of Securities to be Issued</w:t>
            </w:r>
          </w:p>
        </w:tc>
        <w:tc>
          <w:tcPr>
            <w:tcW w:w="1260" w:type="dxa"/>
            <w:vAlign w:val="bottom"/>
          </w:tcPr>
          <w:p w:rsidR="007814A1" w:rsidRPr="00A06E5B" w:rsidP="0054177F" w14:paraId="7C986533"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lang w:val="en-CA"/>
              </w:rPr>
              <w:t>Dollar value per Security (CDN$)</w:t>
            </w:r>
          </w:p>
        </w:tc>
        <w:tc>
          <w:tcPr>
            <w:tcW w:w="1440" w:type="dxa"/>
            <w:vAlign w:val="bottom"/>
          </w:tcPr>
          <w:p w:rsidR="007814A1" w:rsidRPr="00A06E5B" w:rsidP="0054177F" w14:paraId="7D6F5F64"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lang w:val="en-CA"/>
              </w:rPr>
              <w:t>Conversion price (if applicable)</w:t>
            </w:r>
          </w:p>
        </w:tc>
        <w:tc>
          <w:tcPr>
            <w:tcW w:w="1440" w:type="dxa"/>
            <w:vAlign w:val="bottom"/>
          </w:tcPr>
          <w:p w:rsidR="007814A1" w:rsidRPr="00A06E5B" w:rsidP="0054177F" w14:paraId="34AB87EC"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lang w:val="en-CA"/>
              </w:rPr>
              <w:t>Prospectus Exemption</w:t>
            </w:r>
          </w:p>
        </w:tc>
        <w:tc>
          <w:tcPr>
            <w:tcW w:w="1620" w:type="dxa"/>
            <w:vAlign w:val="bottom"/>
          </w:tcPr>
          <w:p w:rsidR="007814A1" w:rsidRPr="00A06E5B" w:rsidP="0054177F" w14:paraId="338A47AB" w14:textId="77777777">
            <w:pPr>
              <w:pStyle w:val="BodyText"/>
              <w:keepNext/>
              <w:keepLines/>
              <w:spacing w:before="0"/>
              <w:jc w:val="center"/>
              <w:rPr>
                <w:rFonts w:ascii="Arial" w:hAnsi="Arial"/>
                <w:b/>
                <w:color w:val="auto"/>
                <w:sz w:val="20"/>
                <w:shd w:val="clear" w:color="auto" w:fill="auto"/>
                <w:lang w:val="en-CA"/>
              </w:rPr>
            </w:pPr>
            <w:r w:rsidRPr="00A06E5B">
              <w:rPr>
                <w:rFonts w:ascii="Arial" w:hAnsi="Arial"/>
                <w:b/>
                <w:sz w:val="20"/>
              </w:rPr>
              <w:t>Total Securities, Previously Owned, Controlled or Directed by Party</w:t>
            </w:r>
          </w:p>
        </w:tc>
        <w:tc>
          <w:tcPr>
            <w:tcW w:w="1530" w:type="dxa"/>
            <w:vAlign w:val="bottom"/>
          </w:tcPr>
          <w:p w:rsidR="007814A1" w:rsidRPr="00A06E5B" w:rsidP="0054177F" w14:paraId="5AEC4A47" w14:textId="77777777">
            <w:pPr>
              <w:pStyle w:val="BodyText"/>
              <w:keepNext/>
              <w:keepLines/>
              <w:spacing w:before="0"/>
              <w:jc w:val="center"/>
              <w:rPr>
                <w:rFonts w:ascii="Arial" w:hAnsi="Arial"/>
                <w:b/>
                <w:color w:val="000000"/>
                <w:sz w:val="20"/>
                <w:shd w:val="clear" w:color="auto" w:fill="auto"/>
                <w:lang w:val="en-CA"/>
              </w:rPr>
            </w:pPr>
            <w:r w:rsidRPr="00A06E5B">
              <w:rPr>
                <w:rFonts w:ascii="Arial" w:hAnsi="Arial"/>
                <w:b/>
                <w:color w:val="000000"/>
                <w:sz w:val="20"/>
                <w:lang w:val="en-CA"/>
              </w:rPr>
              <w:t>Describe relationship</w:t>
            </w:r>
          </w:p>
          <w:p w:rsidR="007814A1" w:rsidRPr="00A06E5B" w:rsidP="0054177F" w14:paraId="35EA79DC" w14:textId="77777777">
            <w:pPr>
              <w:pStyle w:val="BodyText"/>
              <w:keepNext/>
              <w:keepLines/>
              <w:spacing w:before="0"/>
              <w:jc w:val="center"/>
              <w:rPr>
                <w:rFonts w:ascii="Arial" w:hAnsi="Arial"/>
                <w:b/>
                <w:color w:val="000000"/>
                <w:sz w:val="20"/>
                <w:shd w:val="clear" w:color="auto" w:fill="auto"/>
                <w:lang w:val="en-CA"/>
              </w:rPr>
            </w:pPr>
            <w:r w:rsidRPr="00A06E5B">
              <w:rPr>
                <w:rFonts w:ascii="Arial" w:hAnsi="Arial"/>
                <w:b/>
                <w:color w:val="000000"/>
                <w:sz w:val="20"/>
                <w:lang w:val="en-CA"/>
              </w:rPr>
              <w:t>to Issuer</w:t>
            </w:r>
            <w:r w:rsidRPr="00A06E5B">
              <w:rPr>
                <w:rFonts w:ascii="Arial" w:hAnsi="Arial"/>
                <w:b/>
                <w:color w:val="000000"/>
                <w:sz w:val="16"/>
                <w:vertAlign w:val="superscript"/>
                <w:lang w:val="en-CA"/>
              </w:rPr>
              <w:t>(1)</w:t>
            </w:r>
          </w:p>
        </w:tc>
      </w:tr>
      <w:tr w14:paraId="53FD59D8" w14:textId="77777777" w:rsidTr="0054177F">
        <w:tblPrEx>
          <w:tblW w:w="9990" w:type="dxa"/>
          <w:tblInd w:w="378" w:type="dxa"/>
          <w:tblLayout w:type="fixed"/>
          <w:tblLook w:val="0000"/>
        </w:tblPrEx>
        <w:trPr>
          <w:trHeight w:hRule="exact" w:val="280"/>
        </w:trPr>
        <w:tc>
          <w:tcPr>
            <w:tcW w:w="1440" w:type="dxa"/>
          </w:tcPr>
          <w:p w:rsidR="007814A1" w:rsidRPr="00A06E5B" w:rsidP="0054177F" w14:paraId="7B9702CC" w14:textId="77777777">
            <w:pPr>
              <w:pStyle w:val="BodyText"/>
              <w:keepNext/>
              <w:keepLines/>
              <w:rPr>
                <w:rFonts w:ascii="Arial" w:hAnsi="Arial"/>
                <w:color w:val="000000"/>
                <w:shd w:val="clear" w:color="auto" w:fill="auto"/>
                <w:lang w:val="en-CA"/>
              </w:rPr>
            </w:pPr>
          </w:p>
        </w:tc>
        <w:tc>
          <w:tcPr>
            <w:tcW w:w="1260" w:type="dxa"/>
          </w:tcPr>
          <w:p w:rsidR="007814A1" w:rsidRPr="00A06E5B" w:rsidP="0054177F" w14:paraId="6B5350CE" w14:textId="77777777">
            <w:pPr>
              <w:pStyle w:val="BodyText"/>
              <w:keepNext/>
              <w:keepLines/>
              <w:rPr>
                <w:rFonts w:ascii="Arial" w:hAnsi="Arial"/>
                <w:color w:val="000000"/>
                <w:shd w:val="clear" w:color="auto" w:fill="auto"/>
                <w:lang w:val="en-CA"/>
              </w:rPr>
            </w:pPr>
          </w:p>
        </w:tc>
        <w:tc>
          <w:tcPr>
            <w:tcW w:w="1260" w:type="dxa"/>
          </w:tcPr>
          <w:p w:rsidR="007814A1" w:rsidRPr="00A06E5B" w:rsidP="0054177F" w14:paraId="764FE30C" w14:textId="77777777">
            <w:pPr>
              <w:pStyle w:val="BodyText"/>
              <w:keepNext/>
              <w:keepLines/>
              <w:rPr>
                <w:rFonts w:ascii="Arial" w:hAnsi="Arial"/>
                <w:color w:val="000000"/>
                <w:shd w:val="clear" w:color="auto" w:fill="auto"/>
                <w:lang w:val="en-CA"/>
              </w:rPr>
            </w:pPr>
          </w:p>
        </w:tc>
        <w:tc>
          <w:tcPr>
            <w:tcW w:w="1440" w:type="dxa"/>
          </w:tcPr>
          <w:p w:rsidR="007814A1" w:rsidRPr="00A06E5B" w:rsidP="0054177F" w14:paraId="71C63912" w14:textId="77777777">
            <w:pPr>
              <w:pStyle w:val="BodyText"/>
              <w:keepNext/>
              <w:keepLines/>
              <w:rPr>
                <w:rFonts w:ascii="Arial" w:hAnsi="Arial"/>
                <w:color w:val="000000"/>
                <w:shd w:val="clear" w:color="auto" w:fill="auto"/>
                <w:lang w:val="en-CA"/>
              </w:rPr>
            </w:pPr>
          </w:p>
        </w:tc>
        <w:tc>
          <w:tcPr>
            <w:tcW w:w="1440" w:type="dxa"/>
          </w:tcPr>
          <w:p w:rsidR="007814A1" w:rsidRPr="00A06E5B" w:rsidP="0054177F" w14:paraId="5C884F2A" w14:textId="77777777">
            <w:pPr>
              <w:pStyle w:val="BodyText"/>
              <w:keepNext/>
              <w:keepLines/>
              <w:rPr>
                <w:rFonts w:ascii="Arial" w:hAnsi="Arial"/>
                <w:color w:val="000000"/>
                <w:shd w:val="clear" w:color="auto" w:fill="auto"/>
                <w:lang w:val="en-CA"/>
              </w:rPr>
            </w:pPr>
          </w:p>
        </w:tc>
        <w:tc>
          <w:tcPr>
            <w:tcW w:w="1620" w:type="dxa"/>
          </w:tcPr>
          <w:p w:rsidR="007814A1" w:rsidRPr="00A06E5B" w:rsidP="0054177F" w14:paraId="7451E030" w14:textId="77777777">
            <w:pPr>
              <w:pStyle w:val="BodyText"/>
              <w:keepNext/>
              <w:keepLines/>
              <w:rPr>
                <w:rFonts w:ascii="Arial" w:hAnsi="Arial"/>
                <w:color w:val="000000"/>
                <w:shd w:val="clear" w:color="auto" w:fill="auto"/>
                <w:lang w:val="en-CA"/>
              </w:rPr>
            </w:pPr>
          </w:p>
        </w:tc>
        <w:tc>
          <w:tcPr>
            <w:tcW w:w="1530" w:type="dxa"/>
          </w:tcPr>
          <w:p w:rsidR="007814A1" w:rsidRPr="00A06E5B" w:rsidP="0054177F" w14:paraId="04127ACA" w14:textId="77777777">
            <w:pPr>
              <w:pStyle w:val="BodyText"/>
              <w:keepNext/>
              <w:keepLines/>
              <w:rPr>
                <w:rFonts w:ascii="Arial" w:hAnsi="Arial"/>
                <w:color w:val="000000"/>
                <w:shd w:val="clear" w:color="auto" w:fill="auto"/>
                <w:lang w:val="en-CA"/>
              </w:rPr>
            </w:pPr>
          </w:p>
        </w:tc>
      </w:tr>
      <w:tr w14:paraId="2DE2104C" w14:textId="77777777" w:rsidTr="0054177F">
        <w:tblPrEx>
          <w:tblW w:w="9990" w:type="dxa"/>
          <w:tblInd w:w="378" w:type="dxa"/>
          <w:tblLayout w:type="fixed"/>
          <w:tblLook w:val="0000"/>
        </w:tblPrEx>
        <w:trPr>
          <w:trHeight w:hRule="exact" w:val="320"/>
        </w:trPr>
        <w:tc>
          <w:tcPr>
            <w:tcW w:w="1440" w:type="dxa"/>
          </w:tcPr>
          <w:p w:rsidR="007814A1" w:rsidRPr="00A06E5B" w:rsidP="0054177F" w14:paraId="396C91BB" w14:textId="77777777">
            <w:pPr>
              <w:pStyle w:val="BodyText"/>
              <w:keepNext/>
              <w:keepLines/>
              <w:rPr>
                <w:rFonts w:ascii="Arial" w:hAnsi="Arial"/>
                <w:color w:val="000000"/>
                <w:shd w:val="clear" w:color="auto" w:fill="auto"/>
                <w:lang w:val="en-CA"/>
              </w:rPr>
            </w:pPr>
          </w:p>
        </w:tc>
        <w:tc>
          <w:tcPr>
            <w:tcW w:w="1260" w:type="dxa"/>
          </w:tcPr>
          <w:p w:rsidR="007814A1" w:rsidRPr="00A06E5B" w:rsidP="0054177F" w14:paraId="151F79BE" w14:textId="77777777">
            <w:pPr>
              <w:pStyle w:val="BodyText"/>
              <w:keepNext/>
              <w:keepLines/>
              <w:rPr>
                <w:rFonts w:ascii="Arial" w:hAnsi="Arial"/>
                <w:color w:val="000000"/>
                <w:shd w:val="clear" w:color="auto" w:fill="auto"/>
                <w:lang w:val="en-CA"/>
              </w:rPr>
            </w:pPr>
          </w:p>
        </w:tc>
        <w:tc>
          <w:tcPr>
            <w:tcW w:w="1260" w:type="dxa"/>
          </w:tcPr>
          <w:p w:rsidR="007814A1" w:rsidRPr="00A06E5B" w:rsidP="0054177F" w14:paraId="738E3A73" w14:textId="77777777">
            <w:pPr>
              <w:pStyle w:val="BodyText"/>
              <w:keepNext/>
              <w:keepLines/>
              <w:rPr>
                <w:rFonts w:ascii="Arial" w:hAnsi="Arial"/>
                <w:color w:val="000000"/>
                <w:shd w:val="clear" w:color="auto" w:fill="auto"/>
                <w:lang w:val="en-CA"/>
              </w:rPr>
            </w:pPr>
          </w:p>
        </w:tc>
        <w:tc>
          <w:tcPr>
            <w:tcW w:w="1440" w:type="dxa"/>
          </w:tcPr>
          <w:p w:rsidR="007814A1" w:rsidRPr="00A06E5B" w:rsidP="0054177F" w14:paraId="3265321C" w14:textId="77777777">
            <w:pPr>
              <w:pStyle w:val="BodyText"/>
              <w:keepNext/>
              <w:keepLines/>
              <w:rPr>
                <w:rFonts w:ascii="Arial" w:hAnsi="Arial"/>
                <w:color w:val="000000"/>
                <w:shd w:val="clear" w:color="auto" w:fill="auto"/>
                <w:lang w:val="en-CA"/>
              </w:rPr>
            </w:pPr>
          </w:p>
        </w:tc>
        <w:tc>
          <w:tcPr>
            <w:tcW w:w="1440" w:type="dxa"/>
          </w:tcPr>
          <w:p w:rsidR="007814A1" w:rsidRPr="00A06E5B" w:rsidP="0054177F" w14:paraId="6F401809" w14:textId="77777777">
            <w:pPr>
              <w:pStyle w:val="BodyText"/>
              <w:keepNext/>
              <w:keepLines/>
              <w:rPr>
                <w:rFonts w:ascii="Arial" w:hAnsi="Arial"/>
                <w:color w:val="000000"/>
                <w:shd w:val="clear" w:color="auto" w:fill="auto"/>
                <w:lang w:val="en-CA"/>
              </w:rPr>
            </w:pPr>
          </w:p>
        </w:tc>
        <w:tc>
          <w:tcPr>
            <w:tcW w:w="1620" w:type="dxa"/>
          </w:tcPr>
          <w:p w:rsidR="007814A1" w:rsidRPr="00A06E5B" w:rsidP="0054177F" w14:paraId="08E7167F" w14:textId="77777777">
            <w:pPr>
              <w:pStyle w:val="BodyText"/>
              <w:keepNext/>
              <w:keepLines/>
              <w:rPr>
                <w:rFonts w:ascii="Arial" w:hAnsi="Arial"/>
                <w:color w:val="000000"/>
                <w:shd w:val="clear" w:color="auto" w:fill="auto"/>
                <w:lang w:val="en-CA"/>
              </w:rPr>
            </w:pPr>
          </w:p>
        </w:tc>
        <w:tc>
          <w:tcPr>
            <w:tcW w:w="1530" w:type="dxa"/>
          </w:tcPr>
          <w:p w:rsidR="007814A1" w:rsidRPr="00A06E5B" w:rsidP="0054177F" w14:paraId="2456B81E" w14:textId="77777777">
            <w:pPr>
              <w:pStyle w:val="BodyText"/>
              <w:keepNext/>
              <w:keepLines/>
              <w:rPr>
                <w:rFonts w:ascii="Arial" w:hAnsi="Arial"/>
                <w:color w:val="000000"/>
                <w:shd w:val="clear" w:color="auto" w:fill="auto"/>
                <w:lang w:val="en-CA"/>
              </w:rPr>
            </w:pPr>
          </w:p>
        </w:tc>
      </w:tr>
    </w:tbl>
    <w:p w:rsidR="007814A1" w:rsidRPr="00A06E5B" w:rsidP="007814A1" w14:paraId="5497EC54" w14:textId="77777777">
      <w:pPr>
        <w:pStyle w:val="BodyText"/>
        <w:numPr>
          <w:ilvl w:val="0"/>
          <w:numId w:val="17"/>
        </w:numPr>
        <w:tabs>
          <w:tab w:val="num" w:pos="450"/>
          <w:tab w:val="clear" w:pos="720"/>
        </w:tabs>
        <w:ind w:left="360" w:hanging="180"/>
        <w:rPr>
          <w:rFonts w:ascii="Arial" w:hAnsi="Arial"/>
          <w:color w:val="auto"/>
          <w:sz w:val="20"/>
          <w:shd w:val="clear" w:color="auto" w:fill="auto"/>
        </w:rPr>
      </w:pPr>
      <w:r w:rsidRPr="00A06E5B">
        <w:rPr>
          <w:rFonts w:ascii="Arial" w:hAnsi="Arial"/>
          <w:sz w:val="20"/>
        </w:rPr>
        <w:t>Indicate if Related Person</w:t>
      </w:r>
    </w:p>
    <w:p w:rsidR="007814A1" w:rsidRPr="00A06E5B" w:rsidP="007814A1" w14:paraId="63523F9C" w14:textId="77777777">
      <w:pPr>
        <w:pStyle w:val="List"/>
        <w:numPr>
          <w:ilvl w:val="0"/>
          <w:numId w:val="16"/>
        </w:numPr>
        <w:tabs>
          <w:tab w:val="left" w:pos="9180"/>
        </w:tabs>
        <w:jc w:val="both"/>
        <w:rPr>
          <w:rFonts w:ascii="Arial" w:hAnsi="Arial"/>
          <w:color w:val="000000"/>
          <w:u w:val="single"/>
          <w:shd w:val="clear" w:color="auto" w:fill="auto"/>
        </w:rPr>
      </w:pPr>
      <w:r w:rsidRPr="00A06E5B">
        <w:rPr>
          <w:rFonts w:ascii="Arial" w:hAnsi="Arial"/>
          <w:color w:val="000000"/>
        </w:rPr>
        <w:t xml:space="preserve">Details of the steps taken by the Issuer to ensure that the vendor has good title to the assets being acquired: </w:t>
      </w:r>
      <w:r w:rsidRPr="00A06E5B">
        <w:rPr>
          <w:rFonts w:ascii="Arial" w:hAnsi="Arial"/>
          <w:color w:val="000000"/>
          <w:u w:val="single"/>
        </w:rPr>
        <w:tab/>
      </w:r>
    </w:p>
    <w:p w:rsidR="007814A1" w:rsidRPr="00A06E5B" w:rsidP="007814A1" w14:paraId="655F2F7E" w14:textId="77777777">
      <w:pPr>
        <w:pStyle w:val="List"/>
        <w:tabs>
          <w:tab w:val="left" w:pos="1080"/>
          <w:tab w:val="left" w:pos="9180"/>
        </w:tabs>
        <w:spacing w:before="0"/>
        <w:ind w:left="0" w:firstLine="0"/>
        <w:jc w:val="both"/>
        <w:rPr>
          <w:rFonts w:ascii="Arial" w:hAnsi="Arial"/>
          <w:color w:val="000000"/>
          <w:shd w:val="clear" w:color="auto" w:fill="auto"/>
        </w:rPr>
      </w:pPr>
      <w:r w:rsidRPr="00A06E5B">
        <w:rPr>
          <w:rFonts w:ascii="Arial" w:hAnsi="Arial"/>
          <w:color w:val="000000"/>
        </w:rPr>
        <w:tab/>
      </w:r>
      <w:r w:rsidRPr="00A06E5B">
        <w:rPr>
          <w:rFonts w:ascii="Arial" w:hAnsi="Arial"/>
          <w:color w:val="000000"/>
          <w:u w:val="single"/>
        </w:rPr>
        <w:tab/>
      </w:r>
      <w:r w:rsidRPr="00A06E5B">
        <w:rPr>
          <w:rFonts w:ascii="Arial" w:hAnsi="Arial"/>
          <w:color w:val="000000"/>
        </w:rPr>
        <w:t xml:space="preserve"> . </w:t>
      </w:r>
    </w:p>
    <w:p w:rsidR="007814A1" w:rsidRPr="00A06E5B" w:rsidP="00485DD5" w14:paraId="0FADDD3A" w14:textId="265FA398">
      <w:pPr>
        <w:pStyle w:val="List"/>
        <w:numPr>
          <w:ilvl w:val="0"/>
          <w:numId w:val="16"/>
        </w:numPr>
        <w:jc w:val="both"/>
        <w:rPr>
          <w:rFonts w:ascii="Arial" w:hAnsi="Arial"/>
          <w:color w:val="auto"/>
          <w:shd w:val="clear" w:color="auto" w:fill="auto"/>
        </w:rPr>
      </w:pPr>
      <w:r w:rsidRPr="00A06E5B">
        <w:rPr>
          <w:rFonts w:ascii="Arial" w:hAnsi="Arial"/>
        </w:rPr>
        <w:t>Provide the following information for any agent’s fee, commission, bonus or finder’s fee, or other compensation paid or to be paid in connection with the acquisition (including warrants, options, etc.):</w:t>
      </w:r>
      <w:r w:rsidR="00F42167">
        <w:rPr>
          <w:rFonts w:ascii="Arial" w:hAnsi="Arial"/>
        </w:rPr>
        <w:t xml:space="preserve"> </w:t>
      </w:r>
      <w:r w:rsidRPr="00F42167" w:rsidR="00F42167">
        <w:rPr>
          <w:rFonts w:ascii="Arial" w:hAnsi="Arial"/>
          <w:u w:val="single"/>
        </w:rPr>
        <w:t>N/A</w:t>
      </w:r>
    </w:p>
    <w:p w:rsidR="007814A1" w:rsidRPr="00A06E5B" w:rsidP="00F42167" w14:paraId="1C0CB57E" w14:textId="2D4AFA0B">
      <w:pPr>
        <w:pStyle w:val="List"/>
        <w:tabs>
          <w:tab w:val="left" w:pos="2160"/>
          <w:tab w:val="left" w:pos="9180"/>
        </w:tabs>
        <w:ind w:left="2160"/>
        <w:jc w:val="both"/>
        <w:rPr>
          <w:rFonts w:ascii="Arial" w:hAnsi="Arial"/>
          <w:color w:val="auto"/>
          <w:u w:val="single"/>
          <w:shd w:val="clear" w:color="auto" w:fill="auto"/>
        </w:rPr>
      </w:pPr>
      <w:r w:rsidRPr="00A06E5B">
        <w:rPr>
          <w:rFonts w:ascii="Arial" w:hAnsi="Arial"/>
        </w:rPr>
        <w:t>(a)</w:t>
      </w:r>
      <w:r w:rsidRPr="00A06E5B">
        <w:rPr>
          <w:rFonts w:ascii="Arial" w:hAnsi="Arial"/>
        </w:rPr>
        <w:tab/>
        <w:t>Details of any dealer, agent, broker or other person receiving compensation in connection with the acquisition (name, andif a corporation, identify persons owning or exercising voting control over 20% or more of the voting shares</w:t>
      </w:r>
      <w:r>
        <w:rPr>
          <w:rFonts w:ascii="Arial" w:hAnsi="Arial"/>
        </w:rPr>
        <w:t xml:space="preserve"> if known to the Issuer): </w:t>
      </w:r>
      <w:r w:rsidR="00465057">
        <w:rPr>
          <w:rFonts w:ascii="Arial" w:hAnsi="Arial"/>
        </w:rPr>
        <w:br/>
      </w:r>
    </w:p>
    <w:p w:rsidR="007814A1" w:rsidP="007814A1" w14:paraId="2E9B57D3" w14:textId="77777777">
      <w:pPr>
        <w:pStyle w:val="List"/>
        <w:tabs>
          <w:tab w:val="left" w:pos="2160"/>
          <w:tab w:val="left" w:pos="9180"/>
        </w:tabs>
        <w:ind w:left="2160"/>
        <w:rPr>
          <w:rFonts w:ascii="Arial" w:hAnsi="Arial"/>
          <w:color w:val="auto"/>
          <w:shd w:val="clear" w:color="auto" w:fill="auto"/>
        </w:rPr>
      </w:pPr>
      <w:r w:rsidRPr="00A06E5B">
        <w:rPr>
          <w:rFonts w:ascii="Arial" w:hAnsi="Arial"/>
        </w:rPr>
        <w:t>(b)</w:t>
      </w:r>
      <w:r w:rsidRPr="00A06E5B">
        <w:rPr>
          <w:rFonts w:ascii="Arial" w:hAnsi="Arial"/>
        </w:rPr>
        <w:tab/>
        <w:t xml:space="preserve">Cash </w:t>
      </w:r>
      <w:r>
        <w:rPr>
          <w:rFonts w:ascii="Arial" w:hAnsi="Arial"/>
          <w:u w:val="single"/>
        </w:rPr>
        <w:tab/>
      </w:r>
      <w:r>
        <w:rPr>
          <w:rFonts w:ascii="Arial" w:hAnsi="Arial"/>
        </w:rPr>
        <w:t xml:space="preserve"> .</w:t>
      </w:r>
    </w:p>
    <w:p w:rsidR="007814A1" w:rsidP="007814A1" w14:paraId="18850435" w14:textId="77777777">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7814A1" w:rsidP="007814A1" w14:paraId="41FF34D4" w14:textId="77777777">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7814A1" w:rsidP="007814A1" w14:paraId="769A7F1B" w14:textId="77777777">
      <w:pPr>
        <w:pStyle w:val="List"/>
        <w:numPr>
          <w:ilvl w:val="0"/>
          <w:numId w:val="15"/>
        </w:numPr>
        <w:tabs>
          <w:tab w:val="left" w:pos="9180"/>
        </w:tabs>
        <w:rPr>
          <w:rFonts w:ascii="Arial" w:hAnsi="Arial"/>
          <w:color w:val="auto"/>
          <w:shd w:val="clear" w:color="auto" w:fill="auto"/>
        </w:rPr>
      </w:pPr>
      <w:r>
        <w:rPr>
          <w:rFonts w:ascii="Arial" w:hAnsi="Arial"/>
        </w:rPr>
        <w:t xml:space="preserve">Expiry date of any options, warrants etc. </w:t>
      </w:r>
      <w:r>
        <w:rPr>
          <w:rFonts w:ascii="Arial" w:hAnsi="Arial"/>
          <w:u w:val="single"/>
        </w:rPr>
        <w:tab/>
      </w:r>
    </w:p>
    <w:p w:rsidR="007814A1" w:rsidRPr="00771F7F" w:rsidP="007814A1" w14:paraId="200B23B3" w14:textId="77777777">
      <w:pPr>
        <w:pStyle w:val="List"/>
        <w:numPr>
          <w:ilvl w:val="0"/>
          <w:numId w:val="15"/>
        </w:numPr>
        <w:tabs>
          <w:tab w:val="left" w:pos="2160"/>
          <w:tab w:val="left" w:pos="9180"/>
        </w:tabs>
        <w:rPr>
          <w:rFonts w:ascii="Arial" w:hAnsi="Arial"/>
          <w:color w:val="auto"/>
          <w:shd w:val="clear" w:color="auto" w:fill="auto"/>
        </w:rPr>
      </w:pPr>
      <w:r>
        <w:rPr>
          <w:rFonts w:ascii="Arial" w:hAnsi="Arial"/>
        </w:rPr>
        <w:t xml:space="preserve">Exercise price of any options, warrants etc. </w:t>
      </w:r>
      <w:r>
        <w:rPr>
          <w:rFonts w:ascii="Arial" w:hAnsi="Arial"/>
          <w:u w:val="single"/>
        </w:rPr>
        <w:tab/>
      </w:r>
      <w:r>
        <w:rPr>
          <w:rFonts w:ascii="Arial" w:hAnsi="Arial"/>
        </w:rPr>
        <w:t xml:space="preserve"> .</w:t>
      </w:r>
    </w:p>
    <w:p w:rsidR="007814A1" w:rsidP="007814A1" w14:paraId="66654B4A" w14:textId="77777777">
      <w:pPr>
        <w:pStyle w:val="List"/>
        <w:numPr>
          <w:ilvl w:val="0"/>
          <w:numId w:val="16"/>
        </w:numPr>
        <w:tabs>
          <w:tab w:val="left" w:pos="9180"/>
        </w:tabs>
        <w:rPr>
          <w:rFonts w:ascii="Arial" w:hAnsi="Arial"/>
          <w:color w:val="000000"/>
          <w:shd w:val="clear" w:color="auto" w:fill="auto"/>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7814A1" w:rsidP="007814A1" w14:paraId="570637BD" w14:textId="77777777">
      <w:pPr>
        <w:pStyle w:val="List"/>
        <w:numPr>
          <w:ilvl w:val="0"/>
          <w:numId w:val="16"/>
        </w:numPr>
        <w:tabs>
          <w:tab w:val="left" w:pos="9180"/>
        </w:tabs>
        <w:jc w:val="both"/>
        <w:rPr>
          <w:rFonts w:ascii="Arial" w:hAnsi="Arial"/>
          <w:color w:val="000000"/>
          <w:shd w:val="clear" w:color="auto" w:fill="auto"/>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7814A1" w:rsidP="00BA1E3B" w14:paraId="40F537E9" w14:textId="6F018CDE">
      <w:pPr>
        <w:pStyle w:val="List"/>
        <w:tabs>
          <w:tab w:val="left" w:pos="9180"/>
        </w:tabs>
        <w:spacing w:before="0"/>
        <w:jc w:val="both"/>
        <w:rPr>
          <w:rFonts w:ascii="Arial" w:hAnsi="Arial"/>
          <w:b/>
          <w:color w:val="auto"/>
          <w:shd w:val="clear" w:color="auto" w:fill="auto"/>
        </w:rPr>
      </w:pPr>
      <w:r>
        <w:rPr>
          <w:rFonts w:ascii="Arial" w:hAnsi="Arial"/>
          <w:color w:val="000000"/>
        </w:rPr>
        <w:tab/>
      </w:r>
      <w:r>
        <w:rPr>
          <w:rFonts w:ascii="Arial" w:hAnsi="Arial"/>
          <w:color w:val="000000"/>
          <w:u w:val="single"/>
        </w:rPr>
        <w:tab/>
      </w:r>
      <w:r>
        <w:rPr>
          <w:rFonts w:ascii="Arial" w:hAnsi="Arial"/>
          <w:color w:val="000000"/>
        </w:rPr>
        <w:t xml:space="preserve"> .</w:t>
      </w:r>
      <w:r>
        <w:rPr>
          <w:rFonts w:ascii="Arial" w:hAnsi="Arial"/>
          <w:b/>
        </w:rPr>
        <w:br w:type="page"/>
      </w:r>
    </w:p>
    <w:p w:rsidR="007814A1" w:rsidP="007814A1" w14:paraId="1A6EB838" w14:textId="77777777">
      <w:pPr>
        <w:pStyle w:val="List"/>
        <w:tabs>
          <w:tab w:val="left" w:pos="1080"/>
        </w:tabs>
        <w:ind w:left="0" w:firstLine="0"/>
        <w:rPr>
          <w:rFonts w:ascii="Arial" w:hAnsi="Arial"/>
          <w:color w:val="auto"/>
          <w:shd w:val="clear" w:color="auto" w:fill="auto"/>
        </w:rPr>
      </w:pPr>
      <w:r>
        <w:rPr>
          <w:rFonts w:ascii="Arial" w:hAnsi="Arial"/>
          <w:b/>
        </w:rPr>
        <w:t>Certificate Of Compliance</w:t>
      </w:r>
    </w:p>
    <w:p w:rsidR="007814A1" w:rsidP="007814A1" w14:paraId="249DF644" w14:textId="77777777">
      <w:pPr>
        <w:pStyle w:val="BodyText"/>
        <w:rPr>
          <w:rFonts w:ascii="Arial" w:hAnsi="Arial"/>
          <w:color w:val="auto"/>
          <w:shd w:val="clear" w:color="auto" w:fill="auto"/>
        </w:rPr>
      </w:pPr>
      <w:r>
        <w:rPr>
          <w:rFonts w:ascii="Arial" w:hAnsi="Arial"/>
        </w:rPr>
        <w:t>The undersigned hereby certifies that:</w:t>
      </w:r>
    </w:p>
    <w:p w:rsidR="007814A1" w:rsidP="007814A1" w14:paraId="5AFD51D6" w14:textId="77777777">
      <w:pPr>
        <w:pStyle w:val="List"/>
        <w:jc w:val="both"/>
        <w:rPr>
          <w:rFonts w:ascii="Arial" w:hAnsi="Arial"/>
          <w:color w:val="auto"/>
          <w:shd w:val="clear" w:color="auto" w:fill="auto"/>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7814A1" w:rsidP="007814A1" w14:paraId="4339755B" w14:textId="77777777">
      <w:pPr>
        <w:pStyle w:val="List"/>
        <w:numPr>
          <w:ilvl w:val="0"/>
          <w:numId w:val="7"/>
        </w:numPr>
        <w:jc w:val="both"/>
        <w:rPr>
          <w:rFonts w:ascii="Arial" w:hAnsi="Arial"/>
          <w:color w:val="auto"/>
          <w:shd w:val="clear" w:color="auto" w:fill="auto"/>
        </w:rPr>
      </w:pPr>
      <w:r>
        <w:rPr>
          <w:rFonts w:ascii="Arial" w:hAnsi="Arial"/>
        </w:rPr>
        <w:t>As of the date hereof there is not material information concerning the Issuer which has not been publicly disclosed.</w:t>
      </w:r>
    </w:p>
    <w:p w:rsidR="007814A1" w:rsidP="007814A1" w14:paraId="0E57EC25" w14:textId="77777777">
      <w:pPr>
        <w:pStyle w:val="List"/>
        <w:numPr>
          <w:ilvl w:val="0"/>
          <w:numId w:val="7"/>
        </w:numPr>
        <w:jc w:val="both"/>
        <w:rPr>
          <w:rFonts w:ascii="Arial" w:hAnsi="Arial" w:cs="Arial"/>
          <w:color w:val="auto"/>
          <w:szCs w:val="24"/>
          <w:shd w:val="clear" w:color="auto" w:fill="auto"/>
        </w:rPr>
      </w:pPr>
      <w:r>
        <w:rPr>
          <w:rFonts w:ascii="Arial" w:hAnsi="Arial" w:cs="Arial"/>
          <w:szCs w:val="24"/>
        </w:rPr>
        <w:t>t</w:t>
      </w:r>
      <w:r w:rsidRPr="00C500F0">
        <w:rPr>
          <w:rFonts w:ascii="Arial" w:hAnsi="Arial" w:cs="Arial"/>
          <w:szCs w:val="24"/>
        </w:rPr>
        <w:t>he Issuer has obtained the express written consent of each applicable individual to:</w:t>
      </w:r>
    </w:p>
    <w:p w:rsidR="007814A1" w:rsidRPr="00C500F0" w:rsidP="007814A1" w14:paraId="5E0AF0E0" w14:textId="77777777">
      <w:pPr>
        <w:pStyle w:val="ListParagraph"/>
        <w:rPr>
          <w:rFonts w:ascii="Arial" w:hAnsi="Arial" w:cs="Arial"/>
          <w:color w:val="auto"/>
          <w:sz w:val="24"/>
          <w:szCs w:val="24"/>
          <w:shd w:val="clear" w:color="auto" w:fill="auto"/>
        </w:rPr>
      </w:pPr>
    </w:p>
    <w:p w:rsidR="007814A1" w:rsidRPr="00C500F0" w:rsidP="007814A1" w14:paraId="64C7AC5F" w14:textId="77777777">
      <w:pPr>
        <w:pStyle w:val="ListParagraph"/>
        <w:ind w:left="1440" w:hanging="360"/>
        <w:rPr>
          <w:rFonts w:ascii="Arial" w:hAnsi="Arial" w:cs="Arial"/>
          <w:color w:val="auto"/>
          <w:sz w:val="24"/>
          <w:szCs w:val="24"/>
          <w:shd w:val="clear" w:color="auto" w:fill="auto"/>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7814A1" w:rsidP="007814A1" w14:paraId="5B2CA109" w14:textId="77777777">
      <w:pPr>
        <w:pStyle w:val="List"/>
        <w:ind w:left="1440" w:hanging="360"/>
        <w:jc w:val="both"/>
        <w:rPr>
          <w:rFonts w:ascii="Arial" w:hAnsi="Arial"/>
          <w:color w:val="auto"/>
          <w:shd w:val="clear" w:color="auto" w:fill="auto"/>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7814A1" w:rsidP="007814A1" w14:paraId="5A2ABF05" w14:textId="77777777">
      <w:pPr>
        <w:pStyle w:val="List"/>
        <w:numPr>
          <w:ilvl w:val="0"/>
          <w:numId w:val="7"/>
        </w:numPr>
        <w:jc w:val="both"/>
        <w:rPr>
          <w:rFonts w:ascii="Arial" w:hAnsi="Arial"/>
          <w:color w:val="auto"/>
          <w:shd w:val="clear" w:color="auto" w:fill="auto"/>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7814A1" w:rsidP="007814A1" w14:paraId="34EEFA1C" w14:textId="77777777">
      <w:pPr>
        <w:pStyle w:val="List"/>
        <w:numPr>
          <w:ilvl w:val="0"/>
          <w:numId w:val="7"/>
        </w:numPr>
        <w:jc w:val="both"/>
        <w:rPr>
          <w:rFonts w:ascii="Arial" w:hAnsi="Arial"/>
          <w:color w:val="auto"/>
          <w:shd w:val="clear" w:color="auto" w:fill="auto"/>
        </w:rPr>
      </w:pPr>
      <w:r>
        <w:rPr>
          <w:rFonts w:ascii="Arial" w:hAnsi="Arial"/>
        </w:rPr>
        <w:t>All of the information in this Form 9 Notice of Issuance of Securities is true.</w:t>
      </w:r>
    </w:p>
    <w:p w:rsidR="007814A1" w:rsidRPr="00A06E5B" w:rsidP="007814A1" w14:paraId="4EFDCF19" w14:textId="375D3F0C">
      <w:pPr>
        <w:pStyle w:val="BodyText"/>
        <w:tabs>
          <w:tab w:val="left" w:pos="4680"/>
          <w:tab w:val="left" w:pos="7200"/>
        </w:tabs>
        <w:spacing w:before="480"/>
        <w:jc w:val="both"/>
        <w:rPr>
          <w:rFonts w:ascii="Arial" w:hAnsi="Arial"/>
          <w:color w:val="auto"/>
          <w:shd w:val="clear" w:color="auto" w:fill="auto"/>
        </w:rPr>
      </w:pPr>
      <w:r>
        <w:rPr>
          <w:rFonts w:ascii="Arial" w:hAnsi="Arial"/>
        </w:rPr>
        <w:t>D</w:t>
      </w:r>
      <w:r w:rsidRPr="00A06E5B">
        <w:rPr>
          <w:rFonts w:ascii="Arial" w:hAnsi="Arial"/>
        </w:rPr>
        <w:t xml:space="preserve">ated </w:t>
      </w:r>
      <w:r w:rsidRPr="00A06E5B" w:rsidR="00A06E5B">
        <w:rPr>
          <w:rFonts w:ascii="Arial" w:hAnsi="Arial"/>
          <w:u w:val="single"/>
        </w:rPr>
        <w:t>January 19</w:t>
      </w:r>
      <w:r w:rsidRPr="00A06E5B" w:rsidR="00105BEA">
        <w:rPr>
          <w:rFonts w:ascii="Arial" w:hAnsi="Arial"/>
          <w:u w:val="single"/>
        </w:rPr>
        <w:t xml:space="preserve">, </w:t>
      </w:r>
      <w:r w:rsidRPr="00A06E5B" w:rsidR="005F2A06">
        <w:rPr>
          <w:rFonts w:ascii="Arial" w:hAnsi="Arial"/>
          <w:u w:val="single"/>
        </w:rPr>
        <w:t>2021</w:t>
      </w:r>
    </w:p>
    <w:p w:rsidR="007814A1" w:rsidRPr="00A06E5B" w:rsidP="007814A1" w14:paraId="79FEE47F" w14:textId="5972714C">
      <w:pPr>
        <w:pStyle w:val="List"/>
        <w:tabs>
          <w:tab w:val="left" w:pos="9180"/>
        </w:tabs>
        <w:ind w:left="5760" w:hanging="5760"/>
        <w:rPr>
          <w:rFonts w:ascii="Arial" w:hAnsi="Arial"/>
          <w:color w:val="auto"/>
          <w:shd w:val="clear" w:color="auto" w:fill="auto"/>
        </w:rPr>
      </w:pPr>
      <w:r w:rsidRPr="00A06E5B">
        <w:rPr>
          <w:rFonts w:ascii="Arial" w:hAnsi="Arial"/>
        </w:rPr>
        <w:tab/>
      </w:r>
      <w:r w:rsidRPr="00A06E5B" w:rsidR="00F17043">
        <w:rPr>
          <w:rFonts w:ascii="Arial" w:hAnsi="Arial"/>
          <w:u w:val="single"/>
        </w:rPr>
        <w:t>Eric Offenberger</w:t>
      </w:r>
      <w:r w:rsidRPr="00A06E5B">
        <w:rPr>
          <w:rFonts w:ascii="Arial" w:hAnsi="Arial"/>
          <w:u w:val="single"/>
        </w:rPr>
        <w:tab/>
      </w:r>
      <w:r w:rsidRPr="00A06E5B">
        <w:rPr>
          <w:rFonts w:ascii="Arial" w:hAnsi="Arial"/>
          <w:u w:val="single"/>
        </w:rPr>
        <w:br/>
      </w:r>
      <w:r w:rsidRPr="00A06E5B">
        <w:rPr>
          <w:rFonts w:ascii="Arial" w:hAnsi="Arial"/>
        </w:rPr>
        <w:t>Name of Director or Senior Officer</w:t>
      </w:r>
    </w:p>
    <w:p w:rsidR="007814A1" w:rsidRPr="00A06E5B" w:rsidP="007814A1" w14:paraId="4290C3FD" w14:textId="0767F077">
      <w:pPr>
        <w:pStyle w:val="List"/>
        <w:tabs>
          <w:tab w:val="left" w:pos="9180"/>
          <w:tab w:val="left" w:pos="9360"/>
        </w:tabs>
        <w:ind w:left="5760" w:hanging="5760"/>
        <w:rPr>
          <w:rFonts w:ascii="Arial" w:hAnsi="Arial"/>
          <w:color w:val="auto"/>
          <w:shd w:val="clear" w:color="auto" w:fill="auto"/>
        </w:rPr>
      </w:pPr>
      <w:r w:rsidRPr="004E6F77">
        <w:rPr>
          <w:rFonts w:ascii="Arial" w:hAnsi="Arial"/>
          <w:i/>
        </w:rPr>
        <w:tab/>
      </w:r>
      <w:r w:rsidRPr="004E6F77" w:rsidR="004E6F77">
        <w:rPr>
          <w:rFonts w:ascii="Arial" w:hAnsi="Arial"/>
          <w:i/>
          <w:u w:val="single"/>
        </w:rPr>
        <w:t>“Eric Offenberger”</w:t>
      </w:r>
      <w:r w:rsidRPr="00A06E5B">
        <w:rPr>
          <w:rFonts w:ascii="Arial" w:hAnsi="Arial"/>
          <w:u w:val="single"/>
        </w:rPr>
        <w:tab/>
      </w:r>
      <w:r w:rsidRPr="00A06E5B">
        <w:rPr>
          <w:rFonts w:ascii="Arial" w:hAnsi="Arial"/>
        </w:rPr>
        <w:br/>
        <w:t>Signature</w:t>
      </w:r>
    </w:p>
    <w:p w:rsidR="007814A1" w:rsidRPr="00A06E5B" w:rsidP="007814A1" w14:paraId="46BB9175" w14:textId="0AF9A386">
      <w:pPr>
        <w:pStyle w:val="List"/>
        <w:tabs>
          <w:tab w:val="left" w:pos="9180"/>
          <w:tab w:val="left" w:pos="9360"/>
        </w:tabs>
        <w:ind w:left="5760" w:hanging="5760"/>
        <w:rPr>
          <w:rFonts w:ascii="Arial" w:hAnsi="Arial"/>
          <w:color w:val="auto"/>
          <w:shd w:val="clear" w:color="auto" w:fill="auto"/>
        </w:rPr>
      </w:pPr>
      <w:r w:rsidRPr="00A06E5B">
        <w:rPr>
          <w:rFonts w:ascii="Arial" w:hAnsi="Arial"/>
        </w:rPr>
        <w:tab/>
      </w:r>
      <w:r w:rsidRPr="00A06E5B" w:rsidR="009A6159">
        <w:rPr>
          <w:rFonts w:ascii="Arial" w:hAnsi="Arial"/>
          <w:u w:val="single"/>
        </w:rPr>
        <w:t>Chief Executive Officer</w:t>
      </w:r>
      <w:r w:rsidRPr="00A06E5B">
        <w:rPr>
          <w:rFonts w:ascii="Arial" w:hAnsi="Arial"/>
          <w:u w:val="single"/>
        </w:rPr>
        <w:tab/>
      </w:r>
      <w:r w:rsidRPr="00A06E5B">
        <w:rPr>
          <w:rFonts w:ascii="Arial" w:hAnsi="Arial"/>
        </w:rPr>
        <w:br/>
        <w:t>Official Capacity</w:t>
      </w:r>
    </w:p>
    <w:p w:rsidR="007814A1" w:rsidP="007814A1" w14:paraId="24C81976" w14:textId="77777777">
      <w:pPr>
        <w:pStyle w:val="List"/>
        <w:tabs>
          <w:tab w:val="left" w:pos="9180"/>
          <w:tab w:val="left" w:pos="9360"/>
        </w:tabs>
        <w:ind w:left="5760" w:hanging="5760"/>
        <w:rPr>
          <w:rFonts w:ascii="Arial" w:hAnsi="Arial"/>
          <w:color w:val="auto"/>
          <w:shd w:val="clear" w:color="auto" w:fill="auto"/>
        </w:rPr>
      </w:pPr>
    </w:p>
    <w:p w:rsidR="007814A1" w:rsidP="007814A1" w14:paraId="2B85832F" w14:textId="77777777">
      <w:pPr>
        <w:pStyle w:val="List"/>
        <w:tabs>
          <w:tab w:val="left" w:pos="9180"/>
          <w:tab w:val="left" w:pos="9360"/>
        </w:tabs>
        <w:ind w:left="5760" w:hanging="5760"/>
        <w:rPr>
          <w:rFonts w:ascii="Arial" w:hAnsi="Arial"/>
          <w:color w:val="auto"/>
          <w:shd w:val="clear" w:color="auto" w:fill="auto"/>
        </w:rPr>
      </w:pPr>
      <w:bookmarkStart w:id="4" w:name="_GoBack"/>
      <w:bookmarkEnd w:id="4"/>
    </w:p>
    <w:p w:rsidR="009442DA" w14:paraId="07B4BA8D" w14:textId="77777777">
      <w:pPr>
        <w:rPr>
          <w:rFonts w:ascii="Arial" w:eastAsia="Calibri" w:hAnsi="Arial" w:cs="Arial"/>
          <w:b/>
          <w:color w:val="auto"/>
          <w:sz w:val="24"/>
          <w:szCs w:val="24"/>
          <w:shd w:val="clear" w:color="auto" w:fill="auto"/>
        </w:rPr>
      </w:pPr>
      <w:r>
        <w:rPr>
          <w:rFonts w:ascii="Arial" w:eastAsia="Calibri" w:hAnsi="Arial" w:cs="Arial"/>
          <w:b/>
          <w:sz w:val="24"/>
          <w:szCs w:val="24"/>
        </w:rPr>
        <w:br w:type="page"/>
      </w:r>
    </w:p>
    <w:p w:rsidR="007814A1" w:rsidRPr="00C500F0" w:rsidP="007814A1" w14:paraId="3C066835" w14:textId="60DC8A5B">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Appendix A</w:t>
      </w:r>
    </w:p>
    <w:p w:rsidR="007814A1" w:rsidRPr="00C500F0" w:rsidP="007814A1" w14:paraId="5CD893B1" w14:textId="77777777">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PERSONAL INFORMATION COLLECTION POLICY REGARDING FORM 9</w:t>
      </w:r>
    </w:p>
    <w:p w:rsidR="007814A1" w:rsidRPr="00C500F0" w:rsidP="007814A1" w14:paraId="7BA6D05A"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7814A1" w:rsidRPr="00C500F0" w:rsidP="007814A1" w14:paraId="507D5CC4"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7814A1" w:rsidRPr="00C500F0" w:rsidP="007814A1" w14:paraId="745CA81D"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7814A1" w:rsidRPr="00C500F0" w:rsidP="007814A1" w14:paraId="21AA435E"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7814A1" w:rsidRPr="00C500F0" w:rsidP="007814A1" w14:paraId="1BE7371B"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7814A1" w:rsidRPr="00C500F0" w:rsidP="007814A1" w14:paraId="1039C501"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7814A1" w:rsidRPr="00C500F0" w:rsidP="007814A1" w14:paraId="134761B3" w14:textId="77777777">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7814A1" w:rsidRPr="00C500F0" w:rsidP="007814A1" w14:paraId="347BDB8E"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7814A1" w:rsidRPr="00C500F0" w:rsidP="007814A1" w14:paraId="0EA2B406"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7814A1" w:rsidRPr="00C500F0" w:rsidP="007814A1" w14:paraId="12E11111"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7814A1" w:rsidRPr="00C500F0" w:rsidP="007814A1" w14:paraId="5F586635"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7814A1" w:rsidRPr="00C500F0" w:rsidP="007814A1" w14:paraId="5D55DF76" w14:textId="77777777">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7814A1" w:rsidRPr="00C500F0" w:rsidP="007814A1" w14:paraId="426A9466" w14:textId="77777777">
      <w:pPr>
        <w:pStyle w:val="List"/>
        <w:tabs>
          <w:tab w:val="left" w:pos="9180"/>
          <w:tab w:val="left" w:pos="9360"/>
        </w:tabs>
        <w:ind w:left="5760" w:hanging="5760"/>
        <w:jc w:val="both"/>
        <w:rPr>
          <w:rFonts w:ascii="Arial" w:hAnsi="Arial"/>
          <w:color w:val="auto"/>
          <w:szCs w:val="24"/>
          <w:shd w:val="clear" w:color="auto" w:fill="auto"/>
        </w:rPr>
      </w:pPr>
    </w:p>
    <w:p w:rsidR="00C500F0" w:rsidRPr="007814A1" w:rsidP="007814A1" w14:paraId="6D2D10FB" w14:textId="77777777">
      <w:pPr>
        <w:rPr>
          <w:color w:val="auto"/>
          <w:shd w:val="clear" w:color="auto" w:fill="auto"/>
          <w:lang w:val="en-GB"/>
        </w:rPr>
      </w:pPr>
    </w:p>
    <w:sectPr w:rsidSect="005E306A">
      <w:headerReference w:type="even" r:id="rId4"/>
      <w:headerReference w:type="default" r:id="rId5"/>
      <w:footerReference w:type="even" r:id="rId6"/>
      <w:footerReference w:type="default" r:id="rId7"/>
      <w:headerReference w:type="first" r:id="rId8"/>
      <w:footerReference w:type="first" r:id="rId9"/>
      <w:pgSz w:w="12240" w:h="15840" w:code="1"/>
      <w:pgMar w:top="1152" w:right="1440" w:bottom="1152" w:left="1440" w:header="432" w:footer="5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873" w14:paraId="14795588" w14:textId="77777777">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133" w:rsidP="008003B9" w14:paraId="66C6C25B" w14:textId="77777777">
    <w:pPr>
      <w:tabs>
        <w:tab w:val="center" w:pos="4674"/>
        <w:tab w:val="left" w:pos="8460"/>
      </w:tabs>
      <w:jc w:val="center"/>
      <w:rPr>
        <w:rStyle w:val="PageNumber"/>
        <w:rFonts w:ascii="Arial" w:hAnsi="Arial" w:cs="Arial"/>
        <w:b/>
        <w:color w:val="auto"/>
        <w:shd w:val="clear" w:color="auto" w:fill="auto"/>
      </w:rPr>
    </w:pPr>
    <w:r>
      <w:rPr>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-20321</wp:posOffset>
              </wp:positionV>
              <wp:extent cx="5863590" cy="0"/>
              <wp:effectExtent l="0" t="0" r="0" b="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H="1">
                        <a:off x="0" y="0"/>
                        <a:ext cx="586359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49" style="flip:x;mso-height-percent:0;mso-height-relative:page;mso-width-percent:0;mso-width-relative:page;mso-wrap-distance-bottom:0;mso-wrap-distance-left:9pt;mso-wrap-distance-right:9pt;mso-wrap-distance-top:0;mso-wrap-style:square;position:absolute;visibility:visible;z-index:251659264" from="4.05pt,-1.6pt" to="465.75pt,-1.6pt"/>
          </w:pict>
        </mc:Fallback>
      </mc:AlternateContent>
    </w:r>
    <w:r>
      <w:rPr>
        <w:rFonts w:ascii="Arial" w:hAnsi="Arial" w:cs="Arial"/>
        <w:b/>
      </w:rPr>
      <w:t>FORM 9 – NOTICE OF ISSUANCE OR PROPOSED ISSUANCE OF</w:t>
    </w:r>
  </w:p>
  <w:p w:rsidR="00EA4133" w:rsidP="008003B9" w14:paraId="721B1431" w14:textId="77777777">
    <w:pPr>
      <w:tabs>
        <w:tab w:val="center" w:pos="4674"/>
        <w:tab w:val="left" w:pos="8460"/>
      </w:tabs>
      <w:jc w:val="center"/>
      <w:rPr>
        <w:rStyle w:val="PageNumber"/>
        <w:rFonts w:ascii="Arial" w:hAnsi="Arial" w:cs="Arial"/>
        <w:b/>
        <w:color w:val="auto"/>
        <w:shd w:val="clear" w:color="auto" w:fill="auto"/>
      </w:rPr>
    </w:pPr>
    <w:r>
      <w:rPr>
        <w:rFonts w:ascii="Arial" w:hAnsi="Arial" w:cs="Arial"/>
        <w:b/>
      </w:rPr>
      <w:t>LISTED SECURITIES</w:t>
    </w:r>
  </w:p>
  <w:p w:rsidR="00EA4133" w:rsidP="008003B9" w14:paraId="13E294AA" w14:textId="77777777">
    <w:pPr>
      <w:pStyle w:val="Footer"/>
      <w:tabs>
        <w:tab w:val="clear" w:pos="4320"/>
        <w:tab w:val="center" w:pos="4860"/>
        <w:tab w:val="clear" w:pos="8640"/>
        <w:tab w:val="right" w:pos="9360"/>
      </w:tabs>
      <w:jc w:val="center"/>
      <w:rPr>
        <w:rStyle w:val="PageNumber"/>
        <w:rFonts w:ascii="Arial" w:hAnsi="Arial" w:cs="Arial"/>
        <w:color w:val="auto"/>
        <w:sz w:val="16"/>
        <w:szCs w:val="16"/>
        <w:shd w:val="clear" w:color="auto" w:fill="auto"/>
      </w:rPr>
    </w:pPr>
    <w:r>
      <w:rPr>
        <w:rStyle w:val="PageNumber"/>
        <w:rFonts w:ascii="Arial" w:hAnsi="Arial" w:cs="Arial"/>
        <w:sz w:val="16"/>
        <w:szCs w:val="16"/>
      </w:rPr>
      <w:t>September 2018</w:t>
    </w:r>
  </w:p>
  <w:p w:rsidR="00EA4133" w:rsidP="008003B9" w14:paraId="766DF0C8" w14:textId="6F1433B7">
    <w:pPr>
      <w:pStyle w:val="Footer"/>
      <w:jc w:val="center"/>
      <w:rPr>
        <w:rStyle w:val="PageNumber"/>
        <w:rFonts w:ascii="Arial" w:hAnsi="Arial" w:cs="Arial"/>
        <w:color w:val="auto"/>
        <w:sz w:val="16"/>
        <w:szCs w:val="16"/>
        <w:shd w:val="clear" w:color="auto" w:fill="auto"/>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4E6F77">
      <w:rPr>
        <w:rStyle w:val="PageNumber"/>
        <w:rFonts w:ascii="Arial" w:hAnsi="Arial" w:cs="Arial"/>
        <w:noProof/>
        <w:sz w:val="16"/>
        <w:szCs w:val="16"/>
      </w:rPr>
      <w:t>9</w:t>
    </w:r>
    <w:r w:rsidRPr="002557FD">
      <w:rPr>
        <w:rStyle w:val="PageNumber"/>
        <w:rFonts w:ascii="Arial" w:hAnsi="Arial" w:cs="Arial"/>
        <w:sz w:val="16"/>
        <w:szCs w:val="16"/>
      </w:rPr>
      <w:fldChar w:fldCharType="end"/>
    </w:r>
  </w:p>
  <w:p w:rsidR="00035D1B" w:rsidRPr="002557FD" w:rsidP="00035D1B" w14:paraId="72BB1D3E" w14:textId="7580495A">
    <w:pPr>
      <w:pStyle w:val="Footer"/>
      <w:rPr>
        <w:rFonts w:ascii="Arial" w:hAnsi="Arial" w:cs="Arial"/>
        <w:color w:val="auto"/>
        <w:sz w:val="16"/>
        <w:szCs w:val="16"/>
        <w:shd w:val="clear" w:color="auto" w:fill="auto"/>
      </w:rPr>
    </w:pPr>
    <w:r w:rsidRPr="00035D1B">
      <w:rPr>
        <w:rStyle w:val="DocID"/>
      </w:rPr>
      <w:fldChar w:fldCharType="begin"/>
    </w:r>
    <w:r w:rsidRPr="00035D1B">
      <w:rPr>
        <w:rStyle w:val="DocID"/>
      </w:rPr>
      <w:instrText xml:space="preserve"> DOCPROPERTY "DocID" \* MERGEFORMAT </w:instrText>
    </w:r>
    <w:r w:rsidRPr="00035D1B">
      <w:rPr>
        <w:rStyle w:val="DocID"/>
      </w:rPr>
      <w:fldChar w:fldCharType="separate"/>
    </w:r>
    <w:r w:rsidR="004E6F77">
      <w:rPr>
        <w:rStyle w:val="DocID"/>
      </w:rPr>
      <w:t>LEGAL_35461014.2</w:t>
    </w:r>
    <w:r w:rsidRPr="00035D1B">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4133" w14:paraId="2CF53201" w14:textId="67AEAA63">
    <w:pPr>
      <w:pStyle w:val="Footer"/>
      <w:rPr>
        <w:color w:val="auto"/>
        <w:shd w:val="clear" w:color="auto" w:fill="auto"/>
      </w:rPr>
    </w:pPr>
    <w:r>
      <w:fldChar w:fldCharType="begin"/>
    </w:r>
    <w:r>
      <w:instrText xml:space="preserve"> DOCPROPERTY FOOTERPATH \* MERGEFORMAT </w:instrText>
    </w:r>
    <w:r>
      <w:fldChar w:fldCharType="separate"/>
    </w:r>
    <w:r w:rsidR="004E6F77">
      <w:rPr>
        <w:b/>
        <w:bCs/>
      </w:rPr>
      <w:t>Error! Unknown document property name.</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873" w14:paraId="13526449"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58C8" w:rsidP="00F658C8" w14:paraId="3BCD60E1" w14:textId="350D333A">
    <w:pPr>
      <w:pStyle w:val="Header"/>
      <w:jc w:val="right"/>
      <w:rPr>
        <w:color w:val="auto"/>
        <w:shd w:val="clear" w:color="auto" w:fill="auto"/>
      </w:rPr>
    </w:pPr>
    <w:r>
      <w:t>PRELIMINARY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873" w14:paraId="70F6335B" w14:textId="77777777">
    <w:pPr>
      <w:pStyle w:val="Header"/>
      <w:rPr>
        <w:color w:val="auto"/>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46EE5946"/>
    <w:multiLevelType w:val="hybridMultilevel"/>
    <w:tmpl w:val="50846F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nsid w:val="65663561"/>
    <w:multiLevelType w:val="hybridMultilevel"/>
    <w:tmpl w:val="F432AE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4">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5">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6">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7">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8">
    <w:nsid w:val="7A196E4E"/>
    <w:multiLevelType w:val="hybridMultilevel"/>
    <w:tmpl w:val="6AE0A3BA"/>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4"/>
  </w:num>
  <w:num w:numId="3">
    <w:abstractNumId w:val="10"/>
  </w:num>
  <w:num w:numId="4">
    <w:abstractNumId w:val="15"/>
  </w:num>
  <w:num w:numId="5">
    <w:abstractNumId w:val="13"/>
  </w:num>
  <w:num w:numId="6">
    <w:abstractNumId w:val="0"/>
  </w:num>
  <w:num w:numId="7">
    <w:abstractNumId w:val="11"/>
  </w:num>
  <w:num w:numId="8">
    <w:abstractNumId w:val="5"/>
  </w:num>
  <w:num w:numId="9">
    <w:abstractNumId w:val="7"/>
  </w:num>
  <w:num w:numId="10">
    <w:abstractNumId w:val="4"/>
  </w:num>
  <w:num w:numId="11">
    <w:abstractNumId w:val="16"/>
  </w:num>
  <w:num w:numId="12">
    <w:abstractNumId w:val="19"/>
  </w:num>
  <w:num w:numId="13">
    <w:abstractNumId w:val="3"/>
  </w:num>
  <w:num w:numId="14">
    <w:abstractNumId w:val="9"/>
  </w:num>
  <w:num w:numId="15">
    <w:abstractNumId w:val="1"/>
  </w:num>
  <w:num w:numId="16">
    <w:abstractNumId w:val="17"/>
  </w:num>
  <w:num w:numId="17">
    <w:abstractNumId w:val="6"/>
  </w:num>
  <w:num w:numId="18">
    <w:abstractNumId w:val="18"/>
  </w:num>
  <w:num w:numId="19">
    <w:abstractNumId w:val="11"/>
    <w:lvlOverride w:ilvl="0">
      <w:startOverride w:val="2"/>
    </w:lvlOverride>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882E0F1C-2955-4FDA-A3B3-B0B2DDA1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DocID">
    <w:name w:val="DocID"/>
    <w:basedOn w:val="DefaultParagraphFont"/>
    <w:rsid w:val="00035D1B"/>
    <w:rPr>
      <w:rFonts w:ascii="Verdana" w:hAnsi="Verdana"/>
      <w:sz w:val="14"/>
      <w:u w:val="none"/>
    </w:rPr>
  </w:style>
  <w:style w:type="paragraph" w:customStyle="1" w:styleId="Default">
    <w:name w:val="Default"/>
    <w:rsid w:val="007A61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2556</Words>
  <Characters>13614</Characters>
  <Application>Microsoft Office Word</Application>
  <DocSecurity>0</DocSecurity>
  <Lines>114</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2021-01-19T21:53:00Z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LEGAL_35461014.2</vt:lpwstr>
  </property>
</Properties>
</file>