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BE1641" w:rsidRPr="002A72A9" w:rsidP="00AD427E" w14:paraId="4B2452EC" w14:textId="60B46354">
      <w:pPr>
        <w:spacing w:after="240" w:line="240" w:lineRule="auto"/>
        <w:jc w:val="center"/>
        <w:rPr>
          <w:rFonts w:ascii="Times New Roman" w:hAnsi="Times New Roman" w:cs="Times New Roman"/>
          <w:i/>
          <w:color w:val="auto"/>
          <w:sz w:val="17"/>
          <w:szCs w:val="17"/>
          <w:shd w:val="clear" w:color="auto" w:fill="auto"/>
        </w:rPr>
      </w:pPr>
      <w:r w:rsidRPr="002A72A9">
        <w:rPr>
          <w:rFonts w:ascii="Arial" w:hAnsi="Arial" w:cs="Arial"/>
          <w:i/>
          <w:caps/>
          <w:sz w:val="17"/>
          <w:szCs w:val="17"/>
        </w:rPr>
        <w:t>NOT FOR DISTRIBUTION, DIRECTLY OR INDIRECTLY, TO U.S. NEWS WIRE SERVICES OR DISSEMINATION IN THE UNITED STATES OR TO A U.S. PERSON, OR ANY JURISDICTION WHERE TO DO SO WOULD CONSTITUTE A VIOLATION OF THE RELEVANT LAWS OF SUCH JURISDICTION</w:t>
      </w:r>
    </w:p>
    <w:p w:rsidR="00BE1641" w:rsidRPr="002A72A9" w:rsidP="00AD427E" w14:paraId="4C393EA0" w14:textId="77777777">
      <w:pPr>
        <w:spacing w:after="240" w:line="240" w:lineRule="auto"/>
        <w:jc w:val="center"/>
        <w:rPr>
          <w:rFonts w:ascii="Arial" w:hAnsi="Arial" w:cs="Arial"/>
          <w:b/>
          <w:bCs/>
          <w:caps/>
          <w:color w:val="auto"/>
          <w:sz w:val="27"/>
          <w:szCs w:val="27"/>
          <w:shd w:val="clear" w:color="auto" w:fill="auto"/>
          <w:lang w:val="en-US"/>
        </w:rPr>
      </w:pPr>
    </w:p>
    <w:p w:rsidR="00091167" w:rsidRPr="00CD06E8" w:rsidP="00AD427E" w14:paraId="55951016" w14:textId="2B31D8FD">
      <w:pPr>
        <w:spacing w:after="240" w:line="240" w:lineRule="auto"/>
        <w:jc w:val="center"/>
        <w:rPr>
          <w:rFonts w:ascii="Arial" w:hAnsi="Arial" w:cs="Arial"/>
          <w:b/>
          <w:bCs/>
          <w:caps/>
          <w:color w:val="000000"/>
          <w:sz w:val="27"/>
          <w:szCs w:val="27"/>
          <w:shd w:val="clear" w:color="auto" w:fill="auto"/>
          <w:lang w:val="en-US"/>
        </w:rPr>
      </w:pPr>
      <w:r w:rsidRPr="00CD06E8">
        <w:rPr>
          <w:rFonts w:ascii="Arial" w:hAnsi="Arial" w:cs="Arial"/>
          <w:b/>
          <w:bCs/>
          <w:caps/>
          <w:color w:val="000000"/>
          <w:sz w:val="27"/>
          <w:szCs w:val="27"/>
          <w:lang w:val="en-US"/>
        </w:rPr>
        <w:t xml:space="preserve">VEXT </w:t>
      </w:r>
      <w:r>
        <w:rPr>
          <w:rFonts w:ascii="Arial" w:hAnsi="Arial" w:cs="Arial"/>
          <w:b/>
          <w:bCs/>
          <w:caps/>
          <w:color w:val="000000"/>
          <w:sz w:val="27"/>
          <w:szCs w:val="27"/>
          <w:lang w:val="en-US"/>
        </w:rPr>
        <w:t xml:space="preserve">FILES PRELIMINARY PROSPECTUS IN RESPECT OF BOUGHT </w:t>
      </w:r>
      <w:r w:rsidR="006D5613">
        <w:rPr>
          <w:rFonts w:ascii="Arial" w:hAnsi="Arial" w:cs="Arial"/>
          <w:b/>
          <w:bCs/>
          <w:caps/>
          <w:color w:val="000000"/>
          <w:sz w:val="27"/>
          <w:szCs w:val="27"/>
          <w:lang w:val="en-US"/>
        </w:rPr>
        <w:t xml:space="preserve">DEAL </w:t>
      </w:r>
      <w:r>
        <w:rPr>
          <w:rFonts w:ascii="Arial" w:hAnsi="Arial" w:cs="Arial"/>
          <w:b/>
          <w:bCs/>
          <w:caps/>
          <w:color w:val="000000"/>
          <w:sz w:val="27"/>
          <w:szCs w:val="27"/>
          <w:lang w:val="en-US"/>
        </w:rPr>
        <w:t>oFFERING AND ANNOUnCES CONCURRENT PRIVATE PLACEMENT</w:t>
      </w:r>
    </w:p>
    <w:p w:rsidR="008E3A79" w:rsidP="00612CB9" w14:paraId="3C4F4293" w14:textId="65801AFC">
      <w:pPr>
        <w:spacing w:line="240" w:lineRule="auto"/>
        <w:ind w:left="288" w:right="288"/>
        <w:jc w:val="both"/>
        <w:rPr>
          <w:rFonts w:ascii="Times New Roman" w:hAnsi="Times New Roman" w:cs="Times New Roman"/>
          <w:color w:val="auto"/>
          <w:shd w:val="clear" w:color="auto" w:fill="auto"/>
        </w:rPr>
      </w:pPr>
      <w:r w:rsidRPr="00CD06E8">
        <w:rPr>
          <w:rFonts w:ascii="Times New Roman" w:hAnsi="Times New Roman" w:cs="Times New Roman"/>
        </w:rPr>
        <w:t xml:space="preserve">Vancouver, BC, </w:t>
      </w:r>
      <w:r w:rsidR="007A26AE">
        <w:rPr>
          <w:rFonts w:ascii="Times New Roman" w:hAnsi="Times New Roman" w:cs="Times New Roman"/>
        </w:rPr>
        <w:t>January 19</w:t>
      </w:r>
      <w:bookmarkStart w:id="0" w:name="_GoBack"/>
      <w:bookmarkEnd w:id="0"/>
      <w:r w:rsidRPr="00CD06E8">
        <w:rPr>
          <w:rFonts w:ascii="Times New Roman" w:hAnsi="Times New Roman" w:cs="Times New Roman"/>
        </w:rPr>
        <w:t xml:space="preserve">, </w:t>
      </w:r>
      <w:r>
        <w:rPr>
          <w:rFonts w:ascii="Times New Roman" w:hAnsi="Times New Roman" w:cs="Times New Roman"/>
        </w:rPr>
        <w:t xml:space="preserve">2021 </w:t>
      </w:r>
      <w:r w:rsidRPr="00CD06E8">
        <w:rPr>
          <w:rFonts w:ascii="Times New Roman" w:hAnsi="Times New Roman" w:cs="Times New Roman"/>
          <w:color w:val="000000"/>
        </w:rPr>
        <w:t xml:space="preserve">/CNW/ - Vext Science, Inc. (CSE:VEXT, OTCQX:VEXTF) (“VEXT” or the “Company”), a vertically integrated multi-state cannabis company in the United States, </w:t>
      </w:r>
      <w:r>
        <w:rPr>
          <w:rFonts w:ascii="Times New Roman" w:hAnsi="Times New Roman" w:cs="Times New Roman"/>
          <w:color w:val="000000"/>
        </w:rPr>
        <w:t xml:space="preserve">today </w:t>
      </w:r>
      <w:r>
        <w:rPr>
          <w:rFonts w:ascii="Times New Roman" w:hAnsi="Times New Roman" w:cs="Times New Roman"/>
        </w:rPr>
        <w:t>announced that it has filed a preliminary short form prospectus (the “</w:t>
      </w:r>
      <w:r w:rsidRPr="0027181D">
        <w:rPr>
          <w:rFonts w:ascii="Times New Roman" w:hAnsi="Times New Roman" w:cs="Times New Roman"/>
        </w:rPr>
        <w:t>Prospectus</w:t>
      </w:r>
      <w:r>
        <w:rPr>
          <w:rFonts w:ascii="Times New Roman" w:hAnsi="Times New Roman" w:cs="Times New Roman"/>
        </w:rPr>
        <w:t>”), in connection with its previously announced “bought deal” public offering (the “Offering”) of units of the Company (the “Units”).</w:t>
      </w:r>
    </w:p>
    <w:p w:rsidR="00612CB9" w:rsidRPr="00612CB9" w:rsidP="00E016AB" w14:paraId="709680A0" w14:textId="3CE3FB59">
      <w:pPr>
        <w:spacing w:line="240" w:lineRule="auto"/>
        <w:ind w:left="288" w:right="288"/>
        <w:jc w:val="both"/>
        <w:rPr>
          <w:rFonts w:ascii="Times New Roman" w:hAnsi="Times New Roman" w:cs="Times New Roman"/>
          <w:color w:val="auto"/>
          <w:shd w:val="clear" w:color="auto" w:fill="auto"/>
        </w:rPr>
      </w:pPr>
      <w:r>
        <w:rPr>
          <w:rFonts w:ascii="Times New Roman" w:hAnsi="Times New Roman" w:cs="Times New Roman"/>
        </w:rPr>
        <w:t xml:space="preserve">Pursuant to the underwriting agreement between the Company, </w:t>
      </w:r>
      <w:r w:rsidRPr="001A6579">
        <w:rPr>
          <w:rFonts w:ascii="Times New Roman" w:hAnsi="Times New Roman" w:cs="Times New Roman"/>
        </w:rPr>
        <w:t>Beacon Securities Limited</w:t>
      </w:r>
      <w:r>
        <w:rPr>
          <w:rFonts w:ascii="Times New Roman" w:hAnsi="Times New Roman" w:cs="Times New Roman"/>
        </w:rPr>
        <w:t xml:space="preserve"> (“Beacon”)</w:t>
      </w:r>
      <w:r w:rsidRPr="001A6579">
        <w:rPr>
          <w:rFonts w:ascii="Times New Roman" w:hAnsi="Times New Roman" w:cs="Times New Roman"/>
        </w:rPr>
        <w:t xml:space="preserve">, as lead </w:t>
      </w:r>
      <w:r>
        <w:rPr>
          <w:rFonts w:ascii="Times New Roman" w:hAnsi="Times New Roman" w:cs="Times New Roman"/>
        </w:rPr>
        <w:t>underwriter</w:t>
      </w:r>
      <w:r w:rsidRPr="001A6579">
        <w:rPr>
          <w:rFonts w:ascii="Times New Roman" w:hAnsi="Times New Roman" w:cs="Times New Roman"/>
        </w:rPr>
        <w:t xml:space="preserve"> and sole bookrunner, </w:t>
      </w:r>
      <w:r w:rsidR="007316E9">
        <w:rPr>
          <w:rFonts w:ascii="Times New Roman" w:hAnsi="Times New Roman" w:cs="Times New Roman"/>
        </w:rPr>
        <w:t>and</w:t>
      </w:r>
      <w:r w:rsidR="007316E9">
        <w:rPr>
          <w:rFonts w:ascii="Times New Roman" w:hAnsi="Times New Roman" w:cs="Times New Roman"/>
        </w:rPr>
        <w:t xml:space="preserve"> </w:t>
      </w:r>
      <w:r w:rsidRPr="001A6579">
        <w:rPr>
          <w:rFonts w:ascii="Times New Roman" w:hAnsi="Times New Roman" w:cs="Times New Roman"/>
        </w:rPr>
        <w:t xml:space="preserve">a syndicate of </w:t>
      </w:r>
      <w:r>
        <w:rPr>
          <w:rFonts w:ascii="Times New Roman" w:hAnsi="Times New Roman" w:cs="Times New Roman"/>
        </w:rPr>
        <w:t>underwriters including Canaccord Genuity Corp. and Eight Capital</w:t>
      </w:r>
      <w:r w:rsidRPr="001A6579">
        <w:rPr>
          <w:rFonts w:ascii="Times New Roman" w:hAnsi="Times New Roman" w:cs="Times New Roman"/>
        </w:rPr>
        <w:t xml:space="preserve"> (collectively, the “</w:t>
      </w:r>
      <w:r>
        <w:rPr>
          <w:rFonts w:ascii="Times New Roman" w:hAnsi="Times New Roman" w:cs="Times New Roman"/>
        </w:rPr>
        <w:t>Underwriters</w:t>
      </w:r>
      <w:r w:rsidRPr="001A6579">
        <w:rPr>
          <w:rFonts w:ascii="Times New Roman" w:hAnsi="Times New Roman" w:cs="Times New Roman"/>
        </w:rPr>
        <w:t>”)</w:t>
      </w:r>
      <w:r>
        <w:rPr>
          <w:rFonts w:ascii="Times New Roman" w:hAnsi="Times New Roman" w:cs="Times New Roman"/>
        </w:rPr>
        <w:t xml:space="preserve">, the Underwriters </w:t>
      </w:r>
      <w:r>
        <w:rPr>
          <w:rFonts w:ascii="Times New Roman" w:hAnsi="Times New Roman" w:cs="Times New Roman"/>
        </w:rPr>
        <w:t>have</w:t>
      </w:r>
      <w:r>
        <w:rPr>
          <w:rFonts w:ascii="Times New Roman" w:hAnsi="Times New Roman" w:cs="Times New Roman"/>
        </w:rPr>
        <w:t xml:space="preserve"> agreed to purchase 16,100,000 Units at a price of $1.12 per Unit (the “Offering Price”) for </w:t>
      </w:r>
      <w:r w:rsidRPr="00637671">
        <w:rPr>
          <w:rFonts w:ascii="Times New Roman" w:hAnsi="Times New Roman" w:cs="Times New Roman"/>
        </w:rPr>
        <w:t xml:space="preserve">aggregate gross proceeds of </w:t>
      </w:r>
      <w:r>
        <w:rPr>
          <w:rFonts w:ascii="Times New Roman" w:hAnsi="Times New Roman" w:cs="Times New Roman"/>
        </w:rPr>
        <w:t>approximately $18</w:t>
      </w:r>
      <w:r w:rsidRPr="00637671">
        <w:rPr>
          <w:rFonts w:ascii="Times New Roman" w:hAnsi="Times New Roman" w:cs="Times New Roman"/>
        </w:rPr>
        <w:t xml:space="preserve"> million</w:t>
      </w:r>
      <w:r>
        <w:rPr>
          <w:rFonts w:ascii="Times New Roman" w:hAnsi="Times New Roman" w:cs="Times New Roman"/>
        </w:rPr>
        <w:t xml:space="preserve">.  All references to currency in this news release are to Canadian dollars. </w:t>
      </w:r>
    </w:p>
    <w:p w:rsidR="00B02BB5" w:rsidP="003A63A6" w14:paraId="235BEA89" w14:textId="77777777">
      <w:pPr>
        <w:spacing w:after="240" w:line="240" w:lineRule="auto"/>
        <w:ind w:left="288" w:right="288"/>
        <w:jc w:val="both"/>
        <w:rPr>
          <w:rFonts w:ascii="Times New Roman" w:hAnsi="Times New Roman" w:cs="Times New Roman"/>
          <w:color w:val="auto"/>
          <w:shd w:val="clear" w:color="auto" w:fill="auto"/>
        </w:rPr>
      </w:pPr>
      <w:r w:rsidRPr="003A63A6">
        <w:rPr>
          <w:rFonts w:ascii="Times New Roman" w:hAnsi="Times New Roman" w:cs="Times New Roman"/>
        </w:rPr>
        <w:t>Each Unit will consist of one common share (each, a “Subordinated Voting Share”) in the capital of</w:t>
      </w:r>
      <w:r>
        <w:rPr>
          <w:rFonts w:ascii="Times New Roman" w:hAnsi="Times New Roman" w:cs="Times New Roman"/>
        </w:rPr>
        <w:t xml:space="preserve"> </w:t>
      </w:r>
      <w:r w:rsidRPr="003A63A6">
        <w:rPr>
          <w:rFonts w:ascii="Times New Roman" w:hAnsi="Times New Roman" w:cs="Times New Roman"/>
        </w:rPr>
        <w:t>the Company and one-half of one common share purchase warrant (e</w:t>
      </w:r>
      <w:r>
        <w:rPr>
          <w:rFonts w:ascii="Times New Roman" w:hAnsi="Times New Roman" w:cs="Times New Roman"/>
        </w:rPr>
        <w:t xml:space="preserve">ach whole warrant, a “Warrant”) </w:t>
      </w:r>
      <w:r w:rsidRPr="003A63A6">
        <w:rPr>
          <w:rFonts w:ascii="Times New Roman" w:hAnsi="Times New Roman" w:cs="Times New Roman"/>
        </w:rPr>
        <w:t>of the Company. Each Warrant will entitle the holder thereof to p</w:t>
      </w:r>
      <w:r>
        <w:rPr>
          <w:rFonts w:ascii="Times New Roman" w:hAnsi="Times New Roman" w:cs="Times New Roman"/>
        </w:rPr>
        <w:t xml:space="preserve">urchase one Subordinated Voting </w:t>
      </w:r>
      <w:r w:rsidRPr="003A63A6">
        <w:rPr>
          <w:rFonts w:ascii="Times New Roman" w:hAnsi="Times New Roman" w:cs="Times New Roman"/>
        </w:rPr>
        <w:t>Share at a price of $1.40 for a period of 36 months from the Closing D</w:t>
      </w:r>
      <w:r>
        <w:rPr>
          <w:rFonts w:ascii="Times New Roman" w:hAnsi="Times New Roman" w:cs="Times New Roman"/>
        </w:rPr>
        <w:t xml:space="preserve">ate (as defined below), subject </w:t>
      </w:r>
      <w:r w:rsidRPr="003A63A6">
        <w:rPr>
          <w:rFonts w:ascii="Times New Roman" w:hAnsi="Times New Roman" w:cs="Times New Roman"/>
        </w:rPr>
        <w:t>to the Accelerated Exercise Period (as defined below), after which time the Wa</w:t>
      </w:r>
      <w:r>
        <w:rPr>
          <w:rFonts w:ascii="Times New Roman" w:hAnsi="Times New Roman" w:cs="Times New Roman"/>
        </w:rPr>
        <w:t xml:space="preserve">rrants will be void </w:t>
      </w:r>
      <w:r w:rsidRPr="003A63A6">
        <w:rPr>
          <w:rFonts w:ascii="Times New Roman" w:hAnsi="Times New Roman" w:cs="Times New Roman"/>
        </w:rPr>
        <w:t>and of no value. If, at any time prior to the expiry date of the Warran</w:t>
      </w:r>
      <w:r>
        <w:rPr>
          <w:rFonts w:ascii="Times New Roman" w:hAnsi="Times New Roman" w:cs="Times New Roman"/>
        </w:rPr>
        <w:t xml:space="preserve">ts, the volume weighted average </w:t>
      </w:r>
      <w:r w:rsidRPr="003A63A6">
        <w:rPr>
          <w:rFonts w:ascii="Times New Roman" w:hAnsi="Times New Roman" w:cs="Times New Roman"/>
        </w:rPr>
        <w:t>trading price of the Subordinated Voting Shares on the Canadian Sec</w:t>
      </w:r>
      <w:r>
        <w:rPr>
          <w:rFonts w:ascii="Times New Roman" w:hAnsi="Times New Roman" w:cs="Times New Roman"/>
        </w:rPr>
        <w:t xml:space="preserve">urities Exchange (or such other </w:t>
      </w:r>
      <w:r w:rsidRPr="003A63A6">
        <w:rPr>
          <w:rFonts w:ascii="Times New Roman" w:hAnsi="Times New Roman" w:cs="Times New Roman"/>
        </w:rPr>
        <w:t>stock exchange where the Subordinated Voting Shares are then list</w:t>
      </w:r>
      <w:r>
        <w:rPr>
          <w:rFonts w:ascii="Times New Roman" w:hAnsi="Times New Roman" w:cs="Times New Roman"/>
        </w:rPr>
        <w:t xml:space="preserve">ed) is greater than or equal to </w:t>
      </w:r>
      <w:r w:rsidRPr="003A63A6">
        <w:rPr>
          <w:rFonts w:ascii="Times New Roman" w:hAnsi="Times New Roman" w:cs="Times New Roman"/>
        </w:rPr>
        <w:t xml:space="preserve">$2.50 for a period of 20 consecutive trading days, the Company may, </w:t>
      </w:r>
      <w:r>
        <w:rPr>
          <w:rFonts w:ascii="Times New Roman" w:hAnsi="Times New Roman" w:cs="Times New Roman"/>
        </w:rPr>
        <w:t xml:space="preserve">in its sole discretion, provide </w:t>
      </w:r>
      <w:r w:rsidRPr="003A63A6">
        <w:rPr>
          <w:rFonts w:ascii="Times New Roman" w:hAnsi="Times New Roman" w:cs="Times New Roman"/>
        </w:rPr>
        <w:t>written notice to the holders of the Warrants by way of a news release advising that the Warr</w:t>
      </w:r>
      <w:r>
        <w:rPr>
          <w:rFonts w:ascii="Times New Roman" w:hAnsi="Times New Roman" w:cs="Times New Roman"/>
        </w:rPr>
        <w:t xml:space="preserve">ants will </w:t>
      </w:r>
      <w:r w:rsidRPr="003A63A6">
        <w:rPr>
          <w:rFonts w:ascii="Times New Roman" w:hAnsi="Times New Roman" w:cs="Times New Roman"/>
        </w:rPr>
        <w:t xml:space="preserve">expire at 4:00 p.m. (Toronto Time) on the 30th day following the date </w:t>
      </w:r>
      <w:r>
        <w:rPr>
          <w:rFonts w:ascii="Times New Roman" w:hAnsi="Times New Roman" w:cs="Times New Roman"/>
        </w:rPr>
        <w:t xml:space="preserve">of such notice unless exercised </w:t>
      </w:r>
      <w:r w:rsidRPr="003A63A6">
        <w:rPr>
          <w:rFonts w:ascii="Times New Roman" w:hAnsi="Times New Roman" w:cs="Times New Roman"/>
        </w:rPr>
        <w:t>by the holders prior to such date (the “Accelerated Exercise Period”</w:t>
      </w:r>
      <w:r>
        <w:rPr>
          <w:rFonts w:ascii="Times New Roman" w:hAnsi="Times New Roman" w:cs="Times New Roman"/>
        </w:rPr>
        <w:t xml:space="preserve">). The Company intends to apply </w:t>
      </w:r>
      <w:r w:rsidRPr="003A63A6">
        <w:rPr>
          <w:rFonts w:ascii="Times New Roman" w:hAnsi="Times New Roman" w:cs="Times New Roman"/>
        </w:rPr>
        <w:t xml:space="preserve">to list the Warrants on the Canadian Securities Exchange. </w:t>
      </w:r>
    </w:p>
    <w:p w:rsidR="00B02BB5" w:rsidP="00B02BB5" w14:paraId="50A8B7DF" w14:textId="222DC2EB">
      <w:pPr>
        <w:spacing w:after="240" w:line="240" w:lineRule="auto"/>
        <w:ind w:left="288" w:right="288"/>
        <w:jc w:val="both"/>
        <w:rPr>
          <w:rFonts w:ascii="Times New Roman" w:hAnsi="Times New Roman" w:cs="Times New Roman"/>
          <w:color w:val="auto"/>
          <w:shd w:val="clear" w:color="auto" w:fill="auto"/>
        </w:rPr>
      </w:pPr>
      <w:r w:rsidRPr="00B02BB5">
        <w:rPr>
          <w:rFonts w:ascii="Times New Roman" w:hAnsi="Times New Roman" w:cs="Times New Roman"/>
        </w:rPr>
        <w:t>The Company has granted the Underwriters an option (the “Over-Allotment Option”), exercisable,</w:t>
      </w:r>
      <w:r>
        <w:rPr>
          <w:rFonts w:ascii="Times New Roman" w:hAnsi="Times New Roman" w:cs="Times New Roman"/>
        </w:rPr>
        <w:t xml:space="preserve"> </w:t>
      </w:r>
      <w:r w:rsidRPr="00B02BB5">
        <w:rPr>
          <w:rFonts w:ascii="Times New Roman" w:hAnsi="Times New Roman" w:cs="Times New Roman"/>
        </w:rPr>
        <w:t>in whole or in part, by Beacon, on behalf of the Underwriters, givi</w:t>
      </w:r>
      <w:r>
        <w:rPr>
          <w:rFonts w:ascii="Times New Roman" w:hAnsi="Times New Roman" w:cs="Times New Roman"/>
        </w:rPr>
        <w:t xml:space="preserve">ng notice to the Company at any </w:t>
      </w:r>
      <w:r w:rsidRPr="00B02BB5">
        <w:rPr>
          <w:rFonts w:ascii="Times New Roman" w:hAnsi="Times New Roman" w:cs="Times New Roman"/>
        </w:rPr>
        <w:t>time and from time to time up to 30 days following the Closin</w:t>
      </w:r>
      <w:r>
        <w:rPr>
          <w:rFonts w:ascii="Times New Roman" w:hAnsi="Times New Roman" w:cs="Times New Roman"/>
        </w:rPr>
        <w:t xml:space="preserve">g Date, to purchase, or to find </w:t>
      </w:r>
      <w:r w:rsidRPr="00B02BB5">
        <w:rPr>
          <w:rFonts w:ascii="Times New Roman" w:hAnsi="Times New Roman" w:cs="Times New Roman"/>
        </w:rPr>
        <w:t>substituted purchasers for, up to an additional number of Units</w:t>
      </w:r>
      <w:r>
        <w:rPr>
          <w:rFonts w:ascii="Times New Roman" w:hAnsi="Times New Roman" w:cs="Times New Roman"/>
        </w:rPr>
        <w:t xml:space="preserve"> equal to 15% of the Units sold </w:t>
      </w:r>
      <w:r w:rsidRPr="00B02BB5">
        <w:rPr>
          <w:rFonts w:ascii="Times New Roman" w:hAnsi="Times New Roman" w:cs="Times New Roman"/>
        </w:rPr>
        <w:t>pursuant to the Offering at the Offering Price to cover over-all</w:t>
      </w:r>
      <w:r>
        <w:rPr>
          <w:rFonts w:ascii="Times New Roman" w:hAnsi="Times New Roman" w:cs="Times New Roman"/>
        </w:rPr>
        <w:t xml:space="preserve">otments, if any, and for market </w:t>
      </w:r>
      <w:r w:rsidRPr="00B02BB5">
        <w:rPr>
          <w:rFonts w:ascii="Times New Roman" w:hAnsi="Times New Roman" w:cs="Times New Roman"/>
        </w:rPr>
        <w:t>stabilization purposes. The Over-Allotment Option shall b</w:t>
      </w:r>
      <w:r>
        <w:rPr>
          <w:rFonts w:ascii="Times New Roman" w:hAnsi="Times New Roman" w:cs="Times New Roman"/>
        </w:rPr>
        <w:t xml:space="preserve">e exercisable to acquire Units, </w:t>
      </w:r>
      <w:r w:rsidRPr="00B02BB5">
        <w:rPr>
          <w:rFonts w:ascii="Times New Roman" w:hAnsi="Times New Roman" w:cs="Times New Roman"/>
        </w:rPr>
        <w:t>Subordinated Voting Shares or Warrants (or any combination thereof), at the discretion of the</w:t>
      </w:r>
      <w:r>
        <w:rPr>
          <w:rFonts w:ascii="Times New Roman" w:hAnsi="Times New Roman" w:cs="Times New Roman"/>
        </w:rPr>
        <w:t xml:space="preserve"> </w:t>
      </w:r>
      <w:r w:rsidRPr="00B02BB5">
        <w:rPr>
          <w:rFonts w:ascii="Times New Roman" w:hAnsi="Times New Roman" w:cs="Times New Roman"/>
        </w:rPr>
        <w:t xml:space="preserve">Underwriters. </w:t>
      </w:r>
    </w:p>
    <w:p w:rsidR="0090230F" w:rsidRPr="00432FA5" w:rsidP="00B02BB5" w14:paraId="28FB2DDA" w14:textId="7C7C3AD3">
      <w:pPr>
        <w:spacing w:after="240" w:line="240" w:lineRule="auto"/>
        <w:ind w:left="288" w:right="288"/>
        <w:jc w:val="both"/>
        <w:rPr>
          <w:rFonts w:ascii="Times New Roman" w:hAnsi="Times New Roman" w:cs="Times New Roman"/>
          <w:color w:val="auto"/>
          <w:shd w:val="clear" w:color="auto" w:fill="auto"/>
        </w:rPr>
      </w:pPr>
      <w:r>
        <w:rPr>
          <w:rFonts w:ascii="Times New Roman" w:hAnsi="Times New Roman" w:cs="Times New Roman"/>
        </w:rPr>
        <w:t xml:space="preserve">As consideration for their services in connection with the Offering, the Underwriters will receive consideration comprised of (i) a cash fee equal to 7% of the gross proceeds of the Offering (subject to a reduced cash fee equal to 3.5% for those subscriptions identified on a president’s list), including proceeds received from the exercise of the Over-Allotment Option, and (ii) share purchase warrants (“Compensation Options”) to purchase up to 7% of the number of Units sold in the Offering (subject to a reduced number of Compensation Options equal to 3.5% of the Units sold to subscriptions identified on a president’s list), including any additional Units issued upon the Underwriters exercise of the Over-Allotment Option. Each Compensation Option will entitle the holder thereof to purchase one Subordinated Voting Share at the Offering Price for 36 months from the date of issuance.  The </w:t>
      </w:r>
      <w:r>
        <w:rPr>
          <w:rFonts w:ascii="Times New Roman" w:hAnsi="Times New Roman" w:cs="Times New Roman"/>
        </w:rPr>
        <w:t>Company has also agreed to pay the Underwriters a cash work fee of $100,000 and issue to the Underwriters 90,000 transferable work fee options (the “</w:t>
      </w:r>
      <w:r w:rsidRPr="005F684D">
        <w:rPr>
          <w:rFonts w:ascii="Times New Roman" w:hAnsi="Times New Roman" w:cs="Times New Roman"/>
          <w:b/>
        </w:rPr>
        <w:t>Work Fee Options</w:t>
      </w:r>
      <w:r>
        <w:rPr>
          <w:rFonts w:ascii="Times New Roman" w:hAnsi="Times New Roman" w:cs="Times New Roman"/>
        </w:rPr>
        <w:t>”) on completion of the Offering.  Each Work Fee Option will be exercisable to acquire one additional Subordinated Voting Share at the Offering Price for 36 months from the date of issuance.</w:t>
      </w:r>
    </w:p>
    <w:p w:rsidR="00B02BB5" w:rsidP="00B02BB5" w14:paraId="7DDEE033" w14:textId="4D26E30A">
      <w:pPr>
        <w:spacing w:after="240" w:line="240" w:lineRule="auto"/>
        <w:ind w:left="288" w:right="288"/>
        <w:jc w:val="both"/>
        <w:rPr>
          <w:rFonts w:ascii="Times New Roman" w:hAnsi="Times New Roman" w:cs="Times New Roman"/>
          <w:color w:val="auto"/>
          <w:shd w:val="clear" w:color="auto" w:fill="auto"/>
        </w:rPr>
      </w:pPr>
      <w:r w:rsidRPr="00B02BB5">
        <w:rPr>
          <w:rFonts w:ascii="Times New Roman" w:hAnsi="Times New Roman" w:cs="Times New Roman"/>
        </w:rPr>
        <w:t>Closing of the Offering is expected to</w:t>
      </w:r>
      <w:r>
        <w:rPr>
          <w:rFonts w:ascii="Times New Roman" w:hAnsi="Times New Roman" w:cs="Times New Roman"/>
        </w:rPr>
        <w:t xml:space="preserve"> </w:t>
      </w:r>
      <w:r w:rsidRPr="00B02BB5">
        <w:rPr>
          <w:rFonts w:ascii="Times New Roman" w:hAnsi="Times New Roman" w:cs="Times New Roman"/>
        </w:rPr>
        <w:t>occur on or about February 3, 2021 (the “Closing Date”) and is subject to a number of conditions,</w:t>
      </w:r>
      <w:r>
        <w:rPr>
          <w:rFonts w:ascii="Times New Roman" w:hAnsi="Times New Roman" w:cs="Times New Roman"/>
        </w:rPr>
        <w:t xml:space="preserve"> </w:t>
      </w:r>
      <w:r w:rsidRPr="00B02BB5">
        <w:rPr>
          <w:rFonts w:ascii="Times New Roman" w:hAnsi="Times New Roman" w:cs="Times New Roman"/>
        </w:rPr>
        <w:t>including without limitation, receipt of all regulatory approvals. There can be no assurance as to</w:t>
      </w:r>
      <w:r>
        <w:rPr>
          <w:rFonts w:ascii="Times New Roman" w:hAnsi="Times New Roman" w:cs="Times New Roman"/>
        </w:rPr>
        <w:t xml:space="preserve"> </w:t>
      </w:r>
      <w:r w:rsidRPr="00B02BB5">
        <w:rPr>
          <w:rFonts w:ascii="Times New Roman" w:hAnsi="Times New Roman" w:cs="Times New Roman"/>
        </w:rPr>
        <w:t>whether or when t</w:t>
      </w:r>
      <w:r>
        <w:rPr>
          <w:rFonts w:ascii="Times New Roman" w:hAnsi="Times New Roman" w:cs="Times New Roman"/>
        </w:rPr>
        <w:t xml:space="preserve">he Offering will be completed. </w:t>
      </w:r>
    </w:p>
    <w:p w:rsidR="00C43072" w:rsidP="00771B9F" w14:paraId="2DB77D08" w14:textId="112E5D60">
      <w:pPr>
        <w:spacing w:after="240" w:line="240" w:lineRule="auto"/>
        <w:ind w:left="288" w:right="288"/>
        <w:jc w:val="both"/>
        <w:rPr>
          <w:rFonts w:ascii="Times New Roman" w:hAnsi="Times New Roman" w:cs="Times New Roman"/>
          <w:color w:val="auto"/>
          <w:shd w:val="clear" w:color="auto" w:fill="auto"/>
        </w:rPr>
      </w:pPr>
      <w:r>
        <w:rPr>
          <w:rFonts w:ascii="Times New Roman" w:hAnsi="Times New Roman" w:cs="Times New Roman"/>
        </w:rPr>
        <w:t xml:space="preserve">In addition to the Offering, the Company intends to complete a concurrent non-brokered private placement of up to 1,785,715 Units for </w:t>
      </w:r>
      <w:r w:rsidRPr="00637671">
        <w:rPr>
          <w:rFonts w:ascii="Times New Roman" w:hAnsi="Times New Roman" w:cs="Times New Roman"/>
        </w:rPr>
        <w:t xml:space="preserve">aggregate gross proceeds of </w:t>
      </w:r>
      <w:r>
        <w:rPr>
          <w:rFonts w:ascii="Times New Roman" w:hAnsi="Times New Roman" w:cs="Times New Roman"/>
        </w:rPr>
        <w:t>up to approximately $2</w:t>
      </w:r>
      <w:r w:rsidR="00AC01D7">
        <w:rPr>
          <w:rFonts w:ascii="Times New Roman" w:hAnsi="Times New Roman" w:cs="Times New Roman"/>
        </w:rPr>
        <w:t xml:space="preserve"> million,</w:t>
      </w:r>
      <w:r>
        <w:rPr>
          <w:rFonts w:ascii="Times New Roman" w:hAnsi="Times New Roman" w:cs="Times New Roman"/>
        </w:rPr>
        <w:t xml:space="preserve"> on or prior to the Closing Date (the “</w:t>
      </w:r>
      <w:r w:rsidRPr="00CF3408">
        <w:rPr>
          <w:rFonts w:ascii="Times New Roman" w:hAnsi="Times New Roman" w:cs="Times New Roman"/>
          <w:b/>
        </w:rPr>
        <w:t>Concurrent Private Placement</w:t>
      </w:r>
      <w:r>
        <w:rPr>
          <w:rFonts w:ascii="Times New Roman" w:hAnsi="Times New Roman" w:cs="Times New Roman"/>
        </w:rPr>
        <w:t xml:space="preserve">”).  Subscribers subscribing under the Concurrent Private Placement will be purchasing Units, on a non-brokered private placement basis, pursuant to exemptions from the prospectus requirements under applicable securities laws.  The Units issued pursuant to the Concurrent Private Placement will be subject to a four-month statutory hold period from the date of issue, subject to certain exempt trades permitted by applicable securities legislation.  The Underwriters are not acting in connection with, and no fee or commission will be paid to the Underwriters in respect of, the Units issued under the Concurrent Private Placement.  Closing of the Concurrent Private Placement is subject to </w:t>
      </w:r>
      <w:r w:rsidRPr="00B02BB5">
        <w:rPr>
          <w:rFonts w:ascii="Times New Roman" w:hAnsi="Times New Roman" w:cs="Times New Roman"/>
        </w:rPr>
        <w:t>a number of conditions,</w:t>
      </w:r>
      <w:r>
        <w:rPr>
          <w:rFonts w:ascii="Times New Roman" w:hAnsi="Times New Roman" w:cs="Times New Roman"/>
        </w:rPr>
        <w:t xml:space="preserve"> </w:t>
      </w:r>
      <w:r w:rsidRPr="00B02BB5">
        <w:rPr>
          <w:rFonts w:ascii="Times New Roman" w:hAnsi="Times New Roman" w:cs="Times New Roman"/>
        </w:rPr>
        <w:t>including without limitation, receipt of all regulatory approvals.</w:t>
      </w:r>
    </w:p>
    <w:p w:rsidR="00532D6E" w:rsidP="00B02BB5" w14:paraId="30043445" w14:textId="7BC50263">
      <w:pPr>
        <w:spacing w:after="240" w:line="240" w:lineRule="auto"/>
        <w:ind w:left="288" w:right="288"/>
        <w:jc w:val="both"/>
        <w:rPr>
          <w:rFonts w:ascii="Times New Roman" w:hAnsi="Times New Roman" w:cs="Times New Roman"/>
          <w:color w:val="auto"/>
          <w:shd w:val="clear" w:color="auto" w:fill="auto"/>
        </w:rPr>
      </w:pPr>
      <w:r w:rsidRPr="00B02BB5">
        <w:rPr>
          <w:rFonts w:ascii="Times New Roman" w:hAnsi="Times New Roman" w:cs="Times New Roman"/>
        </w:rPr>
        <w:t>The proceeds raised from the sale of Units under the Offering</w:t>
      </w:r>
      <w:r>
        <w:rPr>
          <w:rFonts w:ascii="Times New Roman" w:hAnsi="Times New Roman" w:cs="Times New Roman"/>
        </w:rPr>
        <w:t xml:space="preserve"> and the Concurrent Private Placement</w:t>
      </w:r>
      <w:r w:rsidRPr="00B02BB5">
        <w:rPr>
          <w:rFonts w:ascii="Times New Roman" w:hAnsi="Times New Roman" w:cs="Times New Roman"/>
        </w:rPr>
        <w:t xml:space="preserve"> are expected to be used by the</w:t>
      </w:r>
      <w:r>
        <w:rPr>
          <w:rFonts w:ascii="Times New Roman" w:hAnsi="Times New Roman" w:cs="Times New Roman"/>
        </w:rPr>
        <w:t xml:space="preserve"> </w:t>
      </w:r>
      <w:r w:rsidRPr="00B02BB5">
        <w:rPr>
          <w:rFonts w:ascii="Times New Roman" w:hAnsi="Times New Roman" w:cs="Times New Roman"/>
        </w:rPr>
        <w:t xml:space="preserve">Company </w:t>
      </w:r>
      <w:r>
        <w:rPr>
          <w:rFonts w:ascii="Times New Roman" w:hAnsi="Times New Roman" w:cs="Times New Roman"/>
        </w:rPr>
        <w:t>for corporate expansion projects and general corporate purposes</w:t>
      </w:r>
      <w:r w:rsidRPr="00B02BB5">
        <w:rPr>
          <w:rFonts w:ascii="Times New Roman" w:hAnsi="Times New Roman" w:cs="Times New Roman"/>
        </w:rPr>
        <w:t xml:space="preserve">. </w:t>
      </w:r>
      <w:r>
        <w:rPr>
          <w:rFonts w:ascii="Times New Roman" w:hAnsi="Times New Roman" w:cs="Times New Roman"/>
        </w:rPr>
        <w:t xml:space="preserve"> </w:t>
      </w:r>
    </w:p>
    <w:p w:rsidR="00B02BB5" w:rsidP="00B02BB5" w14:paraId="6ED53FE1" w14:textId="77777777">
      <w:pPr>
        <w:keepNext/>
        <w:spacing w:after="240" w:line="240" w:lineRule="auto"/>
        <w:ind w:left="288" w:right="288"/>
        <w:jc w:val="both"/>
        <w:rPr>
          <w:rFonts w:ascii="Times New Roman" w:hAnsi="Times New Roman" w:cs="Times New Roman"/>
          <w:color w:val="auto"/>
          <w:shd w:val="clear" w:color="auto" w:fill="auto"/>
        </w:rPr>
      </w:pPr>
      <w:r w:rsidRPr="00B02BB5">
        <w:rPr>
          <w:rFonts w:ascii="Times New Roman" w:hAnsi="Times New Roman" w:cs="Times New Roman"/>
        </w:rPr>
        <w:t>The Units, Subordinated Voting Shares and Warrants being offered have not been, nor will they be,</w:t>
      </w:r>
      <w:r>
        <w:rPr>
          <w:rFonts w:ascii="Times New Roman" w:hAnsi="Times New Roman" w:cs="Times New Roman"/>
        </w:rPr>
        <w:t xml:space="preserve"> </w:t>
      </w:r>
      <w:r w:rsidRPr="00B02BB5">
        <w:rPr>
          <w:rFonts w:ascii="Times New Roman" w:hAnsi="Times New Roman" w:cs="Times New Roman"/>
        </w:rPr>
        <w:t xml:space="preserve">registered under the U.S. Securities Act and may not be offered or sold </w:t>
      </w:r>
      <w:r>
        <w:rPr>
          <w:rFonts w:ascii="Times New Roman" w:hAnsi="Times New Roman" w:cs="Times New Roman"/>
        </w:rPr>
        <w:t xml:space="preserve">in the United States or to, or  </w:t>
      </w:r>
      <w:r w:rsidRPr="00B02BB5">
        <w:rPr>
          <w:rFonts w:ascii="Times New Roman" w:hAnsi="Times New Roman" w:cs="Times New Roman"/>
        </w:rPr>
        <w:t>for the account or benefit of, “U.S. persons” (as those terms are de</w:t>
      </w:r>
      <w:r>
        <w:rPr>
          <w:rFonts w:ascii="Times New Roman" w:hAnsi="Times New Roman" w:cs="Times New Roman"/>
        </w:rPr>
        <w:t xml:space="preserve">fined in Regulation S under the </w:t>
      </w:r>
      <w:r w:rsidRPr="00B02BB5">
        <w:rPr>
          <w:rFonts w:ascii="Times New Roman" w:hAnsi="Times New Roman" w:cs="Times New Roman"/>
        </w:rPr>
        <w:t>United States Securities Act of 1933, as amended (the “U.S. Securitie</w:t>
      </w:r>
      <w:r>
        <w:rPr>
          <w:rFonts w:ascii="Times New Roman" w:hAnsi="Times New Roman" w:cs="Times New Roman"/>
        </w:rPr>
        <w:t xml:space="preserve">s Act”)) absent registration or </w:t>
      </w:r>
      <w:r w:rsidRPr="00B02BB5">
        <w:rPr>
          <w:rFonts w:ascii="Times New Roman" w:hAnsi="Times New Roman" w:cs="Times New Roman"/>
        </w:rPr>
        <w:t>an applicable exemption from the registration requirements of the U.S</w:t>
      </w:r>
      <w:r>
        <w:rPr>
          <w:rFonts w:ascii="Times New Roman" w:hAnsi="Times New Roman" w:cs="Times New Roman"/>
        </w:rPr>
        <w:t xml:space="preserve">. Securities Act and applicable </w:t>
      </w:r>
      <w:r w:rsidRPr="00B02BB5">
        <w:rPr>
          <w:rFonts w:ascii="Times New Roman" w:hAnsi="Times New Roman" w:cs="Times New Roman"/>
        </w:rPr>
        <w:t>state securities laws. The Units may be offered and sold in the United St</w:t>
      </w:r>
      <w:r>
        <w:rPr>
          <w:rFonts w:ascii="Times New Roman" w:hAnsi="Times New Roman" w:cs="Times New Roman"/>
        </w:rPr>
        <w:t xml:space="preserve">ates to Qualified Institutional </w:t>
      </w:r>
      <w:r w:rsidRPr="00B02BB5">
        <w:rPr>
          <w:rFonts w:ascii="Times New Roman" w:hAnsi="Times New Roman" w:cs="Times New Roman"/>
        </w:rPr>
        <w:t>Buyers (as defined in Rule 144A under the United States Securiti</w:t>
      </w:r>
      <w:r>
        <w:rPr>
          <w:rFonts w:ascii="Times New Roman" w:hAnsi="Times New Roman" w:cs="Times New Roman"/>
        </w:rPr>
        <w:t xml:space="preserve">es Act of 1933, as amended (the </w:t>
      </w:r>
      <w:r w:rsidRPr="00B02BB5">
        <w:rPr>
          <w:rFonts w:ascii="Times New Roman" w:hAnsi="Times New Roman" w:cs="Times New Roman"/>
        </w:rPr>
        <w:t>“U.S. Securities Act”)) and to “accredited investors” (as defined</w:t>
      </w:r>
      <w:r>
        <w:rPr>
          <w:rFonts w:ascii="Times New Roman" w:hAnsi="Times New Roman" w:cs="Times New Roman"/>
        </w:rPr>
        <w:t xml:space="preserve"> in Rule 501(a) of Regulation D </w:t>
      </w:r>
      <w:r w:rsidRPr="00B02BB5">
        <w:rPr>
          <w:rFonts w:ascii="Times New Roman" w:hAnsi="Times New Roman" w:cs="Times New Roman"/>
        </w:rPr>
        <w:t>under the U.S. Securities Act), in each case by way of private pla</w:t>
      </w:r>
      <w:r>
        <w:rPr>
          <w:rFonts w:ascii="Times New Roman" w:hAnsi="Times New Roman" w:cs="Times New Roman"/>
        </w:rPr>
        <w:t xml:space="preserve">cement pursuant to an exemption </w:t>
      </w:r>
      <w:r w:rsidRPr="00B02BB5">
        <w:rPr>
          <w:rFonts w:ascii="Times New Roman" w:hAnsi="Times New Roman" w:cs="Times New Roman"/>
        </w:rPr>
        <w:t xml:space="preserve">from the registration requirements of the U.S. Securities Act and pursuant to any </w:t>
      </w:r>
      <w:r>
        <w:rPr>
          <w:rFonts w:ascii="Times New Roman" w:hAnsi="Times New Roman" w:cs="Times New Roman"/>
        </w:rPr>
        <w:t xml:space="preserve">applicable securities </w:t>
      </w:r>
      <w:r w:rsidRPr="00B02BB5">
        <w:rPr>
          <w:rFonts w:ascii="Times New Roman" w:hAnsi="Times New Roman" w:cs="Times New Roman"/>
        </w:rPr>
        <w:t>laws of any state of the United States. Any Units offered and sold in th</w:t>
      </w:r>
      <w:r>
        <w:rPr>
          <w:rFonts w:ascii="Times New Roman" w:hAnsi="Times New Roman" w:cs="Times New Roman"/>
        </w:rPr>
        <w:t xml:space="preserve">e United States shall be issued </w:t>
      </w:r>
      <w:r w:rsidRPr="00B02BB5">
        <w:rPr>
          <w:rFonts w:ascii="Times New Roman" w:hAnsi="Times New Roman" w:cs="Times New Roman"/>
        </w:rPr>
        <w:t xml:space="preserve">as “restricted securities” (as defined in Rule 144(a)(3) </w:t>
      </w:r>
      <w:r>
        <w:rPr>
          <w:rFonts w:ascii="Times New Roman" w:hAnsi="Times New Roman" w:cs="Times New Roman"/>
        </w:rPr>
        <w:t>under the U.S. Securities Act).</w:t>
      </w:r>
    </w:p>
    <w:p w:rsidR="00B02BB5" w:rsidP="00B02BB5" w14:paraId="78C3B9C8" w14:textId="77777777">
      <w:pPr>
        <w:keepNext/>
        <w:spacing w:after="240" w:line="240" w:lineRule="auto"/>
        <w:ind w:left="288" w:right="288"/>
        <w:jc w:val="both"/>
        <w:rPr>
          <w:rFonts w:ascii="Times New Roman" w:hAnsi="Times New Roman" w:cs="Times New Roman"/>
          <w:color w:val="auto"/>
          <w:shd w:val="clear" w:color="auto" w:fill="auto"/>
        </w:rPr>
      </w:pPr>
      <w:r w:rsidRPr="00B02BB5">
        <w:rPr>
          <w:rFonts w:ascii="Times New Roman" w:hAnsi="Times New Roman" w:cs="Times New Roman"/>
        </w:rPr>
        <w:t>This news release shall not constitute an offer to sell or the solicitatio</w:t>
      </w:r>
      <w:r>
        <w:rPr>
          <w:rFonts w:ascii="Times New Roman" w:hAnsi="Times New Roman" w:cs="Times New Roman"/>
        </w:rPr>
        <w:t xml:space="preserve">n of an offer to buy, nor shall </w:t>
      </w:r>
      <w:r w:rsidRPr="00B02BB5">
        <w:rPr>
          <w:rFonts w:ascii="Times New Roman" w:hAnsi="Times New Roman" w:cs="Times New Roman"/>
        </w:rPr>
        <w:t>there be any sale of the securities in any jurisdiction in which such of</w:t>
      </w:r>
      <w:r>
        <w:rPr>
          <w:rFonts w:ascii="Times New Roman" w:hAnsi="Times New Roman" w:cs="Times New Roman"/>
        </w:rPr>
        <w:t xml:space="preserve">fer, solicitation or sale would </w:t>
      </w:r>
      <w:r w:rsidRPr="00B02BB5">
        <w:rPr>
          <w:rFonts w:ascii="Times New Roman" w:hAnsi="Times New Roman" w:cs="Times New Roman"/>
        </w:rPr>
        <w:t xml:space="preserve">be unlawful. </w:t>
      </w:r>
    </w:p>
    <w:p w:rsidR="0090230F" w:rsidRPr="00B02BB5" w:rsidP="00B02BB5" w14:paraId="72D32027" w14:textId="07AFA7C4">
      <w:pPr>
        <w:keepNext/>
        <w:spacing w:after="240" w:line="240" w:lineRule="auto"/>
        <w:ind w:left="288" w:right="288"/>
        <w:jc w:val="both"/>
        <w:rPr>
          <w:rFonts w:ascii="Times New Roman" w:hAnsi="Times New Roman" w:cs="Times New Roman"/>
          <w:color w:val="000000"/>
          <w:shd w:val="clear" w:color="auto" w:fill="auto"/>
        </w:rPr>
      </w:pPr>
      <w:r w:rsidRPr="00432FA5">
        <w:rPr>
          <w:rFonts w:ascii="Times New Roman" w:hAnsi="Times New Roman" w:cs="Times New Roman"/>
          <w:b/>
          <w:bCs/>
        </w:rPr>
        <w:t xml:space="preserve">About </w:t>
      </w:r>
      <w:r w:rsidRPr="00432FA5">
        <w:rPr>
          <w:rFonts w:ascii="Times New Roman" w:eastAsia="Times New Roman" w:hAnsi="Times New Roman" w:cs="Times New Roman"/>
          <w:b/>
          <w:bCs/>
          <w:color w:val="000000"/>
        </w:rPr>
        <w:t>Vext Science</w:t>
      </w:r>
    </w:p>
    <w:p w:rsidR="0090230F" w:rsidP="0090230F" w14:paraId="28855A1A" w14:textId="3AC0EFC3">
      <w:pPr>
        <w:spacing w:after="240" w:line="240" w:lineRule="auto"/>
        <w:ind w:left="288" w:right="288"/>
        <w:jc w:val="both"/>
        <w:rPr>
          <w:rFonts w:ascii="Times New Roman" w:hAnsi="Times New Roman" w:cs="Times New Roman"/>
          <w:bCs/>
          <w:color w:val="auto"/>
          <w:shd w:val="clear" w:color="auto" w:fill="auto"/>
        </w:rPr>
      </w:pPr>
      <w:r w:rsidRPr="00432FA5">
        <w:rPr>
          <w:rFonts w:ascii="Times New Roman" w:hAnsi="Times New Roman" w:cs="Times New Roman"/>
          <w:bCs/>
        </w:rPr>
        <w:t xml:space="preserve">Vext Science, Inc. is a vertically integrated US Cannabis THC and Hemp cannabinoid products company, manufacturing THC cartridges, concentrates, edibles, and accessories under the Vapen™ Brand, and Hemp based products under the Pure Touch Botanicals brand as well as the Vapen CBD brand.  Based in Arizona, Vext Science, Inc. has one of the leading THC concentrates, edibles, and distillate cartridge brands sold in most of the state's 100+ dispensaries. Herbal Wellness Center dispensaries are among Arizona’s leading dispensaries and we execute all aspects of the cultivation, extraction, edibles infusion and manufacturing processes which insures a product of the highest quality and purity.  Quality, accessibility and efficacy are among our most essential core values.  Vext Science, Inc. continues to grow and expand throughout the U.S. and internationally, by utilizing its knowledge, experience and expertise in extractions, product manufacturing, and marketing, </w:t>
      </w:r>
      <w:r w:rsidRPr="00432FA5">
        <w:rPr>
          <w:rFonts w:ascii="Times New Roman" w:hAnsi="Times New Roman" w:cs="Times New Roman"/>
          <w:bCs/>
        </w:rPr>
        <w:t xml:space="preserve">including through various revenue and profit-sharing joint venture partnerships. For more information visit our website at </w:t>
      </w:r>
      <w:r>
        <w:fldChar w:fldCharType="begin"/>
      </w:r>
      <w:r>
        <w:instrText xml:space="preserve"> HYPERLINK "http://www.VextScience.com" </w:instrText>
      </w:r>
      <w:r>
        <w:fldChar w:fldCharType="separate"/>
      </w:r>
      <w:r w:rsidRPr="00432FA5">
        <w:rPr>
          <w:rStyle w:val="Hyperlink"/>
          <w:rFonts w:ascii="Times New Roman" w:hAnsi="Times New Roman" w:cs="Times New Roman"/>
          <w:bCs/>
        </w:rPr>
        <w:t>www.VextScience.com</w:t>
      </w:r>
      <w:r>
        <w:fldChar w:fldCharType="end"/>
      </w:r>
      <w:r w:rsidRPr="00432FA5">
        <w:rPr>
          <w:rFonts w:ascii="Times New Roman" w:hAnsi="Times New Roman" w:cs="Times New Roman"/>
          <w:bCs/>
        </w:rPr>
        <w:t>.</w:t>
      </w:r>
    </w:p>
    <w:p w:rsidR="0090230F" w:rsidRPr="00432FA5" w:rsidP="0090230F" w14:paraId="1EDE5A82" w14:textId="77777777">
      <w:pPr>
        <w:spacing w:after="240" w:line="240" w:lineRule="auto"/>
        <w:ind w:left="288" w:right="288"/>
        <w:jc w:val="both"/>
        <w:rPr>
          <w:rFonts w:ascii="Times New Roman" w:hAnsi="Times New Roman" w:cs="Times New Roman"/>
          <w:bCs/>
          <w:color w:val="auto"/>
          <w:shd w:val="clear" w:color="auto" w:fill="auto"/>
        </w:rPr>
      </w:pPr>
      <w:r w:rsidRPr="00432FA5">
        <w:rPr>
          <w:rFonts w:ascii="Times New Roman" w:hAnsi="Times New Roman" w:cs="Times New Roman"/>
          <w:b/>
          <w:bCs/>
        </w:rPr>
        <w:t>COVID-19 Risk Factor</w:t>
      </w:r>
    </w:p>
    <w:p w:rsidR="0090230F" w:rsidRPr="00432FA5" w:rsidP="0090230F" w14:paraId="5342F681" w14:textId="0C79154F">
      <w:pPr>
        <w:spacing w:after="240" w:line="240" w:lineRule="auto"/>
        <w:ind w:left="288" w:right="288"/>
        <w:jc w:val="both"/>
        <w:rPr>
          <w:rFonts w:ascii="Times New Roman" w:hAnsi="Times New Roman" w:cs="Times New Roman"/>
          <w:bCs/>
          <w:color w:val="auto"/>
          <w:shd w:val="clear" w:color="auto" w:fill="auto"/>
        </w:rPr>
      </w:pPr>
      <w:r w:rsidRPr="00432FA5">
        <w:rPr>
          <w:rFonts w:ascii="Times New Roman" w:hAnsi="Times New Roman" w:cs="Times New Roman"/>
          <w:bCs/>
        </w:rPr>
        <w:t xml:space="preserve">VEXT 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VEXT by causing operating, manufacturing, supply chain, and project development delays and disruptions, labor shortages, travel, and shipping disruption and shutdowns (including as a result of government regulation and prevention measures). It is unknown whether and how VEXT may be affected if such a pandemic persists for an extended period of time, including as a result of the waiver of regulatory requirements or the implementation of emergency regulations to which VEXT is subject. Although certain VEXT facilities have been deemed essential and/or have been permitted to continue operating during the pendency of the COVID-19 pandemic, there is no assurance that all of the Company's operations will be deemed essential and/or will continue to be permitted to operate. VEXT may incur expenses or delays relating to such events outside of its control, which could have a material adverse impact on its business, operating results, financial condition, and the trading price of the Company's </w:t>
      </w:r>
      <w:r>
        <w:rPr>
          <w:rFonts w:ascii="Times New Roman" w:hAnsi="Times New Roman" w:cs="Times New Roman"/>
          <w:bCs/>
        </w:rPr>
        <w:t>Subordinated Voting Shares or any other securities of VEXT</w:t>
      </w:r>
      <w:r w:rsidRPr="00432FA5">
        <w:rPr>
          <w:rFonts w:ascii="Times New Roman" w:hAnsi="Times New Roman" w:cs="Times New Roman"/>
          <w:bCs/>
        </w:rPr>
        <w:t>.</w:t>
      </w:r>
    </w:p>
    <w:p w:rsidR="0090230F" w:rsidRPr="00432FA5" w:rsidP="0090230F" w14:paraId="4AF7A56E" w14:textId="77777777">
      <w:pPr>
        <w:spacing w:after="240" w:line="240" w:lineRule="auto"/>
        <w:ind w:left="288" w:right="288"/>
        <w:jc w:val="both"/>
        <w:rPr>
          <w:rFonts w:ascii="Times New Roman" w:hAnsi="Times New Roman" w:cs="Times New Roman"/>
          <w:b/>
          <w:bCs/>
          <w:color w:val="auto"/>
          <w:shd w:val="clear" w:color="auto" w:fill="auto"/>
        </w:rPr>
      </w:pPr>
      <w:r w:rsidRPr="00432FA5">
        <w:rPr>
          <w:rFonts w:ascii="Times New Roman" w:hAnsi="Times New Roman" w:cs="Times New Roman"/>
          <w:b/>
          <w:bCs/>
        </w:rPr>
        <w:t>Forward Looking Statements</w:t>
      </w:r>
    </w:p>
    <w:p w:rsidR="0090230F" w:rsidRPr="00432FA5" w:rsidP="0090230F" w14:paraId="19923C63" w14:textId="0ABE2E0C">
      <w:pPr>
        <w:pStyle w:val="NormalWeb"/>
        <w:spacing w:before="0" w:beforeAutospacing="0" w:after="240" w:afterAutospacing="0"/>
        <w:ind w:left="288" w:right="288"/>
        <w:jc w:val="both"/>
        <w:rPr>
          <w:i/>
          <w:color w:val="000000"/>
          <w:sz w:val="22"/>
          <w:szCs w:val="22"/>
          <w:shd w:val="clear" w:color="auto" w:fill="auto"/>
          <w:lang w:val="en-US"/>
        </w:rPr>
      </w:pPr>
      <w:r w:rsidRPr="00432FA5">
        <w:rPr>
          <w:i/>
          <w:color w:val="000000"/>
          <w:sz w:val="22"/>
          <w:szCs w:val="22"/>
          <w:lang w:val="en-US"/>
        </w:rPr>
        <w:t>This news release contains “forward-looking statements”, including with respect to the proposed terms of the Offering</w:t>
      </w:r>
      <w:r>
        <w:rPr>
          <w:i/>
          <w:color w:val="000000"/>
          <w:sz w:val="22"/>
          <w:szCs w:val="22"/>
          <w:lang w:val="en-US"/>
        </w:rPr>
        <w:t>, Concurrent Private Placement</w:t>
      </w:r>
      <w:r w:rsidRPr="00432FA5">
        <w:rPr>
          <w:i/>
          <w:color w:val="000000"/>
          <w:sz w:val="22"/>
          <w:szCs w:val="22"/>
          <w:lang w:val="en-US"/>
        </w:rPr>
        <w:t xml:space="preserve"> and the proposed use of proceeds. Wherever possible, words such as “may”, “would”, “could“, “should”, “will”, “anticipate”, “believe”, “plan”, “expect”, “intend”, “estimate”, “potential for” and similar expressions have been used to identify these forward-looking statements. These forward-looking statements reflect the current expectations of the Company’s management for future growth, results of operations, performance and business prospects and opportunities and involve significant known and unknown risks, uncertainties and assumptions, including, without limitation, those listed in the annual information form of the Company dated September 17, 2020, the Prospectus and the other filings made by the Company with the Canadian securities regulatory authorities (which may be viewed at www.sedar.com). Should one or more of these risks or uncertainties materialize or should assumptions underlying the forward-looking statements prove incorrect, actual results, performance or achievements may vary materially from those expressed or implied by the forward-looking statements contained in this news release. These factors should be considered carefully, and prospective investors should not place undue reliance on the forward-looking statements. The Company disclaims any intention or obligation to revise forward-looking statements whether as a result of new information, future developments or otherwise, except as required by law.</w:t>
      </w:r>
    </w:p>
    <w:p w:rsidR="0090230F" w:rsidRPr="00432FA5" w:rsidP="0090230F" w14:paraId="1A236A20" w14:textId="77777777">
      <w:pPr>
        <w:pStyle w:val="NormalWeb"/>
        <w:spacing w:before="0" w:beforeAutospacing="0" w:after="240" w:afterAutospacing="0"/>
        <w:ind w:left="288" w:right="288"/>
        <w:jc w:val="both"/>
        <w:rPr>
          <w:b/>
          <w:color w:val="000000"/>
          <w:sz w:val="22"/>
          <w:szCs w:val="22"/>
          <w:shd w:val="clear" w:color="auto" w:fill="auto"/>
          <w:lang w:val="en-US"/>
        </w:rPr>
      </w:pPr>
      <w:r w:rsidRPr="00432FA5">
        <w:rPr>
          <w:b/>
          <w:color w:val="000000"/>
          <w:sz w:val="22"/>
          <w:szCs w:val="22"/>
          <w:lang w:val="en-US"/>
        </w:rPr>
        <w:t>The Canadian Securities Exchange has not reviewed, approved, or disapproved the content of this news release.</w:t>
      </w:r>
    </w:p>
    <w:p w:rsidR="0090230F" w:rsidRPr="00432FA5" w:rsidP="0090230F" w14:paraId="5BAAFE07" w14:textId="77777777">
      <w:pPr>
        <w:pStyle w:val="NormalWeb"/>
        <w:spacing w:before="0" w:beforeAutospacing="0" w:after="240" w:afterAutospacing="0"/>
        <w:ind w:left="288" w:right="288"/>
        <w:rPr>
          <w:b/>
          <w:color w:val="000000"/>
          <w:sz w:val="22"/>
          <w:szCs w:val="22"/>
          <w:shd w:val="clear" w:color="auto" w:fill="auto"/>
          <w:lang w:val="en-US"/>
        </w:rPr>
      </w:pPr>
      <w:r w:rsidRPr="00432FA5">
        <w:rPr>
          <w:b/>
          <w:color w:val="000000"/>
          <w:sz w:val="22"/>
          <w:szCs w:val="22"/>
          <w:lang w:val="en-US"/>
        </w:rPr>
        <w:t>Eric Offenberger</w:t>
      </w:r>
      <w:r>
        <w:rPr>
          <w:b/>
          <w:color w:val="000000"/>
          <w:sz w:val="22"/>
          <w:szCs w:val="22"/>
          <w:lang w:val="en-US"/>
        </w:rPr>
        <w:br/>
      </w:r>
      <w:r w:rsidRPr="00432FA5">
        <w:rPr>
          <w:b/>
          <w:color w:val="000000"/>
          <w:sz w:val="22"/>
          <w:szCs w:val="22"/>
          <w:lang w:val="en-US"/>
        </w:rPr>
        <w:t>Chief Executive Officer</w:t>
      </w:r>
    </w:p>
    <w:p w:rsidR="00C46122" w:rsidRPr="00435730" w:rsidP="0090230F" w14:paraId="2F285BF2" w14:textId="49E0396B">
      <w:pPr>
        <w:pStyle w:val="NormalWeb"/>
        <w:spacing w:before="0" w:beforeAutospacing="0" w:after="240" w:afterAutospacing="0"/>
        <w:ind w:left="288" w:right="288"/>
        <w:rPr>
          <w:color w:val="000000"/>
          <w:sz w:val="22"/>
          <w:szCs w:val="22"/>
          <w:shd w:val="clear" w:color="auto" w:fill="auto"/>
          <w:lang w:val="en-US"/>
        </w:rPr>
      </w:pPr>
      <w:r w:rsidRPr="00432FA5">
        <w:rPr>
          <w:b/>
          <w:color w:val="000000"/>
          <w:sz w:val="22"/>
          <w:szCs w:val="22"/>
          <w:lang w:val="en-US"/>
        </w:rPr>
        <w:t>For further information</w:t>
      </w:r>
      <w:r w:rsidRPr="00432FA5">
        <w:rPr>
          <w:color w:val="000000"/>
          <w:sz w:val="22"/>
          <w:szCs w:val="22"/>
          <w:lang w:val="en-US"/>
        </w:rPr>
        <w:t>: Jonathan Ross, VEXT Investor Relations,</w:t>
      </w:r>
      <w:r>
        <w:rPr>
          <w:color w:val="000000"/>
          <w:sz w:val="22"/>
          <w:szCs w:val="22"/>
          <w:lang w:val="en-US"/>
        </w:rPr>
        <w:br/>
      </w:r>
      <w:r w:rsidRPr="00432FA5">
        <w:rPr>
          <w:color w:val="000000"/>
          <w:sz w:val="22"/>
          <w:szCs w:val="22"/>
          <w:lang w:val="en-US"/>
        </w:rPr>
        <w:t>jon.ross@loderockadvisors.com, 416-244-9851</w:t>
      </w:r>
    </w:p>
    <w:sectPr w:rsidSect="00D7223D">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864"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3A6" w14:paraId="6FEB67A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D7C" w:rsidRPr="00560BDF" w14:paraId="1109E020" w14:textId="20361584">
    <w:pPr>
      <w:pStyle w:val="Footer"/>
      <w:rPr>
        <w:rFonts w:ascii="Verdana" w:hAnsi="Verdana" w:cs="Times New Roman"/>
        <w:color w:val="000000"/>
        <w:sz w:val="14"/>
        <w:shd w:val="clear" w:color="auto" w:fill="auto"/>
      </w:rPr>
    </w:pPr>
    <w:r w:rsidRPr="008F22BA">
      <w:rPr>
        <w:rStyle w:val="DocID"/>
        <w:rFonts w:eastAsiaTheme="minorHAnsi"/>
      </w:rPr>
      <w:fldChar w:fldCharType="begin"/>
    </w:r>
    <w:r w:rsidRPr="008F22BA">
      <w:rPr>
        <w:rStyle w:val="DocID"/>
        <w:rFonts w:eastAsiaTheme="minorHAnsi"/>
      </w:rPr>
      <w:instrText xml:space="preserve"> DOCPROPERTY "DocID" \* MERGEFORMAT </w:instrText>
    </w:r>
    <w:r w:rsidRPr="008F22BA">
      <w:rPr>
        <w:rStyle w:val="DocID"/>
        <w:rFonts w:eastAsiaTheme="minorHAnsi"/>
      </w:rPr>
      <w:fldChar w:fldCharType="separate"/>
    </w:r>
    <w:r w:rsidRPr="007A26AE" w:rsidR="007A26AE">
      <w:rPr>
        <w:rStyle w:val="DocID"/>
        <w:rFonts w:eastAsiaTheme="minorHAnsi"/>
      </w:rPr>
      <w:t>LEGAL_35467522.2</w:t>
    </w:r>
    <w:r w:rsidRPr="008F22BA">
      <w:rPr>
        <w:rStyle w:val="DocID"/>
        <w:rFonts w:eastAsia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D7C" w14:paraId="503CF42B" w14:textId="77777777">
    <w:pPr>
      <w:pStyle w:val="Footer"/>
      <w:rPr>
        <w:color w:val="auto"/>
        <w:shd w:val="clear" w:color="auto" w:fill="auto"/>
      </w:rPr>
    </w:pPr>
    <w:r>
      <w:rPr>
        <w:noProof/>
      </w:rPr>
      <w:pict>
        <v:shapetype id="_x0000_t202" coordsize="21600,21600" o:spt="202" path="m,l,21600r21600,l21600,xe">
          <v:stroke joinstyle="miter"/>
          <v:path gradientshapeok="t" o:connecttype="rect"/>
        </v:shapetype>
        <v:shape id="zzmpTrailer_1078_1B" o:spid="_x0000_s2049"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094D7C" w14:paraId="7A2EF267" w14:textId="1500DE87">
                <w:pPr>
                  <w:pStyle w:val="MacPacTrailer"/>
                  <w:rPr>
                    <w:color w:val="auto"/>
                    <w:shd w:val="clear" w:color="auto" w:fill="auto"/>
                  </w:rPr>
                </w:pPr>
                <w:r>
                  <w:t>LEGAL*51283303.2</w:t>
                </w:r>
              </w:p>
              <w:p w:rsidR="00094D7C" w14:paraId="76164AB5" w14:textId="0510637A">
                <w:pPr>
                  <w:pStyle w:val="MacPacTrailer"/>
                  <w:rPr>
                    <w:color w:val="auto"/>
                    <w:shd w:val="clear" w:color="auto" w:fill="auto"/>
                  </w:rPr>
                </w:pPr>
              </w:p>
            </w:txbxContent>
          </v:textbox>
          <w10:wrap anchorx="margin"/>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3A6" w14:paraId="173FA7F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3A6" w14:paraId="3B7B58E7"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3A6" w14:paraId="3EC7AFF1" w14:textId="77777777">
    <w:pPr>
      <w:pStyle w:val="Header"/>
      <w:rPr>
        <w:color w:val="000000"/>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A3D5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2D5FD4"/>
    <w:multiLevelType w:val="hybridMultilevel"/>
    <w:tmpl w:val="7EA2AAA0"/>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3B09DA"/>
    <w:multiLevelType w:val="hybridMultilevel"/>
    <w:tmpl w:val="3DFE9A8A"/>
    <w:lvl w:ilvl="0">
      <w:start w:val="1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B61CC8"/>
    <w:multiLevelType w:val="hybridMultilevel"/>
    <w:tmpl w:val="DB1A370E"/>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795867"/>
    <w:multiLevelType w:val="hybridMultilevel"/>
    <w:tmpl w:val="70805330"/>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6B62D6"/>
    <w:multiLevelType w:val="multilevel"/>
    <w:tmpl w:val="C22485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FE25B1"/>
    <w:multiLevelType w:val="hybridMultilevel"/>
    <w:tmpl w:val="B6487AC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CC497B"/>
    <w:multiLevelType w:val="hybridMultilevel"/>
    <w:tmpl w:val="6C44D65E"/>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AB2D7F"/>
    <w:multiLevelType w:val="hybridMultilevel"/>
    <w:tmpl w:val="3872BE1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D114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B652F7"/>
    <w:multiLevelType w:val="hybridMultilevel"/>
    <w:tmpl w:val="C9A8D81C"/>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1">
    <w:nsid w:val="22235A1A"/>
    <w:multiLevelType w:val="multilevel"/>
    <w:tmpl w:val="9CA6040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497A9F"/>
    <w:multiLevelType w:val="multilevel"/>
    <w:tmpl w:val="9880FFF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E479BB"/>
    <w:multiLevelType w:val="hybridMultilevel"/>
    <w:tmpl w:val="7B724BC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4">
    <w:nsid w:val="28520D99"/>
    <w:multiLevelType w:val="multilevel"/>
    <w:tmpl w:val="99F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9A3893"/>
    <w:multiLevelType w:val="hybridMultilevel"/>
    <w:tmpl w:val="355A328C"/>
    <w:lvl w:ilvl="0">
      <w:start w:val="10"/>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B5224E"/>
    <w:multiLevelType w:val="hybridMultilevel"/>
    <w:tmpl w:val="A78046FA"/>
    <w:lvl w:ilvl="0">
      <w:start w:val="1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7D6A36"/>
    <w:multiLevelType w:val="hybridMultilevel"/>
    <w:tmpl w:val="D892D6C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037B10"/>
    <w:multiLevelType w:val="hybridMultilevel"/>
    <w:tmpl w:val="4C50EA92"/>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963AE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4F3B1D"/>
    <w:multiLevelType w:val="hybridMultilevel"/>
    <w:tmpl w:val="14D201BA"/>
    <w:lvl w:ilvl="0">
      <w:start w:val="1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6C6A92"/>
    <w:multiLevelType w:val="hybridMultilevel"/>
    <w:tmpl w:val="4628CDDE"/>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DB0538"/>
    <w:multiLevelType w:val="hybridMultilevel"/>
    <w:tmpl w:val="D0DADB54"/>
    <w:lvl w:ilvl="0">
      <w:start w:val="1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091953"/>
    <w:multiLevelType w:val="hybridMultilevel"/>
    <w:tmpl w:val="D602B678"/>
    <w:lvl w:ilvl="0">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24">
    <w:nsid w:val="491E4393"/>
    <w:multiLevelType w:val="hybridMultilevel"/>
    <w:tmpl w:val="2D2C6722"/>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1D360B"/>
    <w:multiLevelType w:val="hybridMultilevel"/>
    <w:tmpl w:val="1768780E"/>
    <w:lvl w:ilvl="0">
      <w:start w:val="1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367212"/>
    <w:multiLevelType w:val="hybridMultilevel"/>
    <w:tmpl w:val="24CAE5FC"/>
    <w:lvl w:ilvl="0">
      <w:start w:val="1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C7361E"/>
    <w:multiLevelType w:val="hybridMultilevel"/>
    <w:tmpl w:val="982067B8"/>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28">
    <w:nsid w:val="4DB61736"/>
    <w:multiLevelType w:val="multilevel"/>
    <w:tmpl w:val="2EE8FFB2"/>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165726"/>
    <w:multiLevelType w:val="hybridMultilevel"/>
    <w:tmpl w:val="3C1EA1F0"/>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0">
    <w:nsid w:val="5092331C"/>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851485"/>
    <w:multiLevelType w:val="hybridMultilevel"/>
    <w:tmpl w:val="3DFE9A8A"/>
    <w:lvl w:ilvl="0">
      <w:start w:val="1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1DE7593"/>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3411E4F"/>
    <w:multiLevelType w:val="hybridMultilevel"/>
    <w:tmpl w:val="F5321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78E307A"/>
    <w:multiLevelType w:val="multilevel"/>
    <w:tmpl w:val="39E2F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97D5E6B"/>
    <w:multiLevelType w:val="hybridMultilevel"/>
    <w:tmpl w:val="F1CCB648"/>
    <w:lvl w:ilvl="0">
      <w:start w:val="1"/>
      <w:numFmt w:val="decimal"/>
      <w:lvlText w:val="%1."/>
      <w:lvlJc w:val="left"/>
      <w:pPr>
        <w:ind w:left="1260" w:hanging="360"/>
      </w:pPr>
      <w:rPr>
        <w:rFonts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6">
    <w:nsid w:val="59A0268F"/>
    <w:multiLevelType w:val="hybridMultilevel"/>
    <w:tmpl w:val="B6487AC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9823B4"/>
    <w:multiLevelType w:val="hybridMultilevel"/>
    <w:tmpl w:val="B6487AC6"/>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F42200E"/>
    <w:multiLevelType w:val="hybridMultilevel"/>
    <w:tmpl w:val="CF28B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35F1002"/>
    <w:multiLevelType w:val="multilevel"/>
    <w:tmpl w:val="B6F2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959ED"/>
    <w:multiLevelType w:val="hybridMultilevel"/>
    <w:tmpl w:val="B6487AC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BF6F0C"/>
    <w:multiLevelType w:val="multilevel"/>
    <w:tmpl w:val="D64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7A0278"/>
    <w:multiLevelType w:val="hybridMultilevel"/>
    <w:tmpl w:val="39303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3E09F4"/>
    <w:multiLevelType w:val="hybridMultilevel"/>
    <w:tmpl w:val="06A06064"/>
    <w:lvl w:ilvl="0">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44">
    <w:nsid w:val="742C0CDD"/>
    <w:multiLevelType w:val="hybridMultilevel"/>
    <w:tmpl w:val="661CB7E0"/>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BC161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F9121D9"/>
    <w:multiLevelType w:val="hybridMultilevel"/>
    <w:tmpl w:val="B6487AC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FDE4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FF53D19"/>
    <w:multiLevelType w:val="hybridMultilevel"/>
    <w:tmpl w:val="4C908CC8"/>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27"/>
  </w:num>
  <w:num w:numId="3">
    <w:abstractNumId w:val="43"/>
  </w:num>
  <w:num w:numId="4">
    <w:abstractNumId w:val="8"/>
  </w:num>
  <w:num w:numId="5">
    <w:abstractNumId w:val="9"/>
  </w:num>
  <w:num w:numId="6">
    <w:abstractNumId w:val="24"/>
  </w:num>
  <w:num w:numId="7">
    <w:abstractNumId w:val="7"/>
  </w:num>
  <w:num w:numId="8">
    <w:abstractNumId w:val="47"/>
  </w:num>
  <w:num w:numId="9">
    <w:abstractNumId w:val="11"/>
  </w:num>
  <w:num w:numId="10">
    <w:abstractNumId w:val="17"/>
  </w:num>
  <w:num w:numId="11">
    <w:abstractNumId w:val="30"/>
  </w:num>
  <w:num w:numId="12">
    <w:abstractNumId w:val="32"/>
  </w:num>
  <w:num w:numId="13">
    <w:abstractNumId w:val="5"/>
  </w:num>
  <w:num w:numId="14">
    <w:abstractNumId w:val="37"/>
  </w:num>
  <w:num w:numId="15">
    <w:abstractNumId w:val="34"/>
  </w:num>
  <w:num w:numId="16">
    <w:abstractNumId w:val="36"/>
  </w:num>
  <w:num w:numId="17">
    <w:abstractNumId w:val="0"/>
  </w:num>
  <w:num w:numId="18">
    <w:abstractNumId w:val="46"/>
  </w:num>
  <w:num w:numId="19">
    <w:abstractNumId w:val="6"/>
  </w:num>
  <w:num w:numId="20">
    <w:abstractNumId w:val="12"/>
  </w:num>
  <w:num w:numId="21">
    <w:abstractNumId w:val="28"/>
  </w:num>
  <w:num w:numId="22">
    <w:abstractNumId w:val="40"/>
  </w:num>
  <w:num w:numId="23">
    <w:abstractNumId w:val="2"/>
  </w:num>
  <w:num w:numId="24">
    <w:abstractNumId w:val="31"/>
  </w:num>
  <w:num w:numId="25">
    <w:abstractNumId w:val="45"/>
  </w:num>
  <w:num w:numId="26">
    <w:abstractNumId w:val="3"/>
  </w:num>
  <w:num w:numId="27">
    <w:abstractNumId w:val="48"/>
  </w:num>
  <w:num w:numId="28">
    <w:abstractNumId w:val="4"/>
  </w:num>
  <w:num w:numId="29">
    <w:abstractNumId w:val="33"/>
  </w:num>
  <w:num w:numId="30">
    <w:abstractNumId w:val="10"/>
  </w:num>
  <w:num w:numId="31">
    <w:abstractNumId w:val="26"/>
  </w:num>
  <w:num w:numId="32">
    <w:abstractNumId w:val="16"/>
  </w:num>
  <w:num w:numId="33">
    <w:abstractNumId w:val="18"/>
  </w:num>
  <w:num w:numId="34">
    <w:abstractNumId w:val="15"/>
  </w:num>
  <w:num w:numId="35">
    <w:abstractNumId w:val="1"/>
  </w:num>
  <w:num w:numId="36">
    <w:abstractNumId w:val="19"/>
  </w:num>
  <w:num w:numId="37">
    <w:abstractNumId w:val="21"/>
  </w:num>
  <w:num w:numId="38">
    <w:abstractNumId w:val="35"/>
  </w:num>
  <w:num w:numId="39">
    <w:abstractNumId w:val="25"/>
  </w:num>
  <w:num w:numId="40">
    <w:abstractNumId w:val="22"/>
  </w:num>
  <w:num w:numId="41">
    <w:abstractNumId w:val="44"/>
  </w:num>
  <w:num w:numId="42">
    <w:abstractNumId w:val="13"/>
  </w:num>
  <w:num w:numId="43">
    <w:abstractNumId w:val="20"/>
  </w:num>
  <w:num w:numId="44">
    <w:abstractNumId w:val="29"/>
  </w:num>
  <w:num w:numId="45">
    <w:abstractNumId w:val="14"/>
  </w:num>
  <w:num w:numId="46">
    <w:abstractNumId w:val="41"/>
  </w:num>
  <w:num w:numId="47">
    <w:abstractNumId w:val="39"/>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CA" w:eastAsia="zh-CN"/>
  <w:clrSchemeMapping w:bg1="light1" w:t1="dark1" w:bg2="light2" w:t2="dark2" w:accent1="accent1" w:accent2="accent2" w:accent3="accent3" w:accent4="accent4" w:accent5="accent5" w:accent6="accent6" w:hyperlink="hyperlink" w:followedHyperlink="followedHyperlink"/>
  <w15:chartTrackingRefBased/>
  <w15:docId w15:val="{0C2F56F7-BF0E-40C5-A620-F32CDB6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link w:val="ListParagraphChar"/>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semiHidden/>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semiHidden/>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nhideWhenUsed/>
    <w:rsid w:val="003645E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645E4"/>
    <w:rPr>
      <w:lang w:val="en-US"/>
    </w:rPr>
  </w:style>
  <w:style w:type="paragraph" w:styleId="Footer">
    <w:name w:val="footer"/>
    <w:basedOn w:val="Normal"/>
    <w:link w:val="FooterChar"/>
    <w:uiPriority w:val="99"/>
    <w:unhideWhenUsed/>
    <w:rsid w:val="003645E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645E4"/>
    <w:rPr>
      <w:lang w:val="en-US"/>
    </w:rPr>
  </w:style>
  <w:style w:type="paragraph" w:customStyle="1" w:styleId="AuditBody">
    <w:name w:val="AuditBody"/>
    <w:aliases w:val="Address Block,ab"/>
    <w:basedOn w:val="Normal"/>
    <w:rsid w:val="003645E4"/>
    <w:pPr>
      <w:overflowPunct w:val="0"/>
      <w:autoSpaceDE w:val="0"/>
      <w:autoSpaceDN w:val="0"/>
      <w:adjustRightInd w:val="0"/>
      <w:spacing w:before="120" w:after="0" w:line="280" w:lineRule="atLeast"/>
      <w:jc w:val="both"/>
      <w:textAlignment w:val="baseline"/>
    </w:pPr>
    <w:rPr>
      <w:rFonts w:ascii="Arial" w:eastAsia="PMingLiU" w:hAnsi="Arial" w:cs="Times New Roman"/>
      <w:sz w:val="20"/>
      <w:szCs w:val="20"/>
      <w:lang w:val="en-US"/>
    </w:rPr>
  </w:style>
  <w:style w:type="table" w:styleId="TableGrid">
    <w:name w:val="Table Grid"/>
    <w:basedOn w:val="TableNormal"/>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645E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645E4"/>
    <w:pPr>
      <w:spacing w:after="0" w:line="240" w:lineRule="auto"/>
    </w:pPr>
    <w:rPr>
      <w:lang w:val="en-US"/>
    </w:rPr>
  </w:style>
  <w:style w:type="character" w:customStyle="1" w:styleId="ListParagraphChar">
    <w:name w:val="List Paragraph Char"/>
    <w:link w:val="ListParagraph"/>
    <w:uiPriority w:val="34"/>
    <w:locked/>
    <w:rsid w:val="003645E4"/>
    <w:rPr>
      <w:lang w:val="en-US"/>
    </w:rPr>
  </w:style>
  <w:style w:type="table" w:customStyle="1" w:styleId="TableGrid1">
    <w:name w:val="Table Grid1"/>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F89"/>
    <w:rPr>
      <w:color w:val="954F72" w:themeColor="followedHyperlink"/>
      <w:u w:val="single"/>
    </w:rPr>
  </w:style>
  <w:style w:type="character" w:customStyle="1" w:styleId="UnresolvedMention2">
    <w:name w:val="Unresolved Mention2"/>
    <w:basedOn w:val="DefaultParagraphFont"/>
    <w:uiPriority w:val="99"/>
    <w:semiHidden/>
    <w:unhideWhenUsed/>
    <w:rsid w:val="006F00E9"/>
    <w:rPr>
      <w:color w:val="605E5C"/>
      <w:shd w:val="clear" w:color="auto" w:fill="E1DFDD"/>
    </w:rPr>
  </w:style>
  <w:style w:type="character" w:customStyle="1" w:styleId="DocID">
    <w:name w:val="DocID"/>
    <w:basedOn w:val="DefaultParagraphFont"/>
    <w:rsid w:val="00D7223D"/>
    <w:rPr>
      <w:rFonts w:ascii="Verdana" w:eastAsia="Times New Roman" w:hAnsi="Verdana" w:cs="Times New Roman"/>
      <w:b w:val="0"/>
      <w:i w:val="0"/>
      <w:caps w:val="0"/>
      <w:vanish w:val="0"/>
      <w:color w:val="000000"/>
      <w:sz w:val="14"/>
      <w:u w:val="none"/>
    </w:rPr>
  </w:style>
  <w:style w:type="paragraph" w:customStyle="1" w:styleId="MacPacTrailer">
    <w:name w:val="MacPac Trailer"/>
    <w:rsid w:val="00094D7C"/>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4B3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bob\AppData\Local\Microsoft\Windows\INetCache\Content.Outlook\P4MX054S\VAPN%20Baby%20Bash%20press%20release%2008_27_2019_HIR%20v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F319A85CAD74EA3F5F23946BE824D" ma:contentTypeVersion="12" ma:contentTypeDescription="Create a new document." ma:contentTypeScope="" ma:versionID="5a8c03c41a229a59566c6c2ed1193ba4">
  <xsd:schema xmlns:xsd="http://www.w3.org/2001/XMLSchema" xmlns:xs="http://www.w3.org/2001/XMLSchema" xmlns:p="http://schemas.microsoft.com/office/2006/metadata/properties" xmlns:ns2="ae2462b0-4436-4d4c-8339-708a9abd7959" xmlns:ns3="4f2e3dc5-9b0e-449a-a5b3-52c6b29c49bb" targetNamespace="http://schemas.microsoft.com/office/2006/metadata/properties" ma:root="true" ma:fieldsID="3fab4820ba6a20557aeaca571e69df72" ns2:_="" ns3:_="">
    <xsd:import namespace="ae2462b0-4436-4d4c-8339-708a9abd7959"/>
    <xsd:import namespace="4f2e3dc5-9b0e-449a-a5b3-52c6b29c49b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462b0-4436-4d4c-8339-708a9abd79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2e3dc5-9b0e-449a-a5b3-52c6b29c49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AE79-47AF-4F66-A202-C46675C3A275}">
  <ds:schemaRefs>
    <ds:schemaRef ds:uri="http://schemas.microsoft.com/sharepoint/v3/contenttype/forms"/>
  </ds:schemaRefs>
</ds:datastoreItem>
</file>

<file path=customXml/itemProps2.xml><?xml version="1.0" encoding="utf-8"?>
<ds:datastoreItem xmlns:ds="http://schemas.openxmlformats.org/officeDocument/2006/customXml" ds:itemID="{96CF0A24-D4E1-426F-9EA0-23BA0AE4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462b0-4436-4d4c-8339-708a9abd7959"/>
    <ds:schemaRef ds:uri="4f2e3dc5-9b0e-449a-a5b3-52c6b29c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3632-A468-4B87-BCB6-189A6D5DC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B4649-7EA1-4D16-B07C-FCED79E1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VAPN Baby Bash press release 08_27_2019_HIR v3.dotx</Template>
  <TotalTime>0</TotalTime>
  <Pages>3</Pages>
  <Words>1795</Words>
  <Characters>9993</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2021-01-20T00:39:00Z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LEGAL_35467522.2</vt:lpwstr>
  </property>
</Properties>
</file>