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BAB7" w14:textId="6A6996B5" w:rsidR="00D70F55" w:rsidRDefault="00F46CB8" w:rsidP="00F46CB8">
      <w:pPr>
        <w:spacing w:after="0" w:line="240" w:lineRule="auto"/>
        <w:jc w:val="center"/>
        <w:rPr>
          <w:rFonts w:asciiTheme="minorHAnsi" w:eastAsia="Times New Roman" w:hAnsiTheme="minorHAnsi" w:cstheme="minorHAnsi"/>
          <w:b/>
          <w:sz w:val="24"/>
          <w:szCs w:val="24"/>
          <w:lang w:val="en-CA" w:eastAsia="en-CA"/>
        </w:rPr>
      </w:pPr>
      <w:r>
        <w:rPr>
          <w:noProof/>
          <w:color w:val="000000"/>
          <w:lang w:val="en-CA" w:eastAsia="en-CA"/>
        </w:rPr>
        <w:drawing>
          <wp:inline distT="0" distB="0" distL="0" distR="0" wp14:anchorId="6FC78574" wp14:editId="096FB28A">
            <wp:extent cx="2133995" cy="692953"/>
            <wp:effectExtent l="0" t="0" r="0" b="0"/>
            <wp:docPr id="7" name="image2.png" descr="A blue and white logo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2.png" descr="A blue and white logo with white text&#10;&#10;AI-generated content may be incorrect."/>
                    <pic:cNvPicPr preferRelativeResize="0"/>
                  </pic:nvPicPr>
                  <pic:blipFill>
                    <a:blip r:embed="rId9"/>
                    <a:srcRect/>
                    <a:stretch>
                      <a:fillRect/>
                    </a:stretch>
                  </pic:blipFill>
                  <pic:spPr>
                    <a:xfrm>
                      <a:off x="0" y="0"/>
                      <a:ext cx="2133995" cy="692953"/>
                    </a:xfrm>
                    <a:prstGeom prst="rect">
                      <a:avLst/>
                    </a:prstGeom>
                    <a:ln/>
                  </pic:spPr>
                </pic:pic>
              </a:graphicData>
            </a:graphic>
          </wp:inline>
        </w:drawing>
      </w:r>
    </w:p>
    <w:p w14:paraId="716ABE48" w14:textId="77777777" w:rsidR="00F46CB8" w:rsidRPr="00D70F55" w:rsidRDefault="00F46CB8" w:rsidP="00D70F55">
      <w:pPr>
        <w:spacing w:after="0" w:line="240" w:lineRule="auto"/>
        <w:rPr>
          <w:rFonts w:asciiTheme="minorHAnsi" w:eastAsia="Times New Roman" w:hAnsiTheme="minorHAnsi" w:cstheme="minorHAnsi"/>
          <w:b/>
          <w:sz w:val="24"/>
          <w:szCs w:val="24"/>
          <w:lang w:val="en-CA" w:eastAsia="en-CA"/>
        </w:rPr>
      </w:pPr>
    </w:p>
    <w:p w14:paraId="5536A211" w14:textId="24E230E9" w:rsidR="00D70F55" w:rsidRPr="00D70F55" w:rsidRDefault="00D70F55" w:rsidP="00D70F55">
      <w:pPr>
        <w:shd w:val="clear" w:color="auto" w:fill="FFFFFF"/>
        <w:spacing w:after="0" w:line="240" w:lineRule="auto"/>
        <w:jc w:val="center"/>
        <w:rPr>
          <w:rFonts w:asciiTheme="minorHAnsi" w:eastAsia="Times New Roman" w:hAnsiTheme="minorHAnsi" w:cstheme="minorHAnsi"/>
          <w:b/>
          <w:bCs/>
          <w:spacing w:val="2"/>
          <w:sz w:val="28"/>
          <w:szCs w:val="28"/>
        </w:rPr>
      </w:pPr>
      <w:bookmarkStart w:id="0" w:name="_Hlk88051751"/>
      <w:r w:rsidRPr="00D70F55">
        <w:rPr>
          <w:rFonts w:asciiTheme="minorHAnsi" w:eastAsia="Times New Roman" w:hAnsiTheme="minorHAnsi" w:cstheme="minorHAnsi"/>
          <w:b/>
          <w:bCs/>
          <w:spacing w:val="2"/>
          <w:sz w:val="28"/>
          <w:szCs w:val="28"/>
        </w:rPr>
        <w:t xml:space="preserve">Trillion Energy Announces </w:t>
      </w:r>
      <w:r w:rsidRPr="002B16C8">
        <w:rPr>
          <w:rFonts w:asciiTheme="minorHAnsi" w:eastAsia="Times New Roman" w:hAnsiTheme="minorHAnsi" w:cstheme="minorHAnsi"/>
          <w:b/>
          <w:bCs/>
          <w:spacing w:val="2"/>
          <w:sz w:val="28"/>
          <w:szCs w:val="28"/>
        </w:rPr>
        <w:t xml:space="preserve">Debenture </w:t>
      </w:r>
      <w:r w:rsidR="000A56D7">
        <w:rPr>
          <w:rFonts w:asciiTheme="minorHAnsi" w:eastAsia="Times New Roman" w:hAnsiTheme="minorHAnsi" w:cstheme="minorHAnsi"/>
          <w:b/>
          <w:bCs/>
          <w:spacing w:val="2"/>
          <w:sz w:val="28"/>
          <w:szCs w:val="28"/>
        </w:rPr>
        <w:t xml:space="preserve">Settlement Agreement </w:t>
      </w:r>
    </w:p>
    <w:p w14:paraId="2BF43647" w14:textId="77777777" w:rsidR="00D70F55" w:rsidRPr="00D70F55" w:rsidRDefault="00D70F55" w:rsidP="00D70F55">
      <w:pPr>
        <w:spacing w:after="0" w:line="240" w:lineRule="auto"/>
        <w:jc w:val="center"/>
        <w:rPr>
          <w:rFonts w:asciiTheme="minorHAnsi" w:eastAsia="Times New Roman" w:hAnsiTheme="minorHAnsi" w:cstheme="minorHAnsi"/>
          <w:b/>
          <w:sz w:val="32"/>
          <w:szCs w:val="32"/>
          <w:u w:val="single"/>
          <w:lang w:val="en-CA" w:eastAsia="en-CA"/>
        </w:rPr>
      </w:pPr>
    </w:p>
    <w:bookmarkEnd w:id="0"/>
    <w:p w14:paraId="091D7600" w14:textId="34F3B284" w:rsidR="00F46CB8" w:rsidRPr="00F46CB8" w:rsidRDefault="007D3CED" w:rsidP="00D70F55">
      <w:pPr>
        <w:spacing w:after="0" w:line="240" w:lineRule="auto"/>
        <w:jc w:val="both"/>
        <w:rPr>
          <w:rFonts w:asciiTheme="minorHAnsi" w:eastAsia="Times New Roman" w:hAnsiTheme="minorHAnsi" w:cstheme="minorHAnsi"/>
          <w:spacing w:val="2"/>
        </w:rPr>
      </w:pPr>
      <w:r>
        <w:rPr>
          <w:rFonts w:asciiTheme="minorHAnsi" w:eastAsia="Times New Roman" w:hAnsiTheme="minorHAnsi" w:cstheme="minorHAnsi"/>
          <w:b/>
          <w:bCs/>
          <w:lang w:val="en-CA"/>
        </w:rPr>
        <w:t xml:space="preserve">March </w:t>
      </w:r>
      <w:r w:rsidR="00134147">
        <w:rPr>
          <w:rFonts w:asciiTheme="minorHAnsi" w:eastAsia="Times New Roman" w:hAnsiTheme="minorHAnsi" w:cstheme="minorHAnsi"/>
          <w:b/>
          <w:bCs/>
          <w:lang w:val="en-CA"/>
        </w:rPr>
        <w:t>27</w:t>
      </w:r>
      <w:r>
        <w:rPr>
          <w:rFonts w:asciiTheme="minorHAnsi" w:eastAsia="Times New Roman" w:hAnsiTheme="minorHAnsi" w:cstheme="minorHAnsi"/>
          <w:b/>
          <w:bCs/>
          <w:lang w:val="en-CA"/>
        </w:rPr>
        <w:t>, 2026</w:t>
      </w:r>
      <w:r w:rsidR="00D70F55" w:rsidRPr="00F46CB8">
        <w:rPr>
          <w:rFonts w:asciiTheme="minorHAnsi" w:eastAsia="Times New Roman" w:hAnsiTheme="minorHAnsi" w:cstheme="minorHAnsi"/>
          <w:b/>
          <w:bCs/>
          <w:lang w:val="en-CA"/>
        </w:rPr>
        <w:t xml:space="preserve"> - Vancouver, B.C. - Trillion Energy International Inc. </w:t>
      </w:r>
      <w:r w:rsidR="00D70F55" w:rsidRPr="00F46CB8">
        <w:rPr>
          <w:rFonts w:asciiTheme="minorHAnsi" w:eastAsia="Times New Roman" w:hAnsiTheme="minorHAnsi" w:cstheme="minorHAnsi"/>
        </w:rPr>
        <w:t>(“</w:t>
      </w:r>
      <w:r w:rsidR="00D70F55" w:rsidRPr="00F46CB8">
        <w:rPr>
          <w:rFonts w:asciiTheme="minorHAnsi" w:eastAsia="Times New Roman" w:hAnsiTheme="minorHAnsi" w:cstheme="minorHAnsi"/>
          <w:b/>
          <w:bCs/>
        </w:rPr>
        <w:t>Trillion</w:t>
      </w:r>
      <w:r w:rsidR="00D70F55" w:rsidRPr="00F46CB8">
        <w:rPr>
          <w:rFonts w:asciiTheme="minorHAnsi" w:eastAsia="Times New Roman" w:hAnsiTheme="minorHAnsi" w:cstheme="minorHAnsi"/>
        </w:rPr>
        <w:t>”</w:t>
      </w:r>
      <w:r w:rsidR="00D70F55" w:rsidRPr="00F46CB8">
        <w:rPr>
          <w:rFonts w:asciiTheme="minorHAnsi" w:eastAsia="Times New Roman" w:hAnsiTheme="minorHAnsi" w:cstheme="minorHAnsi"/>
          <w:b/>
          <w:bCs/>
        </w:rPr>
        <w:t xml:space="preserve"> </w:t>
      </w:r>
      <w:r w:rsidR="00D70F55" w:rsidRPr="00F46CB8">
        <w:rPr>
          <w:rFonts w:asciiTheme="minorHAnsi" w:eastAsia="Times New Roman" w:hAnsiTheme="minorHAnsi" w:cstheme="minorHAnsi"/>
        </w:rPr>
        <w:t>or the</w:t>
      </w:r>
      <w:r w:rsidR="00D70F55" w:rsidRPr="00F46CB8">
        <w:rPr>
          <w:rFonts w:asciiTheme="minorHAnsi" w:eastAsia="Times New Roman" w:hAnsiTheme="minorHAnsi" w:cstheme="minorHAnsi"/>
          <w:b/>
          <w:bCs/>
        </w:rPr>
        <w:t xml:space="preserve"> “Company</w:t>
      </w:r>
      <w:r w:rsidR="00D70F55" w:rsidRPr="00F46CB8">
        <w:rPr>
          <w:rFonts w:asciiTheme="minorHAnsi" w:eastAsia="Times New Roman" w:hAnsiTheme="minorHAnsi" w:cstheme="minorHAnsi"/>
        </w:rPr>
        <w:t>”)</w:t>
      </w:r>
      <w:r w:rsidR="00D70F55" w:rsidRPr="00F46CB8">
        <w:rPr>
          <w:rFonts w:asciiTheme="minorHAnsi" w:eastAsia="Times New Roman" w:hAnsiTheme="minorHAnsi" w:cstheme="minorHAnsi"/>
          <w:b/>
          <w:bCs/>
        </w:rPr>
        <w:t xml:space="preserve"> </w:t>
      </w:r>
      <w:r w:rsidR="00D70F55" w:rsidRPr="00F46CB8">
        <w:rPr>
          <w:rFonts w:asciiTheme="minorHAnsi" w:eastAsia="Times New Roman" w:hAnsiTheme="minorHAnsi" w:cstheme="minorHAnsi"/>
          <w:bCs/>
        </w:rPr>
        <w:t xml:space="preserve">(CSE: TCF) (OTCQB: TRLEF) (Frankfurt: </w:t>
      </w:r>
      <w:r w:rsidR="00D70F55" w:rsidRPr="00F46CB8">
        <w:rPr>
          <w:rFonts w:asciiTheme="minorHAnsi" w:eastAsia="Times New Roman" w:hAnsiTheme="minorHAnsi" w:cstheme="minorHAnsi"/>
        </w:rPr>
        <w:t xml:space="preserve">Z62) </w:t>
      </w:r>
      <w:r w:rsidR="00D70F55" w:rsidRPr="00F46CB8">
        <w:rPr>
          <w:rFonts w:asciiTheme="minorHAnsi" w:eastAsia="Times New Roman" w:hAnsiTheme="minorHAnsi" w:cstheme="minorHAnsi"/>
          <w:spacing w:val="2"/>
        </w:rPr>
        <w:t xml:space="preserve">announces that further to </w:t>
      </w:r>
      <w:r w:rsidR="00134147">
        <w:rPr>
          <w:rFonts w:asciiTheme="minorHAnsi" w:eastAsia="Times New Roman" w:hAnsiTheme="minorHAnsi" w:cstheme="minorHAnsi"/>
          <w:spacing w:val="2"/>
        </w:rPr>
        <w:t xml:space="preserve">the convertible </w:t>
      </w:r>
      <w:r w:rsidR="00D70F55" w:rsidRPr="00F46CB8">
        <w:rPr>
          <w:rFonts w:asciiTheme="minorHAnsi" w:eastAsia="Times New Roman" w:hAnsiTheme="minorHAnsi" w:cstheme="minorHAnsi"/>
          <w:spacing w:val="2"/>
        </w:rPr>
        <w:t xml:space="preserve">debenture indenture entered into between the Company and </w:t>
      </w:r>
      <w:proofErr w:type="spellStart"/>
      <w:r w:rsidR="00134147">
        <w:rPr>
          <w:rFonts w:asciiTheme="minorHAnsi" w:eastAsia="Times New Roman" w:hAnsiTheme="minorHAnsi" w:cstheme="minorHAnsi"/>
          <w:spacing w:val="2"/>
        </w:rPr>
        <w:t>debentureholders</w:t>
      </w:r>
      <w:proofErr w:type="spellEnd"/>
      <w:r w:rsidR="00134147">
        <w:rPr>
          <w:rFonts w:asciiTheme="minorHAnsi" w:eastAsia="Times New Roman" w:hAnsiTheme="minorHAnsi" w:cstheme="minorHAnsi"/>
          <w:spacing w:val="2"/>
        </w:rPr>
        <w:t xml:space="preserve"> </w:t>
      </w:r>
      <w:r w:rsidR="00D70F55" w:rsidRPr="00F46CB8">
        <w:rPr>
          <w:rFonts w:asciiTheme="minorHAnsi" w:eastAsia="Times New Roman" w:hAnsiTheme="minorHAnsi" w:cstheme="minorHAnsi"/>
          <w:spacing w:val="2"/>
        </w:rPr>
        <w:t xml:space="preserve">dated April 20, 2023 </w:t>
      </w:r>
      <w:r w:rsidR="00134147">
        <w:rPr>
          <w:rFonts w:asciiTheme="minorHAnsi" w:eastAsia="Times New Roman" w:hAnsiTheme="minorHAnsi" w:cstheme="minorHAnsi"/>
          <w:spacing w:val="2"/>
        </w:rPr>
        <w:t xml:space="preserve">and </w:t>
      </w:r>
      <w:r w:rsidR="00D70F55" w:rsidRPr="00F46CB8">
        <w:rPr>
          <w:rFonts w:asciiTheme="minorHAnsi" w:eastAsia="Times New Roman" w:hAnsiTheme="minorHAnsi" w:cstheme="minorHAnsi"/>
        </w:rPr>
        <w:t xml:space="preserve">as supplemented </w:t>
      </w:r>
      <w:r w:rsidR="00134147">
        <w:rPr>
          <w:rFonts w:asciiTheme="minorHAnsi" w:eastAsia="Times New Roman" w:hAnsiTheme="minorHAnsi" w:cstheme="minorHAnsi"/>
        </w:rPr>
        <w:t xml:space="preserve">from time to time thereafter for </w:t>
      </w:r>
      <w:r w:rsidR="00D70F55" w:rsidRPr="00F46CB8">
        <w:rPr>
          <w:rFonts w:asciiTheme="minorHAnsi" w:eastAsia="Times New Roman" w:hAnsiTheme="minorHAnsi" w:cstheme="minorHAnsi"/>
        </w:rPr>
        <w:t>aggregate principal amount of $15,000,000</w:t>
      </w:r>
      <w:r w:rsidR="00134147">
        <w:rPr>
          <w:rFonts w:asciiTheme="minorHAnsi" w:eastAsia="Times New Roman" w:hAnsiTheme="minorHAnsi" w:cstheme="minorHAnsi"/>
        </w:rPr>
        <w:t xml:space="preserve"> at </w:t>
      </w:r>
      <w:r w:rsidR="00134147" w:rsidRPr="00F46CB8">
        <w:rPr>
          <w:rFonts w:asciiTheme="minorHAnsi" w:eastAsia="Times New Roman" w:hAnsiTheme="minorHAnsi" w:cstheme="minorHAnsi"/>
        </w:rPr>
        <w:t xml:space="preserve">12.0% </w:t>
      </w:r>
      <w:r w:rsidR="00134147">
        <w:rPr>
          <w:rFonts w:asciiTheme="minorHAnsi" w:eastAsia="Times New Roman" w:hAnsiTheme="minorHAnsi" w:cstheme="minorHAnsi"/>
        </w:rPr>
        <w:t xml:space="preserve">interest for </w:t>
      </w:r>
      <w:r w:rsidR="00134147" w:rsidRPr="00F46CB8">
        <w:rPr>
          <w:rFonts w:asciiTheme="minorHAnsi" w:eastAsia="Times New Roman" w:hAnsiTheme="minorHAnsi" w:cstheme="minorHAnsi"/>
        </w:rPr>
        <w:t xml:space="preserve">convertible debentures of the Company </w:t>
      </w:r>
      <w:r w:rsidR="00134147">
        <w:rPr>
          <w:rFonts w:asciiTheme="minorHAnsi" w:eastAsia="Times New Roman" w:hAnsiTheme="minorHAnsi" w:cstheme="minorHAnsi"/>
        </w:rPr>
        <w:t xml:space="preserve"> </w:t>
      </w:r>
      <w:r w:rsidR="00D70F55" w:rsidRPr="00F46CB8">
        <w:rPr>
          <w:rFonts w:asciiTheme="minorHAnsi" w:eastAsia="Times New Roman" w:hAnsiTheme="minorHAnsi" w:cstheme="minorHAnsi"/>
        </w:rPr>
        <w:t>(the "</w:t>
      </w:r>
      <w:r w:rsidR="00D70F55" w:rsidRPr="00F46CB8">
        <w:rPr>
          <w:rFonts w:asciiTheme="minorHAnsi" w:eastAsia="Times New Roman" w:hAnsiTheme="minorHAnsi" w:cstheme="minorHAnsi"/>
          <w:b/>
          <w:bCs/>
        </w:rPr>
        <w:t>Convertible Debentures</w:t>
      </w:r>
      <w:r w:rsidR="00D70F55" w:rsidRPr="00F46CB8">
        <w:rPr>
          <w:rFonts w:asciiTheme="minorHAnsi" w:eastAsia="Times New Roman" w:hAnsiTheme="minorHAnsi" w:cstheme="minorHAnsi"/>
        </w:rPr>
        <w:t xml:space="preserve">"), </w:t>
      </w:r>
      <w:r w:rsidR="00D70F55" w:rsidRPr="00F46CB8">
        <w:rPr>
          <w:rFonts w:asciiTheme="minorHAnsi" w:eastAsia="Times New Roman" w:hAnsiTheme="minorHAnsi" w:cstheme="minorHAnsi"/>
          <w:spacing w:val="2"/>
        </w:rPr>
        <w:t>holders (</w:t>
      </w:r>
      <w:r w:rsidR="00F46CB8" w:rsidRPr="00F46CB8">
        <w:rPr>
          <w:rFonts w:asciiTheme="minorHAnsi" w:eastAsia="Times New Roman" w:hAnsiTheme="minorHAnsi" w:cstheme="minorHAnsi"/>
          <w:spacing w:val="2"/>
        </w:rPr>
        <w:t xml:space="preserve">the </w:t>
      </w:r>
      <w:r w:rsidR="00D70F55" w:rsidRPr="00F46CB8">
        <w:rPr>
          <w:rFonts w:asciiTheme="minorHAnsi" w:eastAsia="Times New Roman" w:hAnsiTheme="minorHAnsi" w:cstheme="minorHAnsi"/>
          <w:spacing w:val="2"/>
        </w:rPr>
        <w:t>"</w:t>
      </w:r>
      <w:r w:rsidR="00D70F55" w:rsidRPr="00F46CB8">
        <w:rPr>
          <w:rFonts w:asciiTheme="minorHAnsi" w:eastAsia="Times New Roman" w:hAnsiTheme="minorHAnsi" w:cstheme="minorHAnsi"/>
          <w:b/>
          <w:bCs/>
          <w:spacing w:val="2"/>
        </w:rPr>
        <w:t>Debenture</w:t>
      </w:r>
      <w:r w:rsidR="00F46CB8" w:rsidRPr="00F46CB8">
        <w:rPr>
          <w:rFonts w:asciiTheme="minorHAnsi" w:eastAsia="Times New Roman" w:hAnsiTheme="minorHAnsi" w:cstheme="minorHAnsi"/>
          <w:b/>
          <w:bCs/>
          <w:spacing w:val="2"/>
        </w:rPr>
        <w:t xml:space="preserve"> H</w:t>
      </w:r>
      <w:r w:rsidR="00D70F55" w:rsidRPr="00F46CB8">
        <w:rPr>
          <w:rFonts w:asciiTheme="minorHAnsi" w:eastAsia="Times New Roman" w:hAnsiTheme="minorHAnsi" w:cstheme="minorHAnsi"/>
          <w:b/>
          <w:bCs/>
          <w:spacing w:val="2"/>
        </w:rPr>
        <w:t>older</w:t>
      </w:r>
      <w:r w:rsidR="00F46CB8" w:rsidRPr="00F46CB8">
        <w:rPr>
          <w:rFonts w:asciiTheme="minorHAnsi" w:eastAsia="Times New Roman" w:hAnsiTheme="minorHAnsi" w:cstheme="minorHAnsi"/>
          <w:b/>
          <w:bCs/>
          <w:spacing w:val="2"/>
        </w:rPr>
        <w:t>s</w:t>
      </w:r>
      <w:r w:rsidR="00D70F55" w:rsidRPr="00F46CB8">
        <w:rPr>
          <w:rFonts w:asciiTheme="minorHAnsi" w:eastAsia="Times New Roman" w:hAnsiTheme="minorHAnsi" w:cstheme="minorHAnsi"/>
          <w:spacing w:val="2"/>
        </w:rPr>
        <w:t xml:space="preserve">") </w:t>
      </w:r>
      <w:r w:rsidR="00D70F55" w:rsidRPr="00F46CB8">
        <w:rPr>
          <w:rFonts w:asciiTheme="minorHAnsi" w:eastAsia="Times New Roman" w:hAnsiTheme="minorHAnsi" w:cstheme="minorHAnsi"/>
        </w:rPr>
        <w:t xml:space="preserve">representing at least 66-2/3% of the principal amount of the Convertible Debentures </w:t>
      </w:r>
      <w:r w:rsidR="00D70F55" w:rsidRPr="00F46CB8">
        <w:rPr>
          <w:rFonts w:asciiTheme="minorHAnsi" w:eastAsia="Times New Roman" w:hAnsiTheme="minorHAnsi" w:cstheme="minorHAnsi"/>
          <w:spacing w:val="2"/>
        </w:rPr>
        <w:t xml:space="preserve">have signed an extraordinary resolution dated </w:t>
      </w:r>
      <w:r>
        <w:rPr>
          <w:rFonts w:asciiTheme="minorHAnsi" w:eastAsia="Times New Roman" w:hAnsiTheme="minorHAnsi" w:cstheme="minorHAnsi"/>
          <w:spacing w:val="2"/>
        </w:rPr>
        <w:t>March 20</w:t>
      </w:r>
      <w:r w:rsidR="00D70F55" w:rsidRPr="00F46CB8">
        <w:rPr>
          <w:rFonts w:asciiTheme="minorHAnsi" w:eastAsia="Times New Roman" w:hAnsiTheme="minorHAnsi" w:cstheme="minorHAnsi"/>
          <w:spacing w:val="2"/>
        </w:rPr>
        <w:t>, 202</w:t>
      </w:r>
      <w:r w:rsidR="00F46CB8" w:rsidRPr="00F46CB8">
        <w:rPr>
          <w:rFonts w:asciiTheme="minorHAnsi" w:eastAsia="Times New Roman" w:hAnsiTheme="minorHAnsi" w:cstheme="minorHAnsi"/>
          <w:spacing w:val="2"/>
        </w:rPr>
        <w:t>6</w:t>
      </w:r>
      <w:r w:rsidR="00D70F55" w:rsidRPr="00F46CB8">
        <w:rPr>
          <w:rFonts w:asciiTheme="minorHAnsi" w:eastAsia="Times New Roman" w:hAnsiTheme="minorHAnsi" w:cstheme="minorHAnsi"/>
          <w:spacing w:val="2"/>
        </w:rPr>
        <w:t xml:space="preserve">, authorizing the Company and </w:t>
      </w:r>
      <w:r w:rsidR="00134147">
        <w:rPr>
          <w:rFonts w:asciiTheme="minorHAnsi" w:eastAsia="Times New Roman" w:hAnsiTheme="minorHAnsi" w:cstheme="minorHAnsi"/>
          <w:spacing w:val="2"/>
        </w:rPr>
        <w:t xml:space="preserve">the debenture trustee </w:t>
      </w:r>
      <w:r w:rsidR="00D70F55" w:rsidRPr="00F46CB8">
        <w:rPr>
          <w:rFonts w:asciiTheme="minorHAnsi" w:eastAsia="Times New Roman" w:hAnsiTheme="minorHAnsi" w:cstheme="minorHAnsi"/>
          <w:spacing w:val="2"/>
        </w:rPr>
        <w:t xml:space="preserve">Odyssey </w:t>
      </w:r>
      <w:r w:rsidR="00134147">
        <w:rPr>
          <w:rFonts w:asciiTheme="minorHAnsi" w:eastAsia="Times New Roman" w:hAnsiTheme="minorHAnsi" w:cstheme="minorHAnsi"/>
          <w:spacing w:val="2"/>
        </w:rPr>
        <w:t xml:space="preserve">Trust, </w:t>
      </w:r>
      <w:r w:rsidR="00D70F55" w:rsidRPr="00F46CB8">
        <w:rPr>
          <w:rFonts w:asciiTheme="minorHAnsi" w:eastAsia="Times New Roman" w:hAnsiTheme="minorHAnsi" w:cstheme="minorHAnsi"/>
          <w:spacing w:val="2"/>
        </w:rPr>
        <w:t xml:space="preserve">to enter into a </w:t>
      </w:r>
      <w:r w:rsidR="00661249" w:rsidRPr="00F46CB8">
        <w:rPr>
          <w:rFonts w:asciiTheme="minorHAnsi" w:eastAsia="Times New Roman" w:hAnsiTheme="minorHAnsi" w:cstheme="minorHAnsi"/>
          <w:spacing w:val="2"/>
        </w:rPr>
        <w:t xml:space="preserve">fourth </w:t>
      </w:r>
      <w:r w:rsidR="00D70F55" w:rsidRPr="00F46CB8">
        <w:rPr>
          <w:rFonts w:asciiTheme="minorHAnsi" w:eastAsia="Times New Roman" w:hAnsiTheme="minorHAnsi" w:cstheme="minorHAnsi"/>
          <w:spacing w:val="2"/>
        </w:rPr>
        <w:t>supplemental debenture indenture (the "</w:t>
      </w:r>
      <w:r w:rsidR="00661249" w:rsidRPr="00F46CB8">
        <w:rPr>
          <w:rFonts w:asciiTheme="minorHAnsi" w:eastAsia="Times New Roman" w:hAnsiTheme="minorHAnsi" w:cstheme="minorHAnsi"/>
          <w:b/>
          <w:bCs/>
          <w:spacing w:val="2"/>
        </w:rPr>
        <w:t xml:space="preserve">Fourth </w:t>
      </w:r>
      <w:r w:rsidR="00D70F55" w:rsidRPr="00F46CB8">
        <w:rPr>
          <w:rFonts w:asciiTheme="minorHAnsi" w:eastAsia="Times New Roman" w:hAnsiTheme="minorHAnsi" w:cstheme="minorHAnsi"/>
          <w:b/>
          <w:bCs/>
          <w:spacing w:val="2"/>
        </w:rPr>
        <w:t>Supplemental Indenture</w:t>
      </w:r>
      <w:r w:rsidR="00D70F55" w:rsidRPr="00F46CB8">
        <w:rPr>
          <w:rFonts w:asciiTheme="minorHAnsi" w:eastAsia="Times New Roman" w:hAnsiTheme="minorHAnsi" w:cstheme="minorHAnsi"/>
          <w:spacing w:val="2"/>
        </w:rPr>
        <w:t>") to</w:t>
      </w:r>
      <w:r w:rsidR="00F46CB8" w:rsidRPr="00F46CB8">
        <w:rPr>
          <w:rFonts w:asciiTheme="minorHAnsi" w:eastAsia="Times New Roman" w:hAnsiTheme="minorHAnsi" w:cstheme="minorHAnsi"/>
          <w:spacing w:val="2"/>
        </w:rPr>
        <w:t xml:space="preserve"> amended various terms of the Indenture</w:t>
      </w:r>
      <w:r w:rsidR="001E4E3D">
        <w:rPr>
          <w:rFonts w:asciiTheme="minorHAnsi" w:eastAsia="Times New Roman" w:hAnsiTheme="minorHAnsi" w:cstheme="minorHAnsi"/>
          <w:spacing w:val="2"/>
        </w:rPr>
        <w:t xml:space="preserve"> as described below</w:t>
      </w:r>
      <w:r w:rsidR="00F46CB8" w:rsidRPr="00F46CB8">
        <w:rPr>
          <w:rFonts w:asciiTheme="minorHAnsi" w:eastAsia="Times New Roman" w:hAnsiTheme="minorHAnsi" w:cstheme="minorHAnsi"/>
          <w:spacing w:val="2"/>
        </w:rPr>
        <w:t>.</w:t>
      </w:r>
    </w:p>
    <w:p w14:paraId="45487313" w14:textId="77777777" w:rsidR="00F46CB8" w:rsidRPr="00F46CB8" w:rsidRDefault="00F46CB8" w:rsidP="00F46CB8">
      <w:pPr>
        <w:spacing w:after="0" w:line="240" w:lineRule="auto"/>
        <w:jc w:val="both"/>
        <w:rPr>
          <w:rFonts w:asciiTheme="minorHAnsi" w:eastAsia="Times New Roman" w:hAnsiTheme="minorHAnsi" w:cstheme="minorHAnsi"/>
          <w:spacing w:val="2"/>
        </w:rPr>
      </w:pPr>
    </w:p>
    <w:p w14:paraId="4352411C" w14:textId="3FF7D281" w:rsidR="007D3CED" w:rsidRDefault="007D3CED" w:rsidP="00F46CB8">
      <w:pPr>
        <w:spacing w:after="0" w:line="240" w:lineRule="auto"/>
        <w:jc w:val="both"/>
        <w:rPr>
          <w:rFonts w:asciiTheme="minorHAnsi" w:eastAsia="Times New Roman" w:hAnsiTheme="minorHAnsi" w:cstheme="minorHAnsi"/>
          <w:spacing w:val="2"/>
        </w:rPr>
      </w:pPr>
      <w:r>
        <w:t xml:space="preserve">As of March 20, 2026, the Company owes principal and interest to the Debenture Holders, all of which is currently due in the </w:t>
      </w:r>
      <w:r w:rsidRPr="00903EC1">
        <w:t>amount of</w:t>
      </w:r>
      <w:r>
        <w:t xml:space="preserve"> </w:t>
      </w:r>
      <w:r w:rsidRPr="00903EC1">
        <w:t>CAD$</w:t>
      </w:r>
      <w:r>
        <w:t>16,379,828.49</w:t>
      </w:r>
      <w:r w:rsidRPr="00903EC1">
        <w:t xml:space="preserve"> </w:t>
      </w:r>
      <w:r>
        <w:t xml:space="preserve">as of January 31, 2026 </w:t>
      </w:r>
      <w:r w:rsidRPr="00903EC1">
        <w:t xml:space="preserve">(principal amount of </w:t>
      </w:r>
      <w:r>
        <w:t>CAD$14,999,000</w:t>
      </w:r>
      <w:r w:rsidRPr="00903EC1">
        <w:t xml:space="preserve"> plus interest of CAD$</w:t>
      </w:r>
      <w:r>
        <w:t>1,380,828.49) plus interest accrued to March 20, 2026 (the "</w:t>
      </w:r>
      <w:r w:rsidRPr="0004047D">
        <w:rPr>
          <w:b/>
          <w:bCs/>
        </w:rPr>
        <w:t>Amount Due</w:t>
      </w:r>
      <w:r>
        <w:rPr>
          <w:b/>
          <w:bCs/>
        </w:rPr>
        <w:t>").</w:t>
      </w:r>
    </w:p>
    <w:p w14:paraId="07E14F03" w14:textId="77777777" w:rsidR="007D3CED" w:rsidRDefault="007D3CED" w:rsidP="00F46CB8">
      <w:pPr>
        <w:spacing w:after="0" w:line="240" w:lineRule="auto"/>
        <w:jc w:val="both"/>
        <w:rPr>
          <w:rFonts w:asciiTheme="minorHAnsi" w:eastAsia="Times New Roman" w:hAnsiTheme="minorHAnsi" w:cstheme="minorHAnsi"/>
          <w:spacing w:val="2"/>
        </w:rPr>
      </w:pPr>
    </w:p>
    <w:p w14:paraId="3FA628E5" w14:textId="7F65911D" w:rsidR="007D3CED" w:rsidRDefault="007D3CED" w:rsidP="00F46CB8">
      <w:pPr>
        <w:spacing w:after="0" w:line="240" w:lineRule="auto"/>
        <w:jc w:val="both"/>
        <w:rPr>
          <w:lang w:val="en-GB"/>
        </w:rPr>
      </w:pPr>
      <w:r>
        <w:rPr>
          <w:lang w:val="en-GB"/>
        </w:rPr>
        <w:t>The Co</w:t>
      </w:r>
      <w:r w:rsidR="00DB4E37">
        <w:rPr>
          <w:lang w:val="en-GB"/>
        </w:rPr>
        <w:t>mpany</w:t>
      </w:r>
      <w:r>
        <w:rPr>
          <w:lang w:val="en-GB"/>
        </w:rPr>
        <w:t xml:space="preserve"> intends to use its best efforts to raise new equity capital for cash consideration through a brokered prospectus offering to investors for an amount not less than CAD$10,000,000 (the “</w:t>
      </w:r>
      <w:r w:rsidRPr="00343AFF">
        <w:rPr>
          <w:b/>
          <w:bCs/>
          <w:lang w:val="en-GB"/>
        </w:rPr>
        <w:t>Financing Amount</w:t>
      </w:r>
      <w:r>
        <w:rPr>
          <w:lang w:val="en-GB"/>
        </w:rPr>
        <w:t>”) to conclude at or before September 30, 2026 (the “</w:t>
      </w:r>
      <w:r w:rsidRPr="00343AFF">
        <w:rPr>
          <w:b/>
          <w:bCs/>
          <w:lang w:val="en-GB"/>
        </w:rPr>
        <w:t>Financing</w:t>
      </w:r>
      <w:r>
        <w:rPr>
          <w:lang w:val="en-GB"/>
        </w:rPr>
        <w:t xml:space="preserve">”).  </w:t>
      </w:r>
    </w:p>
    <w:p w14:paraId="4DE778F3" w14:textId="77777777" w:rsidR="007D3CED" w:rsidRDefault="007D3CED" w:rsidP="00DB4E37">
      <w:pPr>
        <w:spacing w:after="0" w:line="240" w:lineRule="auto"/>
        <w:jc w:val="both"/>
        <w:rPr>
          <w:rFonts w:asciiTheme="minorHAnsi" w:eastAsia="Times New Roman" w:hAnsiTheme="minorHAnsi" w:cstheme="minorHAnsi"/>
          <w:spacing w:val="2"/>
        </w:rPr>
      </w:pPr>
    </w:p>
    <w:p w14:paraId="0AC12296" w14:textId="01CA59CB" w:rsidR="007D3CED" w:rsidRDefault="007D3CED" w:rsidP="00DB4E37">
      <w:pPr>
        <w:spacing w:after="0" w:line="240" w:lineRule="auto"/>
        <w:jc w:val="both"/>
        <w:rPr>
          <w:lang w:val="en-GB"/>
        </w:rPr>
      </w:pPr>
      <w:r>
        <w:rPr>
          <w:lang w:val="en-GB"/>
        </w:rPr>
        <w:t>The Co</w:t>
      </w:r>
      <w:r w:rsidR="00DB4E37">
        <w:rPr>
          <w:lang w:val="en-GB"/>
        </w:rPr>
        <w:t>mpany</w:t>
      </w:r>
      <w:r>
        <w:rPr>
          <w:lang w:val="en-GB"/>
        </w:rPr>
        <w:t xml:space="preserve"> and the Debenture Holders </w:t>
      </w:r>
      <w:proofErr w:type="gramStart"/>
      <w:r w:rsidR="0061677A">
        <w:rPr>
          <w:lang w:val="en-GB"/>
        </w:rPr>
        <w:t>entered into</w:t>
      </w:r>
      <w:proofErr w:type="gramEnd"/>
      <w:r w:rsidR="0061677A">
        <w:rPr>
          <w:lang w:val="en-GB"/>
        </w:rPr>
        <w:t xml:space="preserve"> the Fourth Supplemental Indenture dated March 20, </w:t>
      </w:r>
      <w:proofErr w:type="gramStart"/>
      <w:r w:rsidR="0061677A">
        <w:rPr>
          <w:lang w:val="en-GB"/>
        </w:rPr>
        <w:t>2026</w:t>
      </w:r>
      <w:proofErr w:type="gramEnd"/>
      <w:r w:rsidR="0061677A">
        <w:rPr>
          <w:lang w:val="en-GB"/>
        </w:rPr>
        <w:t xml:space="preserve"> </w:t>
      </w:r>
      <w:r>
        <w:rPr>
          <w:lang w:val="en-GB"/>
        </w:rPr>
        <w:t>and, provided the Co</w:t>
      </w:r>
      <w:r w:rsidR="00DB4E37">
        <w:rPr>
          <w:lang w:val="en-GB"/>
        </w:rPr>
        <w:t>mpany</w:t>
      </w:r>
      <w:r>
        <w:rPr>
          <w:lang w:val="en-GB"/>
        </w:rPr>
        <w:t xml:space="preserve"> completes the Financing for aggregate proceeds of not less than the Financing Amount, the Amounts Due shall be settled and satisfied in the manner set out </w:t>
      </w:r>
      <w:r w:rsidR="00DB4E37">
        <w:rPr>
          <w:lang w:val="en-GB"/>
        </w:rPr>
        <w:t>in the Fourth Supplemental Indenture</w:t>
      </w:r>
      <w:r>
        <w:rPr>
          <w:lang w:val="en-GB"/>
        </w:rPr>
        <w:t xml:space="preserve"> </w:t>
      </w:r>
      <w:r w:rsidRPr="00343AFF">
        <w:rPr>
          <w:lang w:val="en-GB"/>
        </w:rPr>
        <w:t xml:space="preserve">(collectively, the </w:t>
      </w:r>
      <w:r>
        <w:rPr>
          <w:lang w:val="en-GB"/>
        </w:rPr>
        <w:t>“</w:t>
      </w:r>
      <w:r w:rsidRPr="00343AFF">
        <w:rPr>
          <w:b/>
          <w:bCs/>
          <w:lang w:val="en-GB"/>
        </w:rPr>
        <w:t>Amendments</w:t>
      </w:r>
      <w:r>
        <w:rPr>
          <w:lang w:val="en-GB"/>
        </w:rPr>
        <w:t>”</w:t>
      </w:r>
      <w:r w:rsidRPr="00343AFF">
        <w:rPr>
          <w:lang w:val="en-GB"/>
        </w:rPr>
        <w:t>)</w:t>
      </w:r>
      <w:r>
        <w:rPr>
          <w:lang w:val="en-GB"/>
        </w:rPr>
        <w:t>.</w:t>
      </w:r>
    </w:p>
    <w:p w14:paraId="56D65D28" w14:textId="77777777" w:rsidR="007D3CED" w:rsidRPr="0061677A" w:rsidRDefault="007D3CED" w:rsidP="00DB4E37">
      <w:pPr>
        <w:spacing w:after="0" w:line="240" w:lineRule="auto"/>
        <w:jc w:val="both"/>
        <w:rPr>
          <w:rFonts w:asciiTheme="minorHAnsi" w:hAnsiTheme="minorHAnsi" w:cstheme="minorHAnsi"/>
          <w:lang w:val="en-GB"/>
        </w:rPr>
      </w:pPr>
    </w:p>
    <w:p w14:paraId="2E9F8C68" w14:textId="150B5CBD" w:rsidR="00DB4E37" w:rsidRPr="0061677A" w:rsidRDefault="00DB4E37" w:rsidP="00DB4E37">
      <w:pPr>
        <w:pStyle w:val="Style4"/>
        <w:keepNext/>
        <w:widowControl/>
        <w:spacing w:line="240" w:lineRule="auto"/>
        <w:ind w:left="0" w:firstLine="0"/>
        <w:rPr>
          <w:rFonts w:asciiTheme="minorHAnsi" w:hAnsiTheme="minorHAnsi" w:cstheme="minorHAnsi"/>
          <w:sz w:val="22"/>
          <w:szCs w:val="22"/>
        </w:rPr>
      </w:pPr>
      <w:r w:rsidRPr="0061677A">
        <w:rPr>
          <w:rFonts w:asciiTheme="minorHAnsi" w:hAnsiTheme="minorHAnsi" w:cstheme="minorHAnsi"/>
          <w:sz w:val="22"/>
          <w:szCs w:val="22"/>
        </w:rPr>
        <w:t xml:space="preserve">Subject to and conditional upon the Company completing the Financing </w:t>
      </w:r>
      <w:r w:rsidRPr="0061677A">
        <w:rPr>
          <w:rFonts w:asciiTheme="minorHAnsi" w:hAnsiTheme="minorHAnsi" w:cstheme="minorHAnsi"/>
          <w:sz w:val="22"/>
          <w:szCs w:val="22"/>
          <w:lang w:val="en-GB"/>
        </w:rPr>
        <w:t>for aggregate proceeds of not less than the Financing Amount</w:t>
      </w:r>
      <w:r w:rsidRPr="0061677A">
        <w:rPr>
          <w:rFonts w:asciiTheme="minorHAnsi" w:hAnsiTheme="minorHAnsi" w:cstheme="minorHAnsi"/>
          <w:sz w:val="22"/>
          <w:szCs w:val="22"/>
        </w:rPr>
        <w:t>:</w:t>
      </w:r>
    </w:p>
    <w:p w14:paraId="7E4177DA" w14:textId="77777777" w:rsidR="00DB4E37" w:rsidRPr="0061677A" w:rsidRDefault="00DB4E37" w:rsidP="0061677A">
      <w:pPr>
        <w:pStyle w:val="Style4"/>
        <w:keepNext/>
        <w:widowControl/>
        <w:spacing w:line="240" w:lineRule="auto"/>
        <w:ind w:left="0" w:firstLine="0"/>
        <w:rPr>
          <w:rFonts w:asciiTheme="minorHAnsi" w:hAnsiTheme="minorHAnsi" w:cstheme="minorHAnsi"/>
          <w:sz w:val="22"/>
          <w:szCs w:val="22"/>
        </w:rPr>
      </w:pPr>
    </w:p>
    <w:p w14:paraId="39DA367E" w14:textId="21BBC767" w:rsidR="00DB4E37" w:rsidRPr="0061677A" w:rsidRDefault="00DB4E37" w:rsidP="0061677A">
      <w:pPr>
        <w:pStyle w:val="Style4"/>
        <w:keepNext/>
        <w:widowControl/>
        <w:numPr>
          <w:ilvl w:val="1"/>
          <w:numId w:val="5"/>
        </w:numPr>
        <w:spacing w:line="240" w:lineRule="auto"/>
        <w:ind w:left="1440" w:hanging="720"/>
        <w:rPr>
          <w:rFonts w:asciiTheme="minorHAnsi" w:hAnsiTheme="minorHAnsi" w:cstheme="minorHAnsi"/>
          <w:sz w:val="22"/>
          <w:szCs w:val="22"/>
        </w:rPr>
      </w:pPr>
      <w:r w:rsidRPr="0061677A">
        <w:rPr>
          <w:rFonts w:asciiTheme="minorHAnsi" w:hAnsiTheme="minorHAnsi" w:cstheme="minorHAnsi"/>
          <w:sz w:val="22"/>
          <w:szCs w:val="22"/>
        </w:rPr>
        <w:t>The Debenture Holders shall convert $11,000,000 of the Amount Due (the “</w:t>
      </w:r>
      <w:r w:rsidRPr="0061677A">
        <w:rPr>
          <w:rFonts w:asciiTheme="minorHAnsi" w:hAnsiTheme="minorHAnsi" w:cstheme="minorHAnsi"/>
          <w:b/>
          <w:bCs/>
          <w:sz w:val="22"/>
          <w:szCs w:val="22"/>
        </w:rPr>
        <w:t>Converted Amount</w:t>
      </w:r>
      <w:r w:rsidRPr="0061677A">
        <w:rPr>
          <w:rFonts w:asciiTheme="minorHAnsi" w:hAnsiTheme="minorHAnsi" w:cstheme="minorHAnsi"/>
          <w:sz w:val="22"/>
          <w:szCs w:val="22"/>
        </w:rPr>
        <w:t xml:space="preserve">”) to common shares of the Company at the same price and terms of the Financing completed by the Company.  </w:t>
      </w:r>
      <w:proofErr w:type="gramStart"/>
      <w:r w:rsidRPr="0061677A">
        <w:rPr>
          <w:rFonts w:asciiTheme="minorHAnsi" w:hAnsiTheme="minorHAnsi" w:cstheme="minorHAnsi"/>
          <w:sz w:val="22"/>
          <w:szCs w:val="22"/>
        </w:rPr>
        <w:t>In the event that</w:t>
      </w:r>
      <w:proofErr w:type="gramEnd"/>
      <w:r w:rsidRPr="0061677A">
        <w:rPr>
          <w:rFonts w:asciiTheme="minorHAnsi" w:hAnsiTheme="minorHAnsi" w:cstheme="minorHAnsi"/>
          <w:sz w:val="22"/>
          <w:szCs w:val="22"/>
        </w:rPr>
        <w:t xml:space="preserve"> the Company completes the Financing in one or more separate tranches or offerings, the Debenture Holders shall only be obligated to convert the </w:t>
      </w:r>
      <w:r w:rsidR="0061677A">
        <w:rPr>
          <w:rFonts w:asciiTheme="minorHAnsi" w:hAnsiTheme="minorHAnsi" w:cstheme="minorHAnsi"/>
          <w:sz w:val="22"/>
          <w:szCs w:val="22"/>
        </w:rPr>
        <w:t xml:space="preserve">Convertible </w:t>
      </w:r>
      <w:r w:rsidRPr="0061677A">
        <w:rPr>
          <w:rFonts w:asciiTheme="minorHAnsi" w:hAnsiTheme="minorHAnsi" w:cstheme="minorHAnsi"/>
          <w:sz w:val="22"/>
          <w:szCs w:val="22"/>
        </w:rPr>
        <w:t xml:space="preserve">Debentures hereunder when the cumulative total raised from the Financing meets or exceeds the Financing Amount; and </w:t>
      </w:r>
    </w:p>
    <w:p w14:paraId="24EE9F8A" w14:textId="77777777" w:rsidR="00DB4E37" w:rsidRPr="0061677A" w:rsidRDefault="00DB4E37" w:rsidP="0061677A">
      <w:pPr>
        <w:pStyle w:val="Style4"/>
        <w:keepNext/>
        <w:widowControl/>
        <w:spacing w:line="240" w:lineRule="auto"/>
        <w:ind w:left="1080" w:firstLine="0"/>
        <w:rPr>
          <w:rFonts w:asciiTheme="minorHAnsi" w:hAnsiTheme="minorHAnsi" w:cstheme="minorHAnsi"/>
          <w:sz w:val="22"/>
          <w:szCs w:val="22"/>
        </w:rPr>
      </w:pPr>
    </w:p>
    <w:p w14:paraId="036948E8" w14:textId="75296EF7" w:rsidR="00DB4E37" w:rsidRPr="0061677A" w:rsidRDefault="00DB4E37" w:rsidP="0061677A">
      <w:pPr>
        <w:pStyle w:val="Style4"/>
        <w:keepNext/>
        <w:widowControl/>
        <w:numPr>
          <w:ilvl w:val="1"/>
          <w:numId w:val="5"/>
        </w:numPr>
        <w:spacing w:line="240" w:lineRule="auto"/>
        <w:ind w:left="1440" w:hanging="720"/>
        <w:rPr>
          <w:rFonts w:asciiTheme="minorHAnsi" w:hAnsiTheme="minorHAnsi" w:cstheme="minorHAnsi"/>
          <w:sz w:val="22"/>
          <w:szCs w:val="22"/>
        </w:rPr>
      </w:pPr>
      <w:r w:rsidRPr="0061677A">
        <w:rPr>
          <w:rFonts w:asciiTheme="minorHAnsi" w:hAnsiTheme="minorHAnsi" w:cstheme="minorHAnsi"/>
          <w:sz w:val="22"/>
          <w:szCs w:val="22"/>
        </w:rPr>
        <w:t xml:space="preserve">The remaining portion of the Amount Due </w:t>
      </w:r>
      <w:r w:rsidR="001730BA">
        <w:rPr>
          <w:rFonts w:asciiTheme="minorHAnsi" w:hAnsiTheme="minorHAnsi" w:cstheme="minorHAnsi"/>
          <w:sz w:val="22"/>
          <w:szCs w:val="22"/>
        </w:rPr>
        <w:t xml:space="preserve">(approximately $5.37 million) </w:t>
      </w:r>
      <w:r w:rsidRPr="0061677A">
        <w:rPr>
          <w:rFonts w:asciiTheme="minorHAnsi" w:hAnsiTheme="minorHAnsi" w:cstheme="minorHAnsi"/>
          <w:sz w:val="22"/>
          <w:szCs w:val="22"/>
        </w:rPr>
        <w:t>shall be written off and fully forgiven by the Debenture Holders (the “</w:t>
      </w:r>
      <w:r w:rsidRPr="0061677A">
        <w:rPr>
          <w:rFonts w:asciiTheme="minorHAnsi" w:hAnsiTheme="minorHAnsi" w:cstheme="minorHAnsi"/>
          <w:b/>
          <w:bCs/>
          <w:sz w:val="22"/>
          <w:szCs w:val="22"/>
        </w:rPr>
        <w:t>Forgiven Amount</w:t>
      </w:r>
      <w:r w:rsidRPr="0061677A">
        <w:rPr>
          <w:rFonts w:asciiTheme="minorHAnsi" w:hAnsiTheme="minorHAnsi" w:cstheme="minorHAnsi"/>
          <w:sz w:val="22"/>
          <w:szCs w:val="22"/>
        </w:rPr>
        <w:t>”).</w:t>
      </w:r>
    </w:p>
    <w:p w14:paraId="2D1573FA" w14:textId="77777777" w:rsidR="00DB4E37" w:rsidRPr="0061677A" w:rsidRDefault="00DB4E37" w:rsidP="00DB4E37">
      <w:pPr>
        <w:pStyle w:val="Style4"/>
        <w:keepNext/>
        <w:widowControl/>
        <w:spacing w:line="240" w:lineRule="auto"/>
        <w:ind w:left="0" w:firstLine="0"/>
        <w:rPr>
          <w:rFonts w:asciiTheme="minorHAnsi" w:hAnsiTheme="minorHAnsi" w:cstheme="minorHAnsi"/>
          <w:sz w:val="22"/>
          <w:szCs w:val="22"/>
          <w:lang w:val="en-GB"/>
        </w:rPr>
      </w:pPr>
    </w:p>
    <w:p w14:paraId="791EAA8B" w14:textId="2D7E8E44" w:rsidR="00DB4E37" w:rsidRPr="0061677A" w:rsidRDefault="00DB4E37" w:rsidP="00DB4E37">
      <w:pPr>
        <w:pStyle w:val="Style4"/>
        <w:keepNext/>
        <w:widowControl/>
        <w:spacing w:line="240" w:lineRule="auto"/>
        <w:ind w:left="0" w:firstLine="0"/>
        <w:rPr>
          <w:rFonts w:asciiTheme="minorHAnsi" w:hAnsiTheme="minorHAnsi" w:cstheme="minorHAnsi"/>
          <w:sz w:val="22"/>
          <w:szCs w:val="22"/>
          <w:lang w:val="en-GB"/>
        </w:rPr>
      </w:pPr>
      <w:r w:rsidRPr="0061677A">
        <w:rPr>
          <w:rFonts w:asciiTheme="minorHAnsi" w:hAnsiTheme="minorHAnsi" w:cstheme="minorHAnsi"/>
          <w:sz w:val="22"/>
          <w:szCs w:val="22"/>
          <w:lang w:val="en-GB"/>
        </w:rPr>
        <w:t xml:space="preserve">In the event the Financing is completed in more than one tranche or offering at different offering prices, the Debenture Holder’s conversion price shall be equal to the lowest price at which equity capital is issued under the Financing. </w:t>
      </w:r>
      <w:r w:rsidR="0061677A">
        <w:rPr>
          <w:rFonts w:asciiTheme="minorHAnsi" w:hAnsiTheme="minorHAnsi" w:cstheme="minorHAnsi"/>
          <w:sz w:val="22"/>
          <w:szCs w:val="22"/>
          <w:lang w:val="en-GB"/>
        </w:rPr>
        <w:t xml:space="preserve"> </w:t>
      </w:r>
      <w:r w:rsidR="00AA5558">
        <w:rPr>
          <w:rFonts w:asciiTheme="minorHAnsi" w:hAnsiTheme="minorHAnsi" w:cstheme="minorHAnsi"/>
          <w:sz w:val="22"/>
          <w:szCs w:val="22"/>
          <w:lang w:val="en-GB"/>
        </w:rPr>
        <w:t xml:space="preserve"> </w:t>
      </w:r>
    </w:p>
    <w:p w14:paraId="5E2BE86B" w14:textId="77777777" w:rsidR="00DB4E37" w:rsidRPr="0061677A" w:rsidRDefault="00DB4E37" w:rsidP="0061677A">
      <w:pPr>
        <w:pStyle w:val="Style4"/>
        <w:keepNext/>
        <w:widowControl/>
        <w:spacing w:line="240" w:lineRule="auto"/>
        <w:ind w:left="0" w:firstLine="0"/>
        <w:rPr>
          <w:rFonts w:asciiTheme="minorHAnsi" w:hAnsiTheme="minorHAnsi" w:cstheme="minorHAnsi"/>
          <w:sz w:val="22"/>
          <w:szCs w:val="22"/>
        </w:rPr>
      </w:pPr>
    </w:p>
    <w:p w14:paraId="28819487" w14:textId="7DC79DC2" w:rsidR="00DB4E37" w:rsidRPr="0061677A" w:rsidRDefault="00DB4E37" w:rsidP="0061677A">
      <w:pPr>
        <w:pStyle w:val="Style4"/>
        <w:keepNext/>
        <w:widowControl/>
        <w:spacing w:line="240" w:lineRule="auto"/>
        <w:ind w:left="0" w:firstLine="0"/>
        <w:rPr>
          <w:rFonts w:asciiTheme="minorHAnsi" w:hAnsiTheme="minorHAnsi" w:cstheme="minorHAnsi"/>
          <w:sz w:val="22"/>
          <w:szCs w:val="22"/>
        </w:rPr>
      </w:pPr>
      <w:r w:rsidRPr="0061677A">
        <w:rPr>
          <w:rFonts w:asciiTheme="minorHAnsi" w:hAnsiTheme="minorHAnsi" w:cstheme="minorHAnsi"/>
          <w:sz w:val="22"/>
          <w:szCs w:val="22"/>
          <w:lang w:val="en-GB"/>
        </w:rPr>
        <w:t>In the event the Co</w:t>
      </w:r>
      <w:r w:rsidR="0061677A">
        <w:rPr>
          <w:rFonts w:asciiTheme="minorHAnsi" w:hAnsiTheme="minorHAnsi" w:cstheme="minorHAnsi"/>
          <w:sz w:val="22"/>
          <w:szCs w:val="22"/>
          <w:lang w:val="en-GB"/>
        </w:rPr>
        <w:t>mpany</w:t>
      </w:r>
      <w:r w:rsidRPr="0061677A">
        <w:rPr>
          <w:rFonts w:asciiTheme="minorHAnsi" w:hAnsiTheme="minorHAnsi" w:cstheme="minorHAnsi"/>
          <w:sz w:val="22"/>
          <w:szCs w:val="22"/>
          <w:lang w:val="en-GB"/>
        </w:rPr>
        <w:t xml:space="preserve"> does not complete the Financing for aggregate proceeds of not less than the Financing Amount Financing on or before September 30, 2026, this Fourth Supplemental Indenture shall </w:t>
      </w:r>
      <w:r w:rsidRPr="0061677A">
        <w:rPr>
          <w:rFonts w:asciiTheme="minorHAnsi" w:hAnsiTheme="minorHAnsi" w:cstheme="minorHAnsi"/>
          <w:sz w:val="22"/>
          <w:szCs w:val="22"/>
          <w:lang w:val="en-GB"/>
        </w:rPr>
        <w:lastRenderedPageBreak/>
        <w:t xml:space="preserve">terminate and be of no force and effect after such date, and the Amount Due owing under the </w:t>
      </w:r>
      <w:r w:rsidR="0061677A">
        <w:rPr>
          <w:rFonts w:asciiTheme="minorHAnsi" w:hAnsiTheme="minorHAnsi" w:cstheme="minorHAnsi"/>
          <w:sz w:val="22"/>
          <w:szCs w:val="22"/>
          <w:lang w:val="en-GB"/>
        </w:rPr>
        <w:t xml:space="preserve">Convertible </w:t>
      </w:r>
      <w:r w:rsidRPr="0061677A">
        <w:rPr>
          <w:rFonts w:asciiTheme="minorHAnsi" w:hAnsiTheme="minorHAnsi" w:cstheme="minorHAnsi"/>
          <w:sz w:val="22"/>
          <w:szCs w:val="22"/>
          <w:lang w:val="en-GB"/>
        </w:rPr>
        <w:t>Debentures shall immediately become due and payable, including for greater certainty the Forgiven Amount.</w:t>
      </w:r>
    </w:p>
    <w:p w14:paraId="42E1F34F" w14:textId="77777777" w:rsidR="00F46CB8" w:rsidRPr="0061677A" w:rsidRDefault="00F46CB8" w:rsidP="00F46CB8">
      <w:pPr>
        <w:tabs>
          <w:tab w:val="left" w:pos="0"/>
          <w:tab w:val="left" w:pos="720"/>
          <w:tab w:val="left" w:pos="1440"/>
          <w:tab w:val="left" w:pos="2160"/>
          <w:tab w:val="left" w:pos="2448"/>
          <w:tab w:val="left" w:pos="3168"/>
          <w:tab w:val="left" w:pos="5400"/>
        </w:tabs>
        <w:spacing w:after="0" w:line="240" w:lineRule="auto"/>
        <w:jc w:val="both"/>
        <w:rPr>
          <w:rFonts w:asciiTheme="minorHAnsi" w:hAnsiTheme="minorHAnsi" w:cstheme="minorHAnsi"/>
          <w:lang w:val="en-GB"/>
        </w:rPr>
      </w:pPr>
    </w:p>
    <w:p w14:paraId="662846C5" w14:textId="63773588" w:rsidR="00D70F55" w:rsidRDefault="001E4E3D" w:rsidP="00F46CB8">
      <w:pPr>
        <w:spacing w:after="0" w:line="240" w:lineRule="auto"/>
        <w:jc w:val="both"/>
        <w:rPr>
          <w:rFonts w:asciiTheme="minorHAnsi" w:eastAsia="Times New Roman" w:hAnsiTheme="minorHAnsi" w:cstheme="minorHAnsi"/>
          <w:spacing w:val="2"/>
        </w:rPr>
      </w:pPr>
      <w:r>
        <w:rPr>
          <w:rFonts w:asciiTheme="minorHAnsi" w:eastAsia="Times New Roman" w:hAnsiTheme="minorHAnsi" w:cstheme="minorHAnsi"/>
          <w:spacing w:val="2"/>
        </w:rPr>
        <w:t xml:space="preserve">A copy of the Fourth Supplemental Indenture will be filed on SEDAR+ under the Company's profile at </w:t>
      </w:r>
      <w:hyperlink r:id="rId10" w:history="1">
        <w:r w:rsidRPr="001A0589">
          <w:rPr>
            <w:rStyle w:val="Hyperlink"/>
            <w:rFonts w:asciiTheme="minorHAnsi" w:eastAsia="Times New Roman" w:hAnsiTheme="minorHAnsi" w:cstheme="minorHAnsi"/>
            <w:spacing w:val="2"/>
          </w:rPr>
          <w:t>www.sedarplus.ca</w:t>
        </w:r>
      </w:hyperlink>
      <w:r>
        <w:rPr>
          <w:rFonts w:asciiTheme="minorHAnsi" w:eastAsia="Times New Roman" w:hAnsiTheme="minorHAnsi" w:cstheme="minorHAnsi"/>
          <w:spacing w:val="2"/>
        </w:rPr>
        <w:t xml:space="preserve"> .</w:t>
      </w:r>
    </w:p>
    <w:p w14:paraId="1D16FBDB" w14:textId="77777777" w:rsidR="001E4E3D" w:rsidRPr="0061677A" w:rsidRDefault="001E4E3D" w:rsidP="00F46CB8">
      <w:pPr>
        <w:spacing w:after="0" w:line="240" w:lineRule="auto"/>
        <w:jc w:val="both"/>
        <w:rPr>
          <w:rFonts w:asciiTheme="minorHAnsi" w:eastAsia="Times New Roman" w:hAnsiTheme="minorHAnsi" w:cstheme="minorHAnsi"/>
          <w:spacing w:val="2"/>
        </w:rPr>
      </w:pPr>
    </w:p>
    <w:p w14:paraId="4D50CFFF" w14:textId="77777777" w:rsidR="00D70F55" w:rsidRPr="0061677A" w:rsidRDefault="00D70F55" w:rsidP="00F46CB8">
      <w:pPr>
        <w:spacing w:after="0" w:line="240" w:lineRule="auto"/>
        <w:jc w:val="both"/>
        <w:rPr>
          <w:rFonts w:asciiTheme="minorHAnsi" w:eastAsia="Times New Roman" w:hAnsiTheme="minorHAnsi" w:cstheme="minorHAnsi"/>
          <w:lang w:val="en-CA" w:eastAsia="en-CA"/>
        </w:rPr>
      </w:pPr>
    </w:p>
    <w:p w14:paraId="3B0907FB" w14:textId="38D40590" w:rsidR="007D52FA" w:rsidRPr="0061677A" w:rsidRDefault="00F11E4D" w:rsidP="00670F03">
      <w:pPr>
        <w:pStyle w:val="NormalWeb"/>
        <w:keepNext/>
        <w:keepLines/>
        <w:spacing w:before="0" w:beforeAutospacing="0" w:after="0" w:afterAutospacing="0"/>
        <w:jc w:val="both"/>
        <w:rPr>
          <w:rFonts w:asciiTheme="minorHAnsi" w:hAnsiTheme="minorHAnsi" w:cstheme="minorHAnsi"/>
          <w:b/>
          <w:color w:val="000000"/>
          <w:sz w:val="22"/>
          <w:szCs w:val="22"/>
        </w:rPr>
      </w:pPr>
      <w:r w:rsidRPr="0061677A">
        <w:rPr>
          <w:rFonts w:asciiTheme="minorHAnsi" w:hAnsiTheme="minorHAnsi" w:cstheme="minorHAnsi"/>
          <w:b/>
          <w:color w:val="000000"/>
          <w:sz w:val="22"/>
          <w:szCs w:val="22"/>
        </w:rPr>
        <w:t>About the Company</w:t>
      </w:r>
    </w:p>
    <w:p w14:paraId="5006FEDA" w14:textId="77777777" w:rsidR="001D48CC" w:rsidRPr="0061677A" w:rsidRDefault="001D48CC" w:rsidP="00670F03">
      <w:pPr>
        <w:keepNext/>
        <w:keepLines/>
        <w:pBdr>
          <w:top w:val="nil"/>
          <w:left w:val="nil"/>
          <w:bottom w:val="nil"/>
          <w:right w:val="nil"/>
          <w:between w:val="nil"/>
        </w:pBdr>
        <w:spacing w:after="0" w:line="240" w:lineRule="auto"/>
        <w:jc w:val="both"/>
        <w:rPr>
          <w:rFonts w:asciiTheme="minorHAnsi" w:hAnsiTheme="minorHAnsi" w:cstheme="minorHAnsi"/>
          <w:color w:val="000000"/>
        </w:rPr>
      </w:pPr>
    </w:p>
    <w:p w14:paraId="03088A2D" w14:textId="4A80F36A" w:rsidR="00CD2D31" w:rsidRPr="0061677A" w:rsidRDefault="00CD2D31" w:rsidP="00CD2D31">
      <w:pPr>
        <w:pBdr>
          <w:top w:val="nil"/>
          <w:left w:val="nil"/>
          <w:bottom w:val="nil"/>
          <w:right w:val="nil"/>
          <w:between w:val="nil"/>
        </w:pBdr>
        <w:spacing w:line="240" w:lineRule="auto"/>
        <w:jc w:val="both"/>
        <w:rPr>
          <w:rFonts w:asciiTheme="minorHAnsi" w:hAnsiTheme="minorHAnsi" w:cstheme="minorHAnsi"/>
          <w:color w:val="000000"/>
        </w:rPr>
      </w:pPr>
      <w:r w:rsidRPr="0061677A">
        <w:rPr>
          <w:rFonts w:asciiTheme="minorHAnsi" w:hAnsiTheme="minorHAnsi" w:cstheme="minorHAnsi"/>
          <w:color w:val="000000"/>
        </w:rPr>
        <w:t xml:space="preserve">Trillion Energy International Inc is focused on oil and natural gas production for Europe and Türkiye with natural gas assets in Türkiye. The Company is 49% owner of the SASB natural gas field, a Black Sea natural gas development and a 19.6% (except three wells with 9.8%) interest in the </w:t>
      </w:r>
      <w:proofErr w:type="spellStart"/>
      <w:r w:rsidRPr="0061677A">
        <w:rPr>
          <w:rFonts w:asciiTheme="minorHAnsi" w:hAnsiTheme="minorHAnsi" w:cstheme="minorHAnsi"/>
          <w:color w:val="000000"/>
        </w:rPr>
        <w:t>Cendere</w:t>
      </w:r>
      <w:proofErr w:type="spellEnd"/>
      <w:r w:rsidRPr="0061677A">
        <w:rPr>
          <w:rFonts w:asciiTheme="minorHAnsi" w:hAnsiTheme="minorHAnsi" w:cstheme="minorHAnsi"/>
          <w:color w:val="000000"/>
        </w:rPr>
        <w:t xml:space="preserve"> oil field. More information may be found on</w:t>
      </w:r>
      <w:hyperlink w:history="1"/>
      <w:r w:rsidR="00426C4E" w:rsidRPr="0061677A">
        <w:t xml:space="preserve"> </w:t>
      </w:r>
      <w:hyperlink r:id="rId11" w:history="1">
        <w:r w:rsidR="00426C4E" w:rsidRPr="0061677A">
          <w:rPr>
            <w:rStyle w:val="Hyperlink"/>
            <w:rFonts w:cs="Calibri"/>
          </w:rPr>
          <w:t>www.sedarplus.ca</w:t>
        </w:r>
      </w:hyperlink>
      <w:r w:rsidR="00426C4E" w:rsidRPr="0061677A">
        <w:t xml:space="preserve">, </w:t>
      </w:r>
      <w:r w:rsidRPr="0061677A">
        <w:rPr>
          <w:rFonts w:asciiTheme="minorHAnsi" w:hAnsiTheme="minorHAnsi" w:cstheme="minorHAnsi"/>
          <w:color w:val="000000"/>
        </w:rPr>
        <w:t xml:space="preserve">and our website. </w:t>
      </w:r>
    </w:p>
    <w:p w14:paraId="5CCEA812" w14:textId="23BA62D5" w:rsidR="00CD2D31" w:rsidRPr="0061677A" w:rsidRDefault="001E071E" w:rsidP="00CD2D31">
      <w:pPr>
        <w:pBdr>
          <w:top w:val="nil"/>
          <w:left w:val="nil"/>
          <w:bottom w:val="nil"/>
          <w:right w:val="nil"/>
          <w:between w:val="nil"/>
        </w:pBdr>
        <w:spacing w:after="0" w:line="240" w:lineRule="auto"/>
        <w:rPr>
          <w:color w:val="000000"/>
        </w:rPr>
      </w:pPr>
      <w:r w:rsidRPr="0061677A">
        <w:rPr>
          <w:b/>
          <w:color w:val="000000"/>
        </w:rPr>
        <w:t>Contact</w:t>
      </w:r>
      <w:r w:rsidR="00CD2D31" w:rsidRPr="0061677A">
        <w:rPr>
          <w:b/>
          <w:color w:val="000000"/>
        </w:rPr>
        <w:br/>
      </w:r>
      <w:r w:rsidR="00CD2D31" w:rsidRPr="0061677A">
        <w:rPr>
          <w:color w:val="000000"/>
        </w:rPr>
        <w:t>Sean Stofer, Chairman</w:t>
      </w:r>
    </w:p>
    <w:p w14:paraId="78D633D0" w14:textId="0FCE3BB8" w:rsidR="00D7647C" w:rsidRPr="0061677A" w:rsidRDefault="00B47C6A">
      <w:pPr>
        <w:pBdr>
          <w:top w:val="nil"/>
          <w:left w:val="nil"/>
          <w:bottom w:val="nil"/>
          <w:right w:val="nil"/>
          <w:between w:val="nil"/>
        </w:pBdr>
        <w:spacing w:after="0" w:line="240" w:lineRule="auto"/>
        <w:rPr>
          <w:color w:val="000000"/>
        </w:rPr>
      </w:pPr>
      <w:r w:rsidRPr="0061677A">
        <w:rPr>
          <w:color w:val="000000"/>
        </w:rPr>
        <w:t>Brian Park, VP of Finance</w:t>
      </w:r>
    </w:p>
    <w:p w14:paraId="4C8EA43A" w14:textId="77777777" w:rsidR="00D7647C" w:rsidRPr="0061677A" w:rsidRDefault="001E071E">
      <w:pPr>
        <w:pBdr>
          <w:top w:val="nil"/>
          <w:left w:val="nil"/>
          <w:bottom w:val="nil"/>
          <w:right w:val="nil"/>
          <w:between w:val="nil"/>
        </w:pBdr>
        <w:spacing w:after="0" w:line="240" w:lineRule="auto"/>
        <w:rPr>
          <w:color w:val="000000"/>
          <w:lang w:val="pt-BR"/>
        </w:rPr>
      </w:pPr>
      <w:r w:rsidRPr="0061677A">
        <w:rPr>
          <w:color w:val="000000"/>
          <w:lang w:val="pt-BR"/>
        </w:rPr>
        <w:t>1-778-819-1585</w:t>
      </w:r>
    </w:p>
    <w:p w14:paraId="173F340B" w14:textId="4F990BEB" w:rsidR="00D7647C" w:rsidRPr="0061677A" w:rsidRDefault="00B147C1">
      <w:pPr>
        <w:pBdr>
          <w:top w:val="nil"/>
          <w:left w:val="nil"/>
          <w:bottom w:val="nil"/>
          <w:right w:val="nil"/>
          <w:between w:val="nil"/>
        </w:pBdr>
        <w:spacing w:after="0" w:line="240" w:lineRule="auto"/>
        <w:rPr>
          <w:color w:val="000000"/>
          <w:lang w:val="pt-BR"/>
        </w:rPr>
      </w:pPr>
      <w:r w:rsidRPr="0061677A">
        <w:rPr>
          <w:color w:val="000000"/>
          <w:lang w:val="pt-BR"/>
        </w:rPr>
        <w:t xml:space="preserve">E-mail: </w:t>
      </w:r>
      <w:hyperlink r:id="rId12">
        <w:r w:rsidR="00D7647C" w:rsidRPr="0061677A">
          <w:rPr>
            <w:color w:val="0000FF"/>
            <w:u w:val="single"/>
            <w:lang w:val="pt-BR"/>
          </w:rPr>
          <w:t>info@trillionenergy.com</w:t>
        </w:r>
      </w:hyperlink>
    </w:p>
    <w:p w14:paraId="6EBC3DD8" w14:textId="77777777" w:rsidR="00D7647C" w:rsidRPr="0061677A" w:rsidRDefault="001E071E">
      <w:pPr>
        <w:pBdr>
          <w:top w:val="nil"/>
          <w:left w:val="nil"/>
          <w:bottom w:val="nil"/>
          <w:right w:val="nil"/>
          <w:between w:val="nil"/>
        </w:pBdr>
        <w:spacing w:after="0" w:line="240" w:lineRule="auto"/>
        <w:rPr>
          <w:color w:val="000000"/>
          <w:lang w:val="pt-BR"/>
        </w:rPr>
      </w:pPr>
      <w:r w:rsidRPr="0061677A">
        <w:rPr>
          <w:color w:val="000000"/>
          <w:lang w:val="pt-BR"/>
        </w:rPr>
        <w:t xml:space="preserve">Website: </w:t>
      </w:r>
      <w:hyperlink r:id="rId13">
        <w:r w:rsidR="00D7647C" w:rsidRPr="0061677A">
          <w:rPr>
            <w:color w:val="0000FF"/>
            <w:u w:val="single"/>
            <w:lang w:val="pt-BR"/>
          </w:rPr>
          <w:t>www.trillionenergy.com</w:t>
        </w:r>
      </w:hyperlink>
      <w:r w:rsidRPr="0061677A">
        <w:rPr>
          <w:color w:val="000000"/>
          <w:lang w:val="pt-BR"/>
        </w:rPr>
        <w:t xml:space="preserve"> </w:t>
      </w:r>
    </w:p>
    <w:p w14:paraId="771C67D8" w14:textId="55EADE25" w:rsidR="00D7647C" w:rsidRDefault="000A56D7">
      <w:pPr>
        <w:spacing w:before="120" w:after="0"/>
        <w:jc w:val="both"/>
        <w:rPr>
          <w:rFonts w:ascii="Times New Roman" w:eastAsia="Times New Roman" w:hAnsi="Times New Roman" w:cs="Times New Roman"/>
          <w:i/>
          <w:sz w:val="16"/>
          <w:szCs w:val="16"/>
        </w:rPr>
      </w:pPr>
      <w:r>
        <w:rPr>
          <w:b/>
          <w:sz w:val="16"/>
          <w:szCs w:val="16"/>
        </w:rPr>
        <w:t xml:space="preserve"> </w:t>
      </w:r>
    </w:p>
    <w:sectPr w:rsidR="00D7647C" w:rsidSect="00F46CB8">
      <w:headerReference w:type="even" r:id="rId14"/>
      <w:headerReference w:type="default" r:id="rId15"/>
      <w:pgSz w:w="12240" w:h="15840" w:code="1"/>
      <w:pgMar w:top="1008" w:right="1440" w:bottom="1008" w:left="1440" w:header="100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9E6F" w14:textId="77777777" w:rsidR="00205824" w:rsidRDefault="00205824">
      <w:pPr>
        <w:spacing w:after="0" w:line="240" w:lineRule="auto"/>
      </w:pPr>
      <w:r>
        <w:separator/>
      </w:r>
    </w:p>
  </w:endnote>
  <w:endnote w:type="continuationSeparator" w:id="0">
    <w:p w14:paraId="742CB9A0" w14:textId="77777777" w:rsidR="00205824" w:rsidRDefault="0020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F686" w14:textId="77777777" w:rsidR="00205824" w:rsidRDefault="00205824">
      <w:pPr>
        <w:spacing w:after="0" w:line="240" w:lineRule="auto"/>
      </w:pPr>
      <w:r>
        <w:separator/>
      </w:r>
    </w:p>
  </w:footnote>
  <w:footnote w:type="continuationSeparator" w:id="0">
    <w:p w14:paraId="5FFBB419" w14:textId="77777777" w:rsidR="00205824" w:rsidRDefault="00205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E511" w14:textId="77777777" w:rsidR="00D7647C" w:rsidRDefault="001E071E">
    <w:pPr>
      <w:pBdr>
        <w:top w:val="nil"/>
        <w:left w:val="nil"/>
        <w:bottom w:val="nil"/>
        <w:right w:val="nil"/>
        <w:between w:val="nil"/>
      </w:pBdr>
      <w:tabs>
        <w:tab w:val="center" w:pos="4680"/>
        <w:tab w:val="right" w:pos="9360"/>
      </w:tabs>
      <w:spacing w:after="0" w:line="240" w:lineRule="auto"/>
      <w:rPr>
        <w:color w:val="000000"/>
      </w:rPr>
    </w:pPr>
    <w:r>
      <w:rPr>
        <w:noProof/>
        <w:color w:val="000000"/>
        <w:lang w:val="en-CA" w:eastAsia="en-CA"/>
      </w:rPr>
      <mc:AlternateContent>
        <mc:Choice Requires="wps">
          <w:drawing>
            <wp:anchor distT="0" distB="0" distL="0" distR="0" simplePos="0" relativeHeight="251658240" behindDoc="1" locked="0" layoutInCell="1" hidden="0" allowOverlap="1" wp14:anchorId="50BDD001" wp14:editId="1CE184BE">
              <wp:simplePos x="0" y="0"/>
              <wp:positionH relativeFrom="margin">
                <wp:align>center</wp:align>
              </wp:positionH>
              <wp:positionV relativeFrom="margin">
                <wp:align>center</wp:align>
              </wp:positionV>
              <wp:extent cx="6485540" cy="6485540"/>
              <wp:effectExtent l="0" t="0" r="0" b="0"/>
              <wp:wrapNone/>
              <wp:docPr id="6" name="Rectangle 6"/>
              <wp:cNvGraphicFramePr/>
              <a:graphic xmlns:a="http://schemas.openxmlformats.org/drawingml/2006/main">
                <a:graphicData uri="http://schemas.microsoft.com/office/word/2010/wordprocessingShape">
                  <wps:wsp>
                    <wps:cNvSpPr/>
                    <wps:spPr>
                      <a:xfrm rot="-2700000">
                        <a:off x="2485643" y="2063913"/>
                        <a:ext cx="5720715" cy="3432175"/>
                      </a:xfrm>
                      <a:prstGeom prst="rect">
                        <a:avLst/>
                      </a:prstGeom>
                    </wps:spPr>
                    <wps:txbx>
                      <w:txbxContent>
                        <w:p w14:paraId="717DBD97" w14:textId="77777777" w:rsidR="00D7647C" w:rsidRDefault="001E071E">
                          <w:pPr>
                            <w:spacing w:after="0" w:line="240" w:lineRule="auto"/>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50BDD001" id="Rectangle 6" o:spid="_x0000_s1026" style="position:absolute;margin-left:0;margin-top:0;width:510.65pt;height:510.6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" filled="f" stroked="f">
              <v:textbox inset="2.53958mm,2.53958mm,2.53958mm,2.53958mm">
                <w:txbxContent>
                  <w:p w14:paraId="717DBD97" w14:textId="77777777" w:rsidR="00D7647C" w:rsidRDefault="001E071E">
                    <w:pPr>
                      <w:spacing w:after="0" w:line="240" w:lineRule="auto"/>
                      <w:jc w:val="center"/>
                      <w:textDirection w:val="btLr"/>
                    </w:pPr>
                    <w:r>
                      <w:rPr>
                        <w:rFonts w:ascii="Arial" w:eastAsia="Arial" w:hAnsi="Arial" w:cs="Arial"/>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777862"/>
      <w:docPartObj>
        <w:docPartGallery w:val="Page Numbers (Top of Page)"/>
        <w:docPartUnique/>
      </w:docPartObj>
    </w:sdtPr>
    <w:sdtEndPr>
      <w:rPr>
        <w:noProof/>
      </w:rPr>
    </w:sdtEndPr>
    <w:sdtContent>
      <w:p w14:paraId="61454FD1" w14:textId="64111153" w:rsidR="001E4E3D" w:rsidRDefault="001E4E3D">
        <w:pPr>
          <w:pStyle w:val="Head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411B316F" w14:textId="67F56FC3" w:rsidR="00D7647C" w:rsidRDefault="00D7647C">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0DCA"/>
    <w:multiLevelType w:val="hybridMultilevel"/>
    <w:tmpl w:val="6E183124"/>
    <w:lvl w:ilvl="0" w:tplc="A3E8688E">
      <w:start w:val="1"/>
      <w:numFmt w:val="lowerLetter"/>
      <w:lvlText w:val="(%1)"/>
      <w:lvlJc w:val="left"/>
      <w:pPr>
        <w:ind w:left="2520" w:hanging="360"/>
      </w:pPr>
      <w:rPr>
        <w:rFonts w:ascii="Calibri" w:eastAsia="Calibri" w:hAnsi="Calibri" w:cs="Calibr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504688C"/>
    <w:multiLevelType w:val="hybridMultilevel"/>
    <w:tmpl w:val="4E92CB6C"/>
    <w:lvl w:ilvl="0" w:tplc="26FE4E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1231E"/>
    <w:multiLevelType w:val="multilevel"/>
    <w:tmpl w:val="EA58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E22B6"/>
    <w:multiLevelType w:val="hybridMultilevel"/>
    <w:tmpl w:val="00BA2020"/>
    <w:lvl w:ilvl="0" w:tplc="88BC289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B1E52"/>
    <w:multiLevelType w:val="hybridMultilevel"/>
    <w:tmpl w:val="9E3CD8D0"/>
    <w:lvl w:ilvl="0" w:tplc="FFFFFFFF">
      <w:start w:val="1"/>
      <w:numFmt w:val="decimal"/>
      <w:lvlText w:val="%1."/>
      <w:lvlJc w:val="left"/>
      <w:pPr>
        <w:tabs>
          <w:tab w:val="num" w:pos="360"/>
        </w:tabs>
        <w:ind w:left="360" w:hanging="360"/>
      </w:pPr>
      <w:rPr>
        <w:rFonts w:hint="default"/>
        <w:b w:val="0"/>
        <w:sz w:val="22"/>
        <w:szCs w:val="22"/>
      </w:rPr>
    </w:lvl>
    <w:lvl w:ilvl="1" w:tplc="FFFFFFFF">
      <w:start w:val="1"/>
      <w:numFmt w:val="upperLetter"/>
      <w:lvlText w:val="%2."/>
      <w:lvlJc w:val="left"/>
      <w:pPr>
        <w:tabs>
          <w:tab w:val="num" w:pos="360"/>
        </w:tabs>
        <w:ind w:left="1080" w:hanging="360"/>
      </w:pPr>
      <w:rPr>
        <w:rFonts w:cs="Gisha" w:hint="default"/>
        <w:b w:val="0"/>
        <w:sz w:val="22"/>
        <w:szCs w:val="22"/>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01397860">
    <w:abstractNumId w:val="3"/>
  </w:num>
  <w:num w:numId="2" w16cid:durableId="568152841">
    <w:abstractNumId w:val="2"/>
  </w:num>
  <w:num w:numId="3" w16cid:durableId="174460367">
    <w:abstractNumId w:val="1"/>
  </w:num>
  <w:num w:numId="4" w16cid:durableId="1635331335">
    <w:abstractNumId w:val="0"/>
  </w:num>
  <w:num w:numId="5" w16cid:durableId="1334722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7C"/>
    <w:rsid w:val="0000351E"/>
    <w:rsid w:val="00003A9E"/>
    <w:rsid w:val="00005ABB"/>
    <w:rsid w:val="0000668D"/>
    <w:rsid w:val="00007265"/>
    <w:rsid w:val="00014CBE"/>
    <w:rsid w:val="00042345"/>
    <w:rsid w:val="0004330F"/>
    <w:rsid w:val="00055183"/>
    <w:rsid w:val="000563F4"/>
    <w:rsid w:val="0005690C"/>
    <w:rsid w:val="0007272C"/>
    <w:rsid w:val="00072FF6"/>
    <w:rsid w:val="000821FD"/>
    <w:rsid w:val="00093E98"/>
    <w:rsid w:val="000941C4"/>
    <w:rsid w:val="00096DC1"/>
    <w:rsid w:val="000A4645"/>
    <w:rsid w:val="000A56D7"/>
    <w:rsid w:val="000B270B"/>
    <w:rsid w:val="000C5AAC"/>
    <w:rsid w:val="000C5BB7"/>
    <w:rsid w:val="000D6BDF"/>
    <w:rsid w:val="000D75B4"/>
    <w:rsid w:val="000E5D75"/>
    <w:rsid w:val="000E78AD"/>
    <w:rsid w:val="000F0470"/>
    <w:rsid w:val="000F55A9"/>
    <w:rsid w:val="00105846"/>
    <w:rsid w:val="0011652D"/>
    <w:rsid w:val="00117D92"/>
    <w:rsid w:val="00123D6E"/>
    <w:rsid w:val="001322B4"/>
    <w:rsid w:val="00134147"/>
    <w:rsid w:val="00150558"/>
    <w:rsid w:val="0015519D"/>
    <w:rsid w:val="00155279"/>
    <w:rsid w:val="00170BCB"/>
    <w:rsid w:val="001730BA"/>
    <w:rsid w:val="00175703"/>
    <w:rsid w:val="00176B4F"/>
    <w:rsid w:val="00183676"/>
    <w:rsid w:val="00191657"/>
    <w:rsid w:val="00195FC8"/>
    <w:rsid w:val="001972F5"/>
    <w:rsid w:val="001A526F"/>
    <w:rsid w:val="001B12C9"/>
    <w:rsid w:val="001B637D"/>
    <w:rsid w:val="001C59DE"/>
    <w:rsid w:val="001D0E09"/>
    <w:rsid w:val="001D202F"/>
    <w:rsid w:val="001D48CC"/>
    <w:rsid w:val="001D6633"/>
    <w:rsid w:val="001E071E"/>
    <w:rsid w:val="001E1A33"/>
    <w:rsid w:val="001E4E3D"/>
    <w:rsid w:val="001E54D8"/>
    <w:rsid w:val="00203045"/>
    <w:rsid w:val="00204CDB"/>
    <w:rsid w:val="00205824"/>
    <w:rsid w:val="002075E4"/>
    <w:rsid w:val="00215FB2"/>
    <w:rsid w:val="00222490"/>
    <w:rsid w:val="00231C88"/>
    <w:rsid w:val="00232E38"/>
    <w:rsid w:val="002376E7"/>
    <w:rsid w:val="00253535"/>
    <w:rsid w:val="00256003"/>
    <w:rsid w:val="00261025"/>
    <w:rsid w:val="00277AA6"/>
    <w:rsid w:val="002918BB"/>
    <w:rsid w:val="002B0414"/>
    <w:rsid w:val="002B16C8"/>
    <w:rsid w:val="002B29DA"/>
    <w:rsid w:val="002B5079"/>
    <w:rsid w:val="002C055C"/>
    <w:rsid w:val="002C16F5"/>
    <w:rsid w:val="002E7A73"/>
    <w:rsid w:val="002E7D2B"/>
    <w:rsid w:val="002F0295"/>
    <w:rsid w:val="00304400"/>
    <w:rsid w:val="003126B0"/>
    <w:rsid w:val="003171E1"/>
    <w:rsid w:val="00320E18"/>
    <w:rsid w:val="00327759"/>
    <w:rsid w:val="003314A9"/>
    <w:rsid w:val="00370BAE"/>
    <w:rsid w:val="0039541D"/>
    <w:rsid w:val="00396E32"/>
    <w:rsid w:val="003A3C3C"/>
    <w:rsid w:val="003A63BA"/>
    <w:rsid w:val="003B16C0"/>
    <w:rsid w:val="003C1868"/>
    <w:rsid w:val="003C7319"/>
    <w:rsid w:val="003D06C7"/>
    <w:rsid w:val="003D32A0"/>
    <w:rsid w:val="003D48C9"/>
    <w:rsid w:val="003E0220"/>
    <w:rsid w:val="003E345B"/>
    <w:rsid w:val="003F43F2"/>
    <w:rsid w:val="004128ED"/>
    <w:rsid w:val="00423775"/>
    <w:rsid w:val="00426C4E"/>
    <w:rsid w:val="00427536"/>
    <w:rsid w:val="0043023A"/>
    <w:rsid w:val="004320BD"/>
    <w:rsid w:val="00441449"/>
    <w:rsid w:val="00442A99"/>
    <w:rsid w:val="00453BB7"/>
    <w:rsid w:val="00453BDC"/>
    <w:rsid w:val="00474A85"/>
    <w:rsid w:val="004B2190"/>
    <w:rsid w:val="004B35D3"/>
    <w:rsid w:val="004B5228"/>
    <w:rsid w:val="004C1FE3"/>
    <w:rsid w:val="004E6C91"/>
    <w:rsid w:val="0052092B"/>
    <w:rsid w:val="00534765"/>
    <w:rsid w:val="00542AE1"/>
    <w:rsid w:val="00555CAA"/>
    <w:rsid w:val="00570781"/>
    <w:rsid w:val="0057719F"/>
    <w:rsid w:val="00584E89"/>
    <w:rsid w:val="00585FF6"/>
    <w:rsid w:val="00587D80"/>
    <w:rsid w:val="005905EE"/>
    <w:rsid w:val="005926B4"/>
    <w:rsid w:val="005A4CEE"/>
    <w:rsid w:val="005C14DE"/>
    <w:rsid w:val="005C55DF"/>
    <w:rsid w:val="005C6731"/>
    <w:rsid w:val="005D4DD0"/>
    <w:rsid w:val="005F2CC5"/>
    <w:rsid w:val="005F6CA2"/>
    <w:rsid w:val="00604A11"/>
    <w:rsid w:val="0061677A"/>
    <w:rsid w:val="006275EB"/>
    <w:rsid w:val="00633EEF"/>
    <w:rsid w:val="0064010D"/>
    <w:rsid w:val="00641054"/>
    <w:rsid w:val="006458B7"/>
    <w:rsid w:val="00645A1E"/>
    <w:rsid w:val="006466B6"/>
    <w:rsid w:val="006475E3"/>
    <w:rsid w:val="00652173"/>
    <w:rsid w:val="00654D58"/>
    <w:rsid w:val="00661249"/>
    <w:rsid w:val="006631E2"/>
    <w:rsid w:val="0066745C"/>
    <w:rsid w:val="006702C2"/>
    <w:rsid w:val="00670F03"/>
    <w:rsid w:val="006836F9"/>
    <w:rsid w:val="0069046B"/>
    <w:rsid w:val="00690EBE"/>
    <w:rsid w:val="00697BEA"/>
    <w:rsid w:val="006A2878"/>
    <w:rsid w:val="006C69DB"/>
    <w:rsid w:val="006F72C2"/>
    <w:rsid w:val="00705DCF"/>
    <w:rsid w:val="00720062"/>
    <w:rsid w:val="007253C8"/>
    <w:rsid w:val="00740057"/>
    <w:rsid w:val="00746000"/>
    <w:rsid w:val="007463E0"/>
    <w:rsid w:val="00747D9C"/>
    <w:rsid w:val="00757FD9"/>
    <w:rsid w:val="00770BAE"/>
    <w:rsid w:val="00780F69"/>
    <w:rsid w:val="007869A8"/>
    <w:rsid w:val="00790BF4"/>
    <w:rsid w:val="007A14DF"/>
    <w:rsid w:val="007A50CC"/>
    <w:rsid w:val="007C6172"/>
    <w:rsid w:val="007D3CED"/>
    <w:rsid w:val="007D52FA"/>
    <w:rsid w:val="007F17A6"/>
    <w:rsid w:val="00800DA9"/>
    <w:rsid w:val="00813ED1"/>
    <w:rsid w:val="00821AC4"/>
    <w:rsid w:val="008303CA"/>
    <w:rsid w:val="008325ED"/>
    <w:rsid w:val="00840CE4"/>
    <w:rsid w:val="0084782D"/>
    <w:rsid w:val="00851164"/>
    <w:rsid w:val="00854CA2"/>
    <w:rsid w:val="0085539C"/>
    <w:rsid w:val="00870B58"/>
    <w:rsid w:val="00891D17"/>
    <w:rsid w:val="008940DD"/>
    <w:rsid w:val="008B1235"/>
    <w:rsid w:val="008C180A"/>
    <w:rsid w:val="008D400E"/>
    <w:rsid w:val="008E2715"/>
    <w:rsid w:val="009153DC"/>
    <w:rsid w:val="00915617"/>
    <w:rsid w:val="00915B2B"/>
    <w:rsid w:val="00921AEA"/>
    <w:rsid w:val="00927A6F"/>
    <w:rsid w:val="00953FB1"/>
    <w:rsid w:val="00967DF5"/>
    <w:rsid w:val="009722DE"/>
    <w:rsid w:val="0097331D"/>
    <w:rsid w:val="0098368E"/>
    <w:rsid w:val="00985CC8"/>
    <w:rsid w:val="00994311"/>
    <w:rsid w:val="009979B5"/>
    <w:rsid w:val="009A1C86"/>
    <w:rsid w:val="009A4116"/>
    <w:rsid w:val="009A47AD"/>
    <w:rsid w:val="009B30FD"/>
    <w:rsid w:val="009B338F"/>
    <w:rsid w:val="009B6818"/>
    <w:rsid w:val="009D0D6E"/>
    <w:rsid w:val="009E35BD"/>
    <w:rsid w:val="009E4DF7"/>
    <w:rsid w:val="009F4FE7"/>
    <w:rsid w:val="009F75C9"/>
    <w:rsid w:val="00A020F0"/>
    <w:rsid w:val="00A06F42"/>
    <w:rsid w:val="00A12DE8"/>
    <w:rsid w:val="00A1761D"/>
    <w:rsid w:val="00A251BF"/>
    <w:rsid w:val="00A26FC5"/>
    <w:rsid w:val="00A44691"/>
    <w:rsid w:val="00A477C3"/>
    <w:rsid w:val="00A5174A"/>
    <w:rsid w:val="00A51BD8"/>
    <w:rsid w:val="00A73096"/>
    <w:rsid w:val="00A746B7"/>
    <w:rsid w:val="00A80159"/>
    <w:rsid w:val="00A8258D"/>
    <w:rsid w:val="00A91B70"/>
    <w:rsid w:val="00A95C2D"/>
    <w:rsid w:val="00AA5558"/>
    <w:rsid w:val="00AA79FB"/>
    <w:rsid w:val="00AB333F"/>
    <w:rsid w:val="00AD1683"/>
    <w:rsid w:val="00AE090B"/>
    <w:rsid w:val="00AF1261"/>
    <w:rsid w:val="00B147C1"/>
    <w:rsid w:val="00B3071D"/>
    <w:rsid w:val="00B437F2"/>
    <w:rsid w:val="00B45F87"/>
    <w:rsid w:val="00B46FC2"/>
    <w:rsid w:val="00B47C6A"/>
    <w:rsid w:val="00B61D93"/>
    <w:rsid w:val="00B70F94"/>
    <w:rsid w:val="00B72848"/>
    <w:rsid w:val="00B766ED"/>
    <w:rsid w:val="00B93996"/>
    <w:rsid w:val="00BA041B"/>
    <w:rsid w:val="00BA29F7"/>
    <w:rsid w:val="00BA62E2"/>
    <w:rsid w:val="00BB3DB7"/>
    <w:rsid w:val="00BB6304"/>
    <w:rsid w:val="00BC286C"/>
    <w:rsid w:val="00BC290D"/>
    <w:rsid w:val="00BD5FFA"/>
    <w:rsid w:val="00BE1719"/>
    <w:rsid w:val="00BE7870"/>
    <w:rsid w:val="00BF1F0E"/>
    <w:rsid w:val="00C01830"/>
    <w:rsid w:val="00C03FA8"/>
    <w:rsid w:val="00C12187"/>
    <w:rsid w:val="00C14C38"/>
    <w:rsid w:val="00C1645D"/>
    <w:rsid w:val="00C20AD2"/>
    <w:rsid w:val="00C24D0C"/>
    <w:rsid w:val="00C24EFF"/>
    <w:rsid w:val="00C30407"/>
    <w:rsid w:val="00C361E6"/>
    <w:rsid w:val="00C44DB8"/>
    <w:rsid w:val="00C452A7"/>
    <w:rsid w:val="00C47BB8"/>
    <w:rsid w:val="00C76B0E"/>
    <w:rsid w:val="00CB2925"/>
    <w:rsid w:val="00CB7040"/>
    <w:rsid w:val="00CC238F"/>
    <w:rsid w:val="00CD2D31"/>
    <w:rsid w:val="00CD5738"/>
    <w:rsid w:val="00CE15AA"/>
    <w:rsid w:val="00CE722C"/>
    <w:rsid w:val="00D00E90"/>
    <w:rsid w:val="00D01615"/>
    <w:rsid w:val="00D16078"/>
    <w:rsid w:val="00D41C0B"/>
    <w:rsid w:val="00D4503C"/>
    <w:rsid w:val="00D51C09"/>
    <w:rsid w:val="00D54AC1"/>
    <w:rsid w:val="00D615CE"/>
    <w:rsid w:val="00D70F55"/>
    <w:rsid w:val="00D73635"/>
    <w:rsid w:val="00D737BE"/>
    <w:rsid w:val="00D7647C"/>
    <w:rsid w:val="00D81B43"/>
    <w:rsid w:val="00D877DD"/>
    <w:rsid w:val="00D94C37"/>
    <w:rsid w:val="00DA1CBE"/>
    <w:rsid w:val="00DB27A9"/>
    <w:rsid w:val="00DB4E37"/>
    <w:rsid w:val="00DD0DA6"/>
    <w:rsid w:val="00DD44F2"/>
    <w:rsid w:val="00DE0092"/>
    <w:rsid w:val="00DE0732"/>
    <w:rsid w:val="00DE4D48"/>
    <w:rsid w:val="00DF0F12"/>
    <w:rsid w:val="00DF2614"/>
    <w:rsid w:val="00DF3F42"/>
    <w:rsid w:val="00DF526C"/>
    <w:rsid w:val="00E04AD6"/>
    <w:rsid w:val="00E07BC5"/>
    <w:rsid w:val="00E12318"/>
    <w:rsid w:val="00E1298C"/>
    <w:rsid w:val="00E17DC5"/>
    <w:rsid w:val="00E20488"/>
    <w:rsid w:val="00E4240B"/>
    <w:rsid w:val="00E43D4A"/>
    <w:rsid w:val="00E45F57"/>
    <w:rsid w:val="00E6210A"/>
    <w:rsid w:val="00E724A7"/>
    <w:rsid w:val="00E827AF"/>
    <w:rsid w:val="00E83951"/>
    <w:rsid w:val="00E94A03"/>
    <w:rsid w:val="00EB0621"/>
    <w:rsid w:val="00EE122F"/>
    <w:rsid w:val="00EE6804"/>
    <w:rsid w:val="00EF312C"/>
    <w:rsid w:val="00F11D3B"/>
    <w:rsid w:val="00F11E4D"/>
    <w:rsid w:val="00F13CBD"/>
    <w:rsid w:val="00F16711"/>
    <w:rsid w:val="00F26075"/>
    <w:rsid w:val="00F3037F"/>
    <w:rsid w:val="00F40D6B"/>
    <w:rsid w:val="00F41136"/>
    <w:rsid w:val="00F46CB8"/>
    <w:rsid w:val="00F512E0"/>
    <w:rsid w:val="00F51D32"/>
    <w:rsid w:val="00F52041"/>
    <w:rsid w:val="00F53084"/>
    <w:rsid w:val="00F53EEF"/>
    <w:rsid w:val="00F6134A"/>
    <w:rsid w:val="00F7063B"/>
    <w:rsid w:val="00F743E3"/>
    <w:rsid w:val="00F86855"/>
    <w:rsid w:val="00F90966"/>
    <w:rsid w:val="00FB3E2E"/>
    <w:rsid w:val="00FC1C3B"/>
    <w:rsid w:val="00FC4A98"/>
    <w:rsid w:val="00FD44D2"/>
    <w:rsid w:val="00FD552A"/>
    <w:rsid w:val="00FE6154"/>
    <w:rsid w:val="00FF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6817"/>
  <w15:docId w15:val="{2EB9DDA0-F163-4353-991C-2FD73997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282E39"/>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qFormat/>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qFormat/>
    <w:pPr>
      <w:spacing w:after="0" w:line="240" w:lineRule="auto"/>
    </w:pPr>
    <w:rPr>
      <w:rFonts w:eastAsiaTheme="minorHAnsi" w:cstheme="minorBidi"/>
      <w:szCs w:val="21"/>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rPr>
      <w:rFonts w:cs="Times New Roman"/>
      <w:color w:val="0000FF" w:themeColor="hyperlink"/>
      <w:u w:val="single"/>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Pr>
      <w:rFonts w:cs="Times New Roman"/>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basedOn w:val="Normal"/>
    <w:qFormat/>
    <w:pPr>
      <w:autoSpaceDE w:val="0"/>
      <w:autoSpaceDN w:val="0"/>
      <w:spacing w:after="0" w:line="240" w:lineRule="auto"/>
    </w:pPr>
    <w:rPr>
      <w:rFonts w:ascii="Arial" w:eastAsiaTheme="minorHAnsi" w:hAnsi="Arial" w:cs="Arial"/>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link w:val="PlainText"/>
    <w:uiPriority w:val="99"/>
    <w:rPr>
      <w:rFonts w:eastAsiaTheme="minorHAnsi" w:cstheme="minorBidi"/>
      <w:szCs w:val="21"/>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semiHidden/>
    <w:unhideWhenUsed/>
    <w:rsid w:val="0015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153B59"/>
    <w:rPr>
      <w:rFonts w:ascii="Courier New" w:eastAsia="Times New Roman" w:hAnsi="Courier New" w:cs="Courier New"/>
    </w:rPr>
  </w:style>
  <w:style w:type="character" w:customStyle="1" w:styleId="UnresolvedMention2">
    <w:name w:val="Unresolved Mention2"/>
    <w:basedOn w:val="DefaultParagraphFont"/>
    <w:uiPriority w:val="99"/>
    <w:semiHidden/>
    <w:unhideWhenUsed/>
    <w:rsid w:val="001D3E6E"/>
    <w:rPr>
      <w:color w:val="605E5C"/>
      <w:shd w:val="clear" w:color="auto" w:fill="E1DFDD"/>
    </w:rPr>
  </w:style>
  <w:style w:type="character" w:customStyle="1" w:styleId="Heading4Char">
    <w:name w:val="Heading 4 Char"/>
    <w:basedOn w:val="DefaultParagraphFont"/>
    <w:link w:val="Heading4"/>
    <w:uiPriority w:val="9"/>
    <w:rsid w:val="00282E39"/>
    <w:rPr>
      <w:rFonts w:ascii="Times New Roman" w:eastAsia="Times New Roman" w:hAnsi="Times New Roman"/>
      <w:b/>
      <w:bCs/>
      <w:sz w:val="24"/>
      <w:szCs w:val="24"/>
      <w:lang w:val="en-US" w:eastAsia="en-US"/>
    </w:rPr>
  </w:style>
  <w:style w:type="character" w:styleId="Strong">
    <w:name w:val="Strong"/>
    <w:basedOn w:val="DefaultParagraphFont"/>
    <w:uiPriority w:val="22"/>
    <w:qFormat/>
    <w:locked/>
    <w:rsid w:val="00282E39"/>
    <w:rPr>
      <w:b/>
      <w:bCs/>
    </w:rPr>
  </w:style>
  <w:style w:type="paragraph" w:styleId="FootnoteText">
    <w:name w:val="footnote text"/>
    <w:basedOn w:val="Normal"/>
    <w:link w:val="FootnoteTextChar"/>
    <w:uiPriority w:val="99"/>
    <w:semiHidden/>
    <w:unhideWhenUsed/>
    <w:rsid w:val="00006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831"/>
    <w:rPr>
      <w:lang w:val="en-US" w:eastAsia="en-US"/>
    </w:rPr>
  </w:style>
  <w:style w:type="character" w:styleId="FootnoteReference">
    <w:name w:val="footnote reference"/>
    <w:basedOn w:val="DefaultParagraphFont"/>
    <w:uiPriority w:val="99"/>
    <w:semiHidden/>
    <w:unhideWhenUsed/>
    <w:rsid w:val="00006831"/>
    <w:rPr>
      <w:vertAlign w:val="superscript"/>
    </w:rPr>
  </w:style>
  <w:style w:type="paragraph" w:styleId="Revision">
    <w:name w:val="Revision"/>
    <w:hidden/>
    <w:uiPriority w:val="99"/>
    <w:semiHidden/>
    <w:rsid w:val="006E4143"/>
    <w:pPr>
      <w:spacing w:after="0" w:line="240" w:lineRule="auto"/>
    </w:pPr>
    <w:rPr>
      <w:lang w:val="en-US"/>
    </w:rPr>
  </w:style>
  <w:style w:type="character" w:customStyle="1" w:styleId="UnresolvedMention3">
    <w:name w:val="Unresolved Mention3"/>
    <w:basedOn w:val="DefaultParagraphFont"/>
    <w:uiPriority w:val="99"/>
    <w:semiHidden/>
    <w:unhideWhenUsed/>
    <w:rsid w:val="00010A33"/>
    <w:rPr>
      <w:color w:val="605E5C"/>
      <w:shd w:val="clear" w:color="auto" w:fill="E1DFDD"/>
    </w:rPr>
  </w:style>
  <w:style w:type="character" w:customStyle="1" w:styleId="ng-star-inserted">
    <w:name w:val="ng-star-inserted"/>
    <w:basedOn w:val="DefaultParagraphFont"/>
    <w:rsid w:val="00C8729A"/>
  </w:style>
  <w:style w:type="paragraph" w:customStyle="1" w:styleId="bodytextindent0">
    <w:name w:val="#body text=indent 0"/>
    <w:basedOn w:val="Normal"/>
    <w:link w:val="bodytextindent0Char"/>
    <w:rsid w:val="00503139"/>
    <w:pPr>
      <w:spacing w:before="240" w:after="0" w:line="240" w:lineRule="auto"/>
      <w:jc w:val="both"/>
    </w:pPr>
    <w:rPr>
      <w:rFonts w:ascii="Times New Roman" w:eastAsia="Times New Roman" w:hAnsi="Times New Roman"/>
      <w:sz w:val="24"/>
      <w:szCs w:val="20"/>
      <w:lang w:val="en-CA"/>
    </w:rPr>
  </w:style>
  <w:style w:type="character" w:customStyle="1" w:styleId="bodytextindent0Char">
    <w:name w:val="#body text=indent 0 Char"/>
    <w:link w:val="bodytextindent0"/>
    <w:rsid w:val="00503139"/>
    <w:rPr>
      <w:rFonts w:ascii="Times New Roman" w:eastAsia="Times New Roman" w:hAnsi="Times New Roman"/>
      <w:sz w:val="24"/>
      <w:lang w:eastAsia="en-US"/>
    </w:rPr>
  </w:style>
  <w:style w:type="character" w:customStyle="1" w:styleId="UnresolvedMention4">
    <w:name w:val="Unresolved Mention4"/>
    <w:basedOn w:val="DefaultParagraphFont"/>
    <w:uiPriority w:val="99"/>
    <w:semiHidden/>
    <w:unhideWhenUsed/>
    <w:rsid w:val="004A115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04330F"/>
  </w:style>
  <w:style w:type="paragraph" w:styleId="BodyText">
    <w:name w:val="Body Text"/>
    <w:basedOn w:val="Normal"/>
    <w:link w:val="BodyTextChar"/>
    <w:uiPriority w:val="1"/>
    <w:qFormat/>
    <w:rsid w:val="00261025"/>
    <w:pPr>
      <w:widowControl w:val="0"/>
      <w:autoSpaceDE w:val="0"/>
      <w:autoSpaceDN w:val="0"/>
      <w:adjustRightInd w:val="0"/>
      <w:spacing w:before="280" w:after="0" w:line="240" w:lineRule="auto"/>
      <w:ind w:left="107"/>
    </w:pPr>
    <w:rPr>
      <w:rFonts w:eastAsia="Times New Roman"/>
      <w:sz w:val="24"/>
      <w:szCs w:val="24"/>
    </w:rPr>
  </w:style>
  <w:style w:type="character" w:customStyle="1" w:styleId="BodyTextChar">
    <w:name w:val="Body Text Char"/>
    <w:basedOn w:val="DefaultParagraphFont"/>
    <w:link w:val="BodyText"/>
    <w:uiPriority w:val="1"/>
    <w:rsid w:val="00261025"/>
    <w:rPr>
      <w:rFonts w:eastAsia="Times New Roman"/>
      <w:sz w:val="24"/>
      <w:szCs w:val="24"/>
      <w:lang w:val="en-US"/>
    </w:rPr>
  </w:style>
  <w:style w:type="character" w:styleId="UnresolvedMention">
    <w:name w:val="Unresolved Mention"/>
    <w:basedOn w:val="DefaultParagraphFont"/>
    <w:uiPriority w:val="99"/>
    <w:semiHidden/>
    <w:unhideWhenUsed/>
    <w:rsid w:val="00854CA2"/>
    <w:rPr>
      <w:color w:val="605E5C"/>
      <w:shd w:val="clear" w:color="auto" w:fill="E1DFDD"/>
    </w:rPr>
  </w:style>
  <w:style w:type="paragraph" w:customStyle="1" w:styleId="Style4">
    <w:name w:val="Style 4"/>
    <w:basedOn w:val="Normal"/>
    <w:rsid w:val="00DB4E37"/>
    <w:pPr>
      <w:widowControl w:val="0"/>
      <w:autoSpaceDE w:val="0"/>
      <w:autoSpaceDN w:val="0"/>
      <w:spacing w:after="0" w:line="252" w:lineRule="exact"/>
      <w:ind w:left="1368" w:hanging="1368"/>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8189">
      <w:bodyDiv w:val="1"/>
      <w:marLeft w:val="0"/>
      <w:marRight w:val="0"/>
      <w:marTop w:val="0"/>
      <w:marBottom w:val="0"/>
      <w:divBdr>
        <w:top w:val="none" w:sz="0" w:space="0" w:color="auto"/>
        <w:left w:val="none" w:sz="0" w:space="0" w:color="auto"/>
        <w:bottom w:val="none" w:sz="0" w:space="0" w:color="auto"/>
        <w:right w:val="none" w:sz="0" w:space="0" w:color="auto"/>
      </w:divBdr>
    </w:div>
    <w:div w:id="428624313">
      <w:bodyDiv w:val="1"/>
      <w:marLeft w:val="0"/>
      <w:marRight w:val="0"/>
      <w:marTop w:val="0"/>
      <w:marBottom w:val="0"/>
      <w:divBdr>
        <w:top w:val="none" w:sz="0" w:space="0" w:color="auto"/>
        <w:left w:val="none" w:sz="0" w:space="0" w:color="auto"/>
        <w:bottom w:val="none" w:sz="0" w:space="0" w:color="auto"/>
        <w:right w:val="none" w:sz="0" w:space="0" w:color="auto"/>
      </w:divBdr>
    </w:div>
    <w:div w:id="434836180">
      <w:bodyDiv w:val="1"/>
      <w:marLeft w:val="0"/>
      <w:marRight w:val="0"/>
      <w:marTop w:val="0"/>
      <w:marBottom w:val="0"/>
      <w:divBdr>
        <w:top w:val="none" w:sz="0" w:space="0" w:color="auto"/>
        <w:left w:val="none" w:sz="0" w:space="0" w:color="auto"/>
        <w:bottom w:val="none" w:sz="0" w:space="0" w:color="auto"/>
        <w:right w:val="none" w:sz="0" w:space="0" w:color="auto"/>
      </w:divBdr>
    </w:div>
    <w:div w:id="484247150">
      <w:bodyDiv w:val="1"/>
      <w:marLeft w:val="0"/>
      <w:marRight w:val="0"/>
      <w:marTop w:val="0"/>
      <w:marBottom w:val="0"/>
      <w:divBdr>
        <w:top w:val="none" w:sz="0" w:space="0" w:color="auto"/>
        <w:left w:val="none" w:sz="0" w:space="0" w:color="auto"/>
        <w:bottom w:val="none" w:sz="0" w:space="0" w:color="auto"/>
        <w:right w:val="none" w:sz="0" w:space="0" w:color="auto"/>
      </w:divBdr>
    </w:div>
    <w:div w:id="552010350">
      <w:bodyDiv w:val="1"/>
      <w:marLeft w:val="0"/>
      <w:marRight w:val="0"/>
      <w:marTop w:val="0"/>
      <w:marBottom w:val="0"/>
      <w:divBdr>
        <w:top w:val="none" w:sz="0" w:space="0" w:color="auto"/>
        <w:left w:val="none" w:sz="0" w:space="0" w:color="auto"/>
        <w:bottom w:val="none" w:sz="0" w:space="0" w:color="auto"/>
        <w:right w:val="none" w:sz="0" w:space="0" w:color="auto"/>
      </w:divBdr>
    </w:div>
    <w:div w:id="831331852">
      <w:bodyDiv w:val="1"/>
      <w:marLeft w:val="0"/>
      <w:marRight w:val="0"/>
      <w:marTop w:val="0"/>
      <w:marBottom w:val="0"/>
      <w:divBdr>
        <w:top w:val="none" w:sz="0" w:space="0" w:color="auto"/>
        <w:left w:val="none" w:sz="0" w:space="0" w:color="auto"/>
        <w:bottom w:val="none" w:sz="0" w:space="0" w:color="auto"/>
        <w:right w:val="none" w:sz="0" w:space="0" w:color="auto"/>
      </w:divBdr>
    </w:div>
    <w:div w:id="922379217">
      <w:bodyDiv w:val="1"/>
      <w:marLeft w:val="0"/>
      <w:marRight w:val="0"/>
      <w:marTop w:val="0"/>
      <w:marBottom w:val="0"/>
      <w:divBdr>
        <w:top w:val="none" w:sz="0" w:space="0" w:color="auto"/>
        <w:left w:val="none" w:sz="0" w:space="0" w:color="auto"/>
        <w:bottom w:val="none" w:sz="0" w:space="0" w:color="auto"/>
        <w:right w:val="none" w:sz="0" w:space="0" w:color="auto"/>
      </w:divBdr>
    </w:div>
    <w:div w:id="1074624465">
      <w:bodyDiv w:val="1"/>
      <w:marLeft w:val="0"/>
      <w:marRight w:val="0"/>
      <w:marTop w:val="0"/>
      <w:marBottom w:val="0"/>
      <w:divBdr>
        <w:top w:val="none" w:sz="0" w:space="0" w:color="auto"/>
        <w:left w:val="none" w:sz="0" w:space="0" w:color="auto"/>
        <w:bottom w:val="none" w:sz="0" w:space="0" w:color="auto"/>
        <w:right w:val="none" w:sz="0" w:space="0" w:color="auto"/>
      </w:divBdr>
    </w:div>
    <w:div w:id="1297176814">
      <w:bodyDiv w:val="1"/>
      <w:marLeft w:val="0"/>
      <w:marRight w:val="0"/>
      <w:marTop w:val="0"/>
      <w:marBottom w:val="0"/>
      <w:divBdr>
        <w:top w:val="none" w:sz="0" w:space="0" w:color="auto"/>
        <w:left w:val="none" w:sz="0" w:space="0" w:color="auto"/>
        <w:bottom w:val="none" w:sz="0" w:space="0" w:color="auto"/>
        <w:right w:val="none" w:sz="0" w:space="0" w:color="auto"/>
      </w:divBdr>
    </w:div>
    <w:div w:id="1360818355">
      <w:bodyDiv w:val="1"/>
      <w:marLeft w:val="0"/>
      <w:marRight w:val="0"/>
      <w:marTop w:val="0"/>
      <w:marBottom w:val="0"/>
      <w:divBdr>
        <w:top w:val="none" w:sz="0" w:space="0" w:color="auto"/>
        <w:left w:val="none" w:sz="0" w:space="0" w:color="auto"/>
        <w:bottom w:val="none" w:sz="0" w:space="0" w:color="auto"/>
        <w:right w:val="none" w:sz="0" w:space="0" w:color="auto"/>
      </w:divBdr>
    </w:div>
    <w:div w:id="1500005977">
      <w:bodyDiv w:val="1"/>
      <w:marLeft w:val="0"/>
      <w:marRight w:val="0"/>
      <w:marTop w:val="0"/>
      <w:marBottom w:val="0"/>
      <w:divBdr>
        <w:top w:val="none" w:sz="0" w:space="0" w:color="auto"/>
        <w:left w:val="none" w:sz="0" w:space="0" w:color="auto"/>
        <w:bottom w:val="none" w:sz="0" w:space="0" w:color="auto"/>
        <w:right w:val="none" w:sz="0" w:space="0" w:color="auto"/>
      </w:divBdr>
    </w:div>
    <w:div w:id="1563635305">
      <w:bodyDiv w:val="1"/>
      <w:marLeft w:val="0"/>
      <w:marRight w:val="0"/>
      <w:marTop w:val="0"/>
      <w:marBottom w:val="0"/>
      <w:divBdr>
        <w:top w:val="none" w:sz="0" w:space="0" w:color="auto"/>
        <w:left w:val="none" w:sz="0" w:space="0" w:color="auto"/>
        <w:bottom w:val="none" w:sz="0" w:space="0" w:color="auto"/>
        <w:right w:val="none" w:sz="0" w:space="0" w:color="auto"/>
      </w:divBdr>
    </w:div>
    <w:div w:id="191269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darplus.c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edarplus.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2fDJi8+faFNTtlzLsZlA9kxaQ==">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</go:docsCustomData>
</go:gDocsCustomXmlDataStorage>
</file>

<file path=customXml/itemProps1.xml><?xml version="1.0" encoding="utf-8"?>
<ds:datastoreItem xmlns:ds="http://schemas.openxmlformats.org/officeDocument/2006/customXml" ds:itemID="{1FB88A2B-B7FC-4EC0-A379-82D0B7B2BC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3548</Characters>
  <Application>Microsoft Office Word</Application>
  <DocSecurity>0</DocSecurity>
  <PresentationFormat/>
  <Lines>131</Lines>
  <Paragraphs>24</Paragraphs>
  <ScaleCrop>false</ScaleCrop>
  <HeadingPairs>
    <vt:vector size="2" baseType="variant">
      <vt:variant>
        <vt:lpstr>Title</vt:lpstr>
      </vt:variant>
      <vt:variant>
        <vt:i4>1</vt:i4>
      </vt:variant>
    </vt:vector>
  </HeadingPairs>
  <TitlesOfParts>
    <vt:vector size="1" baseType="lpstr">
      <vt:lpstr>Trillion Energy.News Release announcing fourth extension of debentures (February, 2026) - draft (W0467418).DOCX</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Trillion Energy.News Release announcing fourth extension of debentures (March, 2026) - draft (W0467418-3).DOCX</dc:title>
  <dc:creator>Scott Larsen</dc:creator>
  <dc:description>DO NOT STAMP DO NOT STAMP</dc:description>
  <cp:lastModifiedBy>Accounting Trillion Energy</cp:lastModifiedBy>
  <cp:revision>2</cp:revision>
  <cp:lastPrinted>2025-07-29T15:57:00Z</cp:lastPrinted>
  <dcterms:created xsi:type="dcterms:W3CDTF">2026-03-27T17:38:00Z</dcterms:created>
  <dcterms:modified xsi:type="dcterms:W3CDTF">2026-03-27T17:38:00Z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y fmtid="{D5CDD505-2E9C-101B-9397-08002B2CF9AE}" pid="3" name="GrammarlyDocumentId">
    <vt:lpwstr>540c38f728150199a31aa9f10d7db7f631449ee9763bb05fdc44b6c7ae54c0f2</vt:lpwstr>
  </property>
</Properties>
</file>