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EA4133" w:rsidRPr="0001060A">
      <w:pPr>
        <w:pStyle w:val="Title"/>
        <w:spacing w:before="0"/>
        <w:rPr>
          <w:sz w:val="28"/>
          <w:lang w:val="en-CA"/>
        </w:rPr>
      </w:pPr>
      <w:r w:rsidRPr="0001060A">
        <w:rPr>
          <w:sz w:val="28"/>
          <w:lang w:val="en-CA"/>
        </w:rPr>
        <w:t>FORM 9</w:t>
      </w:r>
    </w:p>
    <w:p w:rsidR="00EA4133" w:rsidRPr="007568B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tblPr>
      <w:tblGrid>
        <w:gridCol w:w="6334"/>
        <w:gridCol w:w="3016"/>
      </w:tblGrid>
      <w:tr w:rsidTr="00840B45">
        <w:tblPrEx>
          <w:tblW w:w="0" w:type="auto"/>
          <w:tblLook w:val="04A0"/>
        </w:tblPrEx>
        <w:tc>
          <w:tcPr>
            <w:tcW w:w="6487" w:type="dxa"/>
          </w:tcPr>
          <w:p w:rsidR="00840B45" w:rsidP="00840B45">
            <w:pPr>
              <w:pStyle w:val="BodyText"/>
              <w:jc w:val="right"/>
              <w:rPr>
                <w:rFonts w:ascii="Arial" w:hAnsi="Arial"/>
                <w:lang w:val="en-CA"/>
              </w:rPr>
            </w:pPr>
            <w:r>
              <w:rPr>
                <w:rFonts w:ascii="Arial" w:hAnsi="Arial"/>
                <w:u w:val="single"/>
                <w:lang w:val="en-CA"/>
              </w:rPr>
              <w:t xml:space="preserve">TerrAscend Corp.                                       </w:t>
            </w:r>
            <w:r>
              <w:rPr>
                <w:rFonts w:ascii="Arial" w:hAnsi="Arial"/>
                <w:lang w:val="en-CA"/>
              </w:rPr>
              <w:t xml:space="preserve">(the “Issuer”).  </w:t>
            </w:r>
          </w:p>
        </w:tc>
        <w:tc>
          <w:tcPr>
            <w:tcW w:w="3089" w:type="dxa"/>
          </w:tcPr>
          <w:p w:rsidR="00840B45">
            <w:pPr>
              <w:pStyle w:val="BodyText"/>
              <w:rPr>
                <w:rFonts w:ascii="Arial" w:hAnsi="Arial"/>
                <w:lang w:val="en-CA"/>
              </w:rPr>
            </w:pPr>
            <w:r>
              <w:rPr>
                <w:rFonts w:ascii="Arial" w:hAnsi="Arial"/>
                <w:lang w:val="en-CA"/>
              </w:rPr>
              <w:t>TER</w:t>
            </w:r>
          </w:p>
        </w:tc>
      </w:tr>
    </w:tbl>
    <w:p w:rsidR="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C222EE">
        <w:rPr>
          <w:rFonts w:ascii="Arial" w:hAnsi="Arial"/>
          <w:u w:val="single"/>
          <w:lang w:val="en-CA"/>
        </w:rPr>
        <w:t>June 12</w:t>
      </w:r>
      <w:r w:rsidR="00192931">
        <w:rPr>
          <w:rFonts w:ascii="Arial" w:hAnsi="Arial"/>
          <w:u w:val="single"/>
          <w:lang w:val="en-CA"/>
        </w:rPr>
        <w:t>, 2020</w:t>
      </w:r>
      <w:r>
        <w:rPr>
          <w:rFonts w:ascii="Arial" w:hAnsi="Arial"/>
          <w:u w:val="single"/>
          <w:lang w:val="en-CA"/>
        </w:rPr>
        <w:tab/>
      </w:r>
      <w:r>
        <w:rPr>
          <w:rFonts w:ascii="Arial" w:hAnsi="Arial"/>
          <w:lang w:val="en-CA"/>
        </w:rPr>
        <w:t>Is this a</w:t>
      </w:r>
      <w:r w:rsidR="00FA68AA">
        <w:rPr>
          <w:rFonts w:ascii="Arial" w:hAnsi="Arial"/>
          <w:lang w:val="en-CA"/>
        </w:rPr>
        <w:t>n updating or amending Notice:</w:t>
      </w:r>
      <w:r w:rsidR="00FA68AA">
        <w:rPr>
          <w:rFonts w:ascii="Arial" w:hAnsi="Arial"/>
          <w:lang w:val="en-CA"/>
        </w:rPr>
        <w:tab/>
      </w:r>
      <w:r w:rsidR="00367E59">
        <w:rPr>
          <w:rFonts w:ascii="Wingdings 2" w:eastAsia="Wingdings 2" w:hAnsi="Wingdings 2" w:cs="Wingdings 2"/>
          <w:lang w:val="en-CA"/>
        </w:rPr>
        <w:t>S</w:t>
      </w:r>
      <w:r w:rsidR="00713AB7">
        <w:rPr>
          <w:rFonts w:ascii="Arial" w:hAnsi="Arial"/>
          <w:lang w:val="en-CA"/>
        </w:rPr>
        <w:t xml:space="preserve"> </w:t>
      </w:r>
      <w:r>
        <w:rPr>
          <w:rFonts w:ascii="Arial" w:hAnsi="Arial"/>
          <w:lang w:val="en-CA"/>
        </w:rPr>
        <w:t>Yes</w:t>
      </w:r>
      <w:r w:rsidR="00713AB7">
        <w:rPr>
          <w:rFonts w:ascii="Arial" w:hAnsi="Arial"/>
          <w:lang w:val="en-CA"/>
        </w:rPr>
        <w:t xml:space="preserve"> </w:t>
      </w:r>
      <w:r>
        <w:rPr>
          <w:rFonts w:ascii="Arial" w:hAnsi="Arial"/>
          <w:lang w:val="en-CA"/>
        </w:rPr>
        <w:tab/>
      </w:r>
      <w:r w:rsidR="00367E59">
        <w:rPr>
          <w:rFonts w:ascii="Wingdings 2" w:eastAsia="Wingdings 2" w:hAnsi="Wingdings 2" w:cs="Wingdings 2"/>
          <w:lang w:val="en-CA"/>
        </w:rPr>
        <w:t>£</w:t>
      </w:r>
      <w:r w:rsidR="00367E59">
        <w:rPr>
          <w:rFonts w:ascii="Arial" w:hAnsi="Arial"/>
          <w:lang w:val="en-CA"/>
        </w:rPr>
        <w:t xml:space="preserve"> </w:t>
      </w:r>
      <w:r w:rsidR="003C7879">
        <w:rPr>
          <w:rFonts w:ascii="Arial" w:hAnsi="Arial"/>
          <w:lang w:val="en-CA"/>
        </w:rPr>
        <w:t xml:space="preserve"> </w:t>
      </w:r>
      <w:r>
        <w:rPr>
          <w:rFonts w:ascii="Arial" w:hAnsi="Arial"/>
          <w:lang w:val="en-CA"/>
        </w:rPr>
        <w:t>No</w:t>
      </w:r>
      <w:r>
        <w:rPr>
          <w:rFonts w:ascii="Arial" w:hAnsi="Arial"/>
          <w:sz w:val="32"/>
          <w:lang w:val="en-CA"/>
        </w:rPr>
        <w:tab/>
      </w:r>
    </w:p>
    <w:p w:rsidR="00EA4133" w:rsidP="00C10A32">
      <w:pPr>
        <w:pStyle w:val="BodyText"/>
        <w:tabs>
          <w:tab w:val="left" w:pos="9180"/>
        </w:tabs>
        <w:spacing w:before="0" w:after="120"/>
        <w:rPr>
          <w:rFonts w:ascii="Arial" w:hAnsi="Arial"/>
          <w:lang w:val="en-CA"/>
        </w:rPr>
      </w:pPr>
      <w:r>
        <w:rPr>
          <w:rFonts w:ascii="Arial" w:hAnsi="Arial"/>
          <w:lang w:val="en-CA"/>
        </w:rPr>
        <w:t>If yes provide date(s) of prior Notices:  ____</w:t>
      </w:r>
      <w:r w:rsidRPr="00367E59" w:rsidR="00367E59">
        <w:rPr>
          <w:rFonts w:ascii="Arial" w:hAnsi="Arial"/>
          <w:u w:val="single"/>
          <w:lang w:val="en-CA"/>
        </w:rPr>
        <w:t>May 20, 2020</w:t>
      </w:r>
      <w:r w:rsidR="001D666C">
        <w:rPr>
          <w:rFonts w:ascii="Arial" w:hAnsi="Arial"/>
          <w:u w:val="single"/>
          <w:lang w:val="en-CA"/>
        </w:rPr>
        <w:t xml:space="preserve"> and June 1, 2020 </w:t>
      </w:r>
      <w:r w:rsidR="001D666C">
        <w:rPr>
          <w:rFonts w:ascii="Arial" w:hAnsi="Arial"/>
          <w:lang w:val="en-CA"/>
        </w:rPr>
        <w:t>___</w:t>
      </w:r>
      <w:r>
        <w:rPr>
          <w:rFonts w:ascii="Arial" w:hAnsi="Arial"/>
          <w:lang w:val="en-CA"/>
        </w:rPr>
        <w:t>___.</w:t>
      </w:r>
    </w:p>
    <w:p w:rsidR="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Pr="00073809" w:rsidR="00CA2F34">
        <w:rPr>
          <w:rFonts w:ascii="Arial" w:hAnsi="Arial"/>
          <w:u w:val="single"/>
          <w:lang w:val="en-CA"/>
        </w:rPr>
        <w:t xml:space="preserve">approximately </w:t>
      </w:r>
      <w:r w:rsidRPr="00073809" w:rsidR="00073809">
        <w:rPr>
          <w:rFonts w:ascii="Arial" w:hAnsi="Arial"/>
          <w:u w:val="single"/>
          <w:lang w:val="en-CA"/>
        </w:rPr>
        <w:t xml:space="preserve">73.7 million </w:t>
      </w:r>
      <w:r w:rsidRPr="00073809" w:rsidR="00CA2F34">
        <w:rPr>
          <w:rFonts w:ascii="Arial" w:hAnsi="Arial"/>
          <w:u w:val="single"/>
          <w:lang w:val="en-CA"/>
        </w:rPr>
        <w:t xml:space="preserve">common shares, </w:t>
      </w:r>
      <w:r w:rsidRPr="00073809" w:rsidR="00073809">
        <w:rPr>
          <w:rFonts w:ascii="Arial" w:hAnsi="Arial"/>
          <w:u w:val="single"/>
          <w:lang w:val="en-CA"/>
        </w:rPr>
        <w:t xml:space="preserve">75,417 </w:t>
      </w:r>
      <w:r w:rsidRPr="00073809" w:rsidR="003C7879">
        <w:rPr>
          <w:rFonts w:ascii="Arial" w:hAnsi="Arial"/>
          <w:u w:val="single"/>
          <w:lang w:val="en-CA"/>
        </w:rPr>
        <w:t>proportionate voting shares,</w:t>
      </w:r>
      <w:r w:rsidRPr="00073809" w:rsidR="00CA2F34">
        <w:rPr>
          <w:rFonts w:ascii="Arial" w:hAnsi="Arial"/>
          <w:u w:val="single"/>
          <w:lang w:val="en-CA"/>
        </w:rPr>
        <w:t xml:space="preserve"> </w:t>
      </w:r>
      <w:r w:rsidRPr="00073809" w:rsidR="00073809">
        <w:rPr>
          <w:rFonts w:ascii="Arial" w:hAnsi="Arial"/>
          <w:u w:val="single"/>
          <w:lang w:val="en-CA"/>
        </w:rPr>
        <w:t>38.9 million</w:t>
      </w:r>
      <w:r w:rsidRPr="00073809" w:rsidR="003C7879">
        <w:rPr>
          <w:rFonts w:ascii="Arial" w:hAnsi="Arial"/>
          <w:u w:val="single"/>
          <w:lang w:val="en-CA"/>
        </w:rPr>
        <w:t xml:space="preserve"> </w:t>
      </w:r>
      <w:r w:rsidRPr="00073809" w:rsidR="00CA2F34">
        <w:rPr>
          <w:rFonts w:ascii="Arial" w:hAnsi="Arial"/>
          <w:u w:val="single"/>
          <w:lang w:val="en-CA"/>
        </w:rPr>
        <w:t>exchangeable shares</w:t>
      </w:r>
      <w:r w:rsidRPr="00073809" w:rsidR="003C7879">
        <w:rPr>
          <w:rFonts w:ascii="Arial" w:hAnsi="Arial"/>
          <w:u w:val="single"/>
          <w:lang w:val="en-CA"/>
        </w:rPr>
        <w:t xml:space="preserve"> and no convertible preferred shares</w:t>
      </w:r>
      <w:r w:rsidRPr="00073809" w:rsidR="00281753">
        <w:rPr>
          <w:rFonts w:ascii="Arial" w:hAnsi="Arial"/>
          <w:u w:val="single"/>
          <w:lang w:val="en-CA"/>
        </w:rPr>
        <w:t xml:space="preserve"> (excluding warrants)</w:t>
      </w:r>
      <w:r w:rsidRPr="00073809">
        <w:rPr>
          <w:rFonts w:ascii="Arial" w:hAnsi="Arial"/>
          <w:lang w:val="en-CA"/>
        </w:rPr>
        <w:t>.</w:t>
      </w:r>
    </w:p>
    <w:p w:rsidR="00840B45" w:rsidRPr="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Pr="00885887" w:rsidR="00885887">
        <w:rPr>
          <w:rFonts w:ascii="Arial" w:hAnsi="Arial"/>
          <w:u w:val="single"/>
          <w:lang w:val="en-CA"/>
        </w:rPr>
        <w:t xml:space="preserve"> </w:t>
      </w:r>
      <w:r w:rsidR="003C7879">
        <w:rPr>
          <w:rFonts w:ascii="Arial" w:hAnsi="Arial"/>
          <w:u w:val="single"/>
          <w:lang w:val="en-CA"/>
        </w:rPr>
        <w:t xml:space="preserve">                         </w:t>
      </w:r>
      <w:r w:rsidRPr="003C7879" w:rsidR="003C7879">
        <w:rPr>
          <w:rFonts w:ascii="Arial" w:hAnsi="Arial"/>
          <w:lang w:val="en-CA"/>
        </w:rPr>
        <w:t xml:space="preserve"> </w:t>
      </w:r>
      <w:r w:rsidR="00840B45">
        <w:rPr>
          <w:rFonts w:ascii="Arial" w:hAnsi="Arial"/>
          <w:lang w:val="en-CA"/>
        </w:rPr>
        <w:t>or</w:t>
      </w:r>
    </w:p>
    <w:p w:rsidR="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3C7879">
        <w:rPr>
          <w:rFonts w:ascii="Arial" w:hAnsi="Arial"/>
          <w:u w:val="single"/>
          <w:lang w:val="en-CA"/>
        </w:rPr>
        <w:t xml:space="preserve">May </w:t>
      </w:r>
      <w:r w:rsidRPr="00073809" w:rsidR="00281753">
        <w:rPr>
          <w:rFonts w:ascii="Arial" w:hAnsi="Arial"/>
          <w:u w:val="single"/>
          <w:lang w:val="en-CA"/>
        </w:rPr>
        <w:t>18</w:t>
      </w:r>
      <w:r w:rsidR="00281753">
        <w:rPr>
          <w:rFonts w:ascii="Arial" w:hAnsi="Arial"/>
          <w:u w:val="single"/>
          <w:lang w:val="en-CA"/>
        </w:rPr>
        <w:t xml:space="preserve">, </w:t>
      </w:r>
      <w:r w:rsidR="003C7879">
        <w:rPr>
          <w:rFonts w:ascii="Arial" w:hAnsi="Arial"/>
          <w:u w:val="single"/>
          <w:lang w:val="en-CA"/>
        </w:rPr>
        <w:t>2020</w:t>
      </w:r>
    </w:p>
    <w:p w:rsidR="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C7879">
        <w:rPr>
          <w:rFonts w:ascii="Arial" w:hAnsi="Arial"/>
          <w:u w:val="single"/>
          <w:lang w:val="en-CA"/>
        </w:rPr>
        <w:t xml:space="preserve">                    </w:t>
      </w:r>
      <w:r w:rsidRPr="00885887" w:rsidR="00885887">
        <w:rPr>
          <w:rFonts w:ascii="Arial" w:hAnsi="Arial"/>
          <w:lang w:val="en-CA"/>
        </w:rPr>
        <w:t xml:space="preserve"> </w:t>
      </w:r>
      <w:r w:rsidR="00840B45">
        <w:rPr>
          <w:rFonts w:ascii="Arial" w:hAnsi="Arial"/>
          <w:lang w:val="en-CA"/>
        </w:rPr>
        <w:t>or</w:t>
      </w:r>
    </w:p>
    <w:p w:rsidR="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3C7879" w:rsidR="00281753">
        <w:rPr>
          <w:rFonts w:ascii="Arial" w:hAnsi="Arial"/>
          <w:lang w:val="en-CA"/>
        </w:rPr>
        <w:t>_</w:t>
      </w:r>
      <w:r w:rsidRPr="003C7879" w:rsidR="00281753">
        <w:rPr>
          <w:rFonts w:ascii="Arial" w:hAnsi="Arial"/>
          <w:u w:val="single"/>
          <w:lang w:val="en-CA"/>
        </w:rPr>
        <w:t>$</w:t>
      </w:r>
      <w:r w:rsidR="00281753">
        <w:rPr>
          <w:rFonts w:ascii="Arial" w:hAnsi="Arial"/>
          <w:u w:val="single"/>
          <w:lang w:val="en-CA"/>
        </w:rPr>
        <w:t>1.87</w:t>
      </w:r>
      <w:r w:rsidRPr="003C7879" w:rsidR="00281753">
        <w:rPr>
          <w:rFonts w:ascii="Arial" w:hAnsi="Arial"/>
          <w:lang w:val="en-CA"/>
        </w:rPr>
        <w:t>__________</w:t>
      </w:r>
    </w:p>
    <w:p w:rsidR="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P="00C10A32">
      <w:pPr>
        <w:pStyle w:val="BodyText"/>
        <w:tabs>
          <w:tab w:val="left" w:pos="9180"/>
        </w:tabs>
        <w:spacing w:before="0" w:after="120"/>
        <w:rPr>
          <w:rFonts w:ascii="Arial" w:hAnsi="Arial"/>
          <w:lang w:val="en-CA"/>
        </w:rPr>
      </w:pPr>
      <w:r>
        <w:rPr>
          <w:rFonts w:ascii="Arial" w:hAnsi="Arial"/>
          <w:lang w:val="en-CA"/>
        </w:rPr>
        <w:t xml:space="preserve">Number of securities </w:t>
      </w:r>
      <w:r w:rsidR="006E04E0">
        <w:rPr>
          <w:rFonts w:ascii="Arial" w:hAnsi="Arial"/>
          <w:lang w:val="en-CA"/>
        </w:rPr>
        <w:t xml:space="preserve">to be issued: </w:t>
      </w:r>
      <w:r w:rsidRPr="006E04E0" w:rsidR="006E04E0">
        <w:rPr>
          <w:rFonts w:ascii="Arial" w:hAnsi="Arial"/>
          <w:u w:val="single"/>
          <w:lang w:val="en-CA"/>
        </w:rPr>
        <w:t xml:space="preserve"> </w:t>
      </w:r>
      <w:r w:rsidR="00E1434A">
        <w:rPr>
          <w:rFonts w:ascii="Arial" w:hAnsi="Arial"/>
          <w:u w:val="single"/>
          <w:lang w:val="en-CA"/>
        </w:rPr>
        <w:t>18</w:t>
      </w:r>
      <w:r w:rsidR="003753D1">
        <w:rPr>
          <w:rFonts w:ascii="Arial" w:hAnsi="Arial"/>
          <w:u w:val="single"/>
          <w:lang w:val="en-CA"/>
        </w:rPr>
        <w:t>,</w:t>
      </w:r>
      <w:r w:rsidR="00E1434A">
        <w:rPr>
          <w:rFonts w:ascii="Arial" w:hAnsi="Arial"/>
          <w:u w:val="single"/>
          <w:lang w:val="en-CA"/>
        </w:rPr>
        <w:t>679</w:t>
      </w:r>
      <w:r w:rsidRPr="003C7879" w:rsidR="00473550">
        <w:rPr>
          <w:rFonts w:ascii="Arial" w:hAnsi="Arial"/>
          <w:b/>
          <w:u w:val="single"/>
          <w:lang w:val="en-CA"/>
        </w:rPr>
        <w:t xml:space="preserve"> </w:t>
      </w:r>
      <w:r w:rsidR="00C902C5">
        <w:rPr>
          <w:rFonts w:ascii="Arial" w:hAnsi="Arial"/>
          <w:u w:val="single"/>
          <w:lang w:val="en-CA"/>
        </w:rPr>
        <w:t>units. Each unit</w:t>
      </w:r>
      <w:r w:rsidR="006E04E0">
        <w:rPr>
          <w:rFonts w:ascii="Arial" w:hAnsi="Arial"/>
          <w:u w:val="single"/>
          <w:lang w:val="en-CA"/>
        </w:rPr>
        <w:t xml:space="preserve"> consisting of one </w:t>
      </w:r>
      <w:r w:rsidR="003C7879">
        <w:rPr>
          <w:rFonts w:ascii="Arial" w:hAnsi="Arial"/>
          <w:u w:val="single"/>
          <w:lang w:val="en-CA"/>
        </w:rPr>
        <w:t>convertible preferred</w:t>
      </w:r>
      <w:r w:rsidR="00B61428">
        <w:rPr>
          <w:rFonts w:ascii="Arial" w:hAnsi="Arial"/>
          <w:u w:val="single"/>
          <w:lang w:val="en-CA"/>
        </w:rPr>
        <w:t xml:space="preserve"> </w:t>
      </w:r>
      <w:r w:rsidR="006E04E0">
        <w:rPr>
          <w:rFonts w:ascii="Arial" w:hAnsi="Arial"/>
          <w:u w:val="single"/>
          <w:lang w:val="en-CA"/>
        </w:rPr>
        <w:t>s</w:t>
      </w:r>
      <w:r w:rsidR="00B61428">
        <w:rPr>
          <w:rFonts w:ascii="Arial" w:hAnsi="Arial"/>
          <w:u w:val="single"/>
          <w:lang w:val="en-CA"/>
        </w:rPr>
        <w:t xml:space="preserve">hare and one </w:t>
      </w:r>
      <w:r w:rsidR="006E04E0">
        <w:rPr>
          <w:rFonts w:ascii="Arial" w:hAnsi="Arial"/>
          <w:u w:val="single"/>
          <w:lang w:val="en-CA"/>
        </w:rPr>
        <w:t>w</w:t>
      </w:r>
      <w:r w:rsidR="00BF7886">
        <w:rPr>
          <w:rFonts w:ascii="Arial" w:hAnsi="Arial"/>
          <w:u w:val="single"/>
          <w:lang w:val="en-CA"/>
        </w:rPr>
        <w:t xml:space="preserve">arrant to </w:t>
      </w:r>
      <w:r w:rsidR="00C902C5">
        <w:rPr>
          <w:rFonts w:ascii="Arial" w:hAnsi="Arial"/>
          <w:u w:val="single"/>
          <w:lang w:val="en-CA"/>
        </w:rPr>
        <w:t>purchase</w:t>
      </w:r>
      <w:r w:rsidR="00BF7886">
        <w:rPr>
          <w:rFonts w:ascii="Arial" w:hAnsi="Arial"/>
          <w:u w:val="single"/>
          <w:lang w:val="en-CA"/>
        </w:rPr>
        <w:t xml:space="preserve"> </w:t>
      </w:r>
      <w:r w:rsidR="00C902C5">
        <w:rPr>
          <w:rFonts w:ascii="Arial" w:hAnsi="Arial"/>
          <w:u w:val="single"/>
          <w:lang w:val="en-CA"/>
        </w:rPr>
        <w:t xml:space="preserve">one </w:t>
      </w:r>
      <w:r w:rsidR="003C7879">
        <w:rPr>
          <w:rFonts w:ascii="Arial" w:hAnsi="Arial"/>
          <w:u w:val="single"/>
          <w:lang w:val="en-CA"/>
        </w:rPr>
        <w:t>c</w:t>
      </w:r>
      <w:r w:rsidR="00130F2F">
        <w:rPr>
          <w:rFonts w:ascii="Arial" w:hAnsi="Arial"/>
          <w:u w:val="single"/>
          <w:lang w:val="en-CA"/>
        </w:rPr>
        <w:t>onvertible preferred sh</w:t>
      </w:r>
      <w:r w:rsidR="003C7879">
        <w:rPr>
          <w:rFonts w:ascii="Arial" w:hAnsi="Arial"/>
          <w:u w:val="single"/>
          <w:lang w:val="en-CA"/>
        </w:rPr>
        <w:t>are</w:t>
      </w:r>
      <w:r w:rsidR="00BE0A04">
        <w:rPr>
          <w:rFonts w:ascii="Arial" w:hAnsi="Arial"/>
          <w:u w:val="single"/>
          <w:lang w:val="en-CA"/>
        </w:rPr>
        <w:t xml:space="preserve"> </w:t>
      </w:r>
      <w:r w:rsidR="00B61428">
        <w:rPr>
          <w:rFonts w:ascii="Arial" w:hAnsi="Arial"/>
          <w:u w:val="single"/>
          <w:lang w:val="en-CA"/>
        </w:rPr>
        <w:t xml:space="preserve">(the </w:t>
      </w:r>
      <w:r w:rsidRPr="00367E59" w:rsidR="00B61428">
        <w:rPr>
          <w:rFonts w:ascii="Arial" w:hAnsi="Arial"/>
          <w:u w:val="single"/>
          <w:lang w:val="en-CA"/>
        </w:rPr>
        <w:t>"</w:t>
      </w:r>
      <w:r w:rsidRPr="00367E59" w:rsidR="00B61428">
        <w:rPr>
          <w:rFonts w:ascii="Arial" w:hAnsi="Arial"/>
          <w:b/>
          <w:u w:val="single"/>
          <w:lang w:val="en-CA"/>
        </w:rPr>
        <w:t>Units</w:t>
      </w:r>
      <w:r w:rsidRPr="00367E59" w:rsidR="00B61428">
        <w:rPr>
          <w:rFonts w:ascii="Arial" w:hAnsi="Arial"/>
          <w:u w:val="single"/>
          <w:lang w:val="en-CA"/>
        </w:rPr>
        <w:t>")</w:t>
      </w:r>
    </w:p>
    <w:p w:rsidR="00840B45" w:rsidP="00C10A32">
      <w:pPr>
        <w:pStyle w:val="BodyText"/>
        <w:tabs>
          <w:tab w:val="left" w:pos="9180"/>
        </w:tabs>
        <w:spacing w:before="0" w:after="120"/>
        <w:rPr>
          <w:rFonts w:ascii="Arial" w:hAnsi="Arial"/>
          <w:lang w:val="en-CA"/>
        </w:rPr>
      </w:pPr>
      <w:r>
        <w:rPr>
          <w:rFonts w:ascii="Arial" w:hAnsi="Arial"/>
          <w:lang w:val="en-CA"/>
        </w:rPr>
        <w:t>Issued and outstanding securities following is</w:t>
      </w:r>
      <w:r w:rsidR="00BE0A04">
        <w:rPr>
          <w:rFonts w:ascii="Arial" w:hAnsi="Arial"/>
          <w:lang w:val="en-CA"/>
        </w:rPr>
        <w:t xml:space="preserve">suance: </w:t>
      </w:r>
      <w:r w:rsidR="00BE0A04">
        <w:rPr>
          <w:rFonts w:ascii="Arial" w:hAnsi="Arial"/>
          <w:lang w:val="en-CA"/>
        </w:rPr>
        <w:softHyphen/>
      </w:r>
      <w:r w:rsidR="00BE0A04">
        <w:rPr>
          <w:rFonts w:ascii="Arial" w:hAnsi="Arial"/>
          <w:lang w:val="en-CA"/>
        </w:rPr>
        <w:softHyphen/>
      </w:r>
      <w:r w:rsidR="00BE0A04">
        <w:rPr>
          <w:rFonts w:ascii="Arial" w:hAnsi="Arial"/>
          <w:lang w:val="en-CA"/>
        </w:rPr>
        <w:softHyphen/>
      </w:r>
      <w:r w:rsidR="00BE0A04">
        <w:rPr>
          <w:rFonts w:ascii="Arial" w:hAnsi="Arial"/>
          <w:lang w:val="en-CA"/>
        </w:rPr>
        <w:softHyphen/>
      </w:r>
      <w:r w:rsidR="00BE0A04">
        <w:rPr>
          <w:rFonts w:ascii="Arial" w:hAnsi="Arial"/>
          <w:lang w:val="en-CA"/>
        </w:rPr>
        <w:softHyphen/>
        <w:t xml:space="preserve"> </w:t>
      </w:r>
      <w:r w:rsidRPr="00073809" w:rsidR="00073809">
        <w:rPr>
          <w:rFonts w:ascii="Arial" w:hAnsi="Arial"/>
          <w:u w:val="single"/>
          <w:lang w:val="en-CA"/>
        </w:rPr>
        <w:t>approximately 73.7 million common shares, 75,417 proportionate voting shares, 38.9 million exchangeable shares</w:t>
      </w:r>
      <w:r w:rsidR="00073809">
        <w:rPr>
          <w:rFonts w:ascii="Arial" w:hAnsi="Arial"/>
          <w:u w:val="single"/>
          <w:lang w:val="en-CA"/>
        </w:rPr>
        <w:t xml:space="preserve"> </w:t>
      </w:r>
      <w:r w:rsidR="00367E59">
        <w:rPr>
          <w:rFonts w:ascii="Arial" w:hAnsi="Arial"/>
          <w:u w:val="single"/>
          <w:lang w:val="en-CA"/>
        </w:rPr>
        <w:t>and</w:t>
      </w:r>
      <w:r w:rsidRPr="00073809" w:rsidR="004F0924">
        <w:rPr>
          <w:rFonts w:ascii="Arial" w:hAnsi="Arial"/>
          <w:u w:val="single"/>
          <w:lang w:val="en-CA"/>
        </w:rPr>
        <w:t xml:space="preserve"> </w:t>
      </w:r>
      <w:r w:rsidR="00E1434A">
        <w:rPr>
          <w:rFonts w:ascii="Arial" w:hAnsi="Arial"/>
          <w:u w:val="single"/>
          <w:lang w:val="en-CA"/>
        </w:rPr>
        <w:t>18,679</w:t>
      </w:r>
      <w:r w:rsidRPr="00073809" w:rsidR="00281753">
        <w:rPr>
          <w:rFonts w:ascii="Arial" w:hAnsi="Arial"/>
          <w:u w:val="single"/>
          <w:lang w:val="en-CA"/>
        </w:rPr>
        <w:t xml:space="preserve"> </w:t>
      </w:r>
      <w:r w:rsidR="003C7879">
        <w:rPr>
          <w:rFonts w:ascii="Arial" w:hAnsi="Arial"/>
          <w:u w:val="single"/>
          <w:lang w:val="en-CA"/>
        </w:rPr>
        <w:t>convertible preferred shares</w:t>
      </w:r>
      <w:r w:rsidR="00281753">
        <w:rPr>
          <w:rFonts w:ascii="Arial" w:hAnsi="Arial"/>
          <w:u w:val="single"/>
          <w:lang w:val="en-CA"/>
        </w:rPr>
        <w:t xml:space="preserve"> (excluding warrants)</w:t>
      </w:r>
      <w:r w:rsidR="00CA2F34">
        <w:rPr>
          <w:rFonts w:ascii="Arial" w:hAnsi="Arial"/>
          <w:u w:val="single"/>
          <w:lang w:val="en-CA"/>
        </w:rPr>
        <w:t>.</w:t>
      </w:r>
    </w:p>
    <w:p w:rsidR="00C10A32" w:rsidP="00C10A32">
      <w:pPr>
        <w:pStyle w:val="BodyText"/>
        <w:tabs>
          <w:tab w:val="left" w:pos="9180"/>
        </w:tabs>
        <w:spacing w:before="0" w:after="120"/>
        <w:rPr>
          <w:rFonts w:ascii="Arial" w:hAnsi="Arial"/>
          <w:b/>
          <w:lang w:val="en-CA"/>
        </w:rPr>
      </w:pPr>
    </w:p>
    <w:p w:rsidR="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Pr="00DE3A31"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An issuance of non-convertible debt does not have to be reported unless it is a </w:t>
      </w:r>
      <w:r w:rsidRPr="00DE3A31">
        <w:rPr>
          <w:rFonts w:ascii="Arial" w:hAnsi="Arial"/>
          <w:lang w:val="en-CA"/>
        </w:rPr>
        <w:t>significant transaction as defined in Policy 7, in which case it is to be reported on Form 10</w:t>
      </w:r>
      <w:r w:rsidRPr="00DE3A31" w:rsidR="00C10A32">
        <w:rPr>
          <w:rFonts w:ascii="Arial" w:hAnsi="Arial"/>
          <w:lang w:val="en-CA"/>
        </w:rPr>
        <w:t xml:space="preserve"> – Notice of Proposed Transaction</w:t>
      </w:r>
    </w:p>
    <w:p w:rsidR="00C10A32" w:rsidRPr="00BE2894" w:rsidP="00BE2894">
      <w:pPr>
        <w:pStyle w:val="BodyText"/>
        <w:numPr>
          <w:ilvl w:val="0"/>
          <w:numId w:val="18"/>
        </w:numPr>
        <w:tabs>
          <w:tab w:val="left" w:pos="9180"/>
        </w:tabs>
        <w:spacing w:before="0" w:after="120"/>
        <w:ind w:left="426"/>
        <w:rPr>
          <w:rFonts w:ascii="Arial" w:hAnsi="Arial"/>
          <w:b/>
          <w:lang w:val="en-CA"/>
        </w:rPr>
      </w:pPr>
      <w:r w:rsidRPr="00DE3A31">
        <w:rPr>
          <w:rFonts w:ascii="Arial" w:hAnsi="Arial"/>
          <w:lang w:val="en-CA"/>
        </w:rPr>
        <w:t xml:space="preserve">Post the completed Form 9 to the CSE website in accordance with </w:t>
      </w:r>
      <w:r w:rsidRPr="00DE3A31">
        <w:rPr>
          <w:rFonts w:ascii="Arial" w:hAnsi="Arial"/>
          <w:i/>
          <w:lang w:val="en-CA"/>
        </w:rPr>
        <w:t>Policy 6 – Distributions.</w:t>
      </w:r>
      <w:r w:rsidRPr="00DE3A31">
        <w:rPr>
          <w:rFonts w:ascii="Arial" w:hAnsi="Arial"/>
          <w:lang w:val="en-CA"/>
        </w:rPr>
        <w:t xml:space="preserve">  In addition, the completed form must be delivered to </w:t>
      </w:r>
      <w:r>
        <w:fldChar w:fldCharType="begin"/>
      </w:r>
      <w:r>
        <w:instrText xml:space="preserve"> HYPERLINK "mailto:listings@thecse.com" </w:instrText>
      </w:r>
      <w:r>
        <w:fldChar w:fldCharType="separate"/>
      </w:r>
      <w:r w:rsidRPr="00DE3A31">
        <w:rPr>
          <w:rStyle w:val="Hyperlink"/>
          <w:rFonts w:ascii="Arial" w:hAnsi="Arial"/>
          <w:lang w:val="en-CA"/>
        </w:rPr>
        <w:t>listings@thecse.com</w:t>
      </w:r>
      <w:r>
        <w:fldChar w:fldCharType="end"/>
      </w:r>
      <w:r w:rsidRPr="00DE3A31">
        <w:rPr>
          <w:rFonts w:ascii="Arial" w:hAnsi="Arial"/>
          <w:lang w:val="en-CA"/>
        </w:rPr>
        <w:t xml:space="preserve"> with an appendix that includes the </w:t>
      </w:r>
      <w:r w:rsidRPr="00DE3A31" w:rsidR="00F33BBE">
        <w:rPr>
          <w:rFonts w:ascii="Arial" w:hAnsi="Arial"/>
          <w:lang w:val="en-CA"/>
        </w:rPr>
        <w:t>information in Table 1B for ALL placees</w:t>
      </w:r>
      <w:r w:rsidRPr="00BE2894" w:rsidR="00F33BBE">
        <w:rPr>
          <w:rFonts w:ascii="Arial" w:hAnsi="Arial"/>
          <w:lang w:val="en-CA"/>
        </w:rPr>
        <w:t>.</w:t>
      </w:r>
      <w:r w:rsidRPr="00BE2894">
        <w:rPr>
          <w:rFonts w:ascii="Arial" w:hAnsi="Arial"/>
          <w:b/>
          <w:lang w:val="en-CA"/>
        </w:rPr>
        <w:br w:type="page"/>
      </w:r>
    </w:p>
    <w:p w:rsidR="00A90670">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tblPr>
      <w:tblGrid>
        <w:gridCol w:w="3652"/>
        <w:gridCol w:w="1701"/>
        <w:gridCol w:w="1829"/>
        <w:gridCol w:w="2394"/>
      </w:tblGrid>
      <w:tr w:rsidTr="00073809">
        <w:tblPrEx>
          <w:tblW w:w="9576" w:type="dxa"/>
          <w:tblLayout w:type="fixed"/>
          <w:tblLook w:val="04A0"/>
        </w:tblPrEx>
        <w:tc>
          <w:tcPr>
            <w:tcW w:w="3652" w:type="dxa"/>
          </w:tcPr>
          <w:p w:rsidR="00C536D3" w:rsidRPr="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P="00C536D3">
            <w:pPr>
              <w:pStyle w:val="BodyText"/>
              <w:rPr>
                <w:rFonts w:ascii="Arial" w:hAnsi="Arial"/>
                <w:lang w:val="en-CA"/>
              </w:rPr>
            </w:pPr>
            <w:r>
              <w:rPr>
                <w:rFonts w:ascii="Arial" w:hAnsi="Arial"/>
                <w:lang w:val="en-CA"/>
              </w:rPr>
              <w:t>Total dollar value (US</w:t>
            </w:r>
            <w:r w:rsidRPr="00C536D3">
              <w:rPr>
                <w:rFonts w:ascii="Arial" w:hAnsi="Arial"/>
                <w:lang w:val="en-CA"/>
              </w:rPr>
              <w:t>$) raised in the jurisdiction</w:t>
            </w:r>
          </w:p>
        </w:tc>
      </w:tr>
      <w:tr w:rsidTr="00073809">
        <w:tblPrEx>
          <w:tblW w:w="9576" w:type="dxa"/>
          <w:tblLayout w:type="fixed"/>
          <w:tblLook w:val="04A0"/>
        </w:tblPrEx>
        <w:tc>
          <w:tcPr>
            <w:tcW w:w="3652" w:type="dxa"/>
          </w:tcPr>
          <w:p w:rsidR="003753D1" w:rsidRPr="00070EF9" w:rsidP="003753D1">
            <w:pPr>
              <w:pStyle w:val="BodyText"/>
              <w:rPr>
                <w:rFonts w:ascii="Arial" w:hAnsi="Arial"/>
                <w:lang w:val="en-CA"/>
              </w:rPr>
            </w:pPr>
            <w:r>
              <w:rPr>
                <w:rFonts w:ascii="Arial" w:hAnsi="Arial"/>
                <w:lang w:val="en-CA"/>
              </w:rPr>
              <w:t>Ontario</w:t>
            </w:r>
          </w:p>
        </w:tc>
        <w:tc>
          <w:tcPr>
            <w:tcW w:w="1701" w:type="dxa"/>
          </w:tcPr>
          <w:p w:rsidR="003753D1" w:rsidP="003753D1">
            <w:pPr>
              <w:pStyle w:val="BodyText"/>
              <w:rPr>
                <w:rFonts w:ascii="Arial" w:hAnsi="Arial"/>
                <w:szCs w:val="24"/>
                <w:lang w:val="en-CA"/>
              </w:rPr>
            </w:pPr>
            <w:r>
              <w:rPr>
                <w:rFonts w:ascii="Arial" w:hAnsi="Arial"/>
                <w:szCs w:val="24"/>
                <w:lang w:val="en-CA"/>
              </w:rPr>
              <w:t>1</w:t>
            </w:r>
            <w:r w:rsidR="009A6499">
              <w:rPr>
                <w:rFonts w:ascii="Arial" w:hAnsi="Arial"/>
                <w:szCs w:val="24"/>
                <w:lang w:val="en-CA"/>
              </w:rPr>
              <w:t>8</w:t>
            </w:r>
          </w:p>
        </w:tc>
        <w:tc>
          <w:tcPr>
            <w:tcW w:w="1829" w:type="dxa"/>
          </w:tcPr>
          <w:p w:rsidR="003753D1" w:rsidRPr="00070EF9" w:rsidP="003753D1">
            <w:pPr>
              <w:pStyle w:val="BodyText"/>
              <w:spacing w:before="0" w:line="280" w:lineRule="exact"/>
              <w:rPr>
                <w:rFonts w:ascii="Arial" w:hAnsi="Arial"/>
                <w:szCs w:val="24"/>
                <w:lang w:val="en-CA"/>
              </w:rPr>
            </w:pPr>
            <w:r>
              <w:rPr>
                <w:rFonts w:ascii="Arial" w:hAnsi="Arial"/>
                <w:szCs w:val="24"/>
                <w:lang w:val="en-CA"/>
              </w:rPr>
              <w:t>US$2,000</w:t>
            </w:r>
          </w:p>
        </w:tc>
        <w:tc>
          <w:tcPr>
            <w:tcW w:w="2394" w:type="dxa"/>
          </w:tcPr>
          <w:p w:rsidR="003753D1" w:rsidP="009A6499">
            <w:pPr>
              <w:pStyle w:val="BodyText"/>
              <w:spacing w:before="0" w:line="280" w:lineRule="exact"/>
              <w:rPr>
                <w:rFonts w:ascii="Arial" w:hAnsi="Arial"/>
                <w:szCs w:val="24"/>
                <w:lang w:val="en-CA"/>
              </w:rPr>
            </w:pPr>
            <w:r>
              <w:rPr>
                <w:rFonts w:ascii="Arial" w:hAnsi="Arial"/>
                <w:szCs w:val="24"/>
                <w:lang w:val="en-CA"/>
              </w:rPr>
              <w:t>US</w:t>
            </w:r>
            <w:r w:rsidR="00011AE7">
              <w:rPr>
                <w:rFonts w:ascii="Arial" w:hAnsi="Arial"/>
                <w:szCs w:val="24"/>
                <w:lang w:val="en-CA"/>
              </w:rPr>
              <w:t>$</w:t>
            </w:r>
            <w:r w:rsidR="009A6499">
              <w:rPr>
                <w:rFonts w:ascii="Arial" w:hAnsi="Arial"/>
                <w:szCs w:val="24"/>
                <w:lang w:val="en-CA"/>
              </w:rPr>
              <w:t>2,180,000</w:t>
            </w:r>
          </w:p>
        </w:tc>
      </w:tr>
      <w:tr w:rsidTr="00073809">
        <w:tblPrEx>
          <w:tblW w:w="9576" w:type="dxa"/>
          <w:tblLayout w:type="fixed"/>
          <w:tblLook w:val="04A0"/>
        </w:tblPrEx>
        <w:tc>
          <w:tcPr>
            <w:tcW w:w="3652" w:type="dxa"/>
          </w:tcPr>
          <w:p w:rsidR="00A53751" w:rsidP="003753D1">
            <w:pPr>
              <w:pStyle w:val="BodyText"/>
              <w:rPr>
                <w:rFonts w:ascii="Arial" w:hAnsi="Arial"/>
                <w:lang w:val="en-CA"/>
              </w:rPr>
            </w:pPr>
            <w:r>
              <w:rPr>
                <w:rFonts w:ascii="Arial" w:hAnsi="Arial"/>
                <w:lang w:val="en-CA"/>
              </w:rPr>
              <w:t xml:space="preserve">Alberta </w:t>
            </w:r>
          </w:p>
        </w:tc>
        <w:tc>
          <w:tcPr>
            <w:tcW w:w="1701" w:type="dxa"/>
          </w:tcPr>
          <w:p w:rsidR="00A53751" w:rsidP="003753D1">
            <w:pPr>
              <w:pStyle w:val="BodyText"/>
              <w:rPr>
                <w:rFonts w:ascii="Arial" w:hAnsi="Arial"/>
                <w:szCs w:val="24"/>
                <w:lang w:val="en-CA"/>
              </w:rPr>
            </w:pPr>
            <w:r>
              <w:rPr>
                <w:rFonts w:ascii="Arial" w:hAnsi="Arial"/>
                <w:szCs w:val="24"/>
                <w:lang w:val="en-CA"/>
              </w:rPr>
              <w:t>1</w:t>
            </w:r>
          </w:p>
        </w:tc>
        <w:tc>
          <w:tcPr>
            <w:tcW w:w="1829" w:type="dxa"/>
          </w:tcPr>
          <w:p w:rsidR="00A53751" w:rsidP="003753D1">
            <w:pPr>
              <w:pStyle w:val="BodyText"/>
              <w:rPr>
                <w:rFonts w:ascii="Arial" w:hAnsi="Arial"/>
                <w:szCs w:val="24"/>
                <w:lang w:val="en-CA"/>
              </w:rPr>
            </w:pPr>
            <w:r>
              <w:rPr>
                <w:rFonts w:ascii="Arial" w:hAnsi="Arial"/>
                <w:szCs w:val="24"/>
                <w:lang w:val="en-CA"/>
              </w:rPr>
              <w:t>US$2,000</w:t>
            </w:r>
          </w:p>
        </w:tc>
        <w:tc>
          <w:tcPr>
            <w:tcW w:w="2394" w:type="dxa"/>
          </w:tcPr>
          <w:p w:rsidR="00A53751" w:rsidP="003753D1">
            <w:pPr>
              <w:pStyle w:val="BodyText"/>
              <w:spacing w:before="0" w:line="280" w:lineRule="exact"/>
              <w:rPr>
                <w:rFonts w:ascii="Arial" w:hAnsi="Arial"/>
                <w:szCs w:val="24"/>
                <w:lang w:val="en-CA"/>
              </w:rPr>
            </w:pPr>
            <w:r>
              <w:rPr>
                <w:rFonts w:ascii="Arial" w:hAnsi="Arial"/>
                <w:szCs w:val="24"/>
                <w:lang w:val="en-CA"/>
              </w:rPr>
              <w:t>US$200,000</w:t>
            </w:r>
          </w:p>
        </w:tc>
      </w:tr>
      <w:tr w:rsidTr="00073809">
        <w:tblPrEx>
          <w:tblW w:w="9576" w:type="dxa"/>
          <w:tblLayout w:type="fixed"/>
          <w:tblLook w:val="04A0"/>
        </w:tblPrEx>
        <w:tc>
          <w:tcPr>
            <w:tcW w:w="3652" w:type="dxa"/>
          </w:tcPr>
          <w:p w:rsidR="003753D1" w:rsidRPr="00070EF9" w:rsidP="003753D1">
            <w:pPr>
              <w:pStyle w:val="BodyText"/>
              <w:rPr>
                <w:rFonts w:ascii="Arial" w:hAnsi="Arial"/>
                <w:lang w:val="en-CA"/>
              </w:rPr>
            </w:pPr>
            <w:r>
              <w:rPr>
                <w:rFonts w:ascii="Arial" w:hAnsi="Arial"/>
                <w:lang w:val="en-CA"/>
              </w:rPr>
              <w:t>Nova Scotia</w:t>
            </w:r>
          </w:p>
        </w:tc>
        <w:tc>
          <w:tcPr>
            <w:tcW w:w="1701" w:type="dxa"/>
          </w:tcPr>
          <w:p w:rsidR="003753D1" w:rsidP="003753D1">
            <w:pPr>
              <w:pStyle w:val="BodyText"/>
              <w:rPr>
                <w:rFonts w:ascii="Arial" w:hAnsi="Arial"/>
                <w:szCs w:val="24"/>
                <w:lang w:val="en-CA"/>
              </w:rPr>
            </w:pPr>
            <w:r>
              <w:rPr>
                <w:rFonts w:ascii="Arial" w:hAnsi="Arial"/>
                <w:szCs w:val="24"/>
                <w:lang w:val="en-CA"/>
              </w:rPr>
              <w:t>1</w:t>
            </w:r>
          </w:p>
        </w:tc>
        <w:tc>
          <w:tcPr>
            <w:tcW w:w="1829" w:type="dxa"/>
          </w:tcPr>
          <w:p w:rsidR="003753D1" w:rsidRPr="00070EF9" w:rsidP="003753D1">
            <w:pPr>
              <w:pStyle w:val="BodyText"/>
              <w:rPr>
                <w:rFonts w:ascii="Arial" w:hAnsi="Arial"/>
                <w:szCs w:val="24"/>
                <w:lang w:val="en-CA"/>
              </w:rPr>
            </w:pPr>
            <w:r>
              <w:rPr>
                <w:rFonts w:ascii="Arial" w:hAnsi="Arial"/>
                <w:szCs w:val="24"/>
                <w:lang w:val="en-CA"/>
              </w:rPr>
              <w:t>US$2,000</w:t>
            </w:r>
          </w:p>
        </w:tc>
        <w:tc>
          <w:tcPr>
            <w:tcW w:w="2394" w:type="dxa"/>
          </w:tcPr>
          <w:p w:rsidR="003753D1" w:rsidP="003753D1">
            <w:pPr>
              <w:pStyle w:val="BodyText"/>
              <w:spacing w:before="0" w:line="280" w:lineRule="exact"/>
              <w:rPr>
                <w:rFonts w:ascii="Arial" w:hAnsi="Arial"/>
                <w:szCs w:val="24"/>
                <w:lang w:val="en-CA"/>
              </w:rPr>
            </w:pPr>
            <w:r>
              <w:rPr>
                <w:rFonts w:ascii="Arial" w:hAnsi="Arial"/>
                <w:szCs w:val="24"/>
                <w:lang w:val="en-CA"/>
              </w:rPr>
              <w:t>US</w:t>
            </w:r>
            <w:r w:rsidR="00011AE7">
              <w:rPr>
                <w:rFonts w:ascii="Arial" w:hAnsi="Arial"/>
                <w:szCs w:val="24"/>
                <w:lang w:val="en-CA"/>
              </w:rPr>
              <w:t>$</w:t>
            </w:r>
            <w:r>
              <w:rPr>
                <w:rFonts w:ascii="Arial" w:hAnsi="Arial"/>
                <w:szCs w:val="24"/>
                <w:lang w:val="en-CA"/>
              </w:rPr>
              <w:t>2,000,000</w:t>
            </w:r>
          </w:p>
        </w:tc>
      </w:tr>
      <w:tr w:rsidTr="00073809">
        <w:tblPrEx>
          <w:tblW w:w="9576" w:type="dxa"/>
          <w:tblLayout w:type="fixed"/>
          <w:tblLook w:val="04A0"/>
        </w:tblPrEx>
        <w:tc>
          <w:tcPr>
            <w:tcW w:w="3652" w:type="dxa"/>
          </w:tcPr>
          <w:p w:rsidR="00070EF9" w:rsidRPr="00070EF9" w:rsidP="00327C3C">
            <w:pPr>
              <w:pStyle w:val="BodyText"/>
              <w:rPr>
                <w:rFonts w:ascii="Arial" w:hAnsi="Arial"/>
                <w:lang w:val="en-CA"/>
              </w:rPr>
            </w:pPr>
            <w:r w:rsidRPr="00070EF9">
              <w:rPr>
                <w:rFonts w:ascii="Arial" w:hAnsi="Arial"/>
                <w:lang w:val="en-CA"/>
              </w:rPr>
              <w:t>United States</w:t>
            </w:r>
          </w:p>
        </w:tc>
        <w:tc>
          <w:tcPr>
            <w:tcW w:w="1701" w:type="dxa"/>
          </w:tcPr>
          <w:p w:rsidR="00070EF9" w:rsidRPr="00070EF9" w:rsidP="00327C3C">
            <w:pPr>
              <w:pStyle w:val="BodyText"/>
              <w:rPr>
                <w:rFonts w:ascii="Arial" w:hAnsi="Arial"/>
                <w:szCs w:val="24"/>
                <w:lang w:val="en-CA"/>
              </w:rPr>
            </w:pPr>
            <w:r>
              <w:rPr>
                <w:rFonts w:ascii="Arial" w:hAnsi="Arial"/>
                <w:szCs w:val="24"/>
                <w:lang w:val="en-CA"/>
              </w:rPr>
              <w:t>2</w:t>
            </w:r>
            <w:r w:rsidR="009A6499">
              <w:rPr>
                <w:rFonts w:ascii="Arial" w:hAnsi="Arial"/>
                <w:szCs w:val="24"/>
                <w:lang w:val="en-CA"/>
              </w:rPr>
              <w:t>4</w:t>
            </w:r>
          </w:p>
        </w:tc>
        <w:tc>
          <w:tcPr>
            <w:tcW w:w="1829" w:type="dxa"/>
          </w:tcPr>
          <w:p w:rsidR="00070EF9" w:rsidRPr="00070EF9" w:rsidP="00327C3C">
            <w:pPr>
              <w:pStyle w:val="BodyText"/>
              <w:spacing w:before="0" w:line="280" w:lineRule="exact"/>
              <w:rPr>
                <w:rFonts w:ascii="Arial" w:hAnsi="Arial"/>
                <w:szCs w:val="24"/>
                <w:lang w:val="en-CA"/>
              </w:rPr>
            </w:pPr>
            <w:r>
              <w:rPr>
                <w:rFonts w:ascii="Arial" w:hAnsi="Arial"/>
                <w:szCs w:val="24"/>
                <w:lang w:val="en-CA"/>
              </w:rPr>
              <w:t>US$2,000</w:t>
            </w:r>
          </w:p>
        </w:tc>
        <w:tc>
          <w:tcPr>
            <w:tcW w:w="2394" w:type="dxa"/>
          </w:tcPr>
          <w:p w:rsidR="00070EF9" w:rsidRPr="00070EF9" w:rsidP="009A6499">
            <w:pPr>
              <w:pStyle w:val="BodyText"/>
              <w:spacing w:before="0" w:line="280" w:lineRule="exact"/>
              <w:rPr>
                <w:rFonts w:ascii="Arial" w:hAnsi="Arial"/>
                <w:szCs w:val="24"/>
                <w:lang w:val="en-CA"/>
              </w:rPr>
            </w:pPr>
            <w:r>
              <w:rPr>
                <w:rFonts w:ascii="Arial" w:hAnsi="Arial"/>
                <w:szCs w:val="24"/>
                <w:lang w:val="en-CA"/>
              </w:rPr>
              <w:t>US</w:t>
            </w:r>
            <w:r w:rsidRPr="00070EF9">
              <w:rPr>
                <w:rFonts w:ascii="Arial" w:hAnsi="Arial"/>
                <w:szCs w:val="24"/>
                <w:lang w:val="en-CA"/>
              </w:rPr>
              <w:t>$</w:t>
            </w:r>
            <w:r w:rsidR="009A6499">
              <w:rPr>
                <w:rFonts w:ascii="Arial" w:hAnsi="Arial"/>
                <w:szCs w:val="24"/>
                <w:lang w:val="en-CA"/>
              </w:rPr>
              <w:t>21,478,000</w:t>
            </w:r>
          </w:p>
        </w:tc>
      </w:tr>
      <w:tr w:rsidTr="00073809">
        <w:tblPrEx>
          <w:tblW w:w="9576" w:type="dxa"/>
          <w:tblLayout w:type="fixed"/>
          <w:tblLook w:val="04A0"/>
        </w:tblPrEx>
        <w:tc>
          <w:tcPr>
            <w:tcW w:w="3652" w:type="dxa"/>
          </w:tcPr>
          <w:p w:rsidR="00327C3C" w:rsidRPr="003C7879" w:rsidP="00327C3C">
            <w:pPr>
              <w:pStyle w:val="BodyText"/>
              <w:rPr>
                <w:rFonts w:ascii="Arial" w:hAnsi="Arial"/>
                <w:b/>
                <w:lang w:val="en-CA"/>
              </w:rPr>
            </w:pPr>
            <w:r w:rsidRPr="00073809">
              <w:rPr>
                <w:rFonts w:ascii="Arial" w:hAnsi="Arial"/>
                <w:lang w:val="en-CA"/>
              </w:rPr>
              <w:t>Cayman Islands</w:t>
            </w:r>
          </w:p>
        </w:tc>
        <w:tc>
          <w:tcPr>
            <w:tcW w:w="1701" w:type="dxa"/>
          </w:tcPr>
          <w:p w:rsidR="00327C3C" w:rsidRPr="00070EF9" w:rsidP="00327C3C">
            <w:pPr>
              <w:pStyle w:val="BodyText"/>
              <w:rPr>
                <w:rFonts w:ascii="Arial" w:hAnsi="Arial"/>
                <w:szCs w:val="24"/>
                <w:lang w:val="en-CA"/>
              </w:rPr>
            </w:pPr>
            <w:r>
              <w:rPr>
                <w:rFonts w:ascii="Arial" w:hAnsi="Arial"/>
                <w:szCs w:val="24"/>
                <w:lang w:val="en-CA"/>
              </w:rPr>
              <w:t>4</w:t>
            </w:r>
          </w:p>
        </w:tc>
        <w:tc>
          <w:tcPr>
            <w:tcW w:w="1829" w:type="dxa"/>
          </w:tcPr>
          <w:p w:rsidR="00327C3C" w:rsidRPr="00070EF9" w:rsidP="00327C3C">
            <w:pPr>
              <w:pStyle w:val="BodyText"/>
              <w:rPr>
                <w:rFonts w:ascii="Arial" w:hAnsi="Arial"/>
                <w:szCs w:val="24"/>
                <w:lang w:val="en-CA"/>
              </w:rPr>
            </w:pPr>
            <w:r>
              <w:rPr>
                <w:rFonts w:ascii="Arial" w:hAnsi="Arial"/>
                <w:szCs w:val="24"/>
                <w:lang w:val="en-CA"/>
              </w:rPr>
              <w:t>US$2,000</w:t>
            </w:r>
          </w:p>
        </w:tc>
        <w:tc>
          <w:tcPr>
            <w:tcW w:w="2394" w:type="dxa"/>
          </w:tcPr>
          <w:p w:rsidR="00327C3C" w:rsidRPr="00070EF9" w:rsidP="003C6664">
            <w:pPr>
              <w:pStyle w:val="BodyText"/>
              <w:rPr>
                <w:rFonts w:ascii="Arial" w:hAnsi="Arial"/>
                <w:szCs w:val="24"/>
                <w:lang w:val="en-CA"/>
              </w:rPr>
            </w:pPr>
            <w:r>
              <w:rPr>
                <w:rFonts w:ascii="Arial" w:hAnsi="Arial"/>
                <w:szCs w:val="24"/>
                <w:lang w:val="en-CA"/>
              </w:rPr>
              <w:t>US</w:t>
            </w:r>
            <w:r w:rsidRPr="00070EF9">
              <w:rPr>
                <w:rFonts w:ascii="Arial" w:hAnsi="Arial"/>
                <w:szCs w:val="24"/>
                <w:lang w:val="en-CA"/>
              </w:rPr>
              <w:t>$</w:t>
            </w:r>
            <w:r w:rsidR="003C6664">
              <w:rPr>
                <w:rFonts w:ascii="Arial" w:hAnsi="Arial"/>
                <w:szCs w:val="24"/>
                <w:lang w:val="en-CA"/>
              </w:rPr>
              <w:t>10,500,000</w:t>
            </w:r>
          </w:p>
        </w:tc>
      </w:tr>
      <w:tr w:rsidTr="00073809">
        <w:tblPrEx>
          <w:tblW w:w="9576" w:type="dxa"/>
          <w:tblLayout w:type="fixed"/>
          <w:tblLook w:val="04A0"/>
        </w:tblPrEx>
        <w:tc>
          <w:tcPr>
            <w:tcW w:w="3652" w:type="dxa"/>
          </w:tcPr>
          <w:p w:rsidR="003C6664" w:rsidRPr="00073809" w:rsidP="00327C3C">
            <w:pPr>
              <w:pStyle w:val="BodyText"/>
              <w:rPr>
                <w:rFonts w:ascii="Arial" w:hAnsi="Arial"/>
                <w:lang w:val="en-CA"/>
              </w:rPr>
            </w:pPr>
            <w:r>
              <w:rPr>
                <w:rFonts w:ascii="Arial" w:hAnsi="Arial"/>
                <w:lang w:val="en-CA"/>
              </w:rPr>
              <w:t>Monaco</w:t>
            </w:r>
          </w:p>
        </w:tc>
        <w:tc>
          <w:tcPr>
            <w:tcW w:w="1701" w:type="dxa"/>
          </w:tcPr>
          <w:p w:rsidR="003C6664" w:rsidP="00327C3C">
            <w:pPr>
              <w:pStyle w:val="BodyText"/>
              <w:rPr>
                <w:rFonts w:ascii="Arial" w:hAnsi="Arial"/>
                <w:szCs w:val="24"/>
                <w:lang w:val="en-CA"/>
              </w:rPr>
            </w:pPr>
            <w:r>
              <w:rPr>
                <w:rFonts w:ascii="Arial" w:hAnsi="Arial"/>
                <w:szCs w:val="24"/>
                <w:lang w:val="en-CA"/>
              </w:rPr>
              <w:t>1</w:t>
            </w:r>
          </w:p>
        </w:tc>
        <w:tc>
          <w:tcPr>
            <w:tcW w:w="1829" w:type="dxa"/>
          </w:tcPr>
          <w:p w:rsidR="003C6664" w:rsidP="00327C3C">
            <w:pPr>
              <w:pStyle w:val="BodyText"/>
              <w:rPr>
                <w:rFonts w:ascii="Arial" w:hAnsi="Arial"/>
                <w:szCs w:val="24"/>
                <w:lang w:val="en-CA"/>
              </w:rPr>
            </w:pPr>
            <w:r>
              <w:rPr>
                <w:rFonts w:ascii="Arial" w:hAnsi="Arial"/>
                <w:szCs w:val="24"/>
                <w:lang w:val="en-CA"/>
              </w:rPr>
              <w:t>US$2,000</w:t>
            </w:r>
          </w:p>
        </w:tc>
        <w:tc>
          <w:tcPr>
            <w:tcW w:w="2394" w:type="dxa"/>
          </w:tcPr>
          <w:p w:rsidR="003C6664" w:rsidP="003C6664">
            <w:pPr>
              <w:pStyle w:val="BodyText"/>
              <w:rPr>
                <w:rFonts w:ascii="Arial" w:hAnsi="Arial"/>
                <w:szCs w:val="24"/>
                <w:lang w:val="en-CA"/>
              </w:rPr>
            </w:pPr>
            <w:r>
              <w:rPr>
                <w:rFonts w:ascii="Arial" w:hAnsi="Arial"/>
                <w:szCs w:val="24"/>
                <w:lang w:val="en-CA"/>
              </w:rPr>
              <w:t>US$200,000</w:t>
            </w:r>
          </w:p>
        </w:tc>
      </w:tr>
      <w:tr w:rsidTr="00073809">
        <w:tblPrEx>
          <w:tblW w:w="9576" w:type="dxa"/>
          <w:tblLayout w:type="fixed"/>
          <w:tblLook w:val="04A0"/>
        </w:tblPrEx>
        <w:tc>
          <w:tcPr>
            <w:tcW w:w="3652" w:type="dxa"/>
          </w:tcPr>
          <w:p w:rsidR="003C6664" w:rsidRPr="00073809" w:rsidP="00327C3C">
            <w:pPr>
              <w:pStyle w:val="BodyText"/>
              <w:rPr>
                <w:rFonts w:ascii="Arial" w:hAnsi="Arial"/>
                <w:lang w:val="en-CA"/>
              </w:rPr>
            </w:pPr>
            <w:r>
              <w:rPr>
                <w:rFonts w:ascii="Arial" w:hAnsi="Arial"/>
                <w:lang w:val="en-CA"/>
              </w:rPr>
              <w:t>United Arab Emirates</w:t>
            </w:r>
          </w:p>
        </w:tc>
        <w:tc>
          <w:tcPr>
            <w:tcW w:w="1701" w:type="dxa"/>
          </w:tcPr>
          <w:p w:rsidR="003C6664" w:rsidP="00327C3C">
            <w:pPr>
              <w:pStyle w:val="BodyText"/>
              <w:rPr>
                <w:rFonts w:ascii="Arial" w:hAnsi="Arial"/>
                <w:szCs w:val="24"/>
                <w:lang w:val="en-CA"/>
              </w:rPr>
            </w:pPr>
            <w:r>
              <w:rPr>
                <w:rFonts w:ascii="Arial" w:hAnsi="Arial"/>
                <w:szCs w:val="24"/>
                <w:lang w:val="en-CA"/>
              </w:rPr>
              <w:t>1</w:t>
            </w:r>
          </w:p>
        </w:tc>
        <w:tc>
          <w:tcPr>
            <w:tcW w:w="1829" w:type="dxa"/>
          </w:tcPr>
          <w:p w:rsidR="003C6664" w:rsidP="00327C3C">
            <w:pPr>
              <w:pStyle w:val="BodyText"/>
              <w:rPr>
                <w:rFonts w:ascii="Arial" w:hAnsi="Arial"/>
                <w:szCs w:val="24"/>
                <w:lang w:val="en-CA"/>
              </w:rPr>
            </w:pPr>
            <w:r>
              <w:rPr>
                <w:rFonts w:ascii="Arial" w:hAnsi="Arial"/>
                <w:szCs w:val="24"/>
                <w:lang w:val="en-CA"/>
              </w:rPr>
              <w:t>US$2,000</w:t>
            </w:r>
          </w:p>
        </w:tc>
        <w:tc>
          <w:tcPr>
            <w:tcW w:w="2394" w:type="dxa"/>
          </w:tcPr>
          <w:p w:rsidR="003C6664" w:rsidP="004F0924">
            <w:pPr>
              <w:pStyle w:val="BodyText"/>
              <w:rPr>
                <w:rFonts w:ascii="Arial" w:hAnsi="Arial"/>
                <w:szCs w:val="24"/>
                <w:lang w:val="en-CA"/>
              </w:rPr>
            </w:pPr>
            <w:r>
              <w:rPr>
                <w:rFonts w:ascii="Arial" w:hAnsi="Arial"/>
                <w:szCs w:val="24"/>
                <w:lang w:val="en-CA"/>
              </w:rPr>
              <w:t>US$800,000</w:t>
            </w:r>
          </w:p>
        </w:tc>
      </w:tr>
      <w:tr w:rsidTr="00073809">
        <w:tblPrEx>
          <w:tblW w:w="9576" w:type="dxa"/>
          <w:tblLayout w:type="fixed"/>
          <w:tblLook w:val="04A0"/>
        </w:tblPrEx>
        <w:tc>
          <w:tcPr>
            <w:tcW w:w="3652" w:type="dxa"/>
          </w:tcPr>
          <w:p w:rsidR="00327C3C" w:rsidRPr="00C536D3" w:rsidP="00327C3C">
            <w:pPr>
              <w:pStyle w:val="BodyText"/>
              <w:rPr>
                <w:rFonts w:ascii="Arial" w:hAnsi="Arial"/>
                <w:lang w:val="en-CA"/>
              </w:rPr>
            </w:pPr>
            <w:r w:rsidRPr="00070EF9">
              <w:rPr>
                <w:rFonts w:ascii="Arial" w:hAnsi="Arial"/>
                <w:b/>
                <w:lang w:val="en-CA"/>
              </w:rPr>
              <w:t>Total number of purchasers</w:t>
            </w:r>
            <w:r w:rsidRPr="00C536D3">
              <w:rPr>
                <w:rFonts w:ascii="Arial" w:hAnsi="Arial"/>
                <w:lang w:val="en-CA"/>
              </w:rPr>
              <w:t>:</w:t>
            </w:r>
          </w:p>
        </w:tc>
        <w:tc>
          <w:tcPr>
            <w:tcW w:w="1701" w:type="dxa"/>
          </w:tcPr>
          <w:p w:rsidR="00327C3C" w:rsidRPr="00C536D3" w:rsidP="00327C3C">
            <w:pPr>
              <w:pStyle w:val="BodyText"/>
              <w:rPr>
                <w:rFonts w:ascii="Arial" w:hAnsi="Arial"/>
                <w:lang w:val="en-CA"/>
              </w:rPr>
            </w:pPr>
            <w:r>
              <w:rPr>
                <w:rFonts w:ascii="Arial" w:hAnsi="Arial"/>
                <w:lang w:val="en-CA"/>
              </w:rPr>
              <w:t>50</w:t>
            </w:r>
          </w:p>
        </w:tc>
        <w:tc>
          <w:tcPr>
            <w:tcW w:w="1829" w:type="dxa"/>
          </w:tcPr>
          <w:p w:rsidR="00327C3C" w:rsidRPr="00C536D3" w:rsidP="00327C3C">
            <w:pPr>
              <w:pStyle w:val="BodyText"/>
              <w:rPr>
                <w:rFonts w:ascii="Arial" w:hAnsi="Arial"/>
                <w:lang w:val="en-CA"/>
              </w:rPr>
            </w:pPr>
          </w:p>
        </w:tc>
        <w:tc>
          <w:tcPr>
            <w:tcW w:w="2394" w:type="dxa"/>
          </w:tcPr>
          <w:p w:rsidR="00327C3C" w:rsidRPr="00C536D3" w:rsidP="00327C3C">
            <w:pPr>
              <w:pStyle w:val="BodyText"/>
              <w:rPr>
                <w:rFonts w:ascii="Arial" w:hAnsi="Arial"/>
                <w:lang w:val="en-CA"/>
              </w:rPr>
            </w:pPr>
          </w:p>
        </w:tc>
      </w:tr>
      <w:tr w:rsidTr="00073809">
        <w:tblPrEx>
          <w:tblW w:w="9576" w:type="dxa"/>
          <w:tblLayout w:type="fixed"/>
          <w:tblLook w:val="04A0"/>
        </w:tblPrEx>
        <w:tc>
          <w:tcPr>
            <w:tcW w:w="7182" w:type="dxa"/>
            <w:gridSpan w:val="3"/>
          </w:tcPr>
          <w:p w:rsidR="00327C3C" w:rsidRPr="00C536D3" w:rsidP="00327C3C">
            <w:pPr>
              <w:pStyle w:val="BodyText"/>
              <w:rPr>
                <w:rFonts w:ascii="Arial" w:hAnsi="Arial"/>
                <w:lang w:val="en-CA"/>
              </w:rPr>
            </w:pPr>
            <w:r w:rsidRPr="00070EF9">
              <w:rPr>
                <w:rFonts w:ascii="Arial" w:hAnsi="Arial"/>
                <w:b/>
                <w:lang w:val="en-CA"/>
              </w:rPr>
              <w:t>Total dollar value of distribution in all jurisdictions</w:t>
            </w:r>
            <w:r w:rsidRPr="00C536D3">
              <w:rPr>
                <w:rFonts w:ascii="Arial" w:hAnsi="Arial"/>
                <w:lang w:val="en-CA"/>
              </w:rPr>
              <w:t>:</w:t>
            </w:r>
          </w:p>
        </w:tc>
        <w:tc>
          <w:tcPr>
            <w:tcW w:w="2394" w:type="dxa"/>
          </w:tcPr>
          <w:p w:rsidR="00327C3C" w:rsidRPr="00C536D3" w:rsidP="009A6499">
            <w:pPr>
              <w:pStyle w:val="BodyText"/>
              <w:rPr>
                <w:rFonts w:ascii="Arial" w:hAnsi="Arial"/>
                <w:lang w:val="en-CA"/>
              </w:rPr>
            </w:pPr>
            <w:r>
              <w:rPr>
                <w:rFonts w:ascii="Arial" w:hAnsi="Arial"/>
                <w:lang w:val="en-CA"/>
              </w:rPr>
              <w:t>US$</w:t>
            </w:r>
            <w:r w:rsidR="009A6499">
              <w:rPr>
                <w:rFonts w:ascii="Arial" w:hAnsi="Arial"/>
                <w:lang w:val="en-CA"/>
              </w:rPr>
              <w:t>37,358,000</w:t>
            </w:r>
          </w:p>
        </w:tc>
      </w:tr>
    </w:tbl>
    <w:p w:rsidR="00C536D3" w:rsidRPr="00C536D3" w:rsidP="00C536D3">
      <w:pPr>
        <w:pStyle w:val="BodyText"/>
        <w:rPr>
          <w:rFonts w:ascii="Arial" w:hAnsi="Arial"/>
          <w:b/>
          <w:u w:val="single"/>
          <w:lang w:val="en-CA"/>
        </w:rPr>
      </w:pPr>
    </w:p>
    <w:p w:rsidR="00C536D3" w:rsidRPr="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1520" w:type="dxa"/>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620"/>
        <w:gridCol w:w="1350"/>
        <w:gridCol w:w="1260"/>
        <w:gridCol w:w="1620"/>
        <w:gridCol w:w="1350"/>
        <w:gridCol w:w="1800"/>
        <w:gridCol w:w="990"/>
        <w:gridCol w:w="1530"/>
      </w:tblGrid>
      <w:tr w:rsidTr="00C40D01">
        <w:tblPrEx>
          <w:tblW w:w="11520" w:type="dxa"/>
          <w:tblInd w:w="-9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1965"/>
        </w:trPr>
        <w:tc>
          <w:tcPr>
            <w:tcW w:w="1620" w:type="dxa"/>
          </w:tcPr>
          <w:p w:rsidR="00B35F1C" w:rsidRPr="00B263E2" w:rsidP="00C61791">
            <w:pPr>
              <w:pStyle w:val="BodyText"/>
              <w:spacing w:before="0" w:line="280" w:lineRule="exact"/>
              <w:jc w:val="center"/>
              <w:rPr>
                <w:rFonts w:ascii="Arial" w:hAnsi="Arial" w:cs="Arial"/>
                <w:b/>
                <w:sz w:val="18"/>
                <w:szCs w:val="18"/>
                <w:lang w:val="en-CA"/>
              </w:rPr>
            </w:pP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Full Name &amp;</w:t>
            </w:r>
            <w:r w:rsidR="005807A7">
              <w:rPr>
                <w:rFonts w:ascii="Arial" w:hAnsi="Arial" w:cs="Arial"/>
                <w:b/>
                <w:sz w:val="18"/>
                <w:szCs w:val="18"/>
                <w:lang w:val="en-CA"/>
              </w:rPr>
              <w:t xml:space="preserve"> </w:t>
            </w:r>
            <w:r w:rsidRPr="00B263E2">
              <w:rPr>
                <w:rFonts w:ascii="Arial" w:hAnsi="Arial" w:cs="Arial"/>
                <w:b/>
                <w:sz w:val="18"/>
                <w:szCs w:val="18"/>
                <w:lang w:val="en-CA"/>
              </w:rPr>
              <w:t>Municipality of Residence of Placee</w:t>
            </w:r>
          </w:p>
        </w:tc>
        <w:tc>
          <w:tcPr>
            <w:tcW w:w="1350" w:type="dxa"/>
          </w:tcPr>
          <w:p w:rsidR="00B35F1C" w:rsidRPr="00B263E2" w:rsidP="00C61791">
            <w:pPr>
              <w:pStyle w:val="BodyText"/>
              <w:spacing w:before="0" w:line="280" w:lineRule="exact"/>
              <w:jc w:val="center"/>
              <w:rPr>
                <w:rFonts w:ascii="Arial" w:hAnsi="Arial" w:cs="Arial"/>
                <w:b/>
                <w:sz w:val="18"/>
                <w:szCs w:val="18"/>
                <w:lang w:val="en-CA"/>
              </w:rPr>
            </w:pP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Number of Securities Purchased or to be Purchased</w:t>
            </w:r>
          </w:p>
        </w:tc>
        <w:tc>
          <w:tcPr>
            <w:tcW w:w="1260" w:type="dxa"/>
          </w:tcPr>
          <w:p w:rsidR="00B35F1C" w:rsidRPr="00B263E2" w:rsidP="00C61791">
            <w:pPr>
              <w:pStyle w:val="BodyText"/>
              <w:spacing w:before="0" w:line="280" w:lineRule="exact"/>
              <w:jc w:val="center"/>
              <w:rPr>
                <w:rFonts w:ascii="Arial" w:hAnsi="Arial" w:cs="Arial"/>
                <w:b/>
                <w:sz w:val="18"/>
                <w:szCs w:val="18"/>
                <w:lang w:val="en-CA"/>
              </w:rPr>
            </w:pPr>
          </w:p>
          <w:p w:rsidR="00B35F1C" w:rsidRPr="00B263E2" w:rsidP="00C61791">
            <w:pPr>
              <w:pStyle w:val="BodyText"/>
              <w:spacing w:before="0" w:line="280" w:lineRule="exact"/>
              <w:jc w:val="center"/>
              <w:rPr>
                <w:rFonts w:ascii="Arial" w:hAnsi="Arial" w:cs="Arial"/>
                <w:b/>
                <w:sz w:val="18"/>
                <w:szCs w:val="18"/>
                <w:lang w:val="en-CA"/>
              </w:rPr>
            </w:pPr>
            <w:r>
              <w:rPr>
                <w:rFonts w:ascii="Arial" w:hAnsi="Arial" w:cs="Arial"/>
                <w:b/>
                <w:sz w:val="18"/>
                <w:szCs w:val="18"/>
                <w:lang w:val="en-CA"/>
              </w:rPr>
              <w:t>Purchase price per Security (USD</w:t>
            </w:r>
            <w:r w:rsidRPr="00B263E2">
              <w:rPr>
                <w:rFonts w:ascii="Arial" w:hAnsi="Arial" w:cs="Arial"/>
                <w:b/>
                <w:sz w:val="18"/>
                <w:szCs w:val="18"/>
                <w:lang w:val="en-CA"/>
              </w:rPr>
              <w:t>$)</w:t>
            </w:r>
          </w:p>
        </w:tc>
        <w:tc>
          <w:tcPr>
            <w:tcW w:w="1620" w:type="dxa"/>
          </w:tcPr>
          <w:p w:rsidR="00B35F1C" w:rsidRPr="00B263E2" w:rsidP="00C61791">
            <w:pPr>
              <w:pStyle w:val="BodyText"/>
              <w:spacing w:before="0" w:line="280" w:lineRule="exact"/>
              <w:jc w:val="center"/>
              <w:rPr>
                <w:rFonts w:ascii="Arial" w:hAnsi="Arial" w:cs="Arial"/>
                <w:b/>
                <w:sz w:val="18"/>
                <w:szCs w:val="18"/>
                <w:lang w:val="en-CA"/>
              </w:rPr>
            </w:pP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Conversion</w:t>
            </w: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Price (if</w:t>
            </w: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Applicable)</w:t>
            </w:r>
          </w:p>
          <w:p w:rsidR="00B35F1C" w:rsidRPr="00B263E2" w:rsidP="00C61791">
            <w:pPr>
              <w:pStyle w:val="BodyText"/>
              <w:spacing w:before="0" w:line="280" w:lineRule="exact"/>
              <w:jc w:val="center"/>
              <w:rPr>
                <w:rFonts w:ascii="Arial" w:hAnsi="Arial" w:cs="Arial"/>
                <w:b/>
                <w:sz w:val="18"/>
                <w:szCs w:val="18"/>
                <w:lang w:val="en-CA"/>
              </w:rPr>
            </w:pPr>
            <w:r>
              <w:rPr>
                <w:rFonts w:ascii="Arial" w:hAnsi="Arial" w:cs="Arial"/>
                <w:b/>
                <w:sz w:val="18"/>
                <w:szCs w:val="18"/>
                <w:lang w:val="en-CA"/>
              </w:rPr>
              <w:t>(USD</w:t>
            </w:r>
            <w:r w:rsidRPr="00B263E2">
              <w:rPr>
                <w:rFonts w:ascii="Arial" w:hAnsi="Arial" w:cs="Arial"/>
                <w:b/>
                <w:sz w:val="18"/>
                <w:szCs w:val="18"/>
                <w:lang w:val="en-CA"/>
              </w:rPr>
              <w:t>$)</w:t>
            </w:r>
          </w:p>
        </w:tc>
        <w:tc>
          <w:tcPr>
            <w:tcW w:w="1350" w:type="dxa"/>
          </w:tcPr>
          <w:p w:rsidR="00B35F1C" w:rsidRPr="00B263E2" w:rsidP="00C61791">
            <w:pPr>
              <w:pStyle w:val="BodyText"/>
              <w:spacing w:before="0" w:line="280" w:lineRule="exact"/>
              <w:jc w:val="center"/>
              <w:rPr>
                <w:rFonts w:ascii="Arial" w:hAnsi="Arial" w:cs="Arial"/>
                <w:b/>
                <w:sz w:val="18"/>
                <w:szCs w:val="18"/>
                <w:lang w:val="en-CA"/>
              </w:rPr>
            </w:pP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Prospectus Exemption</w:t>
            </w:r>
          </w:p>
        </w:tc>
        <w:tc>
          <w:tcPr>
            <w:tcW w:w="1800" w:type="dxa"/>
          </w:tcPr>
          <w:p w:rsidR="00B35F1C" w:rsidRPr="00B263E2" w:rsidP="00C61791">
            <w:pPr>
              <w:pStyle w:val="BodyText"/>
              <w:spacing w:before="0" w:line="280" w:lineRule="exact"/>
              <w:jc w:val="center"/>
              <w:rPr>
                <w:rFonts w:ascii="Arial" w:hAnsi="Arial" w:cs="Arial"/>
                <w:b/>
                <w:sz w:val="18"/>
                <w:szCs w:val="18"/>
              </w:rPr>
            </w:pP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rPr>
              <w:t>Total Securities Previously  Owned, Controlled or Directed</w:t>
            </w:r>
          </w:p>
        </w:tc>
        <w:tc>
          <w:tcPr>
            <w:tcW w:w="990" w:type="dxa"/>
          </w:tcPr>
          <w:p w:rsidR="00B35F1C" w:rsidRPr="00B263E2" w:rsidP="00C61791">
            <w:pPr>
              <w:pStyle w:val="BodyText"/>
              <w:spacing w:before="0" w:line="280" w:lineRule="exact"/>
              <w:jc w:val="center"/>
              <w:rPr>
                <w:rFonts w:ascii="Arial" w:hAnsi="Arial" w:cs="Arial"/>
                <w:b/>
                <w:sz w:val="18"/>
                <w:szCs w:val="18"/>
                <w:lang w:val="en-CA"/>
              </w:rPr>
            </w:pPr>
          </w:p>
          <w:p w:rsidR="00B35F1C" w:rsidRPr="00B263E2" w:rsidP="00C61791">
            <w:pPr>
              <w:pStyle w:val="BodyText"/>
              <w:spacing w:before="0" w:line="280" w:lineRule="exact"/>
              <w:jc w:val="center"/>
              <w:rPr>
                <w:rFonts w:ascii="Arial" w:hAnsi="Arial" w:cs="Arial"/>
                <w:b/>
                <w:sz w:val="18"/>
                <w:szCs w:val="18"/>
                <w:lang w:val="en-CA"/>
              </w:rPr>
            </w:pPr>
            <w:r w:rsidRPr="00B263E2">
              <w:rPr>
                <w:rFonts w:ascii="Arial" w:hAnsi="Arial" w:cs="Arial"/>
                <w:b/>
                <w:sz w:val="18"/>
                <w:szCs w:val="18"/>
                <w:lang w:val="en-CA"/>
              </w:rPr>
              <w:t>Payment Date(1)</w:t>
            </w:r>
          </w:p>
        </w:tc>
        <w:tc>
          <w:tcPr>
            <w:tcW w:w="1530" w:type="dxa"/>
          </w:tcPr>
          <w:p w:rsidR="00B35F1C" w:rsidRPr="00B263E2" w:rsidP="00C61791">
            <w:pPr>
              <w:pStyle w:val="BodyText"/>
              <w:spacing w:before="0" w:line="280" w:lineRule="exact"/>
              <w:jc w:val="center"/>
              <w:rPr>
                <w:rFonts w:ascii="Arial" w:hAnsi="Arial" w:cs="Arial"/>
                <w:b/>
                <w:color w:val="000000"/>
                <w:sz w:val="18"/>
                <w:szCs w:val="18"/>
                <w:lang w:val="en-CA"/>
              </w:rPr>
            </w:pPr>
          </w:p>
          <w:p w:rsidR="00B35F1C" w:rsidRPr="00B263E2" w:rsidP="00C61791">
            <w:pPr>
              <w:pStyle w:val="BodyText"/>
              <w:spacing w:before="0" w:line="280" w:lineRule="exact"/>
              <w:jc w:val="center"/>
              <w:rPr>
                <w:rFonts w:ascii="Arial" w:hAnsi="Arial" w:cs="Arial"/>
                <w:b/>
                <w:color w:val="000000"/>
                <w:sz w:val="18"/>
                <w:szCs w:val="18"/>
                <w:lang w:val="en-CA"/>
              </w:rPr>
            </w:pPr>
            <w:r w:rsidRPr="00B263E2">
              <w:rPr>
                <w:rFonts w:ascii="Arial" w:hAnsi="Arial" w:cs="Arial"/>
                <w:b/>
                <w:color w:val="000000"/>
                <w:sz w:val="18"/>
                <w:szCs w:val="18"/>
                <w:lang w:val="en-CA"/>
              </w:rPr>
              <w:t>Describe relations-hip to Issuer (2)</w:t>
            </w:r>
          </w:p>
        </w:tc>
      </w:tr>
      <w:tr w:rsidTr="00C40D01">
        <w:tblPrEx>
          <w:tblW w:w="11520" w:type="dxa"/>
          <w:tblInd w:w="-915" w:type="dxa"/>
          <w:tblLayout w:type="fixed"/>
          <w:tblLook w:val="0000"/>
        </w:tblPrEx>
        <w:trPr>
          <w:trHeight w:val="864"/>
        </w:trPr>
        <w:tc>
          <w:tcPr>
            <w:tcW w:w="1620" w:type="dxa"/>
          </w:tcPr>
          <w:p w:rsidR="005807A7" w:rsidP="00C61791">
            <w:pPr>
              <w:spacing w:before="120" w:after="120"/>
              <w:jc w:val="center"/>
              <w:rPr>
                <w:rFonts w:ascii="Arial" w:hAnsi="Arial" w:cs="Arial"/>
                <w:sz w:val="18"/>
                <w:szCs w:val="18"/>
              </w:rPr>
            </w:pPr>
            <w:r>
              <w:rPr>
                <w:rFonts w:ascii="Arial" w:hAnsi="Arial" w:cs="Arial"/>
                <w:sz w:val="18"/>
                <w:szCs w:val="18"/>
              </w:rPr>
              <w:t>Jason Wild</w:t>
            </w:r>
          </w:p>
          <w:p w:rsidR="00422621" w:rsidRPr="00B263E2" w:rsidP="00C61791">
            <w:pPr>
              <w:spacing w:before="120" w:after="120"/>
              <w:jc w:val="center"/>
              <w:rPr>
                <w:rFonts w:ascii="Arial" w:hAnsi="Arial" w:cs="Arial"/>
                <w:sz w:val="18"/>
                <w:szCs w:val="18"/>
              </w:rPr>
            </w:pPr>
            <w:r>
              <w:rPr>
                <w:rFonts w:ascii="Arial" w:hAnsi="Arial" w:cs="Arial"/>
                <w:sz w:val="18"/>
                <w:szCs w:val="18"/>
              </w:rPr>
              <w:t>New York, NY</w:t>
            </w:r>
          </w:p>
        </w:tc>
        <w:tc>
          <w:tcPr>
            <w:tcW w:w="1350" w:type="dxa"/>
          </w:tcPr>
          <w:p w:rsidR="005807A7" w:rsidRPr="00B263E2" w:rsidP="00C61791">
            <w:pPr>
              <w:pStyle w:val="BodyText"/>
              <w:spacing w:before="0" w:line="280" w:lineRule="exact"/>
              <w:rPr>
                <w:rFonts w:ascii="Arial" w:hAnsi="Arial" w:cs="Arial"/>
                <w:sz w:val="18"/>
                <w:szCs w:val="18"/>
                <w:lang w:val="en-CA"/>
              </w:rPr>
            </w:pPr>
            <w:r>
              <w:rPr>
                <w:rFonts w:ascii="Arial" w:hAnsi="Arial" w:cs="Arial"/>
                <w:sz w:val="18"/>
                <w:szCs w:val="18"/>
              </w:rPr>
              <w:t>10</w:t>
            </w:r>
            <w:r>
              <w:rPr>
                <w:rFonts w:ascii="Arial" w:hAnsi="Arial" w:cs="Arial"/>
                <w:sz w:val="18"/>
                <w:szCs w:val="18"/>
              </w:rPr>
              <w:t>,000 Units</w:t>
            </w:r>
            <w:r>
              <w:rPr>
                <w:rFonts w:ascii="Arial" w:hAnsi="Arial" w:cs="Arial"/>
                <w:sz w:val="18"/>
                <w:szCs w:val="18"/>
                <w:vertAlign w:val="superscript"/>
                <w:lang w:val="en-US"/>
              </w:rPr>
              <w:t>2</w:t>
            </w:r>
          </w:p>
        </w:tc>
        <w:tc>
          <w:tcPr>
            <w:tcW w:w="1260" w:type="dxa"/>
          </w:tcPr>
          <w:p w:rsidR="005807A7" w:rsidRPr="00B263E2" w:rsidP="00B35F1C">
            <w:pPr>
              <w:pStyle w:val="BodyText"/>
              <w:spacing w:before="0" w:line="280" w:lineRule="exact"/>
              <w:rPr>
                <w:rFonts w:ascii="Arial" w:hAnsi="Arial" w:cs="Arial"/>
                <w:sz w:val="18"/>
                <w:szCs w:val="18"/>
                <w:lang w:val="en-CA"/>
              </w:rPr>
            </w:pPr>
            <w:r w:rsidRPr="00B263E2">
              <w:rPr>
                <w:rFonts w:ascii="Arial" w:hAnsi="Arial" w:cs="Arial"/>
                <w:sz w:val="18"/>
                <w:szCs w:val="18"/>
                <w:lang w:val="en-CA"/>
              </w:rPr>
              <w:t>$</w:t>
            </w:r>
            <w:r>
              <w:rPr>
                <w:rFonts w:ascii="Arial" w:hAnsi="Arial" w:cs="Arial"/>
                <w:sz w:val="18"/>
                <w:szCs w:val="18"/>
                <w:lang w:val="en-CA"/>
              </w:rPr>
              <w:t>2,000</w:t>
            </w:r>
          </w:p>
        </w:tc>
        <w:tc>
          <w:tcPr>
            <w:tcW w:w="1620" w:type="dxa"/>
          </w:tcPr>
          <w:p w:rsidR="005807A7" w:rsidP="005807A7">
            <w:pPr>
              <w:pStyle w:val="BodyText"/>
              <w:spacing w:before="0" w:line="280" w:lineRule="exact"/>
              <w:rPr>
                <w:rFonts w:ascii="Arial" w:hAnsi="Arial" w:cs="Arial"/>
                <w:sz w:val="18"/>
                <w:szCs w:val="18"/>
                <w:lang w:val="en-CA"/>
              </w:rPr>
            </w:pPr>
            <w:r>
              <w:rPr>
                <w:rFonts w:ascii="Arial" w:hAnsi="Arial" w:cs="Arial"/>
                <w:sz w:val="18"/>
                <w:szCs w:val="18"/>
                <w:lang w:val="en-CA"/>
              </w:rPr>
              <w:t>$2.00 per common share subject to adjustments</w:t>
            </w:r>
          </w:p>
          <w:p w:rsidR="005807A7" w:rsidRPr="00B263E2" w:rsidP="00C61752">
            <w:pPr>
              <w:pStyle w:val="BodyText"/>
              <w:spacing w:line="280" w:lineRule="exact"/>
              <w:rPr>
                <w:rFonts w:ascii="Arial" w:hAnsi="Arial" w:cs="Arial"/>
                <w:sz w:val="18"/>
                <w:szCs w:val="18"/>
                <w:lang w:val="en-CA"/>
              </w:rPr>
            </w:pPr>
            <w:r>
              <w:rPr>
                <w:rFonts w:ascii="Arial" w:hAnsi="Arial" w:cs="Arial"/>
                <w:sz w:val="18"/>
                <w:szCs w:val="18"/>
                <w:lang w:val="en-CA"/>
              </w:rPr>
              <w:t>Exercise price of warrants: $3.00</w:t>
            </w:r>
          </w:p>
        </w:tc>
        <w:tc>
          <w:tcPr>
            <w:tcW w:w="1350" w:type="dxa"/>
          </w:tcPr>
          <w:p w:rsidR="005807A7" w:rsidRPr="00B263E2" w:rsidP="00C61791">
            <w:pPr>
              <w:pStyle w:val="BodyText"/>
              <w:spacing w:before="0" w:line="280" w:lineRule="exact"/>
              <w:rPr>
                <w:rFonts w:ascii="Arial" w:hAnsi="Arial" w:cs="Arial"/>
                <w:sz w:val="18"/>
                <w:szCs w:val="18"/>
                <w:lang w:val="en-CA"/>
              </w:rPr>
            </w:pPr>
            <w:r w:rsidRPr="00B263E2">
              <w:rPr>
                <w:rFonts w:ascii="Arial" w:hAnsi="Arial" w:cs="Arial"/>
                <w:sz w:val="18"/>
                <w:szCs w:val="18"/>
                <w:lang w:val="en-CA"/>
              </w:rPr>
              <w:t>OSC Rule 72-503</w:t>
            </w:r>
          </w:p>
        </w:tc>
        <w:tc>
          <w:tcPr>
            <w:tcW w:w="1800" w:type="dxa"/>
          </w:tcPr>
          <w:p w:rsidR="006948EC" w:rsidP="00C61791">
            <w:pPr>
              <w:pStyle w:val="BodyText"/>
              <w:spacing w:before="0" w:line="280" w:lineRule="exact"/>
              <w:rPr>
                <w:rFonts w:ascii="Arial" w:hAnsi="Arial" w:cs="Arial"/>
                <w:sz w:val="18"/>
                <w:szCs w:val="18"/>
              </w:rPr>
            </w:pPr>
            <w:r>
              <w:rPr>
                <w:rFonts w:ascii="Arial" w:hAnsi="Arial" w:cs="Arial"/>
                <w:sz w:val="18"/>
                <w:szCs w:val="18"/>
              </w:rPr>
              <w:t>9</w:t>
            </w:r>
            <w:r w:rsidR="000A677F">
              <w:rPr>
                <w:rFonts w:ascii="Arial" w:hAnsi="Arial" w:cs="Arial"/>
                <w:sz w:val="18"/>
                <w:szCs w:val="18"/>
              </w:rPr>
              <w:t>,579,096</w:t>
            </w:r>
            <w:r w:rsidR="00C61752">
              <w:rPr>
                <w:rFonts w:ascii="Arial" w:hAnsi="Arial" w:cs="Arial"/>
                <w:sz w:val="18"/>
                <w:szCs w:val="18"/>
              </w:rPr>
              <w:t xml:space="preserve"> Common Shares</w:t>
            </w:r>
            <w:r w:rsidR="00C61752">
              <w:rPr>
                <w:rFonts w:ascii="Arial" w:hAnsi="Arial" w:cs="Arial"/>
                <w:sz w:val="18"/>
                <w:szCs w:val="18"/>
                <w:vertAlign w:val="superscript"/>
                <w:lang w:val="en-US"/>
              </w:rPr>
              <w:t>3</w:t>
            </w:r>
          </w:p>
          <w:p w:rsidR="00C61752" w:rsidP="00C61752">
            <w:pPr>
              <w:pStyle w:val="BodyText"/>
              <w:spacing w:line="280" w:lineRule="exact"/>
              <w:rPr>
                <w:rFonts w:ascii="Arial" w:hAnsi="Arial" w:cs="Arial"/>
                <w:sz w:val="18"/>
                <w:szCs w:val="18"/>
              </w:rPr>
            </w:pPr>
            <w:r>
              <w:rPr>
                <w:rFonts w:ascii="Arial" w:hAnsi="Arial" w:cs="Arial"/>
                <w:sz w:val="18"/>
                <w:szCs w:val="18"/>
              </w:rPr>
              <w:t>1,000,000 Options</w:t>
            </w:r>
          </w:p>
          <w:p w:rsidR="00E50D05" w:rsidP="00C61752">
            <w:pPr>
              <w:pStyle w:val="BodyText"/>
              <w:spacing w:line="280" w:lineRule="exact"/>
              <w:rPr>
                <w:rFonts w:ascii="Arial" w:hAnsi="Arial" w:cs="Arial"/>
                <w:sz w:val="18"/>
                <w:szCs w:val="18"/>
              </w:rPr>
            </w:pPr>
            <w:r>
              <w:rPr>
                <w:rFonts w:ascii="Arial" w:hAnsi="Arial" w:cs="Arial"/>
                <w:sz w:val="18"/>
                <w:szCs w:val="18"/>
              </w:rPr>
              <w:t>6,043,549</w:t>
            </w:r>
            <w:r>
              <w:rPr>
                <w:rFonts w:ascii="Arial" w:hAnsi="Arial" w:cs="Arial"/>
                <w:sz w:val="18"/>
                <w:szCs w:val="18"/>
              </w:rPr>
              <w:t xml:space="preserve"> Warrants to purchase Common Shares</w:t>
            </w:r>
            <w:r>
              <w:rPr>
                <w:rFonts w:ascii="Arial" w:hAnsi="Arial" w:cs="Arial"/>
                <w:sz w:val="18"/>
                <w:szCs w:val="18"/>
                <w:vertAlign w:val="superscript"/>
                <w:lang w:val="en-US"/>
              </w:rPr>
              <w:t>4</w:t>
            </w:r>
          </w:p>
          <w:p w:rsidR="005807A7" w:rsidP="00C61752">
            <w:pPr>
              <w:pStyle w:val="BodyText"/>
              <w:spacing w:line="280" w:lineRule="exact"/>
              <w:rPr>
                <w:rFonts w:ascii="Arial" w:hAnsi="Arial" w:cs="Arial"/>
                <w:sz w:val="18"/>
                <w:szCs w:val="18"/>
              </w:rPr>
            </w:pPr>
            <w:r>
              <w:rPr>
                <w:rFonts w:ascii="Arial" w:hAnsi="Arial" w:cs="Arial"/>
                <w:sz w:val="18"/>
                <w:szCs w:val="18"/>
              </w:rPr>
              <w:t>63,657</w:t>
            </w:r>
            <w:r w:rsidR="006948EC">
              <w:rPr>
                <w:rFonts w:ascii="Arial" w:hAnsi="Arial" w:cs="Arial"/>
                <w:sz w:val="18"/>
                <w:szCs w:val="18"/>
              </w:rPr>
              <w:t xml:space="preserve"> Proportionate Voting Shares</w:t>
            </w:r>
            <w:r w:rsidR="00E50D05">
              <w:rPr>
                <w:rFonts w:ascii="Arial" w:hAnsi="Arial" w:cs="Arial"/>
                <w:sz w:val="18"/>
                <w:szCs w:val="18"/>
                <w:vertAlign w:val="superscript"/>
                <w:lang w:val="en-US"/>
              </w:rPr>
              <w:t>5</w:t>
            </w:r>
          </w:p>
          <w:p w:rsidR="006948EC" w:rsidP="00C61791">
            <w:pPr>
              <w:pStyle w:val="BodyText"/>
              <w:spacing w:before="0" w:line="280" w:lineRule="exact"/>
              <w:rPr>
                <w:rFonts w:ascii="Arial" w:hAnsi="Arial" w:cs="Arial"/>
                <w:sz w:val="18"/>
                <w:szCs w:val="18"/>
              </w:rPr>
            </w:pPr>
          </w:p>
          <w:p w:rsidR="00C61752" w:rsidRPr="006948EC" w:rsidP="00C61791">
            <w:pPr>
              <w:pStyle w:val="BodyText"/>
              <w:spacing w:before="0" w:line="280" w:lineRule="exact"/>
              <w:rPr>
                <w:rFonts w:ascii="Arial" w:hAnsi="Arial" w:cs="Arial"/>
                <w:sz w:val="18"/>
                <w:szCs w:val="18"/>
              </w:rPr>
            </w:pPr>
            <w:r>
              <w:rPr>
                <w:rFonts w:ascii="Arial" w:hAnsi="Arial" w:cs="Arial"/>
                <w:sz w:val="18"/>
                <w:szCs w:val="18"/>
              </w:rPr>
              <w:t>8</w:t>
            </w:r>
            <w:r>
              <w:rPr>
                <w:rFonts w:ascii="Arial" w:hAnsi="Arial" w:cs="Arial"/>
                <w:sz w:val="18"/>
                <w:szCs w:val="18"/>
              </w:rPr>
              <w:t>,590,908 Warrants to purchase Proportionate Voting Shares</w:t>
            </w:r>
            <w:r w:rsidR="00E50D05">
              <w:rPr>
                <w:rFonts w:ascii="Arial" w:hAnsi="Arial" w:cs="Arial"/>
                <w:sz w:val="18"/>
                <w:szCs w:val="18"/>
                <w:vertAlign w:val="superscript"/>
                <w:lang w:val="en-US"/>
              </w:rPr>
              <w:t>6</w:t>
            </w:r>
          </w:p>
        </w:tc>
        <w:tc>
          <w:tcPr>
            <w:tcW w:w="990" w:type="dxa"/>
          </w:tcPr>
          <w:p w:rsidR="005807A7" w:rsidRPr="00B263E2" w:rsidP="00C61791">
            <w:pPr>
              <w:pStyle w:val="BodyText"/>
              <w:spacing w:before="0" w:line="280" w:lineRule="exact"/>
              <w:rPr>
                <w:rFonts w:ascii="Arial" w:hAnsi="Arial" w:cs="Arial"/>
                <w:sz w:val="18"/>
                <w:szCs w:val="18"/>
                <w:lang w:val="en-CA"/>
              </w:rPr>
            </w:pPr>
            <w:r>
              <w:rPr>
                <w:rFonts w:ascii="Arial" w:hAnsi="Arial" w:cs="Arial"/>
                <w:sz w:val="18"/>
                <w:szCs w:val="18"/>
                <w:lang w:val="en-CA"/>
              </w:rPr>
              <w:t>May 21</w:t>
            </w:r>
            <w:r>
              <w:rPr>
                <w:rFonts w:ascii="Arial" w:hAnsi="Arial" w:cs="Arial"/>
                <w:sz w:val="18"/>
                <w:szCs w:val="18"/>
                <w:lang w:val="en-CA"/>
              </w:rPr>
              <w:t>, 2020</w:t>
            </w:r>
          </w:p>
        </w:tc>
        <w:tc>
          <w:tcPr>
            <w:tcW w:w="1530" w:type="dxa"/>
          </w:tcPr>
          <w:p w:rsidR="005807A7" w:rsidRPr="00B263E2" w:rsidP="00192931">
            <w:pPr>
              <w:pStyle w:val="BodyText"/>
              <w:spacing w:before="0" w:line="280" w:lineRule="exact"/>
              <w:rPr>
                <w:rFonts w:ascii="Arial" w:hAnsi="Arial" w:cs="Arial"/>
                <w:sz w:val="18"/>
                <w:szCs w:val="18"/>
              </w:rPr>
            </w:pPr>
            <w:r>
              <w:rPr>
                <w:rFonts w:ascii="Arial" w:hAnsi="Arial" w:cs="Arial"/>
                <w:sz w:val="18"/>
                <w:szCs w:val="18"/>
              </w:rPr>
              <w:t>Chairman</w:t>
            </w:r>
          </w:p>
        </w:tc>
      </w:tr>
    </w:tbl>
    <w:p w:rsidR="00EA4133" w:rsidRPr="008003B9">
      <w:pPr>
        <w:pStyle w:val="BodyText"/>
        <w:rPr>
          <w:rFonts w:ascii="Arial" w:hAnsi="Arial" w:cs="Arial"/>
          <w:sz w:val="20"/>
        </w:rPr>
      </w:pPr>
    </w:p>
    <w:p w:rsidR="00EA4133">
      <w:pPr>
        <w:pStyle w:val="FootnoteText"/>
        <w:rPr>
          <w:rFonts w:ascii="Arial" w:hAnsi="Arial" w:cs="Arial"/>
          <w:sz w:val="24"/>
          <w:szCs w:val="24"/>
        </w:rPr>
      </w:pPr>
      <w:r w:rsidRPr="008003B9">
        <w:rPr>
          <w:rFonts w:ascii="Arial" w:hAnsi="Arial" w:cs="Arial"/>
          <w:vertAlign w:val="superscript"/>
        </w:rPr>
        <w:t>1</w:t>
      </w:r>
      <w:r w:rsidR="00E50D05">
        <w:rPr>
          <w:rFonts w:ascii="Arial" w:hAnsi="Arial" w:cs="Arial"/>
          <w:vertAlign w:val="superscript"/>
        </w:rPr>
        <w:t xml:space="preserve"> </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422621">
      <w:pPr>
        <w:pStyle w:val="FootnoteText"/>
        <w:rPr>
          <w:rFonts w:ascii="Arial" w:hAnsi="Arial" w:cs="Arial"/>
        </w:rPr>
      </w:pPr>
      <w:r>
        <w:rPr>
          <w:rFonts w:ascii="Arial" w:hAnsi="Arial" w:cs="Arial"/>
          <w:vertAlign w:val="superscript"/>
        </w:rPr>
        <w:t>2</w:t>
      </w:r>
      <w:r w:rsidR="00E50D05">
        <w:rPr>
          <w:rFonts w:ascii="Arial" w:hAnsi="Arial" w:cs="Arial"/>
          <w:vertAlign w:val="superscript"/>
        </w:rPr>
        <w:t xml:space="preserve"> </w:t>
      </w:r>
      <w:r>
        <w:rPr>
          <w:rFonts w:ascii="Arial" w:hAnsi="Arial" w:cs="Arial"/>
        </w:rPr>
        <w:t>3,000 Units purchased through JW Opportunities Master Fund, Ltd. and 7,000 Units purchased through JW Partners, LP.</w:t>
      </w:r>
    </w:p>
    <w:p w:rsidR="00C61752" w:rsidP="00C61752">
      <w:pPr>
        <w:pStyle w:val="FootnoteText"/>
        <w:rPr>
          <w:rFonts w:ascii="Arial" w:hAnsi="Arial" w:cs="Arial"/>
        </w:rPr>
      </w:pPr>
      <w:r>
        <w:rPr>
          <w:rFonts w:ascii="Arial" w:hAnsi="Arial" w:cs="Arial"/>
          <w:vertAlign w:val="superscript"/>
        </w:rPr>
        <w:t>3</w:t>
      </w:r>
      <w:r w:rsidR="00E50D05">
        <w:rPr>
          <w:rFonts w:ascii="Arial" w:hAnsi="Arial" w:cs="Arial"/>
          <w:vertAlign w:val="superscript"/>
        </w:rPr>
        <w:t xml:space="preserve"> </w:t>
      </w:r>
      <w:r>
        <w:rPr>
          <w:rFonts w:ascii="Arial" w:hAnsi="Arial" w:cs="Arial"/>
        </w:rPr>
        <w:t>300,000 Common Shares held directly, 2,223,351 Common Shares held through JW Opportunities Master Fund, Ltd., 970,790 Common Shares held through JW Growth Fund, LLC and 875,359 Common Shares held through JW Partners, LP, 5,043,549 Common Shares held through Pharmaceutical Opportunities Fund, LP.,130,890</w:t>
      </w:r>
      <w:r w:rsidR="00E50D05">
        <w:rPr>
          <w:rFonts w:ascii="Arial" w:hAnsi="Arial" w:cs="Arial"/>
        </w:rPr>
        <w:t xml:space="preserve"> Common Shares</w:t>
      </w:r>
      <w:r>
        <w:rPr>
          <w:rFonts w:ascii="Arial" w:hAnsi="Arial" w:cs="Arial"/>
        </w:rPr>
        <w:t xml:space="preserve"> held through Insight Wellness, and 35,157 </w:t>
      </w:r>
      <w:r w:rsidR="00E50D05">
        <w:rPr>
          <w:rFonts w:ascii="Arial" w:hAnsi="Arial" w:cs="Arial"/>
        </w:rPr>
        <w:t xml:space="preserve">Common Shares </w:t>
      </w:r>
      <w:r>
        <w:rPr>
          <w:rFonts w:ascii="Arial" w:hAnsi="Arial" w:cs="Arial"/>
        </w:rPr>
        <w:t>held through Howard Wild 2012 Grandchildren's Trust.</w:t>
      </w:r>
    </w:p>
    <w:p w:rsidR="00E50D05" w:rsidRPr="00422621" w:rsidP="00E50D05">
      <w:pPr>
        <w:pStyle w:val="FootnoteText"/>
        <w:rPr>
          <w:rFonts w:ascii="Arial" w:hAnsi="Arial" w:cs="Arial"/>
        </w:rPr>
      </w:pPr>
      <w:r>
        <w:rPr>
          <w:rFonts w:ascii="Arial" w:hAnsi="Arial" w:cs="Arial"/>
          <w:vertAlign w:val="superscript"/>
        </w:rPr>
        <w:t xml:space="preserve">4 </w:t>
      </w:r>
      <w:r w:rsidR="00DF6D5B">
        <w:rPr>
          <w:rFonts w:ascii="Arial" w:hAnsi="Arial" w:cs="Arial"/>
        </w:rPr>
        <w:t>260,000</w:t>
      </w:r>
      <w:r>
        <w:rPr>
          <w:rFonts w:ascii="Arial" w:hAnsi="Arial" w:cs="Arial"/>
        </w:rPr>
        <w:t xml:space="preserve"> Warrants to purchase Common Shares held through JW Opportunities Master Fund, Ltd., </w:t>
      </w:r>
      <w:r w:rsidR="00DF6D5B">
        <w:rPr>
          <w:rFonts w:ascii="Arial" w:hAnsi="Arial" w:cs="Arial"/>
        </w:rPr>
        <w:t>620,000</w:t>
      </w:r>
      <w:r>
        <w:rPr>
          <w:rFonts w:ascii="Arial" w:hAnsi="Arial" w:cs="Arial"/>
        </w:rPr>
        <w:t xml:space="preserve"> Warrants to purchase Common Shares </w:t>
      </w:r>
      <w:r w:rsidR="00DF6D5B">
        <w:rPr>
          <w:rFonts w:ascii="Arial" w:hAnsi="Arial" w:cs="Arial"/>
        </w:rPr>
        <w:t>held through JW Partners, LP, 5,043,549</w:t>
      </w:r>
      <w:r>
        <w:rPr>
          <w:rFonts w:ascii="Arial" w:hAnsi="Arial" w:cs="Arial"/>
        </w:rPr>
        <w:t xml:space="preserve"> Warrants to purchase Common Shares held through Pharmace</w:t>
      </w:r>
      <w:r w:rsidR="00DF6D5B">
        <w:rPr>
          <w:rFonts w:ascii="Arial" w:hAnsi="Arial" w:cs="Arial"/>
        </w:rPr>
        <w:t>utical Opportunities Fund, LP and 120,000 Warrants to purchase Common Shares held through JW Growth Fund, LLC.</w:t>
      </w:r>
    </w:p>
    <w:p w:rsidR="006948EC" w:rsidP="006948EC">
      <w:pPr>
        <w:pStyle w:val="FootnoteText"/>
        <w:rPr>
          <w:rFonts w:ascii="Arial" w:hAnsi="Arial" w:cs="Arial"/>
        </w:rPr>
      </w:pPr>
      <w:r>
        <w:rPr>
          <w:rFonts w:ascii="Arial" w:hAnsi="Arial" w:cs="Arial"/>
          <w:vertAlign w:val="superscript"/>
        </w:rPr>
        <w:t xml:space="preserve">5 </w:t>
      </w:r>
      <w:r w:rsidR="00E21DCE">
        <w:rPr>
          <w:rFonts w:ascii="Arial" w:hAnsi="Arial" w:cs="Arial"/>
        </w:rPr>
        <w:t>15,433</w:t>
      </w:r>
      <w:r>
        <w:rPr>
          <w:rFonts w:ascii="Arial" w:hAnsi="Arial" w:cs="Arial"/>
        </w:rPr>
        <w:t xml:space="preserve"> Proportionate Voting Shares held through JW Opportu</w:t>
      </w:r>
      <w:r w:rsidR="00E21DCE">
        <w:rPr>
          <w:rFonts w:ascii="Arial" w:hAnsi="Arial" w:cs="Arial"/>
        </w:rPr>
        <w:t>nities Master Fund, Ltd., 45,331</w:t>
      </w:r>
      <w:r>
        <w:rPr>
          <w:rFonts w:ascii="Arial" w:hAnsi="Arial" w:cs="Arial"/>
        </w:rPr>
        <w:t xml:space="preserve"> Proportionate Voting Shares held t</w:t>
      </w:r>
      <w:r w:rsidR="00E21DCE">
        <w:rPr>
          <w:rFonts w:ascii="Arial" w:hAnsi="Arial" w:cs="Arial"/>
        </w:rPr>
        <w:t>hrough JW Partners, LP and 2,893</w:t>
      </w:r>
      <w:r>
        <w:rPr>
          <w:rFonts w:ascii="Arial" w:hAnsi="Arial" w:cs="Arial"/>
        </w:rPr>
        <w:t xml:space="preserve"> Proportionate Voting Shares held through Pharmaceutical Opportunities Fund, LP.</w:t>
      </w:r>
    </w:p>
    <w:p w:rsidR="00DF6D5B" w:rsidRPr="00422621" w:rsidP="00DF6D5B">
      <w:pPr>
        <w:pStyle w:val="FootnoteText"/>
        <w:rPr>
          <w:rFonts w:ascii="Arial" w:hAnsi="Arial" w:cs="Arial"/>
        </w:rPr>
      </w:pPr>
      <w:r>
        <w:rPr>
          <w:rFonts w:ascii="Arial" w:hAnsi="Arial" w:cs="Arial"/>
          <w:vertAlign w:val="superscript"/>
        </w:rPr>
        <w:t xml:space="preserve">6 </w:t>
      </w:r>
      <w:r>
        <w:rPr>
          <w:rFonts w:ascii="Arial" w:hAnsi="Arial" w:cs="Arial"/>
        </w:rPr>
        <w:t>2,048,295 Warrants to purchase Proportionate Voting Shares held through JW Opportunities Master Fund, Ltd., 6,144,886 Warrants to purchase Proportionate Voting Shares held through JW Partners and LP, 397,727 Warrants to purchase Proportionate Voting Shares held through Pharmaceutical Opportunities Fund, LP.</w:t>
      </w:r>
    </w:p>
    <w:p w:rsidR="00EA4133">
      <w:pPr>
        <w:pStyle w:val="List"/>
        <w:tabs>
          <w:tab w:val="left" w:pos="9162"/>
        </w:tabs>
        <w:rPr>
          <w:rFonts w:ascii="Arial" w:hAnsi="Arial"/>
        </w:rPr>
      </w:pPr>
      <w:r>
        <w:rPr>
          <w:rFonts w:ascii="Arial" w:hAnsi="Arial"/>
        </w:rPr>
        <w:t>1.</w:t>
      </w:r>
      <w:r>
        <w:rPr>
          <w:rFonts w:ascii="Arial" w:hAnsi="Arial"/>
        </w:rPr>
        <w:tab/>
        <w:t>Total amount of funds to be raised:</w:t>
      </w:r>
      <w:r w:rsidRPr="000643CA" w:rsidR="000643CA">
        <w:t xml:space="preserve"> </w:t>
      </w:r>
      <w:r w:rsidR="00073809">
        <w:rPr>
          <w:rFonts w:ascii="Arial" w:hAnsi="Arial"/>
          <w:u w:val="single"/>
        </w:rPr>
        <w:t>US</w:t>
      </w:r>
      <w:r w:rsidR="000225B6">
        <w:rPr>
          <w:rFonts w:ascii="Arial" w:hAnsi="Arial"/>
          <w:u w:val="single"/>
        </w:rPr>
        <w:t>$</w:t>
      </w:r>
      <w:r w:rsidR="009A6499">
        <w:rPr>
          <w:rFonts w:ascii="Arial" w:hAnsi="Arial"/>
          <w:u w:val="single"/>
          <w:lang w:val="en-CA"/>
        </w:rPr>
        <w:t>37,358,000</w:t>
      </w:r>
      <w:r>
        <w:rPr>
          <w:rFonts w:ascii="Arial" w:hAnsi="Arial"/>
          <w:u w:val="single"/>
        </w:rPr>
        <w:tab/>
      </w:r>
      <w:r>
        <w:rPr>
          <w:rFonts w:ascii="Arial" w:hAnsi="Arial"/>
        </w:rPr>
        <w:t xml:space="preserve"> .</w:t>
      </w:r>
    </w:p>
    <w:p w:rsidR="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85887">
        <w:rPr>
          <w:rFonts w:ascii="Arial" w:hAnsi="Arial"/>
          <w:u w:val="single"/>
        </w:rPr>
        <w:t xml:space="preserve">The proceeds from the </w:t>
      </w:r>
      <w:r w:rsidR="00BF7886">
        <w:rPr>
          <w:rFonts w:ascii="Arial" w:hAnsi="Arial"/>
          <w:u w:val="single"/>
        </w:rPr>
        <w:t>private placement</w:t>
      </w:r>
      <w:r w:rsidR="00885887">
        <w:rPr>
          <w:rFonts w:ascii="Arial" w:hAnsi="Arial"/>
          <w:u w:val="single"/>
        </w:rPr>
        <w:t xml:space="preserve"> are expected to be used </w:t>
      </w:r>
      <w:r w:rsidRPr="00AE3D42" w:rsidR="00AE3D42">
        <w:rPr>
          <w:rFonts w:ascii="Arial" w:hAnsi="Arial"/>
          <w:u w:val="single"/>
        </w:rPr>
        <w:t>for working capital and general corporate purposes.</w:t>
      </w:r>
      <w:r w:rsidR="00AE3D42">
        <w:rPr>
          <w:rFonts w:ascii="Arial" w:hAnsi="Arial"/>
          <w:u w:val="single"/>
        </w:rPr>
        <w:t xml:space="preserve"> </w:t>
      </w:r>
      <w:r>
        <w:rPr>
          <w:rFonts w:ascii="Arial" w:hAnsi="Arial"/>
          <w:u w:val="single"/>
        </w:rPr>
        <w:tab/>
      </w:r>
      <w:r>
        <w:rPr>
          <w:rFonts w:ascii="Arial" w:hAnsi="Arial"/>
        </w:rPr>
        <w:t xml:space="preserve"> .</w:t>
      </w:r>
    </w:p>
    <w:p w:rsidR="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885887" w:rsidR="00885887">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pPr>
        <w:pStyle w:val="BodyText"/>
        <w:numPr>
          <w:ilvl w:val="0"/>
          <w:numId w:val="10"/>
        </w:numPr>
        <w:tabs>
          <w:tab w:val="left" w:pos="9180"/>
        </w:tabs>
        <w:rPr>
          <w:rFonts w:ascii="Arial" w:hAnsi="Arial"/>
        </w:rPr>
      </w:pPr>
      <w:r>
        <w:rPr>
          <w:rFonts w:ascii="Arial" w:hAnsi="Arial"/>
        </w:rPr>
        <w:t>Description of securities to be issued:</w:t>
      </w:r>
    </w:p>
    <w:p w:rsidR="00EA4133" w:rsidP="00BF7886">
      <w:pPr>
        <w:pStyle w:val="BodyText"/>
        <w:keepNext/>
        <w:keepLines/>
        <w:tabs>
          <w:tab w:val="left" w:pos="1080"/>
          <w:tab w:val="left" w:pos="1440"/>
          <w:tab w:val="left" w:pos="2160"/>
          <w:tab w:val="left" w:pos="9180"/>
        </w:tabs>
        <w:ind w:left="720" w:hanging="720"/>
        <w:rPr>
          <w:rFonts w:ascii="Arial" w:hAnsi="Arial"/>
        </w:rPr>
      </w:pPr>
      <w:r>
        <w:rPr>
          <w:rFonts w:ascii="Arial" w:hAnsi="Arial"/>
        </w:rPr>
        <w:tab/>
      </w:r>
      <w:r w:rsidR="00130F2F">
        <w:rPr>
          <w:rFonts w:ascii="Arial" w:hAnsi="Arial"/>
        </w:rPr>
        <w:tab/>
      </w:r>
      <w:r>
        <w:rPr>
          <w:rFonts w:ascii="Arial" w:hAnsi="Arial"/>
        </w:rPr>
        <w:t>(a)</w:t>
      </w:r>
      <w:r>
        <w:rPr>
          <w:rFonts w:ascii="Arial" w:hAnsi="Arial"/>
        </w:rPr>
        <w:tab/>
      </w:r>
      <w:r>
        <w:rPr>
          <w:rFonts w:ascii="Arial" w:hAnsi="Arial"/>
        </w:rPr>
        <w:tab/>
        <w:t>Class</w:t>
      </w:r>
      <w:r w:rsidR="004F0924">
        <w:rPr>
          <w:rFonts w:ascii="Arial" w:hAnsi="Arial"/>
        </w:rPr>
        <w:t>:</w:t>
      </w:r>
      <w:r>
        <w:rPr>
          <w:rFonts w:ascii="Arial" w:hAnsi="Arial"/>
        </w:rPr>
        <w:t xml:space="preserve"> </w:t>
      </w:r>
      <w:r w:rsidR="00423BFA">
        <w:rPr>
          <w:rFonts w:ascii="Arial" w:hAnsi="Arial"/>
          <w:u w:val="single"/>
        </w:rPr>
        <w:t>Units. Each Unit</w:t>
      </w:r>
      <w:r w:rsidR="00B61428">
        <w:rPr>
          <w:rFonts w:ascii="Arial" w:hAnsi="Arial"/>
          <w:u w:val="single"/>
        </w:rPr>
        <w:t xml:space="preserve"> consisting of one </w:t>
      </w:r>
      <w:r w:rsidR="000225B6">
        <w:rPr>
          <w:rFonts w:ascii="Arial" w:hAnsi="Arial"/>
          <w:u w:val="single"/>
        </w:rPr>
        <w:t>convertible preferred share</w:t>
      </w:r>
      <w:r w:rsidR="00BF7886">
        <w:rPr>
          <w:rFonts w:ascii="Arial" w:hAnsi="Arial"/>
          <w:u w:val="single"/>
        </w:rPr>
        <w:t xml:space="preserve"> and </w:t>
      </w:r>
      <w:r w:rsidR="00B61428">
        <w:rPr>
          <w:rFonts w:ascii="Arial" w:hAnsi="Arial"/>
          <w:u w:val="single"/>
        </w:rPr>
        <w:t xml:space="preserve">one </w:t>
      </w:r>
      <w:r w:rsidR="000225B6">
        <w:rPr>
          <w:rFonts w:ascii="Arial" w:hAnsi="Arial"/>
          <w:u w:val="single"/>
        </w:rPr>
        <w:t>w</w:t>
      </w:r>
      <w:r w:rsidR="00423BFA">
        <w:rPr>
          <w:rFonts w:ascii="Arial" w:hAnsi="Arial"/>
          <w:u w:val="single"/>
        </w:rPr>
        <w:t xml:space="preserve">arrant to purchase one </w:t>
      </w:r>
      <w:r w:rsidR="000225B6">
        <w:rPr>
          <w:rFonts w:ascii="Arial" w:hAnsi="Arial"/>
          <w:u w:val="single"/>
        </w:rPr>
        <w:t>convertible preferred share</w:t>
      </w:r>
      <w:r>
        <w:rPr>
          <w:rFonts w:ascii="Arial" w:hAnsi="Arial"/>
        </w:rPr>
        <w:t>.</w:t>
      </w:r>
    </w:p>
    <w:p w:rsidR="00EA4133" w:rsidP="00885887">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Number</w:t>
      </w:r>
      <w:r w:rsidR="004F0924">
        <w:rPr>
          <w:rFonts w:ascii="Arial" w:hAnsi="Arial"/>
        </w:rPr>
        <w:t xml:space="preserve">: </w:t>
      </w:r>
      <w:r w:rsidR="00C945C1">
        <w:rPr>
          <w:rFonts w:ascii="Arial" w:hAnsi="Arial"/>
          <w:u w:val="single"/>
          <w:lang w:val="en-CA"/>
        </w:rPr>
        <w:t>18,679</w:t>
      </w:r>
      <w:r w:rsidR="00013E8B">
        <w:rPr>
          <w:rFonts w:ascii="Arial" w:hAnsi="Arial"/>
          <w:u w:val="single"/>
          <w:lang w:val="en-CA"/>
        </w:rPr>
        <w:t xml:space="preserve"> </w:t>
      </w:r>
      <w:r w:rsidR="00B61428">
        <w:rPr>
          <w:rFonts w:ascii="Arial" w:hAnsi="Arial"/>
          <w:u w:val="single"/>
        </w:rPr>
        <w:t>Units</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130F2F">
        <w:rPr>
          <w:rFonts w:ascii="Arial" w:hAnsi="Arial"/>
          <w:u w:val="single"/>
        </w:rPr>
        <w:t xml:space="preserve">US$2,000 per </w:t>
      </w:r>
      <w:r w:rsidR="00B61428">
        <w:rPr>
          <w:rFonts w:ascii="Arial" w:hAnsi="Arial"/>
          <w:u w:val="single"/>
        </w:rPr>
        <w:t>Unit</w:t>
      </w:r>
      <w:r w:rsidR="006B298A">
        <w:rPr>
          <w:rFonts w:ascii="Arial" w:hAnsi="Arial"/>
          <w:u w:val="single"/>
        </w:rPr>
        <w:t>.</w:t>
      </w:r>
      <w:r w:rsidR="00130F2F">
        <w:rPr>
          <w:rFonts w:ascii="Arial" w:hAnsi="Arial"/>
          <w:u w:val="single"/>
        </w:rPr>
        <w:tab/>
      </w:r>
      <w:r w:rsidR="006B298A">
        <w:rPr>
          <w:rFonts w:ascii="Arial" w:hAnsi="Arial"/>
          <w:u w:val="single"/>
        </w:rPr>
        <w:t xml:space="preserve"> </w:t>
      </w:r>
    </w:p>
    <w:p w:rsidR="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130F2F">
        <w:rPr>
          <w:rFonts w:ascii="Arial" w:hAnsi="Arial"/>
          <w:u w:val="single"/>
        </w:rPr>
        <w:t>N/A</w:t>
      </w:r>
      <w:r>
        <w:rPr>
          <w:rFonts w:ascii="Arial" w:hAnsi="Arial"/>
          <w:u w:val="single"/>
        </w:rPr>
        <w:tab/>
      </w:r>
    </w:p>
    <w:p w:rsidR="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P="00885887">
      <w:pPr>
        <w:pStyle w:val="List"/>
        <w:tabs>
          <w:tab w:val="left" w:pos="1440"/>
          <w:tab w:val="left" w:pos="2160"/>
          <w:tab w:val="left" w:pos="9180"/>
        </w:tabs>
        <w:ind w:left="2250" w:hanging="1170"/>
        <w:rPr>
          <w:rFonts w:ascii="Arial" w:hAnsi="Arial"/>
        </w:rPr>
      </w:pPr>
      <w:r>
        <w:rPr>
          <w:rFonts w:ascii="Arial" w:hAnsi="Arial"/>
        </w:rPr>
        <w:t>(a)</w:t>
      </w:r>
      <w:r>
        <w:rPr>
          <w:rFonts w:ascii="Arial" w:hAnsi="Arial"/>
        </w:rPr>
        <w:tab/>
      </w:r>
      <w:r>
        <w:rPr>
          <w:rFonts w:ascii="Arial" w:hAnsi="Arial"/>
        </w:rPr>
        <w:tab/>
        <w:t>Number</w:t>
      </w:r>
      <w:r w:rsidRPr="00073809" w:rsidR="004F0924">
        <w:rPr>
          <w:rFonts w:ascii="Arial" w:hAnsi="Arial"/>
          <w:u w:val="single"/>
          <w:lang w:val="en-US"/>
        </w:rPr>
        <w:t xml:space="preserve">: </w:t>
      </w:r>
      <w:r w:rsidR="00C945C1">
        <w:rPr>
          <w:rFonts w:ascii="Arial" w:hAnsi="Arial"/>
          <w:u w:val="single"/>
          <w:lang w:val="en-US"/>
        </w:rPr>
        <w:t>18,679</w:t>
      </w:r>
      <w:r w:rsidRPr="00073809" w:rsidR="004F0924">
        <w:rPr>
          <w:rFonts w:ascii="Arial" w:hAnsi="Arial"/>
          <w:u w:val="single"/>
          <w:lang w:val="en-US"/>
        </w:rPr>
        <w:t xml:space="preserve"> convertible preferred shares and </w:t>
      </w:r>
      <w:r w:rsidR="00C945C1">
        <w:rPr>
          <w:rFonts w:ascii="Arial" w:hAnsi="Arial"/>
          <w:u w:val="single"/>
          <w:lang w:val="en-US"/>
        </w:rPr>
        <w:t>18,679</w:t>
      </w:r>
      <w:r w:rsidRPr="00073809" w:rsidR="004F0924">
        <w:rPr>
          <w:rFonts w:ascii="Arial" w:hAnsi="Arial"/>
          <w:u w:val="single"/>
          <w:lang w:val="en-US"/>
        </w:rPr>
        <w:t xml:space="preserve"> convertible preferred share purchase warrants</w:t>
      </w:r>
      <w:r w:rsidRPr="004F0924">
        <w:rPr>
          <w:rFonts w:ascii="Arial" w:hAnsi="Arial"/>
        </w:rPr>
        <w:t>.</w:t>
      </w:r>
    </w:p>
    <w:p w:rsidR="00EA4133" w:rsidRPr="00073809" w:rsidP="006B298A">
      <w:pPr>
        <w:pStyle w:val="List"/>
        <w:numPr>
          <w:ilvl w:val="0"/>
          <w:numId w:val="11"/>
        </w:numPr>
        <w:tabs>
          <w:tab w:val="left" w:pos="1080"/>
          <w:tab w:val="left" w:pos="1440"/>
          <w:tab w:val="left" w:pos="9180"/>
        </w:tabs>
        <w:rPr>
          <w:rFonts w:ascii="Arial" w:hAnsi="Arial"/>
          <w:u w:val="single"/>
        </w:rPr>
      </w:pPr>
      <w:r w:rsidRPr="00885887">
        <w:rPr>
          <w:rFonts w:ascii="Arial" w:hAnsi="Arial"/>
        </w:rPr>
        <w:tab/>
        <w:t xml:space="preserve">Number of securities eligible to be purchased on exercise of </w:t>
      </w:r>
      <w:r w:rsidRPr="00885887" w:rsidR="00C536D3">
        <w:rPr>
          <w:rFonts w:ascii="Arial" w:hAnsi="Arial"/>
        </w:rPr>
        <w:t>w</w:t>
      </w:r>
      <w:r w:rsidRPr="00885887">
        <w:rPr>
          <w:rFonts w:ascii="Arial" w:hAnsi="Arial"/>
        </w:rPr>
        <w:t xml:space="preserve">arrants </w:t>
      </w:r>
      <w:r w:rsidR="00130F2F">
        <w:rPr>
          <w:rFonts w:ascii="Arial" w:hAnsi="Arial"/>
        </w:rPr>
        <w:t xml:space="preserve">or conversion </w:t>
      </w:r>
      <w:r w:rsidR="00C06480">
        <w:rPr>
          <w:rFonts w:ascii="Arial" w:hAnsi="Arial"/>
        </w:rPr>
        <w:t xml:space="preserve">(or options) </w:t>
      </w:r>
      <w:r w:rsidR="004F0924">
        <w:rPr>
          <w:rFonts w:ascii="Arial" w:hAnsi="Arial"/>
          <w:u w:val="single"/>
        </w:rPr>
        <w:t xml:space="preserve">Up to </w:t>
      </w:r>
      <w:r w:rsidR="009A6499">
        <w:rPr>
          <w:rFonts w:ascii="Arial" w:hAnsi="Arial"/>
          <w:u w:val="single"/>
        </w:rPr>
        <w:t>37,358,000</w:t>
      </w:r>
      <w:r w:rsidR="004F0924">
        <w:rPr>
          <w:rFonts w:ascii="Arial" w:hAnsi="Arial"/>
          <w:u w:val="single"/>
        </w:rPr>
        <w:t xml:space="preserve"> common </w:t>
      </w:r>
      <w:r w:rsidRPr="00073809" w:rsidR="004F0924">
        <w:rPr>
          <w:rFonts w:ascii="Arial" w:hAnsi="Arial"/>
          <w:u w:val="single"/>
        </w:rPr>
        <w:t>shares upon conversion of all convertible preferred shares, including the convertible preferred shares underlying the warrants</w:t>
      </w:r>
      <w:r w:rsidRPr="00073809">
        <w:rPr>
          <w:rFonts w:ascii="Arial" w:hAnsi="Arial"/>
          <w:u w:val="single"/>
        </w:rPr>
        <w:t>.</w:t>
      </w:r>
    </w:p>
    <w:p w:rsidR="00EA4133" w:rsidRPr="00073809">
      <w:pPr>
        <w:pStyle w:val="List"/>
        <w:tabs>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Exercise price</w:t>
      </w:r>
      <w:r w:rsidR="004F0924">
        <w:rPr>
          <w:rFonts w:ascii="Arial" w:hAnsi="Arial"/>
        </w:rPr>
        <w:t xml:space="preserve">: </w:t>
      </w:r>
      <w:r w:rsidRPr="00073809" w:rsidR="004F0924">
        <w:rPr>
          <w:rFonts w:ascii="Arial" w:hAnsi="Arial"/>
          <w:u w:val="single"/>
        </w:rPr>
        <w:t>Convertible preferred shares have an effective conversion pri</w:t>
      </w:r>
      <w:r w:rsidR="00367E59">
        <w:rPr>
          <w:rFonts w:ascii="Arial" w:hAnsi="Arial"/>
          <w:u w:val="single"/>
        </w:rPr>
        <w:t>ce of US$2.00 per common share.</w:t>
      </w:r>
      <w:r w:rsidRPr="00073809" w:rsidR="004F0924">
        <w:rPr>
          <w:rFonts w:ascii="Arial" w:hAnsi="Arial"/>
          <w:u w:val="single"/>
        </w:rPr>
        <w:t xml:space="preserve"> Warrants have an effective </w:t>
      </w:r>
      <w:r w:rsidR="00DE3A31">
        <w:rPr>
          <w:rFonts w:ascii="Arial" w:hAnsi="Arial"/>
          <w:u w:val="single"/>
        </w:rPr>
        <w:t>exercise</w:t>
      </w:r>
      <w:r w:rsidRPr="00073809" w:rsidR="004F0924">
        <w:rPr>
          <w:rFonts w:ascii="Arial" w:hAnsi="Arial"/>
          <w:u w:val="single"/>
        </w:rPr>
        <w:t xml:space="preserve"> price of US$3.00 per common share</w:t>
      </w:r>
      <w:r w:rsidRPr="00073809">
        <w:rPr>
          <w:rFonts w:ascii="Arial" w:hAnsi="Arial"/>
          <w:u w:val="single"/>
        </w:rPr>
        <w:tab/>
        <w:t xml:space="preserve"> .</w:t>
      </w:r>
    </w:p>
    <w:p w:rsidR="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130F2F">
        <w:rPr>
          <w:rFonts w:ascii="Arial" w:hAnsi="Arial"/>
          <w:u w:val="single"/>
        </w:rPr>
        <w:t>May</w:t>
      </w:r>
      <w:r w:rsidR="00367E59">
        <w:rPr>
          <w:rFonts w:ascii="Arial" w:hAnsi="Arial"/>
          <w:u w:val="single"/>
        </w:rPr>
        <w:t xml:space="preserve"> 22</w:t>
      </w:r>
      <w:r w:rsidR="00130F2F">
        <w:rPr>
          <w:rFonts w:ascii="Arial" w:hAnsi="Arial"/>
          <w:u w:val="single"/>
        </w:rPr>
        <w:t>, 2023</w:t>
      </w:r>
      <w:r w:rsidR="00C945C1">
        <w:rPr>
          <w:rFonts w:ascii="Arial" w:hAnsi="Arial"/>
          <w:u w:val="single"/>
        </w:rPr>
        <w:t xml:space="preserve">, </w:t>
      </w:r>
      <w:r w:rsidR="001073AC">
        <w:rPr>
          <w:rFonts w:ascii="Arial" w:hAnsi="Arial"/>
          <w:u w:val="single"/>
        </w:rPr>
        <w:t>May 28, 2023</w:t>
      </w:r>
      <w:r w:rsidR="009A6499">
        <w:rPr>
          <w:rFonts w:ascii="Arial" w:hAnsi="Arial"/>
          <w:u w:val="single"/>
        </w:rPr>
        <w:t xml:space="preserve">, </w:t>
      </w:r>
      <w:r w:rsidR="00C945C1">
        <w:rPr>
          <w:rFonts w:ascii="Arial" w:hAnsi="Arial"/>
          <w:u w:val="single"/>
        </w:rPr>
        <w:t>June 5, 2023</w:t>
      </w:r>
      <w:r w:rsidR="009A6499">
        <w:rPr>
          <w:rFonts w:ascii="Arial" w:hAnsi="Arial"/>
          <w:u w:val="single"/>
        </w:rPr>
        <w:t xml:space="preserve"> or June 8, 2023</w:t>
      </w:r>
      <w:r>
        <w:rPr>
          <w:rFonts w:ascii="Arial" w:hAnsi="Arial"/>
          <w:u w:val="single"/>
        </w:rPr>
        <w:tab/>
      </w:r>
      <w:r>
        <w:rPr>
          <w:rFonts w:ascii="Arial" w:hAnsi="Arial"/>
        </w:rPr>
        <w:t xml:space="preserve"> .</w:t>
      </w:r>
    </w:p>
    <w:p w:rsidR="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6774E9" w:rsidP="006774E9">
      <w:pPr>
        <w:pStyle w:val="List"/>
        <w:tabs>
          <w:tab w:val="left" w:pos="2160"/>
          <w:tab w:val="left" w:pos="9180"/>
        </w:tabs>
        <w:spacing w:after="240"/>
        <w:ind w:left="2160"/>
        <w:jc w:val="both"/>
        <w:rPr>
          <w:rFonts w:ascii="Arial" w:hAnsi="Arial"/>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Pr="00367E59" w:rsidR="00130F2F">
        <w:rPr>
          <w:rFonts w:ascii="Arial" w:hAnsi="Arial"/>
          <w:u w:val="single"/>
        </w:rPr>
        <w:t>N/A</w:t>
      </w:r>
    </w:p>
    <w:p w:rsidR="00EA4133" w:rsidP="006774E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130F2F">
        <w:rPr>
          <w:rFonts w:ascii="Arial" w:hAnsi="Arial"/>
          <w:u w:val="single"/>
        </w:rPr>
        <w:t>N/A</w:t>
      </w:r>
      <w:r w:rsidR="00130F2F">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Pr="00885887" w:rsidR="00885887">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Pr="00885887" w:rsidR="00885887">
        <w:rPr>
          <w:rFonts w:ascii="Arial" w:hAnsi="Arial"/>
          <w:u w:val="single"/>
        </w:rPr>
        <w:t>N/A</w:t>
      </w:r>
      <w:r>
        <w:rPr>
          <w:rFonts w:ascii="Arial" w:hAnsi="Arial"/>
          <w:u w:val="single"/>
        </w:rPr>
        <w:tab/>
      </w:r>
    </w:p>
    <w:p w:rsidR="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pPr>
        <w:pStyle w:val="List"/>
        <w:tabs>
          <w:tab w:val="left" w:pos="1080"/>
          <w:tab w:val="left" w:pos="9180"/>
        </w:tabs>
        <w:ind w:left="0" w:firstLine="0"/>
        <w:jc w:val="both"/>
        <w:rPr>
          <w:rFonts w:ascii="Arial" w:hAnsi="Arial"/>
        </w:rPr>
      </w:pPr>
    </w:p>
    <w:p w:rsidR="00EA4133">
      <w:pPr>
        <w:pStyle w:val="List"/>
        <w:numPr>
          <w:ilvl w:val="0"/>
          <w:numId w:val="10"/>
        </w:numPr>
        <w:rPr>
          <w:rFonts w:ascii="Arial" w:hAnsi="Arial"/>
        </w:rPr>
      </w:pPr>
      <w:r>
        <w:rPr>
          <w:rFonts w:ascii="Arial" w:hAnsi="Arial"/>
        </w:rPr>
        <w:t>Describe any unusual particulars of the transaction (i.e. tax “flow through” shares, etc.).</w:t>
      </w:r>
    </w:p>
    <w:p w:rsidR="00EA4133">
      <w:pPr>
        <w:pStyle w:val="List"/>
        <w:tabs>
          <w:tab w:val="left" w:pos="1080"/>
          <w:tab w:val="left" w:pos="9180"/>
        </w:tabs>
        <w:ind w:left="0" w:firstLine="0"/>
        <w:jc w:val="both"/>
        <w:rPr>
          <w:rFonts w:ascii="Arial" w:hAnsi="Arial"/>
        </w:rPr>
      </w:pPr>
      <w:r>
        <w:rPr>
          <w:rFonts w:ascii="Arial" w:hAnsi="Arial"/>
        </w:rPr>
        <w:tab/>
      </w:r>
      <w:r w:rsidRPr="00885887" w:rsidR="00885887">
        <w:rPr>
          <w:rFonts w:ascii="Arial" w:hAnsi="Arial"/>
          <w:u w:val="single"/>
        </w:rPr>
        <w:t>N/A</w:t>
      </w:r>
      <w:r>
        <w:rPr>
          <w:rFonts w:ascii="Arial" w:hAnsi="Arial"/>
          <w:u w:val="single"/>
        </w:rPr>
        <w:tab/>
      </w:r>
      <w:r>
        <w:rPr>
          <w:rFonts w:ascii="Arial" w:hAnsi="Arial"/>
        </w:rPr>
        <w:t xml:space="preserve"> .</w:t>
      </w:r>
    </w:p>
    <w:p w:rsidR="00EA4133">
      <w:pPr>
        <w:pStyle w:val="List"/>
        <w:numPr>
          <w:ilvl w:val="0"/>
          <w:numId w:val="10"/>
        </w:numPr>
        <w:rPr>
          <w:rFonts w:ascii="Arial" w:hAnsi="Arial"/>
        </w:rPr>
      </w:pPr>
      <w:r>
        <w:rPr>
          <w:rFonts w:ascii="Arial" w:hAnsi="Arial"/>
        </w:rPr>
        <w:t>State whether the private placement will result in a change of control.</w:t>
      </w:r>
    </w:p>
    <w:p w:rsidR="00EA4133">
      <w:pPr>
        <w:pStyle w:val="List"/>
        <w:tabs>
          <w:tab w:val="left" w:pos="1080"/>
          <w:tab w:val="left" w:pos="9180"/>
        </w:tabs>
        <w:ind w:left="0" w:firstLine="0"/>
        <w:jc w:val="both"/>
        <w:rPr>
          <w:rFonts w:ascii="Arial" w:hAnsi="Arial"/>
        </w:rPr>
      </w:pPr>
      <w:r>
        <w:rPr>
          <w:rFonts w:ascii="Arial" w:hAnsi="Arial"/>
        </w:rPr>
        <w:tab/>
      </w:r>
      <w:r w:rsidRPr="00885887" w:rsidR="00327C3C">
        <w:rPr>
          <w:rFonts w:ascii="Arial" w:hAnsi="Arial"/>
          <w:u w:val="single"/>
        </w:rPr>
        <w:t>N/A</w:t>
      </w:r>
      <w:r>
        <w:rPr>
          <w:rFonts w:ascii="Arial" w:hAnsi="Arial"/>
          <w:u w:val="single"/>
        </w:rPr>
        <w:tab/>
      </w:r>
      <w:r>
        <w:rPr>
          <w:rFonts w:ascii="Arial" w:hAnsi="Arial"/>
        </w:rPr>
        <w:t xml:space="preserve"> .</w:t>
      </w:r>
    </w:p>
    <w:p w:rsidR="00EA4133">
      <w:pPr>
        <w:pStyle w:val="List"/>
        <w:tabs>
          <w:tab w:val="left" w:pos="9180"/>
        </w:tabs>
        <w:spacing w:before="0"/>
        <w:jc w:val="both"/>
        <w:rPr>
          <w:rFonts w:ascii="Arial" w:hAnsi="Arial"/>
        </w:rPr>
      </w:pPr>
    </w:p>
    <w:p w:rsidR="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885887" w:rsidR="00327C3C">
        <w:rPr>
          <w:rFonts w:ascii="Arial" w:hAnsi="Arial"/>
          <w:u w:val="single"/>
        </w:rPr>
        <w:t>N/A</w:t>
      </w:r>
      <w:r>
        <w:rPr>
          <w:rFonts w:ascii="Arial" w:hAnsi="Arial"/>
          <w:u w:val="single"/>
        </w:rPr>
        <w:tab/>
      </w:r>
    </w:p>
    <w:p w:rsidR="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pPr>
        <w:pStyle w:val="List"/>
        <w:tabs>
          <w:tab w:val="left" w:pos="1080"/>
          <w:tab w:val="left" w:pos="9180"/>
        </w:tabs>
        <w:spacing w:before="0"/>
        <w:ind w:left="0" w:firstLine="0"/>
        <w:jc w:val="both"/>
        <w:rPr>
          <w:rFonts w:ascii="Arial" w:hAnsi="Arial"/>
        </w:rPr>
      </w:pPr>
      <w:r>
        <w:rPr>
          <w:rFonts w:ascii="Arial" w:hAnsi="Arial"/>
        </w:rPr>
        <w:tab/>
      </w:r>
    </w:p>
    <w:p w:rsidR="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pPr>
        <w:rPr>
          <w:rFonts w:ascii="Arial" w:hAnsi="Arial"/>
          <w:b/>
          <w:color w:val="000000"/>
          <w:sz w:val="24"/>
          <w:lang w:val="en-GB"/>
        </w:rPr>
      </w:pPr>
      <w:r>
        <w:rPr>
          <w:rFonts w:ascii="Arial" w:hAnsi="Arial"/>
          <w:b/>
          <w:color w:val="000000"/>
        </w:rPr>
        <w:br w:type="page"/>
      </w:r>
    </w:p>
    <w:p w:rsidR="00EA4133">
      <w:pPr>
        <w:pStyle w:val="BodyText"/>
        <w:tabs>
          <w:tab w:val="left" w:pos="1080"/>
          <w:tab w:val="left" w:pos="4230"/>
        </w:tabs>
        <w:rPr>
          <w:rFonts w:ascii="Arial" w:hAnsi="Arial"/>
          <w:color w:val="000000"/>
        </w:rPr>
      </w:pPr>
      <w:r>
        <w:rPr>
          <w:rFonts w:ascii="Arial" w:hAnsi="Arial"/>
          <w:b/>
          <w:color w:val="000000"/>
        </w:rPr>
        <w:t xml:space="preserve">Part </w:t>
      </w:r>
      <w:r>
        <w:rPr>
          <w:rFonts w:ascii="Arial" w:hAnsi="Arial"/>
          <w:b/>
          <w:color w:val="000000"/>
        </w:rPr>
        <w:t>2.</w:t>
      </w:r>
      <w:r>
        <w:rPr>
          <w:rFonts w:ascii="Arial" w:hAnsi="Arial"/>
          <w:b/>
          <w:color w:val="000000"/>
        </w:rPr>
        <w:tab/>
        <w:t>Acquisition</w:t>
      </w:r>
    </w:p>
    <w:p w:rsidR="00EA4133">
      <w:pPr>
        <w:pStyle w:val="List"/>
        <w:tabs>
          <w:tab w:val="left" w:pos="9180"/>
        </w:tabs>
        <w:spacing w:before="0"/>
        <w:ind w:left="0" w:firstLine="0"/>
        <w:jc w:val="both"/>
        <w:rPr>
          <w:rFonts w:ascii="Arial" w:hAnsi="Arial"/>
          <w:color w:val="000000"/>
        </w:rPr>
      </w:pPr>
    </w:p>
    <w:p w:rsidR="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885887" w:rsidR="00327C3C">
        <w:rPr>
          <w:rFonts w:ascii="Arial" w:hAnsi="Arial"/>
          <w:u w:val="single"/>
        </w:rPr>
        <w:t>N/A</w:t>
      </w:r>
      <w:r>
        <w:rPr>
          <w:rFonts w:ascii="Arial" w:hAnsi="Arial"/>
          <w:color w:val="000000"/>
          <w:u w:val="single"/>
        </w:rPr>
        <w:tab/>
      </w:r>
    </w:p>
    <w:p w:rsidR="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w:t>
      </w:r>
      <w:r w:rsidR="007E7897">
        <w:rPr>
          <w:rFonts w:ascii="Arial" w:hAnsi="Arial"/>
          <w:color w:val="000000"/>
        </w:rPr>
        <w:t>Issuer. The</w:t>
      </w:r>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rsidR="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tblPrEx>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c>
          <w:tcPr>
            <w:tcW w:w="1440" w:type="dxa"/>
          </w:tcPr>
          <w:p w:rsidR="00EA4133">
            <w:pPr>
              <w:pStyle w:val="BodyText"/>
              <w:keepNext/>
              <w:keepLines/>
              <w:spacing w:before="0" w:line="280" w:lineRule="exact"/>
              <w:jc w:val="center"/>
              <w:rPr>
                <w:rFonts w:ascii="Arial" w:hAnsi="Arial"/>
                <w:b/>
                <w:sz w:val="20"/>
                <w:lang w:val="en-CA"/>
              </w:rPr>
            </w:pPr>
          </w:p>
          <w:p w:rsidR="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pPr>
              <w:pStyle w:val="BodyText"/>
              <w:keepNext/>
              <w:keepLines/>
              <w:spacing w:before="0" w:line="280" w:lineRule="exact"/>
              <w:jc w:val="center"/>
              <w:rPr>
                <w:rFonts w:ascii="Arial" w:hAnsi="Arial"/>
                <w:b/>
                <w:sz w:val="20"/>
                <w:lang w:val="en-CA"/>
              </w:rPr>
            </w:pPr>
          </w:p>
          <w:p w:rsidR="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pPr>
              <w:pStyle w:val="BodyText"/>
              <w:keepNext/>
              <w:keepLines/>
              <w:spacing w:before="0" w:line="280" w:lineRule="exact"/>
              <w:jc w:val="center"/>
              <w:rPr>
                <w:rFonts w:ascii="Arial" w:hAnsi="Arial"/>
                <w:b/>
                <w:sz w:val="20"/>
                <w:lang w:val="en-CA"/>
              </w:rPr>
            </w:pPr>
          </w:p>
          <w:p w:rsidR="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pPr>
              <w:pStyle w:val="BodyText"/>
              <w:keepNext/>
              <w:keepLines/>
              <w:spacing w:before="0" w:line="280" w:lineRule="exact"/>
              <w:jc w:val="center"/>
              <w:rPr>
                <w:rFonts w:ascii="Arial" w:hAnsi="Arial"/>
                <w:b/>
                <w:sz w:val="20"/>
                <w:lang w:val="en-CA"/>
              </w:rPr>
            </w:pPr>
          </w:p>
          <w:p w:rsidR="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pPr>
              <w:pStyle w:val="BodyText"/>
              <w:keepNext/>
              <w:keepLines/>
              <w:spacing w:before="0" w:line="280" w:lineRule="exact"/>
              <w:jc w:val="center"/>
              <w:rPr>
                <w:rFonts w:ascii="Arial" w:hAnsi="Arial"/>
                <w:b/>
                <w:sz w:val="20"/>
                <w:lang w:val="en-CA"/>
              </w:rPr>
            </w:pPr>
          </w:p>
          <w:p w:rsidR="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pPr>
              <w:pStyle w:val="BodyText"/>
              <w:keepNext/>
              <w:keepLines/>
              <w:spacing w:before="0" w:line="280" w:lineRule="exact"/>
              <w:jc w:val="center"/>
              <w:rPr>
                <w:rFonts w:ascii="Arial" w:hAnsi="Arial"/>
                <w:b/>
                <w:sz w:val="20"/>
              </w:rPr>
            </w:pPr>
          </w:p>
          <w:p w:rsidR="00EA4133" w:rsidP="00E83A64">
            <w:pPr>
              <w:pStyle w:val="BodyText"/>
              <w:keepNext/>
              <w:keepLines/>
              <w:spacing w:before="0" w:line="280" w:lineRule="exact"/>
              <w:jc w:val="center"/>
              <w:rPr>
                <w:rFonts w:ascii="Arial" w:hAnsi="Arial"/>
                <w:b/>
                <w:sz w:val="20"/>
                <w:lang w:val="en-CA"/>
              </w:rPr>
            </w:pPr>
            <w:r>
              <w:rPr>
                <w:rFonts w:ascii="Arial" w:hAnsi="Arial"/>
                <w:b/>
                <w:sz w:val="20"/>
              </w:rPr>
              <w:t>Total</w:t>
            </w:r>
            <w:r>
              <w:rPr>
                <w:rFonts w:ascii="Arial" w:hAnsi="Arial"/>
                <w:b/>
                <w:sz w:val="20"/>
              </w:rPr>
              <w:t xml:space="preserve"> Securities, </w:t>
            </w:r>
            <w:r>
              <w:rPr>
                <w:rFonts w:ascii="Arial" w:hAnsi="Arial"/>
                <w:b/>
                <w:sz w:val="20"/>
              </w:rPr>
              <w:t>Previously</w:t>
            </w:r>
            <w:r>
              <w:rPr>
                <w:rFonts w:ascii="Arial" w:hAnsi="Arial"/>
                <w:b/>
                <w:sz w:val="20"/>
              </w:rPr>
              <w:t xml:space="preserve"> Owned, Controlled or Directed by Party</w:t>
            </w:r>
          </w:p>
        </w:tc>
        <w:tc>
          <w:tcPr>
            <w:tcW w:w="1530" w:type="dxa"/>
          </w:tcPr>
          <w:p w:rsidR="00EA4133">
            <w:pPr>
              <w:pStyle w:val="BodyText"/>
              <w:keepNext/>
              <w:keepLines/>
              <w:spacing w:before="0" w:line="280" w:lineRule="exact"/>
              <w:jc w:val="center"/>
              <w:rPr>
                <w:rFonts w:ascii="Arial" w:hAnsi="Arial"/>
                <w:b/>
                <w:color w:val="000000"/>
                <w:sz w:val="20"/>
                <w:lang w:val="en-CA"/>
              </w:rPr>
            </w:pPr>
          </w:p>
          <w:p w:rsidR="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tblPrEx>
          <w:tblW w:w="9990" w:type="dxa"/>
          <w:tblInd w:w="378" w:type="dxa"/>
          <w:tblLayout w:type="fixed"/>
          <w:tblLook w:val="0000"/>
        </w:tblPrEx>
        <w:trPr>
          <w:trHeight w:hRule="exact" w:val="280"/>
        </w:trPr>
        <w:tc>
          <w:tcPr>
            <w:tcW w:w="1440" w:type="dxa"/>
          </w:tcPr>
          <w:p w:rsidR="00EA4133">
            <w:pPr>
              <w:pStyle w:val="BodyText"/>
              <w:keepNext/>
              <w:keepLines/>
              <w:rPr>
                <w:rFonts w:ascii="Arial" w:hAnsi="Arial"/>
                <w:lang w:val="en-CA"/>
              </w:rPr>
            </w:pPr>
          </w:p>
        </w:tc>
        <w:tc>
          <w:tcPr>
            <w:tcW w:w="1260" w:type="dxa"/>
          </w:tcPr>
          <w:p w:rsidR="00EA4133">
            <w:pPr>
              <w:pStyle w:val="BodyText"/>
              <w:keepNext/>
              <w:keepLines/>
              <w:rPr>
                <w:rFonts w:ascii="Arial" w:hAnsi="Arial"/>
                <w:lang w:val="en-CA"/>
              </w:rPr>
            </w:pPr>
          </w:p>
        </w:tc>
        <w:tc>
          <w:tcPr>
            <w:tcW w:w="1260" w:type="dxa"/>
          </w:tcPr>
          <w:p w:rsidR="00EA4133">
            <w:pPr>
              <w:pStyle w:val="BodyText"/>
              <w:keepNext/>
              <w:keepLines/>
              <w:rPr>
                <w:rFonts w:ascii="Arial" w:hAnsi="Arial"/>
                <w:lang w:val="en-CA"/>
              </w:rPr>
            </w:pPr>
          </w:p>
        </w:tc>
        <w:tc>
          <w:tcPr>
            <w:tcW w:w="1440" w:type="dxa"/>
          </w:tcPr>
          <w:p w:rsidR="00EA4133">
            <w:pPr>
              <w:pStyle w:val="BodyText"/>
              <w:keepNext/>
              <w:keepLines/>
              <w:rPr>
                <w:rFonts w:ascii="Arial" w:hAnsi="Arial"/>
                <w:lang w:val="en-CA"/>
              </w:rPr>
            </w:pPr>
          </w:p>
        </w:tc>
        <w:tc>
          <w:tcPr>
            <w:tcW w:w="1440" w:type="dxa"/>
          </w:tcPr>
          <w:p w:rsidR="00EA4133">
            <w:pPr>
              <w:pStyle w:val="BodyText"/>
              <w:keepNext/>
              <w:keepLines/>
              <w:rPr>
                <w:rFonts w:ascii="Arial" w:hAnsi="Arial"/>
                <w:lang w:val="en-CA"/>
              </w:rPr>
            </w:pPr>
          </w:p>
        </w:tc>
        <w:tc>
          <w:tcPr>
            <w:tcW w:w="1620" w:type="dxa"/>
          </w:tcPr>
          <w:p w:rsidR="00EA4133">
            <w:pPr>
              <w:pStyle w:val="BodyText"/>
              <w:keepNext/>
              <w:keepLines/>
              <w:rPr>
                <w:rFonts w:ascii="Arial" w:hAnsi="Arial"/>
                <w:lang w:val="en-CA"/>
              </w:rPr>
            </w:pPr>
          </w:p>
        </w:tc>
        <w:tc>
          <w:tcPr>
            <w:tcW w:w="1530" w:type="dxa"/>
          </w:tcPr>
          <w:p w:rsidR="00EA4133">
            <w:pPr>
              <w:pStyle w:val="BodyText"/>
              <w:keepNext/>
              <w:keepLines/>
              <w:rPr>
                <w:rFonts w:ascii="Arial" w:hAnsi="Arial"/>
                <w:lang w:val="en-CA"/>
              </w:rPr>
            </w:pPr>
          </w:p>
        </w:tc>
      </w:tr>
      <w:tr>
        <w:tblPrEx>
          <w:tblW w:w="9990" w:type="dxa"/>
          <w:tblInd w:w="378" w:type="dxa"/>
          <w:tblLayout w:type="fixed"/>
          <w:tblLook w:val="0000"/>
        </w:tblPrEx>
        <w:trPr>
          <w:trHeight w:hRule="exact" w:val="320"/>
        </w:trPr>
        <w:tc>
          <w:tcPr>
            <w:tcW w:w="1440" w:type="dxa"/>
          </w:tcPr>
          <w:p w:rsidR="00EA4133">
            <w:pPr>
              <w:pStyle w:val="BodyText"/>
              <w:keepNext/>
              <w:keepLines/>
              <w:rPr>
                <w:rFonts w:ascii="Arial" w:hAnsi="Arial"/>
                <w:lang w:val="en-CA"/>
              </w:rPr>
            </w:pPr>
          </w:p>
        </w:tc>
        <w:tc>
          <w:tcPr>
            <w:tcW w:w="1260" w:type="dxa"/>
          </w:tcPr>
          <w:p w:rsidR="00EA4133">
            <w:pPr>
              <w:pStyle w:val="BodyText"/>
              <w:keepNext/>
              <w:keepLines/>
              <w:rPr>
                <w:rFonts w:ascii="Arial" w:hAnsi="Arial"/>
                <w:lang w:val="en-CA"/>
              </w:rPr>
            </w:pPr>
          </w:p>
        </w:tc>
        <w:tc>
          <w:tcPr>
            <w:tcW w:w="1260" w:type="dxa"/>
          </w:tcPr>
          <w:p w:rsidR="00EA4133">
            <w:pPr>
              <w:pStyle w:val="BodyText"/>
              <w:keepNext/>
              <w:keepLines/>
              <w:rPr>
                <w:rFonts w:ascii="Arial" w:hAnsi="Arial"/>
                <w:lang w:val="en-CA"/>
              </w:rPr>
            </w:pPr>
          </w:p>
        </w:tc>
        <w:tc>
          <w:tcPr>
            <w:tcW w:w="1440" w:type="dxa"/>
          </w:tcPr>
          <w:p w:rsidR="00EA4133">
            <w:pPr>
              <w:pStyle w:val="BodyText"/>
              <w:keepNext/>
              <w:keepLines/>
              <w:rPr>
                <w:rFonts w:ascii="Arial" w:hAnsi="Arial"/>
                <w:lang w:val="en-CA"/>
              </w:rPr>
            </w:pPr>
          </w:p>
        </w:tc>
        <w:tc>
          <w:tcPr>
            <w:tcW w:w="1440" w:type="dxa"/>
          </w:tcPr>
          <w:p w:rsidR="00EA4133">
            <w:pPr>
              <w:pStyle w:val="BodyText"/>
              <w:keepNext/>
              <w:keepLines/>
              <w:rPr>
                <w:rFonts w:ascii="Arial" w:hAnsi="Arial"/>
                <w:lang w:val="en-CA"/>
              </w:rPr>
            </w:pPr>
          </w:p>
        </w:tc>
        <w:tc>
          <w:tcPr>
            <w:tcW w:w="1620" w:type="dxa"/>
          </w:tcPr>
          <w:p w:rsidR="00EA4133">
            <w:pPr>
              <w:pStyle w:val="BodyText"/>
              <w:keepNext/>
              <w:keepLines/>
              <w:rPr>
                <w:rFonts w:ascii="Arial" w:hAnsi="Arial"/>
                <w:lang w:val="en-CA"/>
              </w:rPr>
            </w:pPr>
          </w:p>
        </w:tc>
        <w:tc>
          <w:tcPr>
            <w:tcW w:w="1530" w:type="dxa"/>
          </w:tcPr>
          <w:p w:rsidR="00EA4133">
            <w:pPr>
              <w:pStyle w:val="BodyText"/>
              <w:keepNext/>
              <w:keepLines/>
              <w:rPr>
                <w:rFonts w:ascii="Arial" w:hAnsi="Arial"/>
                <w:lang w:val="en-CA"/>
              </w:rPr>
            </w:pPr>
          </w:p>
        </w:tc>
      </w:tr>
    </w:tbl>
    <w:p w:rsidR="00EA4133" w:rsidP="009136E7">
      <w:pPr>
        <w:pStyle w:val="BodyText"/>
        <w:numPr>
          <w:ilvl w:val="0"/>
          <w:numId w:val="17"/>
        </w:numPr>
        <w:tabs>
          <w:tab w:val="num" w:pos="450"/>
          <w:tab w:val="clear" w:pos="720"/>
        </w:tabs>
        <w:ind w:left="360" w:hanging="180"/>
        <w:rPr>
          <w:rFonts w:ascii="Arial" w:hAnsi="Arial"/>
          <w:sz w:val="20"/>
        </w:rPr>
      </w:pPr>
      <w:r>
        <w:rPr>
          <w:rFonts w:ascii="Arial" w:hAnsi="Arial"/>
          <w:sz w:val="20"/>
        </w:rPr>
        <w:t>Indicate if Related Person</w:t>
      </w:r>
    </w:p>
    <w:p w:rsidR="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E7897">
        <w:rPr>
          <w:rFonts w:ascii="Arial" w:hAnsi="Arial"/>
        </w:rPr>
        <w:t>and if</w:t>
      </w:r>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P="00CF2A90">
      <w:pPr>
        <w:pStyle w:val="List"/>
        <w:tabs>
          <w:tab w:val="left" w:pos="9180"/>
        </w:tabs>
        <w:ind w:left="0" w:firstLine="0"/>
        <w:rPr>
          <w:rFonts w:ascii="Arial" w:hAnsi="Arial"/>
          <w:color w:val="000000"/>
        </w:rPr>
      </w:pPr>
    </w:p>
    <w:p w:rsidR="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pPr>
        <w:pStyle w:val="List"/>
        <w:tabs>
          <w:tab w:val="left" w:pos="1080"/>
        </w:tabs>
        <w:ind w:left="0" w:firstLine="0"/>
        <w:rPr>
          <w:rFonts w:ascii="Arial" w:hAnsi="Arial"/>
        </w:rPr>
      </w:pPr>
      <w:r>
        <w:rPr>
          <w:rFonts w:ascii="Arial" w:hAnsi="Arial"/>
          <w:b/>
        </w:rPr>
        <w:t>Certificate Of Compliance</w:t>
      </w:r>
    </w:p>
    <w:p w:rsidR="00EA4133">
      <w:pPr>
        <w:pStyle w:val="BodyText"/>
        <w:rPr>
          <w:rFonts w:ascii="Arial" w:hAnsi="Arial"/>
        </w:rPr>
      </w:pPr>
      <w:r>
        <w:rPr>
          <w:rFonts w:ascii="Arial" w:hAnsi="Arial"/>
        </w:rPr>
        <w:t>The undersigned hereby certifies that:</w:t>
      </w:r>
    </w:p>
    <w:p w:rsidR="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P="00C500F0">
      <w:pPr>
        <w:pStyle w:val="List"/>
        <w:ind w:firstLine="0"/>
        <w:jc w:val="both"/>
        <w:rPr>
          <w:rFonts w:ascii="Arial" w:hAnsi="Arial"/>
        </w:rPr>
      </w:pPr>
    </w:p>
    <w:p w:rsidR="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P="00C500F0">
      <w:pPr>
        <w:pStyle w:val="ListParagraph"/>
        <w:rPr>
          <w:rFonts w:ascii="Arial" w:hAnsi="Arial" w:cs="Arial"/>
          <w:sz w:val="24"/>
          <w:szCs w:val="24"/>
        </w:rPr>
      </w:pPr>
    </w:p>
    <w:p w:rsidR="00C500F0" w:rsidRPr="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pPr>
        <w:pStyle w:val="BodyText"/>
        <w:tabs>
          <w:tab w:val="left" w:pos="4680"/>
          <w:tab w:val="left" w:pos="7200"/>
        </w:tabs>
        <w:spacing w:before="480"/>
        <w:jc w:val="both"/>
        <w:rPr>
          <w:rFonts w:ascii="Arial" w:hAnsi="Arial"/>
        </w:rPr>
      </w:pPr>
      <w:r>
        <w:rPr>
          <w:rFonts w:ascii="Arial" w:hAnsi="Arial"/>
        </w:rPr>
        <w:t xml:space="preserve">Dated </w:t>
      </w:r>
      <w:r w:rsidR="00655396">
        <w:rPr>
          <w:rFonts w:ascii="Arial" w:hAnsi="Arial"/>
          <w:u w:val="single"/>
        </w:rPr>
        <w:t>June 12</w:t>
      </w:r>
      <w:bookmarkStart w:id="4" w:name="_GoBack"/>
      <w:bookmarkEnd w:id="4"/>
      <w:r w:rsidR="00C532DE">
        <w:rPr>
          <w:rFonts w:ascii="Arial" w:hAnsi="Arial"/>
          <w:u w:val="single"/>
        </w:rPr>
        <w:t>, 2020</w:t>
      </w:r>
      <w:r>
        <w:rPr>
          <w:rFonts w:ascii="Arial" w:hAnsi="Arial"/>
          <w:u w:val="single"/>
        </w:rPr>
        <w:tab/>
      </w:r>
      <w:r>
        <w:rPr>
          <w:rFonts w:ascii="Arial" w:hAnsi="Arial"/>
        </w:rPr>
        <w:t>.</w:t>
      </w:r>
    </w:p>
    <w:p w:rsidR="00EA4133">
      <w:pPr>
        <w:pStyle w:val="List"/>
        <w:tabs>
          <w:tab w:val="left" w:pos="9180"/>
        </w:tabs>
        <w:ind w:left="5760" w:hanging="5760"/>
        <w:rPr>
          <w:rFonts w:ascii="Arial" w:hAnsi="Arial"/>
        </w:rPr>
      </w:pPr>
      <w:r>
        <w:rPr>
          <w:rFonts w:ascii="Arial" w:hAnsi="Arial"/>
        </w:rPr>
        <w:tab/>
      </w:r>
      <w:r w:rsidR="00130F2F">
        <w:rPr>
          <w:rFonts w:ascii="Arial" w:hAnsi="Arial"/>
          <w:u w:val="single"/>
        </w:rPr>
        <w:t>Keith Stauffer</w:t>
      </w:r>
      <w:r>
        <w:rPr>
          <w:rFonts w:ascii="Arial" w:hAnsi="Arial"/>
          <w:u w:val="single"/>
        </w:rPr>
        <w:tab/>
      </w:r>
      <w:r>
        <w:rPr>
          <w:rFonts w:ascii="Arial" w:hAnsi="Arial"/>
          <w:u w:val="single"/>
        </w:rPr>
        <w:br/>
      </w:r>
      <w:r>
        <w:rPr>
          <w:rFonts w:ascii="Arial" w:hAnsi="Arial"/>
        </w:rPr>
        <w:t>Name of Director or Senior Officer</w:t>
      </w:r>
    </w:p>
    <w:p w:rsidR="00EA4133">
      <w:pPr>
        <w:pStyle w:val="List"/>
        <w:tabs>
          <w:tab w:val="left" w:pos="9180"/>
          <w:tab w:val="left" w:pos="9360"/>
        </w:tabs>
        <w:ind w:left="5760" w:hanging="5760"/>
        <w:rPr>
          <w:rFonts w:ascii="Arial" w:hAnsi="Arial"/>
        </w:rPr>
      </w:pPr>
      <w:r>
        <w:rPr>
          <w:rFonts w:ascii="Arial" w:hAnsi="Arial"/>
        </w:rPr>
        <w:tab/>
      </w:r>
      <w:r w:rsidRPr="002F72A0" w:rsidR="002F72A0">
        <w:rPr>
          <w:rFonts w:ascii="Arial" w:hAnsi="Arial"/>
          <w:i/>
          <w:u w:val="single"/>
        </w:rPr>
        <w:t>"Keith Stauffer"</w:t>
      </w:r>
      <w:r>
        <w:rPr>
          <w:rFonts w:ascii="Arial" w:hAnsi="Arial"/>
          <w:u w:val="single"/>
        </w:rPr>
        <w:tab/>
      </w:r>
      <w:r>
        <w:rPr>
          <w:rFonts w:ascii="Arial" w:hAnsi="Arial"/>
        </w:rPr>
        <w:br/>
        <w:t>Signature</w:t>
      </w:r>
    </w:p>
    <w:p w:rsidR="00EA4133">
      <w:pPr>
        <w:pStyle w:val="List"/>
        <w:tabs>
          <w:tab w:val="left" w:pos="9180"/>
          <w:tab w:val="left" w:pos="9360"/>
        </w:tabs>
        <w:ind w:left="5760" w:hanging="5760"/>
        <w:rPr>
          <w:rFonts w:ascii="Arial" w:hAnsi="Arial"/>
        </w:rPr>
      </w:pPr>
      <w:r>
        <w:rPr>
          <w:rFonts w:ascii="Arial" w:hAnsi="Arial"/>
        </w:rPr>
        <w:tab/>
      </w:r>
      <w:r w:rsidRPr="00327C3C" w:rsidR="00327C3C">
        <w:rPr>
          <w:rFonts w:ascii="Arial" w:hAnsi="Arial"/>
          <w:u w:val="single"/>
        </w:rPr>
        <w:t xml:space="preserve">Chief </w:t>
      </w:r>
      <w:r w:rsidR="00A161BD">
        <w:rPr>
          <w:rFonts w:ascii="Arial" w:hAnsi="Arial"/>
          <w:u w:val="single"/>
        </w:rPr>
        <w:t>Financial</w:t>
      </w:r>
      <w:r w:rsidRPr="00327C3C" w:rsidR="00327C3C">
        <w:rPr>
          <w:rFonts w:ascii="Arial" w:hAnsi="Arial"/>
          <w:u w:val="single"/>
        </w:rPr>
        <w:t xml:space="preserve"> Officer</w:t>
      </w:r>
      <w:r>
        <w:rPr>
          <w:rFonts w:ascii="Arial" w:hAnsi="Arial"/>
          <w:u w:val="single"/>
        </w:rPr>
        <w:tab/>
      </w:r>
      <w:r>
        <w:rPr>
          <w:rFonts w:ascii="Arial" w:hAnsi="Arial"/>
        </w:rPr>
        <w:br/>
        <w:t>Official Capacity</w:t>
      </w:r>
    </w:p>
    <w:p w:rsidR="00C500F0">
      <w:pPr>
        <w:pStyle w:val="List"/>
        <w:tabs>
          <w:tab w:val="left" w:pos="9180"/>
          <w:tab w:val="left" w:pos="9360"/>
        </w:tabs>
        <w:ind w:left="5760" w:hanging="5760"/>
        <w:rPr>
          <w:rFonts w:ascii="Arial" w:hAnsi="Arial"/>
        </w:rPr>
      </w:pPr>
    </w:p>
    <w:p w:rsidR="00C500F0">
      <w:pPr>
        <w:pStyle w:val="List"/>
        <w:tabs>
          <w:tab w:val="left" w:pos="9180"/>
          <w:tab w:val="left" w:pos="9360"/>
        </w:tabs>
        <w:ind w:left="5760" w:hanging="5760"/>
        <w:rPr>
          <w:rFonts w:ascii="Arial" w:hAnsi="Arial"/>
        </w:rPr>
      </w:pPr>
    </w:p>
    <w:p w:rsidR="00C500F0" w:rsidRPr="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846D83" w:rsidP="00EE2B5D">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If you wish to consult your file or have any questions about this policy or our practices, please write the Chief Privacy Officer, Canadian Securities Exchange, 220 Bay Street – </w:t>
      </w:r>
      <w:r w:rsidR="00EE2B5D">
        <w:rPr>
          <w:rFonts w:ascii="Arial" w:eastAsia="Calibri" w:hAnsi="Arial" w:cs="Arial"/>
          <w:sz w:val="24"/>
          <w:szCs w:val="24"/>
        </w:rPr>
        <w:t>9th Floor, Toronto, ON, M5J 2W4</w:t>
      </w:r>
    </w:p>
    <w:sectPr w:rsidSect="008003B9">
      <w:headerReference w:type="even" r:id="rId5"/>
      <w:headerReference w:type="default" r:id="rId6"/>
      <w:footerReference w:type="even" r:id="rId7"/>
      <w:footerReference w:type="default" r:id="rId8"/>
      <w:headerReference w:type="first" r:id="rId9"/>
      <w:footerReference w:type="first" r:id="rId10"/>
      <w:pgSz w:w="12240" w:h="15840" w:code="1"/>
      <w:pgMar w:top="1152" w:right="1440" w:bottom="1152" w:left="1440" w:header="720" w:footer="93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751" w:rsidP="008003B9">
    <w:pPr>
      <w:tabs>
        <w:tab w:val="center" w:pos="4674"/>
        <w:tab w:val="left" w:pos="8460"/>
      </w:tabs>
      <w:jc w:val="center"/>
      <w:rPr>
        <w:rStyle w:val="PageNumber"/>
        <w:rFonts w:ascii="Arial" w:hAnsi="Arial" w:cs="Arial"/>
        <w:b/>
      </w:rPr>
    </w:pPr>
    <w:r>
      <w:rPr>
        <w:b/>
        <w:noProof/>
        <w:lang w:eastAsia="zh-CN"/>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3"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8635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flip:x;mso-height-percent:0;mso-height-relative:page;mso-width-percent:0;mso-width-relative:page;mso-wrap-distance-bottom:0pt;mso-wrap-distance-left:9pt;mso-wrap-distance-right:9pt;mso-wrap-distance-top:0pt;mso-wrap-style:square;position:absolute;visibility:visible;z-index:251659264" from="4.05pt,-1.6pt" to="465.75pt,-1.6pt"/>
          </w:pict>
        </mc:Fallback>
      </mc:AlternateContent>
    </w:r>
    <w:r>
      <w:rPr>
        <w:rFonts w:ascii="Arial" w:hAnsi="Arial" w:cs="Arial"/>
        <w:b/>
      </w:rPr>
      <w:t>FORM 9 – NOTICE OF ISSUANCE OR PROPOSED ISSUANCE OF</w:t>
    </w:r>
  </w:p>
  <w:p w:rsidR="00A53751" w:rsidP="008003B9">
    <w:pPr>
      <w:tabs>
        <w:tab w:val="center" w:pos="4674"/>
        <w:tab w:val="left" w:pos="8460"/>
      </w:tabs>
      <w:jc w:val="center"/>
      <w:rPr>
        <w:rStyle w:val="PageNumber"/>
        <w:rFonts w:ascii="Arial" w:hAnsi="Arial" w:cs="Arial"/>
        <w:b/>
      </w:rPr>
    </w:pPr>
    <w:r>
      <w:rPr>
        <w:rFonts w:ascii="Arial" w:hAnsi="Arial" w:cs="Arial"/>
        <w:b/>
      </w:rPr>
      <w:t>LISTED SECURITIES</w:t>
    </w:r>
  </w:p>
  <w:p w:rsidR="00A53751" w:rsidP="008003B9">
    <w:pPr>
      <w:pStyle w:val="Footer"/>
      <w:tabs>
        <w:tab w:val="clear" w:pos="4320"/>
        <w:tab w:val="center" w:pos="4860"/>
        <w:tab w:val="clear" w:pos="864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A53751"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655396">
      <w:rPr>
        <w:rStyle w:val="PageNumber"/>
        <w:rFonts w:ascii="Arial" w:hAnsi="Arial" w:cs="Arial"/>
        <w:noProof/>
        <w:sz w:val="16"/>
        <w:szCs w:val="16"/>
      </w:rPr>
      <w:t>9</w:t>
    </w:r>
    <w:r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751">
    <w:pPr>
      <w:pStyle w:val="Footer"/>
    </w:pPr>
    <w:r>
      <w:t>3214.001\0180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751">
    <w:pPr>
      <w:pStyle w:val="Header"/>
    </w:pPr>
  </w:p>
  <w:p w:rsidR="00A53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1E347044"/>
    <w:multiLevelType w:val="hybridMultilevel"/>
    <w:tmpl w:val="81F89A9A"/>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nsid w:val="6B0621FB"/>
    <w:multiLevelType w:val="singleLevel"/>
    <w:tmpl w:val="8BE43614"/>
    <w:lvl w:ilvl="0">
      <w:start w:val="4"/>
      <w:numFmt w:val="lowerLetter"/>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start w:val="3"/>
      <w:numFmt w:val="decimal"/>
      <w:lvlText w:val="%1."/>
      <w:lvlJc w:val="left"/>
      <w:pPr>
        <w:tabs>
          <w:tab w:val="num" w:pos="1080"/>
        </w:tabs>
        <w:ind w:left="1080" w:hanging="108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7A196E4E"/>
    <w:multiLevelType w:val="hybridMultilevel"/>
    <w:tmpl w:val="113C6E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C7CEC"/>
    <w:pPr>
      <w:tabs>
        <w:tab w:val="center" w:pos="4320"/>
        <w:tab w:val="right" w:pos="8640"/>
      </w:tabs>
    </w:pPr>
  </w:style>
  <w:style w:type="paragraph" w:styleId="Footer">
    <w:name w:val="footer"/>
    <w:basedOn w:val="Normal"/>
    <w:link w:val="FooterChar"/>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885887"/>
    <w:rPr>
      <w:sz w:val="24"/>
      <w:lang w:val="en-GB"/>
    </w:rPr>
  </w:style>
  <w:style w:type="character" w:customStyle="1" w:styleId="FooterChar">
    <w:name w:val="Footer Char"/>
    <w:basedOn w:val="DefaultParagraphFont"/>
    <w:link w:val="Footer"/>
    <w:rsid w:val="00327C3C"/>
  </w:style>
  <w:style w:type="paragraph" w:customStyle="1" w:styleId="MacPacTrailer">
    <w:name w:val="MacPac Trailer"/>
    <w:rsid w:val="0074428F"/>
    <w:pPr>
      <w:widowControl w:val="0"/>
      <w:spacing w:line="200" w:lineRule="exact"/>
    </w:pPr>
    <w:rPr>
      <w:sz w:val="16"/>
      <w:szCs w:val="22"/>
    </w:rPr>
  </w:style>
  <w:style w:type="character" w:styleId="PlaceholderText">
    <w:name w:val="Placeholder Text"/>
    <w:basedOn w:val="DefaultParagraphFont"/>
    <w:uiPriority w:val="99"/>
    <w:semiHidden/>
    <w:rsid w:val="00327C3C"/>
    <w:rPr>
      <w:color w:val="808080"/>
    </w:rPr>
  </w:style>
  <w:style w:type="character" w:customStyle="1" w:styleId="HeaderChar">
    <w:name w:val="Header Char"/>
    <w:basedOn w:val="DefaultParagraphFont"/>
    <w:link w:val="Header"/>
    <w:uiPriority w:val="99"/>
    <w:rsid w:val="007E7897"/>
  </w:style>
  <w:style w:type="character" w:styleId="CommentReference">
    <w:name w:val="annotation reference"/>
    <w:basedOn w:val="DefaultParagraphFont"/>
    <w:uiPriority w:val="99"/>
    <w:semiHidden/>
    <w:unhideWhenUsed/>
    <w:rsid w:val="0008736B"/>
    <w:rPr>
      <w:sz w:val="16"/>
      <w:szCs w:val="16"/>
    </w:rPr>
  </w:style>
  <w:style w:type="paragraph" w:styleId="CommentText">
    <w:name w:val="annotation text"/>
    <w:basedOn w:val="Normal"/>
    <w:link w:val="CommentTextChar"/>
    <w:uiPriority w:val="99"/>
    <w:semiHidden/>
    <w:unhideWhenUsed/>
    <w:rsid w:val="0008736B"/>
  </w:style>
  <w:style w:type="character" w:customStyle="1" w:styleId="CommentTextChar">
    <w:name w:val="Comment Text Char"/>
    <w:basedOn w:val="DefaultParagraphFont"/>
    <w:link w:val="CommentText"/>
    <w:uiPriority w:val="99"/>
    <w:semiHidden/>
    <w:rsid w:val="0008736B"/>
  </w:style>
  <w:style w:type="paragraph" w:styleId="CommentSubject">
    <w:name w:val="annotation subject"/>
    <w:basedOn w:val="CommentText"/>
    <w:next w:val="CommentText"/>
    <w:link w:val="CommentSubjectChar"/>
    <w:uiPriority w:val="99"/>
    <w:semiHidden/>
    <w:unhideWhenUsed/>
    <w:rsid w:val="0008736B"/>
    <w:rPr>
      <w:b/>
      <w:bCs/>
    </w:rPr>
  </w:style>
  <w:style w:type="character" w:customStyle="1" w:styleId="CommentSubjectChar">
    <w:name w:val="Comment Subject Char"/>
    <w:basedOn w:val="CommentTextChar"/>
    <w:link w:val="CommentSubject"/>
    <w:uiPriority w:val="99"/>
    <w:semiHidden/>
    <w:rsid w:val="000873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09B10-D34C-44B3-9113-5FF492FE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2326</Words>
  <Characters>12665</Characters>
  <Application>Microsoft Office Word</Application>
  <DocSecurity>0</DocSecurity>
  <Lines>107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