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3A762AE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D1442">
        <w:rPr>
          <w:rFonts w:ascii="Arial" w:hAnsi="Arial"/>
          <w:b/>
          <w:bCs/>
          <w:color w:val="000000"/>
          <w:u w:val="single"/>
        </w:rPr>
        <w:t>Tarachi Gold Corp</w:t>
      </w:r>
      <w:r w:rsidR="003C2890" w:rsidRPr="003C2890">
        <w:rPr>
          <w:rFonts w:ascii="Arial" w:hAnsi="Arial"/>
          <w:b/>
          <w:bCs/>
          <w:color w:val="000000"/>
          <w:u w:val="single"/>
        </w:rPr>
        <w:t>.</w:t>
      </w:r>
      <w:r w:rsidR="005408BD">
        <w:rPr>
          <w:rFonts w:ascii="Arial" w:hAnsi="Arial"/>
          <w:b/>
          <w:bCs/>
          <w:color w:val="000000"/>
          <w:u w:val="single"/>
        </w:rPr>
        <w:t xml:space="preserve"> (formerly Kal Minerals Corp.)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7BE4CE4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D1442">
        <w:rPr>
          <w:rFonts w:ascii="Arial" w:hAnsi="Arial"/>
          <w:b/>
          <w:bCs/>
          <w:color w:val="000000"/>
          <w:u w:val="single"/>
        </w:rPr>
        <w:t>TRG</w:t>
      </w:r>
      <w:r>
        <w:rPr>
          <w:rFonts w:ascii="Arial" w:hAnsi="Arial"/>
          <w:color w:val="000000"/>
          <w:u w:val="single"/>
        </w:rPr>
        <w:tab/>
      </w:r>
      <w:r>
        <w:rPr>
          <w:rFonts w:ascii="Arial" w:hAnsi="Arial"/>
          <w:color w:val="000000"/>
          <w:u w:val="single"/>
        </w:rPr>
        <w:tab/>
      </w:r>
    </w:p>
    <w:p w14:paraId="08156A1C" w14:textId="04E99FB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0DF7">
        <w:rPr>
          <w:rFonts w:ascii="Arial" w:hAnsi="Arial"/>
          <w:b/>
          <w:bCs/>
          <w:color w:val="000000"/>
          <w:u w:val="single"/>
          <w:lang w:val="en-US"/>
        </w:rPr>
        <w:t>3</w:t>
      </w:r>
      <w:r w:rsidR="00D8338F">
        <w:rPr>
          <w:rFonts w:ascii="Arial" w:hAnsi="Arial"/>
          <w:b/>
          <w:bCs/>
          <w:color w:val="000000"/>
          <w:u w:val="single"/>
          <w:lang w:val="en-US"/>
        </w:rPr>
        <w:t>7</w:t>
      </w:r>
      <w:r w:rsidR="00340DF7">
        <w:rPr>
          <w:rFonts w:ascii="Arial" w:hAnsi="Arial"/>
          <w:b/>
          <w:bCs/>
          <w:color w:val="000000"/>
          <w:u w:val="single"/>
          <w:lang w:val="en-US"/>
        </w:rPr>
        <w:t>,</w:t>
      </w:r>
      <w:r w:rsidR="00D8338F">
        <w:rPr>
          <w:rFonts w:ascii="Arial" w:hAnsi="Arial"/>
          <w:b/>
          <w:bCs/>
          <w:color w:val="000000"/>
          <w:u w:val="single"/>
          <w:lang w:val="en-US"/>
        </w:rPr>
        <w:t>094</w:t>
      </w:r>
      <w:r w:rsidR="00340DF7">
        <w:rPr>
          <w:rFonts w:ascii="Arial" w:hAnsi="Arial"/>
          <w:b/>
          <w:bCs/>
          <w:color w:val="000000"/>
          <w:u w:val="single"/>
          <w:lang w:val="en-US"/>
        </w:rPr>
        <w:t>,664</w:t>
      </w:r>
      <w:r>
        <w:rPr>
          <w:rFonts w:ascii="Arial" w:hAnsi="Arial"/>
          <w:color w:val="000000"/>
          <w:u w:val="single"/>
        </w:rPr>
        <w:tab/>
      </w:r>
      <w:r>
        <w:rPr>
          <w:rFonts w:ascii="Arial" w:hAnsi="Arial"/>
          <w:color w:val="000000"/>
          <w:u w:val="single"/>
        </w:rPr>
        <w:tab/>
      </w:r>
    </w:p>
    <w:p w14:paraId="38947835" w14:textId="4C09298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8338F">
        <w:rPr>
          <w:rFonts w:ascii="Arial" w:hAnsi="Arial"/>
          <w:b/>
          <w:bCs/>
          <w:color w:val="000000"/>
          <w:u w:val="single"/>
        </w:rPr>
        <w:t>Ju</w:t>
      </w:r>
      <w:r w:rsidR="00343CC8">
        <w:rPr>
          <w:rFonts w:ascii="Arial" w:hAnsi="Arial"/>
          <w:b/>
          <w:bCs/>
          <w:color w:val="000000"/>
          <w:u w:val="single"/>
        </w:rPr>
        <w:t>ly</w:t>
      </w:r>
      <w:r w:rsidR="009D292E">
        <w:rPr>
          <w:rFonts w:ascii="Arial" w:hAnsi="Arial"/>
          <w:b/>
          <w:bCs/>
          <w:color w:val="000000"/>
          <w:u w:val="single"/>
        </w:rPr>
        <w:t xml:space="preserve"> 2020</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3A441A" w14:textId="77777777" w:rsidR="007D1442" w:rsidRDefault="007D1442">
      <w:pPr>
        <w:rPr>
          <w:rFonts w:ascii="Arial" w:hAnsi="Arial"/>
          <w:b/>
          <w:sz w:val="24"/>
          <w:lang w:val="en-GB"/>
        </w:rPr>
      </w:pPr>
      <w:r>
        <w:rPr>
          <w:rFonts w:ascii="Arial" w:hAnsi="Arial"/>
          <w:b/>
        </w:rPr>
        <w:br w:type="page"/>
      </w:r>
    </w:p>
    <w:p w14:paraId="7FA13006" w14:textId="17A0571A" w:rsidR="00640E94" w:rsidRDefault="00640E94">
      <w:pPr>
        <w:pStyle w:val="List"/>
        <w:keepLines/>
        <w:spacing w:before="120"/>
        <w:ind w:left="0" w:firstLine="0"/>
        <w:rPr>
          <w:rFonts w:ascii="Arial" w:hAnsi="Arial"/>
          <w:b/>
        </w:rPr>
      </w:pPr>
      <w:r>
        <w:rPr>
          <w:rFonts w:ascii="Arial" w:hAnsi="Arial"/>
          <w:b/>
        </w:rPr>
        <w:lastRenderedPageBreak/>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8C4A03E" w14:textId="13EB2685" w:rsidR="00C14C33" w:rsidRDefault="00D8338F"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During the month of Ju</w:t>
      </w:r>
      <w:r w:rsidR="00343CC8">
        <w:rPr>
          <w:rFonts w:ascii="Arial" w:hAnsi="Arial"/>
          <w:b/>
          <w:bCs/>
          <w:color w:val="000000"/>
          <w:sz w:val="24"/>
          <w:lang w:val="en-GB"/>
        </w:rPr>
        <w:t>ly</w:t>
      </w:r>
      <w:r>
        <w:rPr>
          <w:rFonts w:ascii="Arial" w:hAnsi="Arial"/>
          <w:b/>
          <w:bCs/>
          <w:color w:val="000000"/>
          <w:sz w:val="24"/>
          <w:lang w:val="en-GB"/>
        </w:rPr>
        <w:t xml:space="preserve"> 2020, the Company has </w:t>
      </w:r>
      <w:r w:rsidR="00343CC8">
        <w:rPr>
          <w:rFonts w:ascii="Arial" w:hAnsi="Arial"/>
          <w:b/>
          <w:bCs/>
          <w:color w:val="000000"/>
          <w:sz w:val="24"/>
          <w:lang w:val="en-GB"/>
        </w:rPr>
        <w:t>completed</w:t>
      </w:r>
      <w:r>
        <w:rPr>
          <w:rFonts w:ascii="Arial" w:hAnsi="Arial"/>
          <w:b/>
          <w:bCs/>
          <w:color w:val="000000"/>
          <w:sz w:val="24"/>
          <w:lang w:val="en-GB"/>
        </w:rPr>
        <w:t xml:space="preserve"> its </w:t>
      </w:r>
      <w:proofErr w:type="gramStart"/>
      <w:r>
        <w:rPr>
          <w:rFonts w:ascii="Arial" w:hAnsi="Arial"/>
          <w:b/>
          <w:bCs/>
          <w:color w:val="000000"/>
          <w:sz w:val="24"/>
          <w:lang w:val="en-GB"/>
        </w:rPr>
        <w:t>two week</w:t>
      </w:r>
      <w:proofErr w:type="gramEnd"/>
      <w:r>
        <w:rPr>
          <w:rFonts w:ascii="Arial" w:hAnsi="Arial"/>
          <w:b/>
          <w:bCs/>
          <w:color w:val="000000"/>
          <w:sz w:val="24"/>
          <w:lang w:val="en-GB"/>
        </w:rPr>
        <w:t xml:space="preserve"> field program of </w:t>
      </w:r>
      <w:r w:rsidRPr="00D8338F">
        <w:rPr>
          <w:rFonts w:ascii="Arial" w:hAnsi="Arial"/>
          <w:b/>
          <w:bCs/>
          <w:color w:val="000000"/>
          <w:sz w:val="24"/>
        </w:rPr>
        <w:t>detail</w:t>
      </w:r>
      <w:r>
        <w:rPr>
          <w:rFonts w:ascii="Arial" w:hAnsi="Arial"/>
          <w:b/>
          <w:bCs/>
          <w:color w:val="000000"/>
          <w:sz w:val="24"/>
        </w:rPr>
        <w:t>ed</w:t>
      </w:r>
      <w:r w:rsidRPr="00D8338F">
        <w:rPr>
          <w:rFonts w:ascii="Arial" w:hAnsi="Arial"/>
          <w:b/>
          <w:bCs/>
          <w:color w:val="000000"/>
          <w:sz w:val="24"/>
        </w:rPr>
        <w:t xml:space="preserve"> geological mapping and rock sampling of known mineral occurrences to verify historical work programs</w:t>
      </w:r>
      <w:r w:rsidR="00343CC8">
        <w:rPr>
          <w:rFonts w:ascii="Arial" w:hAnsi="Arial"/>
          <w:b/>
          <w:bCs/>
          <w:color w:val="000000"/>
          <w:sz w:val="24"/>
        </w:rPr>
        <w:t xml:space="preserve"> on the Jabali concessions</w:t>
      </w:r>
      <w:r>
        <w:rPr>
          <w:rFonts w:ascii="Arial" w:hAnsi="Arial"/>
          <w:b/>
          <w:bCs/>
          <w:color w:val="000000"/>
          <w:sz w:val="24"/>
          <w:lang w:val="en-GB"/>
        </w:rPr>
        <w:t>.</w:t>
      </w:r>
      <w:r w:rsidR="00312574">
        <w:rPr>
          <w:rFonts w:ascii="Arial" w:hAnsi="Arial"/>
          <w:b/>
          <w:bCs/>
          <w:color w:val="000000"/>
          <w:sz w:val="24"/>
          <w:lang w:val="en-GB"/>
        </w:rPr>
        <w:t xml:space="preserve"> </w:t>
      </w:r>
    </w:p>
    <w:p w14:paraId="410F8440" w14:textId="0B517188" w:rsidR="00343CC8" w:rsidRDefault="00343CC8" w:rsidP="003C2890">
      <w:pPr>
        <w:widowControl w:val="0"/>
        <w:autoSpaceDE w:val="0"/>
        <w:autoSpaceDN w:val="0"/>
        <w:adjustRightInd w:val="0"/>
        <w:spacing w:line="239" w:lineRule="auto"/>
        <w:ind w:left="720"/>
        <w:jc w:val="both"/>
        <w:rPr>
          <w:rFonts w:ascii="Arial" w:hAnsi="Arial"/>
          <w:b/>
          <w:bCs/>
          <w:color w:val="000000"/>
          <w:sz w:val="24"/>
          <w:lang w:val="en-GB"/>
        </w:rPr>
      </w:pPr>
    </w:p>
    <w:p w14:paraId="4E7D1F8F" w14:textId="5CEB05BB" w:rsidR="00343CC8" w:rsidRDefault="00343CC8"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In addition, preliminary field work on the San Javier, Pretoria and </w:t>
      </w:r>
      <w:proofErr w:type="spellStart"/>
      <w:r>
        <w:rPr>
          <w:rFonts w:ascii="Arial" w:hAnsi="Arial"/>
          <w:b/>
          <w:bCs/>
          <w:color w:val="000000"/>
          <w:sz w:val="24"/>
          <w:lang w:val="en-GB"/>
        </w:rPr>
        <w:t>Chivitas</w:t>
      </w:r>
      <w:proofErr w:type="spellEnd"/>
      <w:r>
        <w:rPr>
          <w:rFonts w:ascii="Arial" w:hAnsi="Arial"/>
          <w:b/>
          <w:bCs/>
          <w:color w:val="000000"/>
          <w:sz w:val="24"/>
          <w:lang w:val="en-GB"/>
        </w:rPr>
        <w:t xml:space="preserve"> concessions was conducted.  </w:t>
      </w:r>
    </w:p>
    <w:p w14:paraId="55374821" w14:textId="3EAB9D76" w:rsidR="00B22A3C" w:rsidRPr="003C2890" w:rsidRDefault="00312574"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 </w:t>
      </w:r>
    </w:p>
    <w:p w14:paraId="2B78422C" w14:textId="0B588ADD"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A67E37F" w14:textId="2FB8D4B7" w:rsidR="003C2890" w:rsidRDefault="003C2890" w:rsidP="00A41F33">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sidRPr="003C2890">
        <w:rPr>
          <w:rFonts w:ascii="Arial" w:hAnsi="Arial"/>
          <w:b/>
          <w:bCs/>
          <w:color w:val="000000"/>
          <w:sz w:val="24"/>
          <w:lang w:val="en-GB"/>
        </w:rPr>
        <w:t>The Company’s primary business is to identify and acquire mineral properties.  Currently, the Company</w:t>
      </w:r>
      <w:r w:rsidR="007D1442">
        <w:rPr>
          <w:rFonts w:ascii="Arial" w:hAnsi="Arial"/>
          <w:b/>
          <w:bCs/>
          <w:color w:val="000000"/>
          <w:sz w:val="24"/>
          <w:lang w:val="en-GB"/>
        </w:rPr>
        <w:t xml:space="preserve"> has an option to acquire a </w:t>
      </w:r>
      <w:r w:rsidR="007D1442" w:rsidRPr="007D1442">
        <w:rPr>
          <w:rFonts w:ascii="Arial" w:hAnsi="Arial"/>
          <w:b/>
          <w:bCs/>
          <w:color w:val="000000"/>
          <w:sz w:val="24"/>
          <w:lang w:val="en-GB"/>
        </w:rPr>
        <w:t xml:space="preserve">100% interest in the </w:t>
      </w:r>
      <w:r w:rsidR="007D1442" w:rsidRPr="007D1442">
        <w:rPr>
          <w:rFonts w:ascii="Arial" w:hAnsi="Arial"/>
          <w:b/>
          <w:bCs/>
          <w:color w:val="000000"/>
          <w:sz w:val="24"/>
        </w:rPr>
        <w:t xml:space="preserve">group of mining concessions known as the Tarachi project located in the Sierra Madre Gold Belt of Eastern Sonora, Mexico. </w:t>
      </w:r>
      <w:r w:rsidRPr="003C2890">
        <w:rPr>
          <w:rFonts w:ascii="Arial" w:hAnsi="Arial"/>
          <w:b/>
          <w:bCs/>
          <w:color w:val="000000"/>
          <w:sz w:val="24"/>
          <w:lang w:val="en-GB"/>
        </w:rPr>
        <w:t xml:space="preserve"> </w:t>
      </w:r>
    </w:p>
    <w:p w14:paraId="496352BD" w14:textId="2B40DE98" w:rsidR="00D8338F" w:rsidRPr="00D8338F" w:rsidRDefault="00343CC8" w:rsidP="00D8338F">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Pr>
          <w:rFonts w:ascii="Arial" w:hAnsi="Arial"/>
          <w:b/>
          <w:bCs/>
          <w:color w:val="000000"/>
          <w:sz w:val="24"/>
          <w:lang w:val="en-GB"/>
        </w:rPr>
        <w:t>See #1 above for details of developments.</w:t>
      </w:r>
    </w:p>
    <w:p w14:paraId="4034A506" w14:textId="77777777" w:rsidR="00C14C33" w:rsidRPr="003C2890" w:rsidRDefault="00C14C33"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F4733AD" w14:textId="77777777" w:rsidR="00D8338F" w:rsidRDefault="00D8338F"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7AA084B2" w14:textId="7DF52276" w:rsidR="00D8338F" w:rsidRPr="00D8338F" w:rsidRDefault="00343CC8" w:rsidP="00D8338F">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See #1 above for details of programs.</w:t>
      </w:r>
    </w:p>
    <w:p w14:paraId="0C9F2118" w14:textId="38DFBE9E" w:rsidR="00312574" w:rsidRPr="00A41F33" w:rsidRDefault="00A41F33" w:rsidP="00A41F33">
      <w:pPr>
        <w:pStyle w:val="List"/>
        <w:tabs>
          <w:tab w:val="left" w:pos="1670"/>
        </w:tabs>
        <w:spacing w:before="120"/>
        <w:ind w:left="709" w:firstLine="11"/>
        <w:rPr>
          <w:rFonts w:ascii="Arial" w:hAnsi="Arial"/>
          <w:b/>
          <w:bCs/>
          <w:color w:val="000000"/>
        </w:rPr>
      </w:pPr>
      <w:r w:rsidRPr="00A41F33">
        <w:rPr>
          <w:rFonts w:ascii="Arial" w:hAnsi="Arial"/>
          <w:b/>
          <w:bCs/>
          <w:color w:val="000000"/>
        </w:rPr>
        <w:tab/>
      </w:r>
    </w:p>
    <w:p w14:paraId="01FCA1DA" w14:textId="48A82496"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7821E1B" w14:textId="32AAE8BA" w:rsidR="007D1442"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0D8A76D2" w14:textId="77777777" w:rsidR="007D1442" w:rsidRPr="007D1442" w:rsidRDefault="007D1442" w:rsidP="007D1442">
      <w:pPr>
        <w:widowControl w:val="0"/>
        <w:overflowPunct w:val="0"/>
        <w:autoSpaceDE w:val="0"/>
        <w:autoSpaceDN w:val="0"/>
        <w:adjustRightInd w:val="0"/>
        <w:ind w:left="720"/>
        <w:jc w:val="both"/>
        <w:rPr>
          <w:rFonts w:ascii="Arial" w:hAnsi="Arial"/>
          <w:b/>
          <w:bCs/>
          <w:sz w:val="24"/>
          <w:lang w:val="en-GB"/>
        </w:rPr>
      </w:pPr>
    </w:p>
    <w:p w14:paraId="7307E381" w14:textId="77777777" w:rsidR="00640E94" w:rsidRDefault="00640E94" w:rsidP="00A41F33">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2A1E072" w14:textId="005145C3"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8EDEACF"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6A55DE0A"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B3421DC" w14:textId="77777777" w:rsidR="00A41F33" w:rsidRPr="00FE069E" w:rsidRDefault="00A41F33" w:rsidP="00A41F33">
      <w:pPr>
        <w:widowControl w:val="0"/>
        <w:overflowPunct w:val="0"/>
        <w:autoSpaceDE w:val="0"/>
        <w:autoSpaceDN w:val="0"/>
        <w:adjustRightInd w:val="0"/>
        <w:spacing w:before="120"/>
        <w:ind w:left="720"/>
        <w:jc w:val="both"/>
        <w:rPr>
          <w:rFonts w:ascii="Arial" w:hAnsi="Arial"/>
          <w:b/>
          <w:bCs/>
          <w:sz w:val="24"/>
          <w:lang w:val="en-GB"/>
        </w:rPr>
      </w:pP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C061EE" w14:textId="4E2BA97A" w:rsidR="003C2890"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C1187AE" w14:textId="77777777" w:rsidR="00A41F33" w:rsidRDefault="00A41F33" w:rsidP="00A41F33">
      <w:pPr>
        <w:widowControl w:val="0"/>
        <w:overflowPunct w:val="0"/>
        <w:autoSpaceDE w:val="0"/>
        <w:autoSpaceDN w:val="0"/>
        <w:adjustRightInd w:val="0"/>
        <w:ind w:left="720"/>
        <w:jc w:val="both"/>
        <w:rPr>
          <w:rFonts w:ascii="Arial" w:hAnsi="Arial"/>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75DA1FB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70AD3C7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terminations or lay-offs with details of anticipated length of lay-offs.</w:t>
      </w:r>
    </w:p>
    <w:p w14:paraId="6EA3C543" w14:textId="478F20A9"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8E4D660"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5E00F8B0"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DCE5682"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330C31A3" w14:textId="77777777" w:rsidR="00640E94" w:rsidRDefault="00640E94" w:rsidP="00A41F33">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3E60EA1" w14:textId="6B69E823" w:rsidR="003C2890" w:rsidRDefault="003C2890" w:rsidP="00A41F33">
      <w:pPr>
        <w:widowControl w:val="0"/>
        <w:overflowPunct w:val="0"/>
        <w:autoSpaceDE w:val="0"/>
        <w:autoSpaceDN w:val="0"/>
        <w:adjustRightInd w:val="0"/>
        <w:spacing w:before="120"/>
        <w:ind w:left="720"/>
        <w:jc w:val="both"/>
        <w:rPr>
          <w:rFonts w:ascii="Arial" w:hAnsi="Arial"/>
          <w:b/>
          <w:bCs/>
          <w:color w:val="000000"/>
          <w:sz w:val="24"/>
          <w:lang w:val="en-GB"/>
        </w:rPr>
      </w:pPr>
      <w:r w:rsidRPr="003C2890">
        <w:rPr>
          <w:rFonts w:ascii="Arial" w:hAnsi="Arial"/>
          <w:b/>
          <w:bCs/>
          <w:color w:val="000000"/>
          <w:sz w:val="24"/>
          <w:lang w:val="en-GB"/>
        </w:rPr>
        <w:t>None.</w:t>
      </w:r>
    </w:p>
    <w:p w14:paraId="58FB65F3" w14:textId="77777777" w:rsidR="00A41F33" w:rsidRPr="003C2890" w:rsidRDefault="00A41F33" w:rsidP="00A41F33">
      <w:pPr>
        <w:widowControl w:val="0"/>
        <w:overflowPunct w:val="0"/>
        <w:autoSpaceDE w:val="0"/>
        <w:autoSpaceDN w:val="0"/>
        <w:adjustRightInd w:val="0"/>
        <w:ind w:left="720"/>
        <w:jc w:val="both"/>
        <w:rPr>
          <w:rFonts w:ascii="Arial" w:hAnsi="Arial"/>
          <w:b/>
          <w:bCs/>
          <w:color w:val="000000"/>
          <w:sz w:val="24"/>
          <w:lang w:val="en-GB"/>
        </w:rPr>
      </w:pPr>
    </w:p>
    <w:p w14:paraId="54BFF97A" w14:textId="77777777" w:rsidR="00A41F33" w:rsidRDefault="00A41F33" w:rsidP="00A41F33">
      <w:pPr>
        <w:pStyle w:val="List"/>
        <w:spacing w:before="0" w:after="120"/>
        <w:ind w:left="720" w:firstLine="0"/>
        <w:jc w:val="both"/>
        <w:rPr>
          <w:rFonts w:ascii="Arial" w:hAnsi="Arial"/>
        </w:rPr>
      </w:pPr>
      <w:r>
        <w:rPr>
          <w:rFonts w:ascii="Arial" w:hAnsi="Arial"/>
        </w:rPr>
        <w:br w:type="page"/>
      </w:r>
    </w:p>
    <w:p w14:paraId="6DEEBFF2" w14:textId="54E30955" w:rsidR="00640E94" w:rsidRDefault="00640E94" w:rsidP="00A41F33">
      <w:pPr>
        <w:pStyle w:val="List"/>
        <w:numPr>
          <w:ilvl w:val="0"/>
          <w:numId w:val="28"/>
        </w:numPr>
        <w:spacing w:before="0" w:after="120"/>
        <w:jc w:val="both"/>
        <w:rPr>
          <w:rFonts w:ascii="Arial" w:hAnsi="Arial"/>
        </w:rPr>
      </w:pPr>
      <w:r>
        <w:rPr>
          <w:rFonts w:ascii="Arial" w:hAnsi="Arial"/>
        </w:rPr>
        <w:lastRenderedPageBreak/>
        <w:t>Provide details of any securities issued and options or warrants granted.</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8338F" w14:paraId="48E03F8D" w14:textId="77777777" w:rsidTr="00D0164F">
        <w:tc>
          <w:tcPr>
            <w:tcW w:w="1730" w:type="dxa"/>
          </w:tcPr>
          <w:p w14:paraId="51ED75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1DCCC1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53334271"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7088BDA4" w14:textId="77777777" w:rsidR="00D8338F" w:rsidRDefault="00D8338F" w:rsidP="00D0164F">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D8338F" w:rsidRPr="00480CED" w14:paraId="104EC5B4" w14:textId="77777777" w:rsidTr="00D0164F">
        <w:tc>
          <w:tcPr>
            <w:tcW w:w="1730" w:type="dxa"/>
          </w:tcPr>
          <w:p w14:paraId="5DF2F18B" w14:textId="77777777" w:rsidR="00D8338F" w:rsidRPr="00480CED" w:rsidRDefault="00D8338F"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Stock options</w:t>
            </w:r>
          </w:p>
        </w:tc>
        <w:tc>
          <w:tcPr>
            <w:tcW w:w="1276" w:type="dxa"/>
          </w:tcPr>
          <w:p w14:paraId="4C293BDC" w14:textId="79BB715D" w:rsidR="00D8338F" w:rsidRPr="00480CED" w:rsidRDefault="00343CC8"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300</w:t>
            </w:r>
            <w:r w:rsidR="00D8338F">
              <w:rPr>
                <w:rFonts w:ascii="Arial" w:hAnsi="Arial"/>
                <w:sz w:val="20"/>
                <w:szCs w:val="16"/>
              </w:rPr>
              <w:t>,000</w:t>
            </w:r>
          </w:p>
        </w:tc>
        <w:tc>
          <w:tcPr>
            <w:tcW w:w="3402" w:type="dxa"/>
          </w:tcPr>
          <w:p w14:paraId="033C4AE0" w14:textId="39E8DA1A" w:rsidR="00D8338F" w:rsidRDefault="00D8338F" w:rsidP="00D8338F">
            <w:pPr>
              <w:pStyle w:val="List"/>
              <w:tabs>
                <w:tab w:val="left" w:pos="360"/>
              </w:tabs>
              <w:spacing w:before="60" w:after="60" w:line="280" w:lineRule="exact"/>
              <w:ind w:left="40" w:firstLine="0"/>
              <w:rPr>
                <w:rFonts w:ascii="Arial" w:hAnsi="Arial"/>
                <w:sz w:val="20"/>
                <w:szCs w:val="16"/>
              </w:rPr>
            </w:pPr>
            <w:r>
              <w:rPr>
                <w:rFonts w:ascii="Arial" w:hAnsi="Arial"/>
                <w:sz w:val="20"/>
                <w:szCs w:val="16"/>
              </w:rPr>
              <w:t xml:space="preserve">Incentive stock options issued </w:t>
            </w:r>
            <w:r w:rsidR="00661843">
              <w:rPr>
                <w:rFonts w:ascii="Arial" w:hAnsi="Arial"/>
                <w:sz w:val="20"/>
                <w:szCs w:val="16"/>
              </w:rPr>
              <w:t>to consultants</w:t>
            </w:r>
            <w:r>
              <w:rPr>
                <w:rFonts w:ascii="Arial" w:hAnsi="Arial"/>
                <w:sz w:val="20"/>
                <w:szCs w:val="16"/>
              </w:rPr>
              <w:t xml:space="preserve"> of the Company. The stock options vested immediately and are exercisable for one common share at a price of $0.</w:t>
            </w:r>
            <w:r w:rsidR="00343CC8">
              <w:rPr>
                <w:rFonts w:ascii="Arial" w:hAnsi="Arial"/>
                <w:sz w:val="20"/>
                <w:szCs w:val="16"/>
              </w:rPr>
              <w:t>66</w:t>
            </w:r>
            <w:r>
              <w:rPr>
                <w:rFonts w:ascii="Arial" w:hAnsi="Arial"/>
                <w:sz w:val="20"/>
                <w:szCs w:val="16"/>
              </w:rPr>
              <w:t xml:space="preserve"> </w:t>
            </w:r>
            <w:r w:rsidR="00343CC8">
              <w:rPr>
                <w:rFonts w:ascii="Arial" w:hAnsi="Arial"/>
                <w:sz w:val="20"/>
                <w:szCs w:val="16"/>
              </w:rPr>
              <w:t>and expire on July 20, 2025</w:t>
            </w:r>
          </w:p>
          <w:p w14:paraId="64EA4302" w14:textId="76730588" w:rsidR="00D8338F" w:rsidRPr="00480CED" w:rsidRDefault="00D8338F" w:rsidP="00D0164F">
            <w:pPr>
              <w:pStyle w:val="List"/>
              <w:tabs>
                <w:tab w:val="left" w:pos="360"/>
              </w:tabs>
              <w:spacing w:before="60" w:after="60" w:line="280" w:lineRule="exact"/>
              <w:ind w:left="0" w:firstLine="0"/>
              <w:rPr>
                <w:rFonts w:ascii="Arial" w:hAnsi="Arial"/>
                <w:sz w:val="20"/>
                <w:szCs w:val="16"/>
              </w:rPr>
            </w:pPr>
          </w:p>
        </w:tc>
        <w:tc>
          <w:tcPr>
            <w:tcW w:w="2126" w:type="dxa"/>
          </w:tcPr>
          <w:p w14:paraId="0A1986A3" w14:textId="77777777" w:rsidR="00D8338F" w:rsidRPr="00480CED" w:rsidRDefault="00D8338F" w:rsidP="00D0164F">
            <w:pPr>
              <w:pStyle w:val="List"/>
              <w:tabs>
                <w:tab w:val="left" w:pos="360"/>
              </w:tabs>
              <w:spacing w:before="60" w:after="60" w:line="280" w:lineRule="exact"/>
              <w:ind w:left="0" w:firstLine="0"/>
              <w:jc w:val="center"/>
              <w:rPr>
                <w:rFonts w:ascii="Arial" w:hAnsi="Arial"/>
                <w:sz w:val="20"/>
                <w:szCs w:val="16"/>
              </w:rPr>
            </w:pPr>
            <w:r>
              <w:rPr>
                <w:rFonts w:ascii="Arial" w:hAnsi="Arial"/>
                <w:sz w:val="20"/>
                <w:szCs w:val="16"/>
              </w:rPr>
              <w:t>N/A</w:t>
            </w:r>
          </w:p>
        </w:tc>
      </w:tr>
    </w:tbl>
    <w:p w14:paraId="24E9D9FF" w14:textId="77777777" w:rsidR="00D8338F" w:rsidRDefault="00D8338F" w:rsidP="00D8338F">
      <w:pPr>
        <w:pStyle w:val="List"/>
        <w:spacing w:before="0" w:after="120"/>
        <w:jc w:val="both"/>
        <w:rPr>
          <w:rFonts w:ascii="Arial" w:hAnsi="Arial"/>
        </w:rPr>
      </w:pPr>
    </w:p>
    <w:p w14:paraId="5AF5D350" w14:textId="219F32F3" w:rsidR="00640E94" w:rsidRDefault="00640E94" w:rsidP="00A41F33">
      <w:pPr>
        <w:pStyle w:val="List"/>
        <w:numPr>
          <w:ilvl w:val="0"/>
          <w:numId w:val="29"/>
        </w:numPr>
        <w:tabs>
          <w:tab w:val="left" w:pos="360"/>
        </w:tabs>
        <w:spacing w:before="120"/>
        <w:ind w:left="993" w:hanging="284"/>
        <w:jc w:val="both"/>
        <w:rPr>
          <w:rFonts w:ascii="Arial" w:hAnsi="Arial"/>
          <w:i/>
          <w:sz w:val="20"/>
        </w:rPr>
      </w:pPr>
      <w:r w:rsidRPr="00A41F33">
        <w:rPr>
          <w:rFonts w:ascii="Arial" w:hAnsi="Arial"/>
          <w:i/>
          <w:sz w:val="20"/>
        </w:rPr>
        <w:t>State aggregate proceeds and intended allocation of proceeds.</w:t>
      </w:r>
    </w:p>
    <w:p w14:paraId="3921D990" w14:textId="77777777" w:rsidR="00A41F33" w:rsidRDefault="00A41F33" w:rsidP="00A41F33">
      <w:pPr>
        <w:pStyle w:val="List"/>
        <w:keepNext/>
        <w:keepLines/>
        <w:spacing w:before="0"/>
        <w:ind w:left="720" w:firstLine="0"/>
        <w:jc w:val="both"/>
        <w:rPr>
          <w:rFonts w:ascii="Arial" w:hAnsi="Arial"/>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62A43717"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7777777"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4B76D4A5" w14:textId="28D515DD" w:rsidR="00312574" w:rsidRDefault="00340DF7" w:rsidP="00340DF7">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11B499BA" w14:textId="77777777" w:rsidR="00340DF7" w:rsidRPr="00FE069E" w:rsidRDefault="00340DF7"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39FB286" w14:textId="77777777" w:rsidR="003C2890" w:rsidRPr="003C2890" w:rsidRDefault="003C2890" w:rsidP="00340DF7">
      <w:pPr>
        <w:widowControl w:val="0"/>
        <w:overflowPunct w:val="0"/>
        <w:autoSpaceDE w:val="0"/>
        <w:autoSpaceDN w:val="0"/>
        <w:adjustRightInd w:val="0"/>
        <w:spacing w:before="120"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3EB085D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43CC8">
        <w:rPr>
          <w:rFonts w:ascii="Arial" w:hAnsi="Arial"/>
          <w:b/>
          <w:bCs/>
          <w:color w:val="000000"/>
          <w:u w:val="single"/>
        </w:rPr>
        <w:t>August 10</w:t>
      </w:r>
      <w:r w:rsidR="00116B8B">
        <w:rPr>
          <w:rFonts w:ascii="Arial" w:hAnsi="Arial"/>
          <w:b/>
          <w:bCs/>
          <w:color w:val="000000"/>
          <w:u w:val="single"/>
        </w:rPr>
        <w:t>,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7BF880EF" w14:textId="77777777" w:rsidR="005408BD" w:rsidRDefault="005408BD" w:rsidP="003C2890">
            <w:pPr>
              <w:pStyle w:val="BodyText"/>
              <w:spacing w:before="0"/>
              <w:rPr>
                <w:rFonts w:ascii="Arial" w:hAnsi="Arial"/>
                <w:b/>
                <w:bCs/>
                <w:color w:val="000000"/>
                <w:u w:val="single"/>
                <w:lang w:val="en-US"/>
              </w:rPr>
            </w:pPr>
            <w:r w:rsidRPr="005408BD">
              <w:rPr>
                <w:rFonts w:ascii="Arial" w:hAnsi="Arial"/>
                <w:b/>
                <w:bCs/>
                <w:color w:val="000000"/>
                <w:u w:val="single"/>
                <w:lang w:val="en-US"/>
              </w:rPr>
              <w:t xml:space="preserve">Tarachi Gold Corp. </w:t>
            </w:r>
          </w:p>
          <w:p w14:paraId="07368C7C" w14:textId="7A7880F7" w:rsidR="00640E94" w:rsidRDefault="005408BD" w:rsidP="003C2890">
            <w:pPr>
              <w:pStyle w:val="BodyText"/>
              <w:spacing w:before="0"/>
              <w:rPr>
                <w:rFonts w:ascii="Arial" w:hAnsi="Arial"/>
              </w:rPr>
            </w:pPr>
            <w:r w:rsidRPr="005408BD">
              <w:rPr>
                <w:rFonts w:ascii="Arial" w:hAnsi="Arial"/>
                <w:b/>
                <w:bCs/>
                <w:color w:val="000000"/>
                <w:u w:val="single"/>
                <w:lang w:val="en-US"/>
              </w:rPr>
              <w:t>(formerly Kal Minerals Corp.)</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7FB3DF73" w14:textId="1316D626" w:rsidR="003C2890" w:rsidRPr="003C2890" w:rsidRDefault="00D8338F">
            <w:pPr>
              <w:pStyle w:val="BodyText"/>
              <w:spacing w:before="0"/>
              <w:rPr>
                <w:rFonts w:ascii="Arial" w:hAnsi="Arial"/>
                <w:b/>
                <w:bCs/>
                <w:color w:val="000000"/>
              </w:rPr>
            </w:pPr>
            <w:r>
              <w:rPr>
                <w:rFonts w:ascii="Arial" w:hAnsi="Arial"/>
                <w:b/>
                <w:bCs/>
                <w:color w:val="000000"/>
              </w:rPr>
              <w:t>Ju</w:t>
            </w:r>
            <w:r w:rsidR="00343CC8">
              <w:rPr>
                <w:rFonts w:ascii="Arial" w:hAnsi="Arial"/>
                <w:b/>
                <w:bCs/>
                <w:color w:val="000000"/>
              </w:rPr>
              <w:t>ly</w:t>
            </w:r>
            <w:r w:rsidR="009D292E">
              <w:rPr>
                <w:rFonts w:ascii="Arial" w:hAnsi="Arial"/>
                <w:b/>
                <w:bCs/>
                <w:color w:val="000000"/>
              </w:rPr>
              <w:t xml:space="preserve"> 2020</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43890129"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343CC8">
              <w:rPr>
                <w:rFonts w:ascii="Arial" w:hAnsi="Arial"/>
                <w:b/>
                <w:bCs/>
                <w:color w:val="000000"/>
              </w:rPr>
              <w:t>8</w:t>
            </w:r>
            <w:r w:rsidR="003C2890" w:rsidRPr="003C2890">
              <w:rPr>
                <w:rFonts w:ascii="Arial" w:hAnsi="Arial"/>
                <w:b/>
                <w:bCs/>
                <w:color w:val="000000"/>
              </w:rPr>
              <w:t>/</w:t>
            </w:r>
            <w:r w:rsidR="00343CC8">
              <w:rPr>
                <w:rFonts w:ascii="Arial" w:hAnsi="Arial"/>
                <w:b/>
                <w:bCs/>
                <w:color w:val="000000"/>
              </w:rPr>
              <w:t>10</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12574"/>
    <w:rsid w:val="00340DF7"/>
    <w:rsid w:val="00343CC8"/>
    <w:rsid w:val="003669A9"/>
    <w:rsid w:val="00371A64"/>
    <w:rsid w:val="00387FA8"/>
    <w:rsid w:val="003C2890"/>
    <w:rsid w:val="00470D5E"/>
    <w:rsid w:val="004F4E56"/>
    <w:rsid w:val="005408BD"/>
    <w:rsid w:val="005453C8"/>
    <w:rsid w:val="005A51DF"/>
    <w:rsid w:val="005B1EBB"/>
    <w:rsid w:val="005F6D8F"/>
    <w:rsid w:val="00620E7F"/>
    <w:rsid w:val="00633ED3"/>
    <w:rsid w:val="00635E9A"/>
    <w:rsid w:val="00640E94"/>
    <w:rsid w:val="00661843"/>
    <w:rsid w:val="006620AE"/>
    <w:rsid w:val="006D1A06"/>
    <w:rsid w:val="006F34FA"/>
    <w:rsid w:val="00773AE9"/>
    <w:rsid w:val="007D1442"/>
    <w:rsid w:val="0082181B"/>
    <w:rsid w:val="008B7E92"/>
    <w:rsid w:val="008E3A38"/>
    <w:rsid w:val="009049F6"/>
    <w:rsid w:val="00922A46"/>
    <w:rsid w:val="00984AA6"/>
    <w:rsid w:val="009D292E"/>
    <w:rsid w:val="00A41F33"/>
    <w:rsid w:val="00A47914"/>
    <w:rsid w:val="00B030CB"/>
    <w:rsid w:val="00B22A3C"/>
    <w:rsid w:val="00C14C33"/>
    <w:rsid w:val="00C27A18"/>
    <w:rsid w:val="00C6383E"/>
    <w:rsid w:val="00D62A50"/>
    <w:rsid w:val="00D6532D"/>
    <w:rsid w:val="00D8338F"/>
    <w:rsid w:val="00DD123F"/>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2019-11-01T18:01:00Z</cp:lastPrinted>
  <dcterms:created xsi:type="dcterms:W3CDTF">2020-08-11T04:46:00Z</dcterms:created>
  <dcterms:modified xsi:type="dcterms:W3CDTF">2020-08-11T04:46:00Z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