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w:t>
      </w:r>
      <w:proofErr w:type="gramStart"/>
      <w:r>
        <w:rPr>
          <w:sz w:val="28"/>
          <w:u w:val="single"/>
          <w:lang w:val="en-CA"/>
        </w:rPr>
        <w:t>or</w:t>
      </w:r>
      <w:proofErr w:type="gramEnd"/>
      <w:r>
        <w:rPr>
          <w:sz w:val="28"/>
          <w:u w:val="single"/>
          <w:lang w:val="en-CA"/>
        </w:rPr>
        <w:t xml:space="preserve">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33"/>
        <w:gridCol w:w="3017"/>
      </w:tblGrid>
      <w:tr w:rsidR="00840B45" w:rsidTr="00840B45">
        <w:tc>
          <w:tcPr>
            <w:tcW w:w="6487" w:type="dxa"/>
          </w:tcPr>
          <w:p w:rsidR="00840B45" w:rsidRDefault="00C203EE" w:rsidP="00840B45">
            <w:pPr>
              <w:pStyle w:val="BodyText"/>
              <w:jc w:val="right"/>
              <w:rPr>
                <w:rFonts w:ascii="Arial" w:hAnsi="Arial"/>
                <w:lang w:val="en-CA"/>
              </w:rPr>
            </w:pPr>
            <w:r w:rsidRPr="00C203EE">
              <w:rPr>
                <w:rFonts w:ascii="Arial" w:hAnsi="Arial"/>
                <w:b/>
                <w:lang w:val="en-CA"/>
              </w:rPr>
              <w:t>Wildflower Brands Inc.</w:t>
            </w:r>
            <w:r>
              <w:rPr>
                <w:rFonts w:ascii="Arial" w:hAnsi="Arial"/>
                <w:lang w:val="en-CA"/>
              </w:rPr>
              <w:t xml:space="preserve"> </w:t>
            </w:r>
            <w:r w:rsidR="00840B45">
              <w:rPr>
                <w:rFonts w:ascii="Arial" w:hAnsi="Arial"/>
                <w:lang w:val="en-CA"/>
              </w:rPr>
              <w:t xml:space="preserve">(the “Issuer”).  </w:t>
            </w:r>
          </w:p>
        </w:tc>
        <w:tc>
          <w:tcPr>
            <w:tcW w:w="3089" w:type="dxa"/>
          </w:tcPr>
          <w:p w:rsidR="00840B45" w:rsidRPr="00C203EE" w:rsidRDefault="00C203EE">
            <w:pPr>
              <w:pStyle w:val="BodyText"/>
              <w:rPr>
                <w:rFonts w:ascii="Arial" w:hAnsi="Arial"/>
                <w:b/>
                <w:lang w:val="en-CA"/>
              </w:rPr>
            </w:pPr>
            <w:r w:rsidRPr="00C203EE">
              <w:rPr>
                <w:rFonts w:ascii="Arial" w:hAnsi="Arial"/>
                <w:b/>
                <w:lang w:val="en-CA"/>
              </w:rPr>
              <w:t>SUN</w:t>
            </w:r>
          </w:p>
        </w:tc>
      </w:tr>
    </w:tbl>
    <w:p w:rsidR="0030164C" w:rsidRDefault="00EA4133" w:rsidP="00B64262">
      <w:pPr>
        <w:pStyle w:val="BodyText"/>
        <w:tabs>
          <w:tab w:val="left" w:pos="720"/>
          <w:tab w:val="left" w:pos="1440"/>
          <w:tab w:val="left" w:pos="2160"/>
          <w:tab w:val="left" w:pos="2880"/>
          <w:tab w:val="center" w:pos="4680"/>
        </w:tabs>
        <w:spacing w:after="240"/>
        <w:rPr>
          <w:rFonts w:ascii="Arial" w:hAnsi="Arial"/>
          <w:u w:val="single"/>
          <w:lang w:val="en-CA"/>
        </w:rPr>
      </w:pPr>
      <w:r>
        <w:rPr>
          <w:rFonts w:ascii="Arial" w:hAnsi="Arial"/>
          <w:lang w:val="en-CA"/>
        </w:rPr>
        <w:t xml:space="preserve">Date:  </w:t>
      </w:r>
      <w:r>
        <w:rPr>
          <w:rFonts w:ascii="Arial" w:hAnsi="Arial"/>
          <w:u w:val="single"/>
          <w:lang w:val="en-CA"/>
        </w:rPr>
        <w:tab/>
      </w:r>
      <w:r w:rsidR="00C203EE" w:rsidRPr="00E306C6">
        <w:rPr>
          <w:rFonts w:ascii="Arial" w:hAnsi="Arial"/>
          <w:u w:val="single"/>
          <w:lang w:val="en-CA"/>
        </w:rPr>
        <w:t xml:space="preserve">April </w:t>
      </w:r>
      <w:r w:rsidR="00084F96" w:rsidRPr="00E306C6">
        <w:rPr>
          <w:rFonts w:ascii="Arial" w:hAnsi="Arial"/>
          <w:u w:val="single"/>
          <w:lang w:val="en-CA"/>
        </w:rPr>
        <w:t>1</w:t>
      </w:r>
      <w:r w:rsidR="00EF3F90">
        <w:rPr>
          <w:rFonts w:ascii="Arial" w:hAnsi="Arial"/>
          <w:u w:val="single"/>
          <w:lang w:val="en-CA"/>
        </w:rPr>
        <w:t>2</w:t>
      </w:r>
      <w:r w:rsidR="00C203EE" w:rsidRPr="00E306C6">
        <w:rPr>
          <w:rFonts w:ascii="Arial" w:hAnsi="Arial"/>
          <w:u w:val="single"/>
          <w:lang w:val="en-CA"/>
        </w:rPr>
        <w:t>, 2019</w:t>
      </w:r>
      <w:r>
        <w:rPr>
          <w:rFonts w:ascii="Arial" w:hAnsi="Arial"/>
          <w:u w:val="single"/>
          <w:lang w:val="en-CA"/>
        </w:rPr>
        <w:tab/>
      </w:r>
      <w:r w:rsidR="00B64262">
        <w:rPr>
          <w:rFonts w:ascii="Arial" w:hAnsi="Arial"/>
          <w:u w:val="single"/>
          <w:lang w:val="en-CA"/>
        </w:rPr>
        <w:tab/>
      </w:r>
    </w:p>
    <w:p w:rsidR="00EA4133" w:rsidRDefault="00EA4133" w:rsidP="00840B45">
      <w:pPr>
        <w:pStyle w:val="BodyText"/>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30164C" w:rsidRPr="00037D8F">
        <w:rPr>
          <w:rFonts w:ascii="Arial" w:hAnsi="Arial"/>
          <w:lang w:val="en-CA"/>
        </w:rPr>
        <w:t>[X]</w:t>
      </w:r>
      <w:r w:rsidR="0030164C">
        <w:rPr>
          <w:rFonts w:ascii="Arial" w:hAnsi="Arial"/>
          <w:lang w:val="en-CA"/>
        </w:rPr>
        <w:t xml:space="preserve"> </w:t>
      </w:r>
      <w:proofErr w:type="gramStart"/>
      <w:r>
        <w:rPr>
          <w:rFonts w:ascii="Arial" w:hAnsi="Arial"/>
          <w:lang w:val="en-CA"/>
        </w:rPr>
        <w:t>No</w:t>
      </w:r>
      <w:proofErr w:type="gramEnd"/>
      <w:r>
        <w:rPr>
          <w:rFonts w:ascii="Arial" w:hAnsi="Arial"/>
          <w:sz w:val="32"/>
          <w:lang w:val="en-CA"/>
        </w:rPr>
        <w:tab/>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If yes provide date(s) of prior Notices:  </w:t>
      </w:r>
      <w:r w:rsidR="00C203EE" w:rsidRPr="00E306C6">
        <w:rPr>
          <w:rFonts w:ascii="Arial" w:hAnsi="Arial"/>
          <w:u w:val="single"/>
          <w:lang w:val="en-CA"/>
        </w:rPr>
        <w:t>N/A</w:t>
      </w:r>
      <w:r w:rsidR="00E306C6">
        <w:rPr>
          <w:rFonts w:ascii="Arial" w:hAnsi="Arial"/>
          <w:u w:val="single"/>
          <w:lang w:val="en-CA"/>
        </w:rPr>
        <w:t xml:space="preserve">                             </w:t>
      </w:r>
      <w:r w:rsidRPr="00E306C6">
        <w:rPr>
          <w:rFonts w:ascii="Arial" w:hAnsi="Arial"/>
          <w:lang w:val="en-CA"/>
        </w:rPr>
        <w:t>.</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C203EE" w:rsidRPr="00E306C6">
        <w:rPr>
          <w:rFonts w:ascii="Arial" w:hAnsi="Arial"/>
          <w:u w:val="single"/>
          <w:lang w:val="en-CA"/>
        </w:rPr>
        <w:t>67,802,791</w:t>
      </w:r>
      <w:r w:rsidRPr="00E306C6">
        <w:rPr>
          <w:rFonts w:ascii="Arial" w:hAnsi="Arial"/>
          <w:u w:val="single"/>
          <w:lang w:val="en-CA"/>
        </w:rPr>
        <w:t xml:space="preserve"> </w:t>
      </w:r>
      <w:r w:rsidR="002815DC" w:rsidRPr="00E306C6">
        <w:rPr>
          <w:rFonts w:ascii="Arial" w:hAnsi="Arial"/>
          <w:u w:val="single"/>
          <w:lang w:val="en-CA"/>
        </w:rPr>
        <w:t>common</w:t>
      </w:r>
      <w:r w:rsidR="002815DC" w:rsidRPr="00E306C6">
        <w:rPr>
          <w:rFonts w:ascii="Arial" w:hAnsi="Arial"/>
          <w:lang w:val="en-CA"/>
        </w:rPr>
        <w:t xml:space="preserve"> </w:t>
      </w:r>
      <w:r w:rsidR="002815DC" w:rsidRPr="00E306C6">
        <w:rPr>
          <w:rFonts w:ascii="Arial" w:hAnsi="Arial"/>
          <w:u w:val="single"/>
          <w:lang w:val="en-CA"/>
        </w:rPr>
        <w:t>shares</w:t>
      </w:r>
      <w:r w:rsidR="00037D8F">
        <w:rPr>
          <w:rFonts w:ascii="Arial" w:hAnsi="Arial"/>
          <w:b/>
          <w:u w:val="single"/>
          <w:lang w:val="en-CA"/>
        </w:rPr>
        <w:t xml:space="preserve">                                   </w:t>
      </w:r>
      <w:r w:rsidR="00DB6962" w:rsidRPr="00E306C6">
        <w:rPr>
          <w:rFonts w:ascii="Arial" w:hAnsi="Arial"/>
          <w:u w:val="single"/>
          <w:lang w:val="en-CA"/>
        </w:rPr>
        <w:t xml:space="preserve">   </w:t>
      </w:r>
      <w:r w:rsidR="00460218" w:rsidRPr="00E306C6">
        <w:rPr>
          <w:rFonts w:ascii="Arial" w:hAnsi="Arial"/>
          <w:u w:val="single"/>
          <w:lang w:val="en-CA"/>
        </w:rPr>
        <w:t xml:space="preserve">                                                  </w:t>
      </w:r>
      <w:r w:rsidR="00DB6962" w:rsidRPr="00E306C6">
        <w:rPr>
          <w:rFonts w:ascii="Arial" w:hAnsi="Arial"/>
          <w:u w:val="single"/>
          <w:lang w:val="en-CA"/>
        </w:rPr>
        <w:t xml:space="preserve">                           </w:t>
      </w:r>
      <w:r w:rsidRPr="0015033F">
        <w:rPr>
          <w:rFonts w:ascii="Arial" w:hAnsi="Arial"/>
          <w:u w:val="single"/>
          <w:lang w:val="en-CA"/>
        </w:rPr>
        <w:t>.</w:t>
      </w:r>
    </w:p>
    <w:p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r>
      <w:r w:rsidR="00E306C6">
        <w:rPr>
          <w:rFonts w:ascii="Arial" w:hAnsi="Arial"/>
          <w:u w:val="single"/>
          <w:lang w:val="en-CA"/>
        </w:rPr>
        <w:t xml:space="preserve">     </w:t>
      </w:r>
      <w:r w:rsidR="00084F96" w:rsidRPr="00E306C6">
        <w:rPr>
          <w:rFonts w:ascii="Arial" w:hAnsi="Arial"/>
          <w:u w:val="single"/>
          <w:lang w:val="en-CA"/>
        </w:rPr>
        <w:t>April 9, 2019</w:t>
      </w:r>
      <w:r w:rsidR="00E306C6">
        <w:rPr>
          <w:rFonts w:ascii="Arial" w:hAnsi="Arial"/>
          <w:u w:val="single"/>
          <w:lang w:val="en-CA"/>
        </w:rPr>
        <w:t xml:space="preserve">         </w:t>
      </w:r>
      <w:r w:rsidR="00840B45">
        <w:rPr>
          <w:rFonts w:ascii="Arial" w:hAnsi="Arial"/>
          <w:u w:val="single"/>
          <w:lang w:val="en-CA"/>
        </w:rPr>
        <w:t xml:space="preserve">  </w:t>
      </w:r>
      <w:r w:rsidR="00840B45">
        <w:rPr>
          <w:rFonts w:ascii="Arial" w:hAnsi="Arial"/>
          <w:lang w:val="en-CA"/>
        </w:rPr>
        <w:t xml:space="preserve"> or</w:t>
      </w:r>
    </w:p>
    <w:p w:rsidR="00840B45" w:rsidRDefault="00840B45" w:rsidP="00C10A32">
      <w:pPr>
        <w:pStyle w:val="BodyText"/>
        <w:tabs>
          <w:tab w:val="left" w:pos="9180"/>
        </w:tabs>
        <w:spacing w:before="0" w:after="120"/>
        <w:rPr>
          <w:rFonts w:ascii="Arial" w:hAnsi="Arial"/>
          <w:lang w:val="en-CA"/>
        </w:rPr>
      </w:pPr>
      <w:r>
        <w:rPr>
          <w:rFonts w:ascii="Arial" w:hAnsi="Arial"/>
          <w:lang w:val="en-CA"/>
        </w:rPr>
        <w:t>Date of confidential request f</w:t>
      </w:r>
      <w:r w:rsidR="00E306C6">
        <w:rPr>
          <w:rFonts w:ascii="Arial" w:hAnsi="Arial"/>
          <w:lang w:val="en-CA"/>
        </w:rPr>
        <w:t xml:space="preserve">or price protection: </w:t>
      </w:r>
      <w:r w:rsidR="00E306C6">
        <w:rPr>
          <w:rFonts w:ascii="Arial" w:hAnsi="Arial"/>
          <w:lang w:val="en-CA"/>
        </w:rPr>
        <w:softHyphen/>
      </w:r>
      <w:r w:rsidR="00E306C6">
        <w:rPr>
          <w:rFonts w:ascii="Arial" w:hAnsi="Arial"/>
          <w:lang w:val="en-CA"/>
        </w:rPr>
        <w:softHyphen/>
      </w:r>
      <w:r w:rsidR="00E306C6">
        <w:rPr>
          <w:rFonts w:ascii="Arial" w:hAnsi="Arial"/>
          <w:lang w:val="en-CA"/>
        </w:rPr>
        <w:softHyphen/>
      </w:r>
      <w:r w:rsidR="00E306C6">
        <w:rPr>
          <w:rFonts w:ascii="Arial" w:hAnsi="Arial"/>
          <w:lang w:val="en-CA"/>
        </w:rPr>
        <w:softHyphen/>
      </w:r>
      <w:r w:rsidR="00E306C6">
        <w:rPr>
          <w:rFonts w:ascii="Arial" w:hAnsi="Arial"/>
          <w:lang w:val="en-CA"/>
        </w:rPr>
        <w:softHyphen/>
      </w:r>
      <w:r w:rsidR="00E306C6">
        <w:rPr>
          <w:rFonts w:ascii="Arial" w:hAnsi="Arial"/>
          <w:lang w:val="en-CA"/>
        </w:rPr>
        <w:softHyphen/>
      </w:r>
      <w:r w:rsidR="00E306C6">
        <w:rPr>
          <w:rFonts w:ascii="Arial" w:hAnsi="Arial"/>
          <w:lang w:val="en-CA"/>
        </w:rPr>
        <w:softHyphen/>
      </w:r>
      <w:r w:rsidR="00E306C6">
        <w:rPr>
          <w:rFonts w:ascii="Arial" w:hAnsi="Arial"/>
          <w:lang w:val="en-CA"/>
        </w:rPr>
        <w:softHyphen/>
      </w:r>
      <w:r w:rsidR="00E306C6">
        <w:rPr>
          <w:rFonts w:ascii="Arial" w:hAnsi="Arial"/>
          <w:lang w:val="en-CA"/>
        </w:rPr>
        <w:softHyphen/>
      </w:r>
      <w:r w:rsidR="00084F96" w:rsidRPr="00E306C6">
        <w:rPr>
          <w:rFonts w:ascii="Arial" w:hAnsi="Arial"/>
          <w:u w:val="single"/>
          <w:lang w:val="en-CA"/>
        </w:rPr>
        <w:t>N/</w:t>
      </w:r>
      <w:r w:rsidR="00E306C6">
        <w:rPr>
          <w:rFonts w:ascii="Arial" w:hAnsi="Arial"/>
          <w:u w:val="single"/>
          <w:lang w:val="en-CA"/>
        </w:rPr>
        <w:t xml:space="preserve">A                                         .                  </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084F96" w:rsidRPr="00E306C6">
        <w:rPr>
          <w:rFonts w:ascii="Arial" w:hAnsi="Arial"/>
          <w:u w:val="single"/>
          <w:lang w:val="en-CA"/>
        </w:rPr>
        <w:t>$0.93</w:t>
      </w:r>
      <w:r w:rsidR="00E306C6">
        <w:rPr>
          <w:rFonts w:ascii="Arial" w:hAnsi="Arial"/>
          <w:u w:val="single"/>
          <w:lang w:val="en-CA"/>
        </w:rPr>
        <w:t xml:space="preserve">      </w:t>
      </w:r>
      <w:r w:rsidR="00840B45">
        <w:rPr>
          <w:rFonts w:ascii="Arial" w:hAnsi="Arial"/>
          <w:lang w:val="en-CA"/>
        </w:rPr>
        <w:t xml:space="preserve"> or</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00084F96" w:rsidRPr="00E306C6">
        <w:rPr>
          <w:rFonts w:ascii="Arial" w:hAnsi="Arial"/>
          <w:u w:val="single"/>
          <w:lang w:val="en-CA"/>
        </w:rPr>
        <w:t>N/A</w:t>
      </w:r>
      <w:r w:rsidR="00E306C6">
        <w:rPr>
          <w:rFonts w:ascii="Arial" w:hAnsi="Arial"/>
          <w:u w:val="single"/>
          <w:lang w:val="en-CA"/>
        </w:rPr>
        <w:t xml:space="preserve">              .</w:t>
      </w:r>
    </w:p>
    <w:p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rsidR="00840B45" w:rsidRPr="00120E52" w:rsidRDefault="00840B45" w:rsidP="00C10A32">
      <w:pPr>
        <w:pStyle w:val="BodyText"/>
        <w:tabs>
          <w:tab w:val="left" w:pos="9180"/>
        </w:tabs>
        <w:spacing w:before="0" w:after="120"/>
        <w:rPr>
          <w:rFonts w:ascii="Arial" w:hAnsi="Arial"/>
          <w:lang w:val="en-CA"/>
        </w:rPr>
      </w:pPr>
      <w:r>
        <w:rPr>
          <w:rFonts w:ascii="Arial" w:hAnsi="Arial"/>
          <w:lang w:val="en-CA"/>
        </w:rPr>
        <w:t>Number of securities to be issued:</w:t>
      </w:r>
      <w:r w:rsidR="00084F96">
        <w:rPr>
          <w:rFonts w:ascii="Arial" w:hAnsi="Arial"/>
          <w:lang w:val="en-CA"/>
        </w:rPr>
        <w:t xml:space="preserve">  </w:t>
      </w:r>
      <w:r w:rsidR="003631B5" w:rsidRPr="00E306C6">
        <w:rPr>
          <w:rFonts w:ascii="Arial" w:hAnsi="Arial"/>
          <w:u w:val="single"/>
          <w:lang w:val="en-CA"/>
        </w:rPr>
        <w:t>The Issuer entered into a non-binding letter of inte</w:t>
      </w:r>
      <w:r w:rsidR="00037D8F">
        <w:rPr>
          <w:rFonts w:ascii="Arial" w:hAnsi="Arial"/>
          <w:u w:val="single"/>
          <w:lang w:val="en-CA"/>
        </w:rPr>
        <w:t>nt to acquire City Cannabis Co</w:t>
      </w:r>
      <w:r w:rsidR="001F4E9C">
        <w:rPr>
          <w:rFonts w:ascii="Arial" w:hAnsi="Arial"/>
          <w:u w:val="single"/>
          <w:lang w:val="en-CA"/>
        </w:rPr>
        <w:t>rp</w:t>
      </w:r>
      <w:r w:rsidR="003631B5" w:rsidRPr="00E306C6">
        <w:rPr>
          <w:rFonts w:ascii="Arial" w:hAnsi="Arial"/>
          <w:u w:val="single"/>
          <w:lang w:val="en-CA"/>
        </w:rPr>
        <w:t>.</w:t>
      </w:r>
      <w:r w:rsidR="00037D8F">
        <w:rPr>
          <w:rFonts w:ascii="Arial" w:hAnsi="Arial"/>
          <w:u w:val="single"/>
          <w:lang w:val="en-CA"/>
        </w:rPr>
        <w:t xml:space="preserve"> (“City</w:t>
      </w:r>
      <w:r w:rsidR="00A94771">
        <w:rPr>
          <w:rFonts w:ascii="Arial" w:hAnsi="Arial"/>
          <w:u w:val="single"/>
          <w:lang w:val="en-CA"/>
        </w:rPr>
        <w:t xml:space="preserve"> Cannabis</w:t>
      </w:r>
      <w:r w:rsidR="00037D8F">
        <w:rPr>
          <w:rFonts w:ascii="Arial" w:hAnsi="Arial"/>
          <w:u w:val="single"/>
          <w:lang w:val="en-CA"/>
        </w:rPr>
        <w:t>”)</w:t>
      </w:r>
      <w:r w:rsidR="003631B5" w:rsidRPr="00E306C6">
        <w:rPr>
          <w:rFonts w:ascii="Arial" w:hAnsi="Arial"/>
          <w:u w:val="single"/>
          <w:lang w:val="en-CA"/>
        </w:rPr>
        <w:t xml:space="preserve"> for </w:t>
      </w:r>
      <w:r w:rsidR="00084F96" w:rsidRPr="00E306C6">
        <w:rPr>
          <w:rFonts w:ascii="Arial" w:hAnsi="Arial"/>
          <w:u w:val="single"/>
          <w:lang w:val="en-CA"/>
        </w:rPr>
        <w:t>60,000,000 common shares (“Common Shares”) of the Issuer at a deemed price of $0.75 per Common</w:t>
      </w:r>
      <w:r w:rsidR="003631B5" w:rsidRPr="00E306C6">
        <w:rPr>
          <w:rFonts w:ascii="Arial" w:hAnsi="Arial"/>
          <w:u w:val="single"/>
          <w:lang w:val="en-CA"/>
        </w:rPr>
        <w:t xml:space="preserve"> Share for aggregate consideration of $45,000,000</w:t>
      </w:r>
      <w:r w:rsidR="003631B5" w:rsidRPr="0015033F">
        <w:rPr>
          <w:rFonts w:ascii="Arial" w:hAnsi="Arial"/>
          <w:u w:val="single"/>
          <w:lang w:val="en-CA"/>
        </w:rPr>
        <w:t xml:space="preserve">. </w:t>
      </w:r>
      <w:r w:rsidR="003631B5">
        <w:rPr>
          <w:rFonts w:ascii="Arial" w:hAnsi="Arial"/>
          <w:b/>
          <w:u w:val="single"/>
          <w:lang w:val="en-CA"/>
        </w:rPr>
        <w:t xml:space="preserve"> </w:t>
      </w:r>
      <w:r w:rsidR="00DB6962">
        <w:rPr>
          <w:rFonts w:ascii="Arial" w:hAnsi="Arial"/>
          <w:b/>
          <w:u w:val="single"/>
          <w:lang w:val="en-CA"/>
        </w:rPr>
        <w:t xml:space="preserve">        </w:t>
      </w:r>
      <w:r w:rsidR="00460218">
        <w:rPr>
          <w:rFonts w:ascii="Arial" w:hAnsi="Arial"/>
          <w:b/>
          <w:u w:val="single"/>
          <w:lang w:val="en-CA"/>
        </w:rPr>
        <w:t xml:space="preserve">             </w:t>
      </w:r>
      <w:r w:rsidR="00DB6962">
        <w:rPr>
          <w:rFonts w:ascii="Arial" w:hAnsi="Arial"/>
          <w:b/>
          <w:u w:val="single"/>
          <w:lang w:val="en-CA"/>
        </w:rPr>
        <w:t xml:space="preserve">         </w:t>
      </w:r>
      <w:r w:rsidR="003631B5">
        <w:rPr>
          <w:rFonts w:ascii="Arial" w:hAnsi="Arial"/>
          <w:b/>
          <w:u w:val="single"/>
          <w:lang w:val="en-CA"/>
        </w:rPr>
        <w:t xml:space="preserve">                             </w:t>
      </w:r>
    </w:p>
    <w:p w:rsidR="00840B45" w:rsidRPr="003631B5" w:rsidRDefault="00840B45" w:rsidP="00C10A32">
      <w:pPr>
        <w:pStyle w:val="BodyText"/>
        <w:tabs>
          <w:tab w:val="left" w:pos="9180"/>
        </w:tabs>
        <w:spacing w:before="0" w:after="120"/>
        <w:rPr>
          <w:rFonts w:ascii="Arial" w:hAnsi="Arial"/>
          <w:b/>
          <w:u w:val="single"/>
          <w:lang w:val="en-CA"/>
        </w:rPr>
      </w:pPr>
      <w:r>
        <w:rPr>
          <w:rFonts w:ascii="Arial" w:hAnsi="Arial"/>
          <w:lang w:val="en-CA"/>
        </w:rPr>
        <w:t>Issued and outstanding securities f</w:t>
      </w:r>
      <w:r w:rsidR="003631B5">
        <w:rPr>
          <w:rFonts w:ascii="Arial" w:hAnsi="Arial"/>
          <w:lang w:val="en-CA"/>
        </w:rPr>
        <w:t xml:space="preserve">ollowing issuance: </w:t>
      </w:r>
      <w:r w:rsidR="00037D8F">
        <w:rPr>
          <w:rFonts w:ascii="Arial" w:hAnsi="Arial"/>
          <w:u w:val="single"/>
          <w:lang w:val="en-CA"/>
        </w:rPr>
        <w:softHyphen/>
      </w:r>
      <w:r w:rsidR="00037D8F">
        <w:rPr>
          <w:rFonts w:ascii="Arial" w:hAnsi="Arial"/>
          <w:u w:val="single"/>
          <w:lang w:val="en-CA"/>
        </w:rPr>
        <w:softHyphen/>
      </w:r>
      <w:r w:rsidR="00037D8F">
        <w:rPr>
          <w:rFonts w:ascii="Arial" w:hAnsi="Arial"/>
          <w:u w:val="single"/>
          <w:lang w:val="en-CA"/>
        </w:rPr>
        <w:softHyphen/>
      </w:r>
      <w:r w:rsidR="00037D8F">
        <w:rPr>
          <w:rFonts w:ascii="Arial" w:hAnsi="Arial"/>
          <w:u w:val="single"/>
          <w:lang w:val="en-CA"/>
        </w:rPr>
        <w:softHyphen/>
      </w:r>
      <w:r w:rsidR="00037D8F">
        <w:rPr>
          <w:rFonts w:ascii="Arial" w:hAnsi="Arial"/>
          <w:u w:val="single"/>
          <w:lang w:val="en-CA"/>
        </w:rPr>
        <w:softHyphen/>
      </w:r>
      <w:r w:rsidR="00037D8F">
        <w:rPr>
          <w:rFonts w:ascii="Arial" w:hAnsi="Arial"/>
          <w:u w:val="single"/>
          <w:lang w:val="en-CA"/>
        </w:rPr>
        <w:softHyphen/>
      </w:r>
      <w:r w:rsidR="00037D8F">
        <w:rPr>
          <w:rFonts w:ascii="Arial" w:hAnsi="Arial"/>
          <w:u w:val="single"/>
          <w:lang w:val="en-CA"/>
        </w:rPr>
        <w:softHyphen/>
      </w:r>
      <w:r w:rsidR="00037D8F">
        <w:rPr>
          <w:rFonts w:ascii="Arial" w:hAnsi="Arial"/>
          <w:u w:val="single"/>
          <w:lang w:val="en-CA"/>
        </w:rPr>
        <w:softHyphen/>
      </w:r>
      <w:r w:rsidR="00037D8F">
        <w:rPr>
          <w:rFonts w:ascii="Arial" w:hAnsi="Arial"/>
          <w:u w:val="single"/>
          <w:lang w:val="en-CA"/>
        </w:rPr>
        <w:softHyphen/>
        <w:t>127,80</w:t>
      </w:r>
      <w:r w:rsidR="003631B5" w:rsidRPr="00E306C6">
        <w:rPr>
          <w:rFonts w:ascii="Arial" w:hAnsi="Arial"/>
          <w:u w:val="single"/>
          <w:lang w:val="en-CA"/>
        </w:rPr>
        <w:t>2,791</w:t>
      </w:r>
      <w:r w:rsidR="003631B5" w:rsidRPr="00E306C6">
        <w:rPr>
          <w:rFonts w:ascii="Arial" w:hAnsi="Arial"/>
          <w:u w:val="single"/>
          <w:lang w:val="en-CA"/>
        </w:rPr>
        <w:tab/>
      </w:r>
      <w:r w:rsidR="003631B5" w:rsidRPr="0015033F">
        <w:rPr>
          <w:rFonts w:ascii="Arial" w:hAnsi="Arial"/>
          <w:u w:val="single"/>
          <w:lang w:val="en-CA"/>
        </w:rPr>
        <w:t>.</w:t>
      </w:r>
    </w:p>
    <w:p w:rsidR="00C10A32" w:rsidRDefault="00C10A32" w:rsidP="00C10A32">
      <w:pPr>
        <w:pStyle w:val="BodyText"/>
        <w:tabs>
          <w:tab w:val="left" w:pos="9180"/>
        </w:tabs>
        <w:spacing w:before="0" w:after="120"/>
        <w:rPr>
          <w:rFonts w:ascii="Arial" w:hAnsi="Arial"/>
          <w:b/>
          <w:lang w:val="en-CA"/>
        </w:rPr>
      </w:pPr>
    </w:p>
    <w:p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lastRenderedPageBreak/>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rsidTr="0064019D">
        <w:tc>
          <w:tcPr>
            <w:tcW w:w="3652" w:type="dxa"/>
          </w:tcPr>
          <w:p w:rsidR="00C536D3" w:rsidRPr="0081483D" w:rsidRDefault="00C536D3" w:rsidP="00C536D3">
            <w:pPr>
              <w:pStyle w:val="BodyText"/>
              <w:rPr>
                <w:rFonts w:ascii="Arial" w:hAnsi="Arial"/>
                <w:b/>
                <w:lang w:val="en-CA"/>
              </w:rPr>
            </w:pPr>
          </w:p>
        </w:tc>
        <w:tc>
          <w:tcPr>
            <w:tcW w:w="1701" w:type="dxa"/>
          </w:tcPr>
          <w:p w:rsidR="00C536D3" w:rsidRPr="00C536D3" w:rsidRDefault="00C536D3" w:rsidP="00C536D3">
            <w:pPr>
              <w:pStyle w:val="BodyText"/>
              <w:rPr>
                <w:rFonts w:ascii="Arial" w:hAnsi="Arial"/>
                <w:lang w:val="en-CA"/>
              </w:rPr>
            </w:pPr>
          </w:p>
        </w:tc>
        <w:tc>
          <w:tcPr>
            <w:tcW w:w="1829" w:type="dxa"/>
          </w:tcPr>
          <w:p w:rsidR="00C536D3" w:rsidRPr="0081483D" w:rsidRDefault="00C536D3" w:rsidP="0081483D">
            <w:pPr>
              <w:pStyle w:val="BodyText"/>
              <w:rPr>
                <w:rFonts w:ascii="Arial" w:hAnsi="Arial"/>
                <w:b/>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7182" w:type="dxa"/>
            <w:gridSpan w:val="3"/>
          </w:tcPr>
          <w:p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rsidR="00C536D3" w:rsidRPr="00C536D3" w:rsidRDefault="00C536D3" w:rsidP="00C536D3">
            <w:pPr>
              <w:pStyle w:val="BodyText"/>
              <w:rPr>
                <w:rFonts w:ascii="Arial" w:hAnsi="Arial"/>
                <w:lang w:val="en-CA"/>
              </w:rPr>
            </w:pPr>
          </w:p>
        </w:tc>
      </w:tr>
    </w:tbl>
    <w:p w:rsidR="00C536D3" w:rsidRPr="00C536D3" w:rsidRDefault="00C536D3" w:rsidP="00C536D3">
      <w:pPr>
        <w:pStyle w:val="BodyText"/>
        <w:rPr>
          <w:rFonts w:ascii="Arial" w:hAnsi="Arial"/>
          <w:b/>
          <w:u w:val="single"/>
          <w:lang w:val="en-CA"/>
        </w:rPr>
      </w:pP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trPr>
          <w:trHeight w:val="1965"/>
        </w:trPr>
        <w:tc>
          <w:tcPr>
            <w:tcW w:w="1368" w:type="dxa"/>
          </w:tcPr>
          <w:p w:rsidR="00EA4133" w:rsidRDefault="00EA4133">
            <w:pPr>
              <w:pStyle w:val="BodyText"/>
              <w:spacing w:before="0" w:line="280" w:lineRule="exact"/>
              <w:jc w:val="center"/>
              <w:rPr>
                <w:rFonts w:ascii="Arial" w:hAnsi="Arial"/>
                <w:b/>
                <w:sz w:val="20"/>
                <w:lang w:val="en-CA"/>
              </w:rPr>
            </w:pPr>
          </w:p>
          <w:p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rsidR="00C536D3" w:rsidRDefault="00C536D3" w:rsidP="00C536D3">
            <w:pPr>
              <w:pStyle w:val="BodyText"/>
              <w:spacing w:before="0" w:line="280" w:lineRule="exact"/>
              <w:jc w:val="center"/>
              <w:rPr>
                <w:rFonts w:ascii="Arial" w:hAnsi="Arial"/>
                <w:b/>
                <w:sz w:val="20"/>
              </w:rPr>
            </w:pPr>
          </w:p>
          <w:p w:rsidR="00EA4133" w:rsidRDefault="00C536D3" w:rsidP="00C536D3">
            <w:pPr>
              <w:pStyle w:val="BodyText"/>
              <w:spacing w:before="0" w:line="280" w:lineRule="exact"/>
              <w:jc w:val="center"/>
              <w:rPr>
                <w:rFonts w:ascii="Arial" w:hAnsi="Arial"/>
                <w:b/>
                <w:sz w:val="20"/>
                <w:lang w:val="en-CA"/>
              </w:rPr>
            </w:pPr>
            <w:proofErr w:type="spellStart"/>
            <w:r>
              <w:rPr>
                <w:rFonts w:ascii="Arial" w:hAnsi="Arial"/>
                <w:b/>
                <w:sz w:val="20"/>
              </w:rPr>
              <w:t>TotalSecuritiesPreviously</w:t>
            </w:r>
            <w:proofErr w:type="spellEnd"/>
            <w:r w:rsidR="00EA4133">
              <w:rPr>
                <w:rFonts w:ascii="Arial" w:hAnsi="Arial"/>
                <w:b/>
                <w:sz w:val="20"/>
              </w:rPr>
              <w:t xml:space="preserve"> Owned, Controlled or Directed</w:t>
            </w:r>
          </w:p>
        </w:tc>
        <w:tc>
          <w:tcPr>
            <w:tcW w:w="108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08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trPr>
          <w:trHeight w:val="864"/>
        </w:trPr>
        <w:tc>
          <w:tcPr>
            <w:tcW w:w="1368" w:type="dxa"/>
          </w:tcPr>
          <w:p w:rsidR="00A90670" w:rsidRPr="0081483D"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17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710" w:type="dxa"/>
          </w:tcPr>
          <w:p w:rsidR="00A90670" w:rsidRDefault="00A90670">
            <w:pPr>
              <w:pStyle w:val="BodyText"/>
              <w:spacing w:before="0" w:line="280" w:lineRule="exact"/>
              <w:jc w:val="center"/>
              <w:rPr>
                <w:rFonts w:ascii="Arial" w:hAnsi="Arial"/>
                <w:b/>
                <w:sz w:val="20"/>
              </w:rPr>
            </w:pPr>
          </w:p>
        </w:tc>
        <w:tc>
          <w:tcPr>
            <w:tcW w:w="1080" w:type="dxa"/>
          </w:tcPr>
          <w:p w:rsidR="00A90670" w:rsidRDefault="00A90670">
            <w:pPr>
              <w:pStyle w:val="BodyText"/>
              <w:spacing w:before="0" w:line="280" w:lineRule="exact"/>
              <w:jc w:val="center"/>
              <w:rPr>
                <w:rFonts w:ascii="Arial" w:hAnsi="Arial"/>
                <w:b/>
                <w:sz w:val="20"/>
                <w:lang w:val="en-CA"/>
              </w:rPr>
            </w:pPr>
          </w:p>
        </w:tc>
        <w:tc>
          <w:tcPr>
            <w:tcW w:w="1080" w:type="dxa"/>
          </w:tcPr>
          <w:p w:rsidR="00A90670" w:rsidRDefault="00A90670">
            <w:pPr>
              <w:pStyle w:val="BodyText"/>
              <w:spacing w:before="0" w:line="280" w:lineRule="exact"/>
              <w:jc w:val="center"/>
              <w:rPr>
                <w:rFonts w:ascii="Arial" w:hAnsi="Arial"/>
                <w:b/>
                <w:color w:val="000000"/>
                <w:sz w:val="20"/>
                <w:lang w:val="en-CA"/>
              </w:rPr>
            </w:pPr>
          </w:p>
        </w:tc>
      </w:tr>
      <w:tr w:rsidR="00A90670">
        <w:trPr>
          <w:trHeight w:val="864"/>
        </w:trPr>
        <w:tc>
          <w:tcPr>
            <w:tcW w:w="1368" w:type="dxa"/>
          </w:tcPr>
          <w:p w:rsidR="00A90670" w:rsidRDefault="00A90670">
            <w:pPr>
              <w:pStyle w:val="BodyText"/>
              <w:rPr>
                <w:rFonts w:ascii="Arial" w:hAnsi="Arial"/>
                <w:lang w:val="en-CA"/>
              </w:rPr>
            </w:pPr>
          </w:p>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r w:rsidR="00A90670">
        <w:trPr>
          <w:trHeight w:val="864"/>
        </w:trPr>
        <w:tc>
          <w:tcPr>
            <w:tcW w:w="1368"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bl>
    <w:p w:rsidR="00EA4133" w:rsidRPr="008003B9" w:rsidRDefault="00EA4133">
      <w:pPr>
        <w:pStyle w:val="BodyText"/>
        <w:rPr>
          <w:rFonts w:ascii="Arial" w:hAnsi="Arial" w:cs="Arial"/>
          <w:sz w:val="20"/>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Pr="003631B5" w:rsidRDefault="00EA4133">
      <w:pPr>
        <w:pStyle w:val="List"/>
        <w:tabs>
          <w:tab w:val="left" w:pos="9162"/>
        </w:tabs>
        <w:rPr>
          <w:rFonts w:ascii="Arial" w:hAnsi="Arial"/>
        </w:rPr>
      </w:pPr>
      <w:r>
        <w:rPr>
          <w:rFonts w:ascii="Arial" w:hAnsi="Arial"/>
        </w:rPr>
        <w:t>1.</w:t>
      </w:r>
      <w:r>
        <w:rPr>
          <w:rFonts w:ascii="Arial" w:hAnsi="Arial"/>
        </w:rPr>
        <w:tab/>
        <w:t>Total amount of funds to be raised</w:t>
      </w:r>
      <w:r w:rsidRPr="003631B5">
        <w:rPr>
          <w:rFonts w:ascii="Arial" w:hAnsi="Arial"/>
        </w:rPr>
        <w:t xml:space="preserve">: </w:t>
      </w:r>
      <w:r w:rsidR="003631B5" w:rsidRPr="003631B5">
        <w:rPr>
          <w:rFonts w:ascii="Arial" w:hAnsi="Arial"/>
          <w:u w:val="single"/>
        </w:rPr>
        <w:t xml:space="preserve"> </w:t>
      </w:r>
      <w:r w:rsidR="00E306C6">
        <w:rPr>
          <w:rFonts w:ascii="Arial" w:hAnsi="Arial"/>
          <w:u w:val="single"/>
        </w:rPr>
        <w:t>N/A</w:t>
      </w:r>
      <w:r w:rsidR="003631B5" w:rsidRPr="003631B5">
        <w:rPr>
          <w:rFonts w:ascii="Arial" w:hAnsi="Arial"/>
          <w:u w:val="single"/>
        </w:rPr>
        <w:tab/>
      </w:r>
      <w:r w:rsidRPr="003631B5">
        <w:rPr>
          <w:rFonts w:ascii="Arial" w:hAnsi="Arial"/>
          <w:u w:val="single"/>
        </w:rPr>
        <w:t>.</w:t>
      </w:r>
    </w:p>
    <w:p w:rsidR="00EA4133" w:rsidRPr="003631B5"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Provide full details of the use of the proceeds.  The disclosure should be sufficiently complete to enable a reader to appreciate the significance of the transaction without reference to any other material</w:t>
      </w:r>
      <w:proofErr w:type="gramStart"/>
      <w:r w:rsidR="00120E52" w:rsidRPr="003631B5">
        <w:rPr>
          <w:rFonts w:ascii="Arial" w:hAnsi="Arial"/>
        </w:rPr>
        <w:t>:</w:t>
      </w:r>
      <w:r w:rsidRPr="003631B5">
        <w:rPr>
          <w:rFonts w:ascii="Arial" w:hAnsi="Arial"/>
        </w:rPr>
        <w:t xml:space="preserve">  </w:t>
      </w:r>
      <w:r w:rsidR="003631B5" w:rsidRPr="003631B5">
        <w:rPr>
          <w:rFonts w:ascii="Arial" w:hAnsi="Arial"/>
        </w:rPr>
        <w:tab/>
      </w:r>
      <w:r w:rsidR="00C57DD0" w:rsidRPr="003631B5">
        <w:rPr>
          <w:rFonts w:ascii="Arial" w:hAnsi="Arial"/>
          <w:u w:val="single"/>
        </w:rPr>
        <w:t>.</w:t>
      </w:r>
      <w:proofErr w:type="gramEnd"/>
    </w:p>
    <w:p w:rsidR="00EA4133" w:rsidRDefault="00EA4133">
      <w:pPr>
        <w:pStyle w:val="BodyText"/>
        <w:numPr>
          <w:ilvl w:val="0"/>
          <w:numId w:val="10"/>
        </w:numPr>
        <w:tabs>
          <w:tab w:val="left" w:pos="9180"/>
        </w:tabs>
        <w:rPr>
          <w:rFonts w:ascii="Arial" w:hAnsi="Arial"/>
        </w:rPr>
      </w:pPr>
      <w:r>
        <w:rPr>
          <w:rFonts w:ascii="Arial" w:hAnsi="Arial"/>
        </w:rPr>
        <w:lastRenderedPageBreak/>
        <w:t>Provide particulars of any proceeds which are to be paid to Related Persons of the Issuer</w:t>
      </w:r>
      <w:proofErr w:type="gramStart"/>
      <w:r>
        <w:rPr>
          <w:rFonts w:ascii="Arial" w:hAnsi="Arial"/>
        </w:rPr>
        <w:t xml:space="preserve">: </w:t>
      </w:r>
      <w:r>
        <w:rPr>
          <w:rFonts w:ascii="Arial" w:hAnsi="Arial"/>
          <w:u w:val="single"/>
        </w:rPr>
        <w:tab/>
      </w:r>
      <w:r>
        <w:rPr>
          <w:rFonts w:ascii="Arial" w:hAnsi="Arial"/>
        </w:rPr>
        <w:tab/>
      </w:r>
      <w:r>
        <w:rPr>
          <w:rFonts w:ascii="Arial" w:hAnsi="Arial"/>
          <w:u w:val="single"/>
        </w:rPr>
        <w:tab/>
      </w:r>
      <w:r>
        <w:rPr>
          <w:rFonts w:ascii="Arial" w:hAnsi="Arial"/>
        </w:rPr>
        <w:t xml:space="preserve"> .</w:t>
      </w:r>
      <w:proofErr w:type="gramEnd"/>
    </w:p>
    <w:p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Pr="003631B5" w:rsidRDefault="00EA4133" w:rsidP="00037D6D">
      <w:pPr>
        <w:pStyle w:val="BodyText"/>
        <w:keepNext/>
        <w:keepLines/>
        <w:tabs>
          <w:tab w:val="left" w:pos="1080"/>
          <w:tab w:val="left" w:pos="1440"/>
          <w:tab w:val="left" w:pos="2160"/>
          <w:tab w:val="left" w:pos="9180"/>
        </w:tabs>
        <w:ind w:left="1080" w:hanging="1080"/>
        <w:rPr>
          <w:rFonts w:ascii="Arial" w:hAnsi="Arial"/>
        </w:rPr>
      </w:pPr>
      <w:r>
        <w:rPr>
          <w:rFonts w:ascii="Arial" w:hAnsi="Arial"/>
        </w:rPr>
        <w:tab/>
        <w:t>(a)</w:t>
      </w:r>
      <w:r>
        <w:rPr>
          <w:rFonts w:ascii="Arial" w:hAnsi="Arial"/>
        </w:rPr>
        <w:tab/>
      </w:r>
      <w:r>
        <w:rPr>
          <w:rFonts w:ascii="Arial" w:hAnsi="Arial"/>
        </w:rPr>
        <w:tab/>
        <w:t>Class</w:t>
      </w:r>
      <w:proofErr w:type="gramStart"/>
      <w:r w:rsidR="00120E52">
        <w:rPr>
          <w:rFonts w:ascii="Arial" w:hAnsi="Arial"/>
        </w:rPr>
        <w:t>:</w:t>
      </w:r>
      <w:r>
        <w:rPr>
          <w:rFonts w:ascii="Arial" w:hAnsi="Arial"/>
        </w:rPr>
        <w:t xml:space="preserve">  </w:t>
      </w:r>
      <w:r w:rsidRPr="003631B5">
        <w:rPr>
          <w:rFonts w:ascii="Arial" w:hAnsi="Arial"/>
          <w:u w:val="single"/>
        </w:rPr>
        <w:tab/>
      </w:r>
      <w:r w:rsidRPr="003631B5">
        <w:rPr>
          <w:rFonts w:ascii="Arial" w:hAnsi="Arial"/>
        </w:rPr>
        <w:t xml:space="preserve"> .</w:t>
      </w:r>
      <w:proofErr w:type="gramEnd"/>
    </w:p>
    <w:p w:rsidR="00EA4133" w:rsidRDefault="00EA4133" w:rsidP="0081483D">
      <w:pPr>
        <w:pStyle w:val="BodyText"/>
        <w:tabs>
          <w:tab w:val="left" w:pos="1080"/>
          <w:tab w:val="left" w:pos="1440"/>
          <w:tab w:val="left" w:pos="2160"/>
          <w:tab w:val="left" w:pos="9180"/>
        </w:tabs>
        <w:ind w:left="1080" w:hanging="1080"/>
        <w:rPr>
          <w:rFonts w:ascii="Arial" w:hAnsi="Arial"/>
        </w:rPr>
      </w:pPr>
      <w:r>
        <w:rPr>
          <w:rFonts w:ascii="Arial" w:hAnsi="Arial"/>
        </w:rPr>
        <w:tab/>
        <w:t>(b)</w:t>
      </w:r>
      <w:r>
        <w:rPr>
          <w:rFonts w:ascii="Arial" w:hAnsi="Arial"/>
        </w:rPr>
        <w:tab/>
      </w:r>
      <w:r>
        <w:rPr>
          <w:rFonts w:ascii="Arial" w:hAnsi="Arial"/>
        </w:rPr>
        <w:tab/>
        <w:t>Number</w:t>
      </w:r>
      <w:proofErr w:type="gramStart"/>
      <w:r w:rsidR="00120E52">
        <w:rPr>
          <w:rFonts w:ascii="Arial" w:hAnsi="Arial"/>
        </w:rPr>
        <w:t>:</w:t>
      </w:r>
      <w:r w:rsidRPr="003631B5">
        <w:rPr>
          <w:rFonts w:ascii="Arial" w:hAnsi="Arial"/>
        </w:rPr>
        <w:t xml:space="preserve"> </w:t>
      </w:r>
      <w:r w:rsidR="003631B5" w:rsidRPr="003631B5">
        <w:rPr>
          <w:rFonts w:ascii="Arial" w:hAnsi="Arial"/>
          <w:u w:val="single"/>
        </w:rPr>
        <w:t xml:space="preserve">                                                                         </w:t>
      </w:r>
      <w:r w:rsidR="003631B5" w:rsidRPr="003631B5">
        <w:rPr>
          <w:rFonts w:ascii="Arial" w:hAnsi="Arial"/>
          <w:u w:val="single"/>
        </w:rPr>
        <w:tab/>
      </w:r>
      <w:r w:rsidRPr="003631B5">
        <w:rPr>
          <w:rFonts w:ascii="Arial" w:hAnsi="Arial"/>
        </w:rPr>
        <w:t>.</w:t>
      </w:r>
      <w:proofErr w:type="gramEnd"/>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Price per security</w:t>
      </w:r>
      <w:r w:rsidRPr="003631B5">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Voting rights</w:t>
      </w:r>
      <w:r>
        <w:rPr>
          <w:rFonts w:ascii="Arial" w:hAnsi="Arial"/>
          <w:u w:val="single"/>
        </w:rPr>
        <w:tab/>
      </w:r>
      <w:r w:rsidR="00120E52">
        <w:rPr>
          <w:rFonts w:ascii="Arial" w:hAnsi="Arial"/>
          <w:u w:val="single"/>
        </w:rPr>
        <w:t>.</w:t>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rsidR="00EA4133" w:rsidRPr="003631B5"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Number</w:t>
      </w:r>
      <w:r w:rsidR="0081483D">
        <w:rPr>
          <w:rFonts w:ascii="Arial" w:hAnsi="Arial"/>
        </w:rPr>
        <w:t>:</w:t>
      </w:r>
      <w:r w:rsidR="00037D6D">
        <w:rPr>
          <w:rFonts w:ascii="Arial" w:hAnsi="Arial"/>
        </w:rPr>
        <w:t xml:space="preserve"> </w:t>
      </w:r>
      <w:r w:rsidR="00037D6D" w:rsidRPr="003631B5">
        <w:rPr>
          <w:rFonts w:ascii="Arial" w:hAnsi="Arial"/>
        </w:rPr>
        <w:t>_</w:t>
      </w:r>
      <w:r w:rsidRPr="003631B5">
        <w:rPr>
          <w:rFonts w:ascii="Arial" w:hAnsi="Arial"/>
          <w:u w:val="single"/>
        </w:rPr>
        <w:tab/>
      </w:r>
      <w:r w:rsidRPr="003631B5">
        <w:rPr>
          <w:rFonts w:ascii="Arial" w:hAnsi="Arial"/>
        </w:rPr>
        <w:t xml:space="preserve"> .</w:t>
      </w:r>
    </w:p>
    <w:p w:rsidR="00EA4133" w:rsidRPr="003631B5" w:rsidRDefault="00EA4133" w:rsidP="00E9461F">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arrants (or options</w:t>
      </w:r>
      <w:r w:rsidRPr="003631B5">
        <w:rPr>
          <w:rFonts w:ascii="Arial" w:hAnsi="Arial"/>
        </w:rPr>
        <w:t>)</w:t>
      </w:r>
      <w:proofErr w:type="gramStart"/>
      <w:r w:rsidR="007B5327" w:rsidRPr="003631B5">
        <w:rPr>
          <w:rFonts w:ascii="Arial" w:hAnsi="Arial"/>
        </w:rPr>
        <w:t>:</w:t>
      </w:r>
      <w:r w:rsidRPr="003631B5">
        <w:rPr>
          <w:rFonts w:ascii="Arial" w:hAnsi="Arial"/>
        </w:rPr>
        <w:t xml:space="preserve">  </w:t>
      </w:r>
      <w:r w:rsidRPr="003631B5">
        <w:rPr>
          <w:rFonts w:ascii="Arial" w:hAnsi="Arial"/>
          <w:u w:val="single"/>
        </w:rPr>
        <w:tab/>
      </w:r>
      <w:r w:rsidRPr="003631B5">
        <w:rPr>
          <w:rFonts w:ascii="Arial" w:hAnsi="Arial"/>
        </w:rPr>
        <w:t xml:space="preserve"> .</w:t>
      </w:r>
      <w:proofErr w:type="gramEnd"/>
    </w:p>
    <w:p w:rsidR="00EA4133" w:rsidRPr="003631B5" w:rsidRDefault="00EA4133">
      <w:pPr>
        <w:pStyle w:val="List"/>
        <w:tabs>
          <w:tab w:val="left" w:pos="1440"/>
          <w:tab w:val="left" w:pos="2160"/>
          <w:tab w:val="left" w:pos="9180"/>
        </w:tabs>
        <w:rPr>
          <w:rFonts w:ascii="Arial" w:hAnsi="Arial"/>
        </w:rPr>
      </w:pPr>
      <w:r w:rsidRPr="003631B5">
        <w:rPr>
          <w:rFonts w:ascii="Arial" w:hAnsi="Arial"/>
        </w:rPr>
        <w:tab/>
        <w:t>(c)</w:t>
      </w:r>
      <w:r w:rsidRPr="003631B5">
        <w:rPr>
          <w:rFonts w:ascii="Arial" w:hAnsi="Arial"/>
        </w:rPr>
        <w:tab/>
      </w:r>
      <w:r w:rsidRPr="003631B5">
        <w:rPr>
          <w:rFonts w:ascii="Arial" w:hAnsi="Arial"/>
        </w:rPr>
        <w:tab/>
        <w:t>Exercise price</w:t>
      </w:r>
      <w:proofErr w:type="gramStart"/>
      <w:r w:rsidR="007B5327" w:rsidRPr="003631B5">
        <w:rPr>
          <w:rFonts w:ascii="Arial" w:hAnsi="Arial"/>
        </w:rPr>
        <w:t>:</w:t>
      </w:r>
      <w:r w:rsidRPr="003631B5">
        <w:rPr>
          <w:rFonts w:ascii="Arial" w:hAnsi="Arial"/>
          <w:u w:val="single"/>
        </w:rPr>
        <w:tab/>
      </w:r>
      <w:r w:rsidRPr="003631B5">
        <w:rPr>
          <w:rFonts w:ascii="Arial" w:hAnsi="Arial"/>
        </w:rPr>
        <w:t xml:space="preserve"> .</w:t>
      </w:r>
      <w:proofErr w:type="gramEnd"/>
    </w:p>
    <w:p w:rsidR="00EA4133" w:rsidRPr="003631B5" w:rsidRDefault="00EA4133">
      <w:pPr>
        <w:pStyle w:val="List"/>
        <w:tabs>
          <w:tab w:val="left" w:pos="1440"/>
          <w:tab w:val="left" w:pos="2160"/>
          <w:tab w:val="left" w:pos="3600"/>
          <w:tab w:val="left" w:pos="5040"/>
          <w:tab w:val="left" w:pos="7560"/>
          <w:tab w:val="left" w:pos="9180"/>
        </w:tabs>
        <w:rPr>
          <w:rFonts w:ascii="Arial" w:hAnsi="Arial"/>
        </w:rPr>
      </w:pPr>
      <w:r w:rsidRPr="003631B5">
        <w:rPr>
          <w:rFonts w:ascii="Arial" w:hAnsi="Arial"/>
        </w:rPr>
        <w:tab/>
        <w:t xml:space="preserve">(d) </w:t>
      </w:r>
      <w:r w:rsidRPr="003631B5">
        <w:rPr>
          <w:rFonts w:ascii="Arial" w:hAnsi="Arial"/>
        </w:rPr>
        <w:tab/>
        <w:t>Expiry date</w:t>
      </w:r>
      <w:proofErr w:type="gramStart"/>
      <w:r w:rsidR="007B5327" w:rsidRPr="003631B5">
        <w:rPr>
          <w:rFonts w:ascii="Arial" w:hAnsi="Arial"/>
        </w:rPr>
        <w:t>:</w:t>
      </w:r>
      <w:r w:rsidRPr="003631B5">
        <w:rPr>
          <w:rFonts w:ascii="Arial" w:hAnsi="Arial"/>
        </w:rPr>
        <w:t xml:space="preserve"> </w:t>
      </w:r>
      <w:r w:rsidRPr="003631B5">
        <w:rPr>
          <w:rFonts w:ascii="Arial" w:hAnsi="Arial"/>
          <w:u w:val="single"/>
        </w:rPr>
        <w:tab/>
      </w:r>
      <w:r w:rsidRPr="003631B5">
        <w:rPr>
          <w:rFonts w:ascii="Arial" w:hAnsi="Arial"/>
          <w:u w:val="single"/>
        </w:rPr>
        <w:tab/>
      </w:r>
      <w:r w:rsidRPr="003631B5">
        <w:rPr>
          <w:rFonts w:ascii="Arial" w:hAnsi="Arial"/>
          <w:u w:val="single"/>
        </w:rPr>
        <w:tab/>
      </w:r>
      <w:r w:rsidRPr="003631B5">
        <w:rPr>
          <w:rFonts w:ascii="Arial" w:hAnsi="Arial"/>
          <w:u w:val="single"/>
        </w:rPr>
        <w:tab/>
      </w:r>
      <w:r w:rsidRPr="003631B5">
        <w:rPr>
          <w:rFonts w:ascii="Arial" w:hAnsi="Arial"/>
        </w:rPr>
        <w:t xml:space="preserve"> .</w:t>
      </w:r>
      <w:proofErr w:type="gramEnd"/>
    </w:p>
    <w:p w:rsidR="00EA4133" w:rsidRPr="003631B5"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sidRPr="003631B5">
        <w:rPr>
          <w:b w:val="0"/>
          <w:sz w:val="24"/>
        </w:rPr>
        <w:t>Provide the following information if debt securities are to be issued:</w:t>
      </w:r>
      <w:bookmarkEnd w:id="0"/>
      <w:bookmarkEnd w:id="1"/>
      <w:bookmarkEnd w:id="2"/>
      <w:bookmarkEnd w:id="3"/>
    </w:p>
    <w:p w:rsidR="00EA4133" w:rsidRPr="003631B5"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Aggregate principal amount</w:t>
      </w:r>
      <w:proofErr w:type="gramStart"/>
      <w:r w:rsidR="00F57CD1">
        <w:rPr>
          <w:rFonts w:ascii="Arial" w:hAnsi="Arial"/>
        </w:rPr>
        <w:t>:</w:t>
      </w:r>
      <w:r w:rsidRPr="003631B5">
        <w:rPr>
          <w:rFonts w:ascii="Arial" w:hAnsi="Arial"/>
          <w:u w:val="single"/>
        </w:rPr>
        <w:tab/>
      </w:r>
      <w:r w:rsidRPr="003631B5">
        <w:rPr>
          <w:rFonts w:ascii="Arial" w:hAnsi="Arial"/>
        </w:rPr>
        <w:t xml:space="preserve"> .</w:t>
      </w:r>
      <w:proofErr w:type="gramEnd"/>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A00C54" w:rsidRDefault="00A00C54">
      <w:pPr>
        <w:pStyle w:val="BodyText"/>
        <w:tabs>
          <w:tab w:val="left" w:pos="1080"/>
          <w:tab w:val="left" w:pos="1440"/>
          <w:tab w:val="left" w:pos="2160"/>
          <w:tab w:val="left" w:pos="9180"/>
        </w:tabs>
        <w:rPr>
          <w:rFonts w:ascii="Arial" w:hAnsi="Arial"/>
        </w:rPr>
      </w:pP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w:t>
      </w:r>
      <w:r>
        <w:rPr>
          <w:rFonts w:ascii="Arial" w:hAnsi="Arial"/>
        </w:rPr>
        <w:lastRenderedPageBreak/>
        <w:t>corporation, identify persons owning or exercising voting control over 20% or more of the voting shares if known to the Issuer):</w:t>
      </w:r>
      <w:r w:rsidR="003631B5">
        <w:rPr>
          <w:rFonts w:ascii="Arial" w:hAnsi="Arial"/>
        </w:rPr>
        <w:t xml:space="preserve"> </w:t>
      </w:r>
      <w:r w:rsidRPr="003631B5">
        <w:rPr>
          <w:rFonts w:ascii="Arial" w:hAnsi="Arial"/>
          <w:u w:val="single"/>
        </w:rPr>
        <w:tab/>
      </w:r>
      <w:r w:rsidRPr="003631B5">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Cash</w:t>
      </w:r>
      <w:proofErr w:type="gramStart"/>
      <w:r w:rsidR="006E1A7A">
        <w:rPr>
          <w:rFonts w:ascii="Arial" w:hAnsi="Arial"/>
        </w:rPr>
        <w:t>:</w:t>
      </w:r>
      <w:r>
        <w:rPr>
          <w:rFonts w:ascii="Arial" w:hAnsi="Arial"/>
        </w:rPr>
        <w:t xml:space="preserve"> </w:t>
      </w:r>
      <w:r w:rsidR="00857CBD" w:rsidRPr="003631B5">
        <w:rPr>
          <w:rFonts w:ascii="Arial" w:hAnsi="Arial"/>
        </w:rPr>
        <w:t xml:space="preserve"> </w:t>
      </w:r>
      <w:r w:rsidRPr="003631B5">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Securities</w:t>
      </w:r>
      <w:proofErr w:type="gramStart"/>
      <w:r w:rsidR="006E1A7A">
        <w:rPr>
          <w:rFonts w:ascii="Arial" w:hAnsi="Arial"/>
        </w:rPr>
        <w:t>:</w:t>
      </w:r>
      <w:r w:rsidRPr="003631B5">
        <w:rPr>
          <w:rFonts w:ascii="Arial" w:hAnsi="Arial"/>
          <w:u w:val="single"/>
        </w:rPr>
        <w:tab/>
      </w:r>
      <w:r>
        <w:rPr>
          <w:rFonts w:ascii="Arial" w:hAnsi="Arial"/>
        </w:rPr>
        <w:t xml:space="preserve"> .</w:t>
      </w:r>
      <w:proofErr w:type="gramEnd"/>
    </w:p>
    <w:p w:rsidR="00EA4133" w:rsidRPr="006E1A7A" w:rsidRDefault="00EA4133">
      <w:pPr>
        <w:pStyle w:val="List"/>
        <w:tabs>
          <w:tab w:val="left" w:pos="2160"/>
          <w:tab w:val="left" w:pos="9180"/>
        </w:tabs>
        <w:ind w:left="2160"/>
        <w:rPr>
          <w:rFonts w:ascii="Arial" w:hAnsi="Arial"/>
          <w:b/>
        </w:rPr>
      </w:pPr>
      <w:r>
        <w:rPr>
          <w:rFonts w:ascii="Arial" w:hAnsi="Arial"/>
        </w:rPr>
        <w:t>(d)</w:t>
      </w:r>
      <w:r>
        <w:rPr>
          <w:rFonts w:ascii="Arial" w:hAnsi="Arial"/>
        </w:rPr>
        <w:tab/>
        <w:t>Other</w:t>
      </w:r>
      <w:proofErr w:type="gramStart"/>
      <w:r w:rsidR="006E1A7A">
        <w:rPr>
          <w:rFonts w:ascii="Arial" w:hAnsi="Arial"/>
        </w:rPr>
        <w:t>:</w:t>
      </w:r>
      <w:r w:rsidRPr="003631B5">
        <w:rPr>
          <w:rFonts w:ascii="Arial" w:hAnsi="Arial"/>
          <w:u w:val="single"/>
        </w:rPr>
        <w:tab/>
      </w:r>
      <w:r w:rsidRPr="006E1A7A">
        <w:rPr>
          <w:rFonts w:ascii="Arial" w:hAnsi="Arial"/>
          <w:b/>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Expiry date of any options, warrants etc.</w:t>
      </w:r>
      <w:proofErr w:type="gramStart"/>
      <w:r w:rsidR="006E1A7A">
        <w:rPr>
          <w:rFonts w:ascii="Arial" w:hAnsi="Arial"/>
        </w:rPr>
        <w:t>:</w:t>
      </w:r>
      <w:r>
        <w:rPr>
          <w:rFonts w:ascii="Arial" w:hAnsi="Arial"/>
          <w:u w:val="single"/>
        </w:rPr>
        <w:tab/>
      </w:r>
      <w:r>
        <w:rPr>
          <w:rFonts w:ascii="Arial" w:hAnsi="Arial"/>
        </w:rPr>
        <w:t xml:space="preserve"> .</w:t>
      </w:r>
      <w:proofErr w:type="gramEnd"/>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Exercise price of any options, warrants etc.</w:t>
      </w:r>
      <w:proofErr w:type="gramStart"/>
      <w:r w:rsidR="006E1A7A">
        <w:rPr>
          <w:rFonts w:ascii="Arial" w:hAnsi="Arial"/>
        </w:rPr>
        <w:t>:</w:t>
      </w:r>
      <w:r w:rsidRPr="003631B5">
        <w:rPr>
          <w:rFonts w:ascii="Arial" w:hAnsi="Arial"/>
          <w:b/>
          <w:u w:val="single"/>
        </w:rPr>
        <w:tab/>
      </w:r>
      <w:r w:rsidRPr="003631B5">
        <w:rPr>
          <w:rFonts w:ascii="Arial" w:hAnsi="Arial"/>
          <w:b/>
        </w:rPr>
        <w:t xml:space="preserve"> .</w:t>
      </w:r>
      <w:proofErr w:type="gramEnd"/>
    </w:p>
    <w:p w:rsidR="00EA4133" w:rsidRDefault="00EA4133">
      <w:pPr>
        <w:pStyle w:val="List"/>
        <w:numPr>
          <w:ilvl w:val="0"/>
          <w:numId w:val="10"/>
        </w:numPr>
        <w:tabs>
          <w:tab w:val="left" w:pos="9180"/>
        </w:tabs>
        <w:jc w:val="both"/>
        <w:rPr>
          <w:rFonts w:ascii="Arial" w:hAnsi="Arial"/>
        </w:rPr>
      </w:pPr>
      <w:r>
        <w:rPr>
          <w:rFonts w:ascii="Arial" w:hAnsi="Arial"/>
        </w:rPr>
        <w:t>State whether the sales agent, broker, dealer or other person receiving compensation in connection with the placement is Related Person or has any other relationship with the Issuer and provide details of the relationship</w:t>
      </w:r>
      <w:r w:rsidR="006E1A7A">
        <w:rPr>
          <w:rFonts w:ascii="Arial" w:hAnsi="Arial"/>
        </w:rPr>
        <w:t>:</w:t>
      </w:r>
      <w:r>
        <w:rPr>
          <w:rFonts w:ascii="Arial" w:hAnsi="Arial"/>
        </w:rPr>
        <w:t xml:space="preserve"> </w:t>
      </w:r>
      <w:r>
        <w:rPr>
          <w:rFonts w:ascii="Arial" w:hAnsi="Arial"/>
          <w:u w:val="single"/>
        </w:rPr>
        <w:tab/>
      </w:r>
    </w:p>
    <w:p w:rsidR="00EA4133" w:rsidRDefault="00EA4133" w:rsidP="00E9461F">
      <w:pPr>
        <w:pStyle w:val="List"/>
        <w:tabs>
          <w:tab w:val="left" w:pos="1080"/>
          <w:tab w:val="left" w:pos="9180"/>
        </w:tabs>
        <w:ind w:firstLine="0"/>
        <w:jc w:val="both"/>
        <w:rPr>
          <w:rFonts w:ascii="Arial" w:hAnsi="Arial"/>
        </w:rPr>
      </w:pPr>
      <w:r>
        <w:rPr>
          <w:rFonts w:ascii="Arial" w:hAnsi="Arial"/>
          <w:u w:val="single"/>
        </w:rPr>
        <w:tab/>
      </w:r>
      <w:r>
        <w:rPr>
          <w:rFonts w:ascii="Arial" w:hAnsi="Arial"/>
        </w:rPr>
        <w:t xml:space="preserve"> .</w:t>
      </w:r>
    </w:p>
    <w:p w:rsidR="00EA4133" w:rsidRDefault="00EA4133">
      <w:pPr>
        <w:pStyle w:val="List"/>
        <w:tabs>
          <w:tab w:val="left" w:pos="1080"/>
          <w:tab w:val="left" w:pos="9180"/>
        </w:tabs>
        <w:ind w:left="0" w:firstLine="0"/>
        <w:jc w:val="both"/>
        <w:rPr>
          <w:rFonts w:ascii="Arial" w:hAnsi="Arial"/>
        </w:rPr>
      </w:pP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EA4133" w:rsidP="00037D6D">
      <w:pPr>
        <w:pStyle w:val="List"/>
        <w:tabs>
          <w:tab w:val="left" w:pos="1080"/>
          <w:tab w:val="left" w:pos="9180"/>
        </w:tabs>
        <w:ind w:firstLine="0"/>
        <w:jc w:val="both"/>
        <w:rPr>
          <w:rFonts w:ascii="Arial" w:hAnsi="Arial"/>
        </w:rPr>
      </w:pPr>
      <w:r w:rsidRPr="003631B5">
        <w:rPr>
          <w:rFonts w:ascii="Arial" w:hAnsi="Arial"/>
          <w:u w:val="single"/>
        </w:rPr>
        <w:tab/>
      </w:r>
      <w:r>
        <w:rPr>
          <w:rFonts w:ascii="Arial" w:hAnsi="Arial"/>
        </w:rPr>
        <w:t xml:space="preserve">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EA4133" w:rsidP="00E9461F">
      <w:pPr>
        <w:pStyle w:val="List"/>
        <w:tabs>
          <w:tab w:val="left" w:pos="1080"/>
          <w:tab w:val="left" w:pos="9180"/>
        </w:tabs>
        <w:ind w:firstLine="0"/>
        <w:jc w:val="both"/>
        <w:rPr>
          <w:rFonts w:ascii="Arial" w:hAnsi="Arial"/>
        </w:rPr>
      </w:pPr>
      <w:r w:rsidRPr="003631B5">
        <w:rPr>
          <w:rFonts w:ascii="Arial" w:hAnsi="Arial"/>
          <w:u w:val="single"/>
        </w:rPr>
        <w:tab/>
      </w:r>
      <w:r>
        <w:rPr>
          <w:rFonts w:ascii="Arial" w:hAnsi="Arial"/>
        </w:rPr>
        <w:t xml:space="preserve"> .</w:t>
      </w:r>
    </w:p>
    <w:p w:rsidR="00EA4133" w:rsidRDefault="00EA4133">
      <w:pPr>
        <w:pStyle w:val="List"/>
        <w:tabs>
          <w:tab w:val="left" w:pos="9180"/>
        </w:tabs>
        <w:spacing w:before="0"/>
        <w:jc w:val="both"/>
        <w:rPr>
          <w:rFonts w:ascii="Arial" w:hAnsi="Arial"/>
        </w:rPr>
      </w:pPr>
    </w:p>
    <w:p w:rsidR="00EA4133" w:rsidRPr="00E9461F" w:rsidRDefault="00EA4133" w:rsidP="00E9461F">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Pr="003631B5">
        <w:rPr>
          <w:rFonts w:ascii="Arial" w:hAnsi="Arial"/>
          <w:u w:val="single"/>
        </w:rPr>
        <w:tab/>
      </w:r>
      <w:r w:rsidRPr="00E9461F">
        <w:rPr>
          <w:rFonts w:ascii="Arial" w:hAnsi="Arial"/>
        </w:rPr>
        <w:t>.</w:t>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rsidR="003C6D7E" w:rsidRDefault="003C6D7E">
      <w:pPr>
        <w:rPr>
          <w:rFonts w:ascii="Arial" w:hAnsi="Arial"/>
          <w:b/>
          <w:color w:val="000000"/>
          <w:sz w:val="24"/>
          <w:lang w:val="en-GB"/>
        </w:rPr>
      </w:pPr>
      <w:r>
        <w:rPr>
          <w:rFonts w:ascii="Arial" w:hAnsi="Arial"/>
          <w:b/>
          <w:color w:val="000000"/>
        </w:rPr>
        <w:br w:type="page"/>
      </w:r>
    </w:p>
    <w:p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EA4133" w:rsidRPr="00E53B22" w:rsidRDefault="00EA4133" w:rsidP="00E53B22">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E306C6" w:rsidRPr="00E306C6">
        <w:rPr>
          <w:rFonts w:ascii="Arial" w:hAnsi="Arial"/>
          <w:u w:val="single"/>
          <w:lang w:val="en-CA"/>
        </w:rPr>
        <w:t xml:space="preserve"> </w:t>
      </w:r>
      <w:r w:rsidR="00E306C6" w:rsidRPr="00507FD7">
        <w:rPr>
          <w:rFonts w:ascii="Arial" w:hAnsi="Arial"/>
          <w:u w:val="single"/>
          <w:lang w:val="en-CA"/>
        </w:rPr>
        <w:t xml:space="preserve">The Issuer entered into a non-binding letter of intent </w:t>
      </w:r>
      <w:r w:rsidR="00770ED2">
        <w:rPr>
          <w:rFonts w:ascii="Arial" w:hAnsi="Arial"/>
          <w:u w:val="single"/>
          <w:lang w:val="en-CA"/>
        </w:rPr>
        <w:t xml:space="preserve">dated April </w:t>
      </w:r>
      <w:r w:rsidR="00CB747A">
        <w:rPr>
          <w:rFonts w:ascii="Arial" w:hAnsi="Arial"/>
          <w:u w:val="single"/>
          <w:lang w:val="en-CA"/>
        </w:rPr>
        <w:t>9</w:t>
      </w:r>
      <w:r w:rsidR="00770ED2">
        <w:rPr>
          <w:rFonts w:ascii="Arial" w:hAnsi="Arial"/>
          <w:u w:val="single"/>
          <w:lang w:val="en-CA"/>
        </w:rPr>
        <w:t xml:space="preserve">, 2019 </w:t>
      </w:r>
      <w:r w:rsidR="00E306C6" w:rsidRPr="00507FD7">
        <w:rPr>
          <w:rFonts w:ascii="Arial" w:hAnsi="Arial"/>
          <w:u w:val="single"/>
          <w:lang w:val="en-CA"/>
        </w:rPr>
        <w:t>to acquire City</w:t>
      </w:r>
      <w:r w:rsidR="00A94771">
        <w:rPr>
          <w:rFonts w:ascii="Arial" w:hAnsi="Arial"/>
          <w:u w:val="single"/>
          <w:lang w:val="en-CA"/>
        </w:rPr>
        <w:t xml:space="preserve"> Cannabis</w:t>
      </w:r>
      <w:r w:rsidR="00E306C6" w:rsidRPr="00507FD7">
        <w:rPr>
          <w:rFonts w:ascii="Arial" w:hAnsi="Arial"/>
          <w:u w:val="single"/>
          <w:lang w:val="en-CA"/>
        </w:rPr>
        <w:t xml:space="preserve"> in exchange for Common Shares of the Issuer. The final structure</w:t>
      </w:r>
      <w:r w:rsidR="00970ABB">
        <w:rPr>
          <w:rFonts w:ascii="Arial" w:hAnsi="Arial"/>
          <w:u w:val="single"/>
          <w:lang w:val="en-CA"/>
        </w:rPr>
        <w:t xml:space="preserve"> and details</w:t>
      </w:r>
      <w:r w:rsidR="00E306C6" w:rsidRPr="00507FD7">
        <w:rPr>
          <w:rFonts w:ascii="Arial" w:hAnsi="Arial"/>
          <w:u w:val="single"/>
          <w:lang w:val="en-CA"/>
        </w:rPr>
        <w:t xml:space="preserve"> of the acquisition will be determined by the parties following receipt of tax, corporate and securities law advice.</w:t>
      </w:r>
    </w:p>
    <w:p w:rsidR="00EA4133" w:rsidRPr="00037D8F" w:rsidRDefault="00EA4133" w:rsidP="00037D8F">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00833072">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sidR="00507FD7" w:rsidRPr="00507FD7">
        <w:rPr>
          <w:rFonts w:ascii="Arial" w:hAnsi="Arial"/>
          <w:u w:val="single"/>
          <w:lang w:val="en-CA"/>
        </w:rPr>
        <w:t xml:space="preserve">The final structure </w:t>
      </w:r>
      <w:r w:rsidR="00970ABB">
        <w:rPr>
          <w:rFonts w:ascii="Arial" w:hAnsi="Arial"/>
          <w:u w:val="single"/>
          <w:lang w:val="en-CA"/>
        </w:rPr>
        <w:t xml:space="preserve">and details </w:t>
      </w:r>
      <w:r w:rsidR="00507FD7" w:rsidRPr="00507FD7">
        <w:rPr>
          <w:rFonts w:ascii="Arial" w:hAnsi="Arial"/>
          <w:u w:val="single"/>
          <w:lang w:val="en-CA"/>
        </w:rPr>
        <w:t>of the acquisition will be determined by the parties following receipt of tax, corporate and securities law advice</w:t>
      </w:r>
      <w:r w:rsidR="00037D8F" w:rsidRPr="00507FD7">
        <w:rPr>
          <w:rFonts w:ascii="Arial" w:hAnsi="Arial"/>
          <w:color w:val="000000"/>
          <w:u w:val="single"/>
        </w:rPr>
        <w:t>.</w:t>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3631B5" w:rsidRPr="00507FD7">
        <w:rPr>
          <w:rFonts w:ascii="Arial" w:hAnsi="Arial"/>
          <w:color w:val="000000"/>
          <w:u w:val="single"/>
        </w:rPr>
        <w:t>$45,000,000</w:t>
      </w:r>
      <w:r w:rsidRPr="00507FD7">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Cash</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Pr="00E306C6" w:rsidRDefault="00EA4133" w:rsidP="003631B5">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003631B5" w:rsidRPr="00E306C6">
        <w:rPr>
          <w:rFonts w:ascii="Arial" w:hAnsi="Arial"/>
          <w:color w:val="000000"/>
          <w:u w:val="single"/>
        </w:rPr>
        <w:t>60,000,000 Common Shares</w:t>
      </w:r>
      <w:r w:rsidR="003631B5" w:rsidRPr="00E306C6">
        <w:rPr>
          <w:rFonts w:ascii="Arial" w:hAnsi="Arial"/>
          <w:color w:val="000000"/>
          <w:u w:val="single"/>
        </w:rPr>
        <w:tab/>
        <w:t>.</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Other</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Expiry date of options, warrants, etc. if any</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Exercise price of options, warrants, etc. if any</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Work commitments</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r w:rsidR="00B64262">
        <w:rPr>
          <w:rFonts w:ascii="Arial" w:hAnsi="Arial"/>
          <w:color w:val="000000"/>
        </w:rPr>
        <w:t>.</w:t>
      </w:r>
      <w:r>
        <w:rPr>
          <w:rFonts w:ascii="Arial" w:hAnsi="Arial"/>
          <w:color w:val="000000"/>
        </w:rPr>
        <w:t>)</w:t>
      </w:r>
      <w:r w:rsidR="003631B5">
        <w:rPr>
          <w:rFonts w:ascii="Arial" w:hAnsi="Arial"/>
          <w:color w:val="000000"/>
        </w:rPr>
        <w:t>:</w:t>
      </w:r>
      <w:r w:rsidR="00B64262">
        <w:rPr>
          <w:rFonts w:ascii="Arial" w:hAnsi="Arial"/>
          <w:color w:val="000000"/>
        </w:rPr>
        <w:t xml:space="preserve"> </w:t>
      </w:r>
      <w:r w:rsidR="00B64262" w:rsidRPr="00B64262">
        <w:rPr>
          <w:rFonts w:ascii="Arial" w:hAnsi="Arial"/>
          <w:color w:val="000000"/>
          <w:u w:val="single"/>
        </w:rPr>
        <w:t xml:space="preserve">The price was determined through an independent </w:t>
      </w:r>
      <w:r w:rsidR="004268D5">
        <w:rPr>
          <w:rFonts w:ascii="Arial" w:hAnsi="Arial"/>
          <w:color w:val="000000"/>
          <w:u w:val="single"/>
        </w:rPr>
        <w:t xml:space="preserve">special </w:t>
      </w:r>
      <w:r w:rsidR="00B64262" w:rsidRPr="00B64262">
        <w:rPr>
          <w:rFonts w:ascii="Arial" w:hAnsi="Arial"/>
          <w:color w:val="000000"/>
          <w:u w:val="single"/>
        </w:rPr>
        <w:t>committee of the board of directors and</w:t>
      </w:r>
      <w:r w:rsidR="00CB747A">
        <w:rPr>
          <w:rFonts w:ascii="Arial" w:hAnsi="Arial"/>
          <w:color w:val="000000"/>
          <w:u w:val="single"/>
        </w:rPr>
        <w:t xml:space="preserve"> validated</w:t>
      </w:r>
      <w:r w:rsidR="00B64262" w:rsidRPr="00B64262">
        <w:rPr>
          <w:rFonts w:ascii="Arial" w:hAnsi="Arial"/>
          <w:color w:val="000000"/>
          <w:u w:val="single"/>
        </w:rPr>
        <w:t xml:space="preserve"> through a third party </w:t>
      </w:r>
      <w:r w:rsidR="00CB747A">
        <w:rPr>
          <w:rFonts w:ascii="Arial" w:hAnsi="Arial"/>
          <w:color w:val="000000"/>
          <w:u w:val="single"/>
        </w:rPr>
        <w:t>fairness opinion</w:t>
      </w:r>
      <w:r w:rsidR="00507FD7">
        <w:rPr>
          <w:rFonts w:ascii="Arial" w:hAnsi="Arial"/>
          <w:color w:val="000000"/>
          <w:u w:val="single"/>
        </w:rPr>
        <w:t>.</w:t>
      </w:r>
      <w:r w:rsidR="00970ABB" w:rsidRPr="00970ABB">
        <w:rPr>
          <w:rFonts w:ascii="Arial" w:hAnsi="Arial"/>
          <w:b/>
          <w:color w:val="000000"/>
        </w:rPr>
        <w:t xml:space="preserve"> </w:t>
      </w:r>
    </w:p>
    <w:p w:rsidR="00EA4133" w:rsidRPr="00B64262" w:rsidRDefault="00EA4133" w:rsidP="00B64262">
      <w:pPr>
        <w:pStyle w:val="List"/>
        <w:numPr>
          <w:ilvl w:val="0"/>
          <w:numId w:val="16"/>
        </w:numPr>
        <w:tabs>
          <w:tab w:val="left" w:pos="9180"/>
        </w:tabs>
        <w:rPr>
          <w:rFonts w:ascii="Arial" w:hAnsi="Arial"/>
          <w:color w:val="000000"/>
          <w:u w:val="single"/>
        </w:rPr>
      </w:pPr>
      <w:r>
        <w:rPr>
          <w:rFonts w:ascii="Arial" w:hAnsi="Arial"/>
          <w:color w:val="000000"/>
        </w:rPr>
        <w:t>Provide details of any appraisal or valuation of the subject of the acquisition known to management of the Issuer:</w:t>
      </w:r>
      <w:r w:rsidR="00B64262">
        <w:rPr>
          <w:rFonts w:ascii="Arial" w:hAnsi="Arial"/>
          <w:color w:val="000000"/>
        </w:rPr>
        <w:t xml:space="preserve"> </w:t>
      </w:r>
      <w:r w:rsidR="00B64262" w:rsidRPr="00B64262">
        <w:rPr>
          <w:rFonts w:ascii="Arial" w:hAnsi="Arial"/>
          <w:color w:val="000000"/>
          <w:u w:val="single"/>
        </w:rPr>
        <w:t>GMP Securities LP (“GMP”) provided a confidential fairness opinion. GMP determined that the proposed consideration for City</w:t>
      </w:r>
      <w:r w:rsidR="00A94771">
        <w:rPr>
          <w:rFonts w:ascii="Arial" w:hAnsi="Arial"/>
          <w:color w:val="000000"/>
          <w:u w:val="single"/>
        </w:rPr>
        <w:t xml:space="preserve"> Cannabis</w:t>
      </w:r>
      <w:r w:rsidR="00B64262" w:rsidRPr="00B64262">
        <w:rPr>
          <w:rFonts w:ascii="Arial" w:hAnsi="Arial"/>
          <w:color w:val="000000"/>
          <w:u w:val="single"/>
        </w:rPr>
        <w:t xml:space="preserve"> is fair fro</w:t>
      </w:r>
      <w:r w:rsidR="00CB747A">
        <w:rPr>
          <w:rFonts w:ascii="Arial" w:hAnsi="Arial"/>
          <w:color w:val="000000"/>
          <w:u w:val="single"/>
        </w:rPr>
        <w:t xml:space="preserve">m a financial point of view for </w:t>
      </w:r>
      <w:r w:rsidR="00B64262" w:rsidRPr="00B64262">
        <w:rPr>
          <w:rFonts w:ascii="Arial" w:hAnsi="Arial"/>
          <w:color w:val="000000"/>
          <w:u w:val="single"/>
        </w:rPr>
        <w:t>the Issuer</w:t>
      </w:r>
      <w:r w:rsidR="00507FD7">
        <w:rPr>
          <w:rFonts w:ascii="Arial" w:hAnsi="Arial"/>
          <w:color w:val="000000"/>
          <w:u w:val="single"/>
        </w:rPr>
        <w:t>.</w:t>
      </w:r>
    </w:p>
    <w:p w:rsidR="00EA4133" w:rsidRDefault="00EA4133">
      <w:pPr>
        <w:pStyle w:val="List"/>
        <w:numPr>
          <w:ilvl w:val="0"/>
          <w:numId w:val="16"/>
        </w:numPr>
        <w:jc w:val="both"/>
        <w:rPr>
          <w:rFonts w:ascii="Arial" w:hAnsi="Arial"/>
          <w:color w:val="000000"/>
        </w:rPr>
      </w:pPr>
      <w:r>
        <w:rPr>
          <w:rFonts w:ascii="Arial" w:hAnsi="Arial"/>
          <w:color w:val="000000"/>
        </w:rPr>
        <w:lastRenderedPageBreak/>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rsidTr="00970ABB">
        <w:trPr>
          <w:trHeight w:hRule="exact" w:val="1026"/>
        </w:trPr>
        <w:tc>
          <w:tcPr>
            <w:tcW w:w="1440" w:type="dxa"/>
          </w:tcPr>
          <w:p w:rsidR="00EA4133" w:rsidRPr="00970ABB" w:rsidRDefault="00B64262">
            <w:pPr>
              <w:pStyle w:val="BodyText"/>
              <w:keepNext/>
              <w:keepLines/>
              <w:rPr>
                <w:rFonts w:ascii="Arial" w:hAnsi="Arial"/>
                <w:sz w:val="22"/>
                <w:szCs w:val="22"/>
                <w:lang w:val="en-CA"/>
              </w:rPr>
            </w:pPr>
            <w:r w:rsidRPr="00970ABB">
              <w:rPr>
                <w:rFonts w:ascii="Arial" w:hAnsi="Arial"/>
                <w:b/>
                <w:sz w:val="22"/>
                <w:szCs w:val="22"/>
                <w:lang w:val="en-CA"/>
              </w:rPr>
              <w:t>To be determine</w:t>
            </w:r>
            <w:r w:rsidR="00970ABB" w:rsidRPr="00970ABB">
              <w:rPr>
                <w:rFonts w:ascii="Arial" w:hAnsi="Arial"/>
                <w:b/>
                <w:sz w:val="22"/>
                <w:szCs w:val="22"/>
                <w:lang w:val="en-CA"/>
              </w:rPr>
              <w:t>d</w:t>
            </w: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rsidTr="003631B5">
        <w:trPr>
          <w:trHeight w:hRule="exact" w:val="721"/>
        </w:trPr>
        <w:tc>
          <w:tcPr>
            <w:tcW w:w="1440" w:type="dxa"/>
          </w:tcPr>
          <w:p w:rsidR="00EA4133" w:rsidRPr="003631B5"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Pr="00970ABB" w:rsidRDefault="00EA4133" w:rsidP="00970ABB">
      <w:pPr>
        <w:pStyle w:val="List"/>
        <w:numPr>
          <w:ilvl w:val="0"/>
          <w:numId w:val="16"/>
        </w:numPr>
        <w:tabs>
          <w:tab w:val="left" w:pos="9180"/>
        </w:tabs>
        <w:jc w:val="both"/>
        <w:rPr>
          <w:rFonts w:ascii="Arial" w:hAnsi="Arial"/>
          <w:color w:val="000000"/>
        </w:rPr>
      </w:pPr>
      <w:r>
        <w:rPr>
          <w:rFonts w:ascii="Arial" w:hAnsi="Arial"/>
          <w:color w:val="000000"/>
        </w:rPr>
        <w:t xml:space="preserve">Details of the steps taken by the Issuer to ensure that the vendor has good title to the assets being acquired: </w:t>
      </w:r>
      <w:r w:rsidR="00970ABB">
        <w:rPr>
          <w:rFonts w:ascii="Arial" w:hAnsi="Arial"/>
          <w:color w:val="000000"/>
          <w:u w:val="single"/>
        </w:rPr>
        <w:t>Legal</w:t>
      </w:r>
      <w:r w:rsidR="00B64262" w:rsidRPr="00B64262">
        <w:rPr>
          <w:rFonts w:ascii="Arial" w:hAnsi="Arial"/>
          <w:color w:val="000000"/>
          <w:u w:val="single"/>
        </w:rPr>
        <w:t xml:space="preserve"> and financ</w:t>
      </w:r>
      <w:r w:rsidR="00970ABB">
        <w:rPr>
          <w:rFonts w:ascii="Arial" w:hAnsi="Arial"/>
          <w:color w:val="000000"/>
          <w:u w:val="single"/>
        </w:rPr>
        <w:t xml:space="preserve">ial due diligence was performed. </w:t>
      </w:r>
      <w:r w:rsidR="00B64262" w:rsidRPr="00B64262">
        <w:rPr>
          <w:rFonts w:ascii="Arial" w:hAnsi="Arial"/>
          <w:color w:val="000000"/>
          <w:u w:val="single"/>
        </w:rPr>
        <w:t>The due diligence process is still underway</w:t>
      </w:r>
      <w:r w:rsidR="00970ABB">
        <w:rPr>
          <w:rFonts w:ascii="Arial" w:hAnsi="Arial"/>
          <w:color w:val="000000"/>
          <w:u w:val="single"/>
        </w:rPr>
        <w:t>.</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w:t>
      </w:r>
      <w:bookmarkStart w:id="4" w:name="_GoBack"/>
      <w:bookmarkEnd w:id="4"/>
      <w:r>
        <w:rPr>
          <w:rFonts w:ascii="Arial" w:hAnsi="Arial"/>
        </w:rPr>
        <w:t xml:space="preserve">ection with the acquisition (name, </w:t>
      </w:r>
      <w:r w:rsidR="007C4F86">
        <w:rPr>
          <w:rFonts w:ascii="Arial" w:hAnsi="Arial"/>
        </w:rPr>
        <w:t>and</w:t>
      </w:r>
      <w:r w:rsidR="00E53B22">
        <w:rPr>
          <w:rFonts w:ascii="Arial" w:hAnsi="Arial"/>
        </w:rPr>
        <w:t xml:space="preserve"> </w:t>
      </w:r>
      <w:r w:rsidR="007C4F86">
        <w:rPr>
          <w:rFonts w:ascii="Arial" w:hAnsi="Arial"/>
        </w:rPr>
        <w:t>i</w:t>
      </w:r>
      <w:r>
        <w:rPr>
          <w:rFonts w:ascii="Arial" w:hAnsi="Arial"/>
        </w:rPr>
        <w:t>f a corporation, identify persons owning or exercising voting control over 20% or more of the voting shares if known to the Issuer</w:t>
      </w:r>
      <w:r w:rsidRPr="00CB747A">
        <w:rPr>
          <w:rFonts w:ascii="Arial" w:hAnsi="Arial"/>
        </w:rPr>
        <w:t>):</w:t>
      </w:r>
      <w:r w:rsidR="00937590">
        <w:rPr>
          <w:rFonts w:ascii="Arial" w:hAnsi="Arial"/>
          <w:u w:val="single"/>
        </w:rPr>
        <w:t xml:space="preserve"> None</w:t>
      </w:r>
      <w:r>
        <w:rPr>
          <w:rFonts w:ascii="Arial" w:hAnsi="Arial"/>
          <w:u w:val="single"/>
        </w:rPr>
        <w:tab/>
      </w:r>
      <w:r>
        <w:rPr>
          <w:rFonts w:ascii="Arial" w:hAnsi="Arial"/>
          <w:u w:val="single"/>
        </w:rPr>
        <w:tab/>
      </w:r>
      <w:r>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CF2A90" w:rsidRDefault="00CF2A90" w:rsidP="00CF2A90">
      <w:pPr>
        <w:pStyle w:val="List"/>
        <w:tabs>
          <w:tab w:val="left" w:pos="9180"/>
        </w:tabs>
        <w:ind w:left="0" w:firstLine="0"/>
        <w:rPr>
          <w:rFonts w:ascii="Arial" w:hAnsi="Arial"/>
          <w:color w:val="000000"/>
        </w:rPr>
      </w:pPr>
    </w:p>
    <w:p w:rsidR="00EA4133" w:rsidRDefault="00EA4133">
      <w:pPr>
        <w:pStyle w:val="List"/>
        <w:numPr>
          <w:ilvl w:val="0"/>
          <w:numId w:val="16"/>
        </w:numPr>
        <w:tabs>
          <w:tab w:val="left" w:pos="9180"/>
        </w:tabs>
        <w:rPr>
          <w:rFonts w:ascii="Arial" w:hAnsi="Arial"/>
          <w:color w:val="000000"/>
        </w:rPr>
      </w:pPr>
      <w:r>
        <w:rPr>
          <w:rFonts w:ascii="Arial" w:hAnsi="Arial"/>
          <w:color w:val="000000"/>
        </w:rPr>
        <w:lastRenderedPageBreak/>
        <w:t xml:space="preserve">State whether the sales agent, broker or other person receiving compensation in connection with the acquisition is a Related Person or has any other relationship with the Issuer and provide details of the relationship. </w:t>
      </w:r>
      <w:r w:rsidR="00B64262" w:rsidRPr="00B64262">
        <w:rPr>
          <w:rFonts w:ascii="Arial" w:hAnsi="Arial"/>
          <w:color w:val="000000"/>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If applicable, indicate whether the acquisition is the acquisition of an interest in property contiguous to or otherwise related to any other asset</w:t>
      </w:r>
      <w:r w:rsidR="00D11F94">
        <w:rPr>
          <w:rFonts w:ascii="Arial" w:hAnsi="Arial"/>
          <w:color w:val="000000"/>
        </w:rPr>
        <w:t xml:space="preserve"> acquired in the last 12 months:</w:t>
      </w:r>
      <w:r>
        <w:rPr>
          <w:rFonts w:ascii="Arial" w:hAnsi="Arial"/>
          <w:color w:val="000000"/>
        </w:rPr>
        <w:t xml:space="preserve"> </w:t>
      </w:r>
      <w:r w:rsidR="00D11F94" w:rsidRPr="00D11F94">
        <w:rPr>
          <w:rFonts w:ascii="Arial" w:hAnsi="Arial"/>
          <w:color w:val="000000"/>
          <w:u w:val="single"/>
        </w:rPr>
        <w:t>N/A</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CB747A" w:rsidRDefault="00CB747A">
      <w:pPr>
        <w:pStyle w:val="List"/>
        <w:tabs>
          <w:tab w:val="left" w:pos="1080"/>
        </w:tabs>
        <w:ind w:left="0" w:firstLine="0"/>
        <w:rPr>
          <w:rFonts w:ascii="Arial" w:hAnsi="Arial"/>
          <w:b/>
        </w:rPr>
      </w:pPr>
      <w:r>
        <w:rPr>
          <w:rFonts w:ascii="Arial" w:hAnsi="Arial"/>
          <w:b/>
        </w:rPr>
        <w:br w:type="page"/>
      </w:r>
    </w:p>
    <w:p w:rsidR="00EA4133" w:rsidRDefault="00EA4133">
      <w:pPr>
        <w:pStyle w:val="List"/>
        <w:tabs>
          <w:tab w:val="left" w:pos="1080"/>
        </w:tabs>
        <w:ind w:left="0" w:firstLine="0"/>
        <w:rPr>
          <w:rFonts w:ascii="Arial" w:hAnsi="Arial"/>
        </w:rPr>
      </w:pPr>
      <w:r>
        <w:rPr>
          <w:rFonts w:ascii="Arial" w:hAnsi="Arial"/>
          <w:b/>
        </w:rPr>
        <w:lastRenderedPageBreak/>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C500F0" w:rsidRDefault="00C500F0" w:rsidP="00C500F0">
      <w:pPr>
        <w:pStyle w:val="List"/>
        <w:ind w:firstLine="0"/>
        <w:jc w:val="both"/>
        <w:rPr>
          <w:rFonts w:ascii="Arial" w:hAnsi="Arial"/>
        </w:rPr>
      </w:pPr>
    </w:p>
    <w:p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rsidR="00C500F0" w:rsidRPr="00C500F0" w:rsidRDefault="00C500F0" w:rsidP="00C500F0">
      <w:pPr>
        <w:pStyle w:val="ListParagraph"/>
        <w:rPr>
          <w:rFonts w:ascii="Arial" w:hAnsi="Arial" w:cs="Arial"/>
          <w:sz w:val="24"/>
          <w:szCs w:val="24"/>
        </w:rPr>
      </w:pPr>
    </w:p>
    <w:p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r>
      <w:proofErr w:type="gramStart"/>
      <w:r w:rsidRPr="00C500F0">
        <w:rPr>
          <w:rFonts w:ascii="Arial" w:hAnsi="Arial" w:cs="Arial"/>
          <w:sz w:val="24"/>
          <w:szCs w:val="24"/>
        </w:rPr>
        <w:t>the</w:t>
      </w:r>
      <w:proofErr w:type="gramEnd"/>
      <w:r w:rsidRPr="00C500F0">
        <w:rPr>
          <w:rFonts w:ascii="Arial" w:hAnsi="Arial" w:cs="Arial"/>
          <w:sz w:val="24"/>
          <w:szCs w:val="24"/>
        </w:rPr>
        <w:t xml:space="preserve"> disclosure of their information to the Exchange pursuant to this Form or otherwise pursuant to this filing; and</w:t>
      </w:r>
    </w:p>
    <w:p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120E52" w:rsidRPr="00D11F94">
        <w:rPr>
          <w:rFonts w:ascii="Arial" w:hAnsi="Arial"/>
          <w:u w:val="single"/>
        </w:rPr>
        <w:t xml:space="preserve">April </w:t>
      </w:r>
      <w:r w:rsidR="00D11F94">
        <w:rPr>
          <w:rFonts w:ascii="Arial" w:hAnsi="Arial"/>
          <w:u w:val="single"/>
        </w:rPr>
        <w:t>1</w:t>
      </w:r>
      <w:r w:rsidR="00A94771">
        <w:rPr>
          <w:rFonts w:ascii="Arial" w:hAnsi="Arial"/>
          <w:u w:val="single"/>
        </w:rPr>
        <w:t>2</w:t>
      </w:r>
      <w:r w:rsidR="006E1A7A" w:rsidRPr="00D11F94">
        <w:rPr>
          <w:rFonts w:ascii="Arial" w:hAnsi="Arial"/>
          <w:u w:val="single"/>
        </w:rPr>
        <w:t>, 2019</w:t>
      </w:r>
      <w:r>
        <w:rPr>
          <w:rFonts w:ascii="Arial" w:hAnsi="Arial"/>
          <w:u w:val="single"/>
        </w:rPr>
        <w:tab/>
      </w:r>
      <w:r>
        <w:rPr>
          <w:rFonts w:ascii="Arial" w:hAnsi="Arial"/>
        </w:rPr>
        <w:t>.</w:t>
      </w:r>
    </w:p>
    <w:p w:rsidR="00EA4133" w:rsidRDefault="00EA4133">
      <w:pPr>
        <w:pStyle w:val="List"/>
        <w:tabs>
          <w:tab w:val="left" w:pos="9180"/>
        </w:tabs>
        <w:ind w:left="5760" w:hanging="5760"/>
        <w:rPr>
          <w:rFonts w:ascii="Arial" w:hAnsi="Arial"/>
        </w:rPr>
      </w:pPr>
      <w:r>
        <w:rPr>
          <w:rFonts w:ascii="Arial" w:hAnsi="Arial"/>
        </w:rPr>
        <w:tab/>
      </w:r>
      <w:r w:rsidR="00153A67">
        <w:rPr>
          <w:rFonts w:ascii="Arial" w:hAnsi="Arial"/>
          <w:u w:val="single"/>
        </w:rPr>
        <w:t>Stephen Pearce</w:t>
      </w:r>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C55665">
        <w:rPr>
          <w:rFonts w:ascii="Arial" w:hAnsi="Arial"/>
        </w:rPr>
        <w:t>(</w:t>
      </w:r>
      <w:r w:rsidR="00C55665">
        <w:rPr>
          <w:rFonts w:ascii="Arial" w:hAnsi="Arial"/>
          <w:u w:val="single"/>
        </w:rPr>
        <w:t xml:space="preserve">signed) </w:t>
      </w:r>
      <w:r w:rsidR="00C55665">
        <w:rPr>
          <w:rFonts w:ascii="Arial" w:hAnsi="Arial"/>
          <w:i/>
          <w:u w:val="single"/>
        </w:rPr>
        <w:t>“Stephen Pearce”</w:t>
      </w:r>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153A67">
        <w:rPr>
          <w:rFonts w:ascii="Arial" w:hAnsi="Arial"/>
          <w:u w:val="single"/>
        </w:rPr>
        <w:t>Chief Financial</w:t>
      </w:r>
      <w:r w:rsidR="006E1A7A" w:rsidRPr="00D11F94">
        <w:rPr>
          <w:rFonts w:ascii="Arial" w:hAnsi="Arial"/>
          <w:u w:val="single"/>
        </w:rPr>
        <w:t xml:space="preserve"> Officer</w:t>
      </w:r>
      <w:r>
        <w:rPr>
          <w:rFonts w:ascii="Arial" w:hAnsi="Arial"/>
          <w:u w:val="single"/>
        </w:rPr>
        <w:tab/>
      </w:r>
      <w:r>
        <w:rPr>
          <w:rFonts w:ascii="Arial" w:hAnsi="Arial"/>
        </w:rPr>
        <w:br/>
        <w:t>Official Capacity</w:t>
      </w:r>
    </w:p>
    <w:p w:rsidR="00C500F0" w:rsidRDefault="00C500F0">
      <w:pPr>
        <w:pStyle w:val="List"/>
        <w:tabs>
          <w:tab w:val="left" w:pos="9180"/>
          <w:tab w:val="left" w:pos="9360"/>
        </w:tabs>
        <w:ind w:left="5760" w:hanging="5760"/>
        <w:rPr>
          <w:rFonts w:ascii="Arial" w:hAnsi="Arial"/>
        </w:rPr>
      </w:pPr>
    </w:p>
    <w:p w:rsidR="00C500F0" w:rsidRDefault="00C500F0">
      <w:pPr>
        <w:pStyle w:val="List"/>
        <w:tabs>
          <w:tab w:val="left" w:pos="9180"/>
          <w:tab w:val="left" w:pos="9360"/>
        </w:tabs>
        <w:ind w:left="5760" w:hanging="5760"/>
        <w:rPr>
          <w:rFonts w:ascii="Arial" w:hAnsi="Arial"/>
        </w:rPr>
      </w:pPr>
    </w:p>
    <w:p w:rsidR="00CB747A" w:rsidRDefault="00CB747A" w:rsidP="00C500F0">
      <w:pPr>
        <w:spacing w:before="120"/>
        <w:ind w:left="720"/>
        <w:jc w:val="center"/>
        <w:rPr>
          <w:rFonts w:ascii="Arial" w:eastAsia="Calibri" w:hAnsi="Arial" w:cs="Arial"/>
          <w:b/>
          <w:sz w:val="24"/>
          <w:szCs w:val="24"/>
        </w:rPr>
      </w:pPr>
      <w:r>
        <w:rPr>
          <w:rFonts w:ascii="Arial" w:eastAsia="Calibri" w:hAnsi="Arial" w:cs="Arial"/>
          <w:b/>
          <w:sz w:val="24"/>
          <w:szCs w:val="24"/>
        </w:rPr>
        <w:br w:type="page"/>
      </w: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rsidR="00C500F0" w:rsidRPr="00D11F94" w:rsidRDefault="00C500F0" w:rsidP="00D11F94">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sectPr w:rsidR="00C500F0" w:rsidRPr="00D11F94"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EB6" w:rsidRDefault="00305EB6">
      <w:r>
        <w:separator/>
      </w:r>
    </w:p>
  </w:endnote>
  <w:endnote w:type="continuationSeparator" w:id="0">
    <w:p w:rsidR="00305EB6" w:rsidRDefault="0030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33" w:rsidRDefault="00CD016D" w:rsidP="008003B9">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7728" behindDoc="0" locked="0" layoutInCell="1" allowOverlap="1">
              <wp:simplePos x="0" y="0"/>
              <wp:positionH relativeFrom="column">
                <wp:posOffset>51435</wp:posOffset>
              </wp:positionH>
              <wp:positionV relativeFrom="paragraph">
                <wp:posOffset>-20321</wp:posOffset>
              </wp:positionV>
              <wp:extent cx="5863590" cy="0"/>
              <wp:effectExtent l="0" t="0" r="2286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9ECECE2"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A94771">
      <w:rPr>
        <w:rStyle w:val="PageNumber"/>
        <w:rFonts w:ascii="Arial" w:hAnsi="Arial" w:cs="Arial"/>
        <w:noProof/>
        <w:sz w:val="16"/>
        <w:szCs w:val="16"/>
      </w:rPr>
      <w:t>10</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33" w:rsidRDefault="00EF3F90">
    <w:pPr>
      <w:pStyle w:val="Footer"/>
    </w:pPr>
    <w:fldSimple w:instr=" DOCPROPERTY FOOTERPATH \* MERGEFORMAT ">
      <w:r w:rsidR="00120E52">
        <w:t>3214.001\0180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EB6" w:rsidRDefault="00305EB6">
      <w:r>
        <w:separator/>
      </w:r>
    </w:p>
  </w:footnote>
  <w:footnote w:type="continuationSeparator" w:id="0">
    <w:p w:rsidR="00305EB6" w:rsidRDefault="00305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B3"/>
    <w:rsid w:val="00003125"/>
    <w:rsid w:val="0001060A"/>
    <w:rsid w:val="00037D6D"/>
    <w:rsid w:val="00037D8F"/>
    <w:rsid w:val="00084F96"/>
    <w:rsid w:val="000B64EF"/>
    <w:rsid w:val="000C7CEC"/>
    <w:rsid w:val="00116314"/>
    <w:rsid w:val="00120E52"/>
    <w:rsid w:val="00122D6D"/>
    <w:rsid w:val="0015033F"/>
    <w:rsid w:val="00153A67"/>
    <w:rsid w:val="00173F0B"/>
    <w:rsid w:val="00186DA5"/>
    <w:rsid w:val="001B68FE"/>
    <w:rsid w:val="001F4E9C"/>
    <w:rsid w:val="002428CD"/>
    <w:rsid w:val="002557FD"/>
    <w:rsid w:val="002560F1"/>
    <w:rsid w:val="002815DC"/>
    <w:rsid w:val="002F0416"/>
    <w:rsid w:val="002F39BF"/>
    <w:rsid w:val="0030164C"/>
    <w:rsid w:val="00305EB6"/>
    <w:rsid w:val="00326D55"/>
    <w:rsid w:val="003431FD"/>
    <w:rsid w:val="0035331C"/>
    <w:rsid w:val="003631B5"/>
    <w:rsid w:val="003C6D7E"/>
    <w:rsid w:val="004268D5"/>
    <w:rsid w:val="00456624"/>
    <w:rsid w:val="00460218"/>
    <w:rsid w:val="00497653"/>
    <w:rsid w:val="004A1403"/>
    <w:rsid w:val="004B214D"/>
    <w:rsid w:val="004F1989"/>
    <w:rsid w:val="00507FD7"/>
    <w:rsid w:val="00544BCF"/>
    <w:rsid w:val="00547B9E"/>
    <w:rsid w:val="005C6D68"/>
    <w:rsid w:val="00617A0E"/>
    <w:rsid w:val="0062717F"/>
    <w:rsid w:val="006817CA"/>
    <w:rsid w:val="006E1A7A"/>
    <w:rsid w:val="007568B3"/>
    <w:rsid w:val="00770ED2"/>
    <w:rsid w:val="007A4C51"/>
    <w:rsid w:val="007B0425"/>
    <w:rsid w:val="007B5327"/>
    <w:rsid w:val="007C4F86"/>
    <w:rsid w:val="008003B9"/>
    <w:rsid w:val="0081483D"/>
    <w:rsid w:val="00833072"/>
    <w:rsid w:val="00840B45"/>
    <w:rsid w:val="00857CBD"/>
    <w:rsid w:val="008F27FF"/>
    <w:rsid w:val="009136E7"/>
    <w:rsid w:val="00937590"/>
    <w:rsid w:val="009466F0"/>
    <w:rsid w:val="00970ABB"/>
    <w:rsid w:val="0097763E"/>
    <w:rsid w:val="009C1EC2"/>
    <w:rsid w:val="00A00C54"/>
    <w:rsid w:val="00A0774E"/>
    <w:rsid w:val="00A10285"/>
    <w:rsid w:val="00A90670"/>
    <w:rsid w:val="00A93530"/>
    <w:rsid w:val="00A9392C"/>
    <w:rsid w:val="00A94771"/>
    <w:rsid w:val="00B64262"/>
    <w:rsid w:val="00B923F6"/>
    <w:rsid w:val="00BE2894"/>
    <w:rsid w:val="00C10A32"/>
    <w:rsid w:val="00C203EE"/>
    <w:rsid w:val="00C500F0"/>
    <w:rsid w:val="00C536D3"/>
    <w:rsid w:val="00C55665"/>
    <w:rsid w:val="00C57DD0"/>
    <w:rsid w:val="00CB747A"/>
    <w:rsid w:val="00CC2519"/>
    <w:rsid w:val="00CD016D"/>
    <w:rsid w:val="00CF076A"/>
    <w:rsid w:val="00CF2A90"/>
    <w:rsid w:val="00CF5580"/>
    <w:rsid w:val="00CF72A4"/>
    <w:rsid w:val="00D11F94"/>
    <w:rsid w:val="00DA6830"/>
    <w:rsid w:val="00DB640C"/>
    <w:rsid w:val="00DB6962"/>
    <w:rsid w:val="00E0534A"/>
    <w:rsid w:val="00E13E67"/>
    <w:rsid w:val="00E306C6"/>
    <w:rsid w:val="00E33BCB"/>
    <w:rsid w:val="00E53B22"/>
    <w:rsid w:val="00E541E5"/>
    <w:rsid w:val="00E54B89"/>
    <w:rsid w:val="00E55E58"/>
    <w:rsid w:val="00E83A64"/>
    <w:rsid w:val="00E9461F"/>
    <w:rsid w:val="00E97C13"/>
    <w:rsid w:val="00EA4133"/>
    <w:rsid w:val="00EF3F90"/>
    <w:rsid w:val="00F33BBE"/>
    <w:rsid w:val="00F57CD1"/>
    <w:rsid w:val="00F727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docId w15:val="{1EE9F382-C37D-44E3-8E1E-55DF1881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01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character" w:customStyle="1" w:styleId="Heading1Char">
    <w:name w:val="Heading 1 Char"/>
    <w:basedOn w:val="DefaultParagraphFont"/>
    <w:link w:val="Heading1"/>
    <w:uiPriority w:val="9"/>
    <w:rsid w:val="00CD016D"/>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A077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2032</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Cremers, Michael</cp:lastModifiedBy>
  <cp:revision>8</cp:revision>
  <cp:lastPrinted>2019-04-09T20:05:00Z</cp:lastPrinted>
  <dcterms:created xsi:type="dcterms:W3CDTF">2019-04-10T21:18:00Z</dcterms:created>
  <dcterms:modified xsi:type="dcterms:W3CDTF">2019-04-12T14:34:00Z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