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91A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BDD9436" w14:textId="2746B10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036B4">
        <w:rPr>
          <w:rFonts w:ascii="Arial" w:hAnsi="Arial"/>
          <w:b/>
          <w:color w:val="000000"/>
          <w:u w:val="single"/>
        </w:rPr>
        <w:t>Summa Silver Corp</w:t>
      </w:r>
      <w:r w:rsidR="00564E92">
        <w:rPr>
          <w:rFonts w:ascii="Arial" w:hAnsi="Arial"/>
          <w:b/>
          <w:color w:val="000000"/>
          <w:u w:val="single"/>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E8B807B" w14:textId="67660CD6"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036B4">
        <w:rPr>
          <w:rFonts w:ascii="Arial" w:hAnsi="Arial"/>
          <w:b/>
          <w:color w:val="000000"/>
          <w:u w:val="single"/>
        </w:rPr>
        <w:t>SSVR</w:t>
      </w:r>
      <w:r>
        <w:rPr>
          <w:rFonts w:ascii="Arial" w:hAnsi="Arial"/>
          <w:color w:val="000000"/>
          <w:u w:val="single"/>
        </w:rPr>
        <w:tab/>
      </w:r>
      <w:r>
        <w:rPr>
          <w:rFonts w:ascii="Arial" w:hAnsi="Arial"/>
          <w:color w:val="000000"/>
          <w:u w:val="single"/>
        </w:rPr>
        <w:tab/>
      </w:r>
    </w:p>
    <w:p w14:paraId="58CCD69C" w14:textId="318E467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123F1">
        <w:rPr>
          <w:rFonts w:ascii="Arial" w:hAnsi="Arial"/>
          <w:b/>
          <w:color w:val="000000"/>
          <w:u w:val="single"/>
          <w:lang w:val="en-US"/>
        </w:rPr>
        <w:t>42,990,317</w:t>
      </w:r>
      <w:r>
        <w:rPr>
          <w:rFonts w:ascii="Arial" w:hAnsi="Arial"/>
          <w:color w:val="000000"/>
          <w:u w:val="single"/>
        </w:rPr>
        <w:tab/>
      </w:r>
      <w:r>
        <w:rPr>
          <w:rFonts w:ascii="Arial" w:hAnsi="Arial"/>
          <w:color w:val="000000"/>
          <w:u w:val="single"/>
        </w:rPr>
        <w:tab/>
      </w:r>
    </w:p>
    <w:p w14:paraId="4551F60A" w14:textId="21D21F7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E5579">
        <w:rPr>
          <w:rFonts w:ascii="Arial" w:hAnsi="Arial"/>
          <w:b/>
          <w:color w:val="000000"/>
          <w:u w:val="single"/>
        </w:rPr>
        <w:t>May</w:t>
      </w:r>
      <w:r w:rsidR="001A5DFD">
        <w:rPr>
          <w:rFonts w:ascii="Arial" w:hAnsi="Arial"/>
          <w:b/>
          <w:color w:val="000000"/>
          <w:u w:val="single"/>
        </w:rPr>
        <w:t xml:space="preserve"> 2020</w:t>
      </w:r>
      <w:r>
        <w:rPr>
          <w:rFonts w:ascii="Arial" w:hAnsi="Arial"/>
          <w:color w:val="000000"/>
          <w:u w:val="single"/>
        </w:rPr>
        <w:tab/>
      </w:r>
      <w:r>
        <w:rPr>
          <w:rFonts w:ascii="Arial" w:hAnsi="Arial"/>
          <w:color w:val="000000"/>
          <w:u w:val="single"/>
        </w:rPr>
        <w:tab/>
      </w:r>
    </w:p>
    <w:p w14:paraId="7458AF87" w14:textId="41B82F01"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952BC5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6101778"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61237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A9A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D20F80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13CD4D7" w14:textId="77777777" w:rsidR="0085769A" w:rsidRDefault="0085769A">
      <w:pPr>
        <w:pStyle w:val="List"/>
        <w:keepLines/>
        <w:spacing w:before="120"/>
        <w:ind w:left="0" w:firstLine="0"/>
        <w:rPr>
          <w:rFonts w:ascii="Arial" w:hAnsi="Arial"/>
          <w:b/>
        </w:rPr>
      </w:pPr>
      <w:r>
        <w:rPr>
          <w:rFonts w:ascii="Arial" w:hAnsi="Arial"/>
          <w:b/>
        </w:rPr>
        <w:br w:type="page"/>
      </w:r>
    </w:p>
    <w:p w14:paraId="64D7928F" w14:textId="3255D0ED" w:rsidR="00640E94" w:rsidRDefault="00640E94" w:rsidP="0085769A">
      <w:pPr>
        <w:pStyle w:val="List"/>
        <w:keepLines/>
        <w:spacing w:before="0"/>
        <w:ind w:left="0" w:firstLine="0"/>
        <w:rPr>
          <w:rFonts w:ascii="Arial" w:hAnsi="Arial"/>
          <w:b/>
        </w:rPr>
      </w:pPr>
      <w:r>
        <w:rPr>
          <w:rFonts w:ascii="Arial" w:hAnsi="Arial"/>
          <w:b/>
        </w:rPr>
        <w:lastRenderedPageBreak/>
        <w:t>Report on Business</w:t>
      </w:r>
    </w:p>
    <w:p w14:paraId="3D1E616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24484F6" w14:textId="77777777" w:rsidR="00517D61" w:rsidRDefault="00517D61" w:rsidP="00A63AB0">
      <w:pPr>
        <w:autoSpaceDE w:val="0"/>
        <w:autoSpaceDN w:val="0"/>
        <w:adjustRightInd w:val="0"/>
        <w:ind w:left="720"/>
        <w:rPr>
          <w:rFonts w:ascii="Avenir" w:hAnsi="Avenir"/>
          <w:i/>
          <w:iCs/>
          <w:color w:val="000000"/>
          <w:shd w:val="clear" w:color="auto" w:fill="FFFFFF"/>
        </w:rPr>
      </w:pPr>
    </w:p>
    <w:p w14:paraId="24496FC5" w14:textId="77777777" w:rsidR="002123F1" w:rsidRPr="00517D61" w:rsidRDefault="002123F1" w:rsidP="002123F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Summa Silver</w:t>
      </w:r>
      <w:r w:rsidRPr="004C62B6">
        <w:rPr>
          <w:rFonts w:ascii="Arial" w:hAnsi="Arial" w:cs="Arial"/>
          <w:b/>
          <w:bCs/>
          <w:color w:val="000000"/>
          <w:sz w:val="24"/>
          <w:szCs w:val="24"/>
          <w:shd w:val="clear" w:color="auto" w:fill="FFFFFF"/>
        </w:rPr>
        <w:t xml:space="preserve"> Corp. is a Canadian junior mineral exploration company. The Company’s portfolio consists of the optioned Donna Property covering 9,421 hectares located approximately 63 km east of Vernon, British Columbia and the optioned Hughes Property consisting of 57 patented mining claims and 103 un-patented mining claims totaling 2,547 acres located in central Nevada.</w:t>
      </w:r>
    </w:p>
    <w:p w14:paraId="29EC575D" w14:textId="77777777" w:rsidR="00564E92" w:rsidRDefault="00564E92" w:rsidP="0085769A">
      <w:pPr>
        <w:pStyle w:val="List"/>
        <w:spacing w:before="0"/>
        <w:jc w:val="both"/>
        <w:rPr>
          <w:rFonts w:ascii="Arial" w:hAnsi="Arial"/>
        </w:rPr>
      </w:pPr>
    </w:p>
    <w:p w14:paraId="6AE0618D" w14:textId="77777777" w:rsidR="00640E94" w:rsidRDefault="00640E94" w:rsidP="00517D61">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6E5EEA09" w14:textId="77777777" w:rsidR="00517D61" w:rsidRDefault="00517D61" w:rsidP="00517D61">
      <w:pPr>
        <w:pStyle w:val="ListParagraph"/>
        <w:autoSpaceDE w:val="0"/>
        <w:autoSpaceDN w:val="0"/>
        <w:adjustRightInd w:val="0"/>
        <w:jc w:val="both"/>
        <w:rPr>
          <w:rFonts w:ascii="Arial" w:hAnsi="Arial" w:cs="Arial"/>
          <w:b/>
          <w:bCs/>
          <w:color w:val="000000"/>
          <w:sz w:val="24"/>
          <w:szCs w:val="24"/>
          <w:shd w:val="clear" w:color="auto" w:fill="FFFFFF"/>
        </w:rPr>
      </w:pPr>
    </w:p>
    <w:p w14:paraId="17C7DB30" w14:textId="19F492AE" w:rsidR="00E16EA5" w:rsidRDefault="00E16EA5" w:rsidP="00517D61">
      <w:pPr>
        <w:pStyle w:val="ListParagraph"/>
        <w:autoSpaceDE w:val="0"/>
        <w:autoSpaceDN w:val="0"/>
        <w:adjustRightInd w:val="0"/>
        <w:jc w:val="both"/>
        <w:rPr>
          <w:rFonts w:ascii="Arial" w:hAnsi="Arial" w:cs="Arial"/>
          <w:b/>
          <w:bCs/>
          <w:color w:val="000000"/>
          <w:sz w:val="24"/>
          <w:szCs w:val="24"/>
          <w:shd w:val="clear" w:color="auto" w:fill="FFFFFF"/>
        </w:rPr>
      </w:pPr>
      <w:r w:rsidRPr="00E16EA5">
        <w:rPr>
          <w:rFonts w:ascii="Arial" w:hAnsi="Arial" w:cs="Arial"/>
          <w:b/>
          <w:bCs/>
          <w:color w:val="000000"/>
          <w:sz w:val="24"/>
          <w:szCs w:val="24"/>
          <w:shd w:val="clear" w:color="auto" w:fill="FFFFFF"/>
        </w:rPr>
        <w:t>Galen McNamara has been appointed CEO of the Company. In connection with the appointment, Hani Zabaneh has stepped down as CEO but remains on the Board of Directors.</w:t>
      </w:r>
    </w:p>
    <w:p w14:paraId="56ABD75B" w14:textId="77777777" w:rsidR="00E16EA5" w:rsidRDefault="00E16EA5" w:rsidP="00517D61">
      <w:pPr>
        <w:pStyle w:val="ListParagraph"/>
        <w:autoSpaceDE w:val="0"/>
        <w:autoSpaceDN w:val="0"/>
        <w:adjustRightInd w:val="0"/>
        <w:jc w:val="both"/>
        <w:rPr>
          <w:rFonts w:ascii="Arial" w:hAnsi="Arial" w:cs="Arial"/>
          <w:b/>
          <w:bCs/>
          <w:color w:val="000000"/>
          <w:sz w:val="24"/>
          <w:szCs w:val="24"/>
          <w:shd w:val="clear" w:color="auto" w:fill="FFFFFF"/>
        </w:rPr>
      </w:pPr>
    </w:p>
    <w:p w14:paraId="15B7B02F" w14:textId="64A7E34D" w:rsidR="00517D61" w:rsidRPr="00517D61" w:rsidRDefault="002123F1" w:rsidP="00517D6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Management continued its focus on data review of the Hughes silver-gold property in central Nevada. </w:t>
      </w:r>
      <w:r w:rsidRPr="002123F1">
        <w:rPr>
          <w:rFonts w:ascii="Arial" w:hAnsi="Arial" w:cs="Arial"/>
          <w:b/>
          <w:bCs/>
          <w:color w:val="000000"/>
          <w:sz w:val="24"/>
          <w:szCs w:val="24"/>
          <w:shd w:val="clear" w:color="auto" w:fill="FFFFFF"/>
        </w:rPr>
        <w:t>The Company is finalizing targets for a summer drilling and exploration program. In Nevada, mining has been declared an essential business and mining companies have been directed to adopt strict social distancing measures throughout operations.</w:t>
      </w:r>
    </w:p>
    <w:p w14:paraId="7466B90E" w14:textId="77777777" w:rsidR="00564E92" w:rsidRDefault="00564E92" w:rsidP="0085769A">
      <w:pPr>
        <w:pStyle w:val="List"/>
        <w:spacing w:before="0"/>
        <w:jc w:val="both"/>
        <w:rPr>
          <w:rFonts w:ascii="Arial" w:hAnsi="Arial"/>
        </w:rPr>
      </w:pPr>
    </w:p>
    <w:p w14:paraId="23D63A49" w14:textId="4A4559F9" w:rsidR="00640E94" w:rsidRDefault="00640E94" w:rsidP="00517D61">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99854A" w14:textId="77777777" w:rsidR="00517D61" w:rsidRDefault="00517D61" w:rsidP="00517D61">
      <w:pPr>
        <w:pStyle w:val="List"/>
        <w:spacing w:before="120"/>
        <w:ind w:left="720" w:firstLine="0"/>
        <w:jc w:val="both"/>
        <w:rPr>
          <w:rFonts w:ascii="Arial" w:hAnsi="Arial"/>
        </w:rPr>
      </w:pPr>
    </w:p>
    <w:p w14:paraId="4326CB7D" w14:textId="77777777" w:rsidR="00E16EA5" w:rsidRPr="00517D61" w:rsidRDefault="00E16EA5" w:rsidP="00E16EA5">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Management continued its focus on data review of the Hughes silver-gold property in central Nevada. </w:t>
      </w:r>
      <w:r w:rsidRPr="002123F1">
        <w:rPr>
          <w:rFonts w:ascii="Arial" w:hAnsi="Arial" w:cs="Arial"/>
          <w:b/>
          <w:bCs/>
          <w:color w:val="000000"/>
          <w:sz w:val="24"/>
          <w:szCs w:val="24"/>
          <w:shd w:val="clear" w:color="auto" w:fill="FFFFFF"/>
        </w:rPr>
        <w:t>The Company is finalizing targets for a summer drilling and exploration program. In Nevada, mining has been declared an essential business and mining companies have been directed to adopt strict social distancing measures throughout operations.</w:t>
      </w:r>
    </w:p>
    <w:p w14:paraId="7AEA7CD0" w14:textId="77777777" w:rsidR="00564E92" w:rsidRDefault="00564E92" w:rsidP="0085769A">
      <w:pPr>
        <w:pStyle w:val="List"/>
        <w:spacing w:before="0"/>
        <w:ind w:hanging="360"/>
        <w:jc w:val="both"/>
        <w:rPr>
          <w:rFonts w:ascii="Arial" w:hAnsi="Arial"/>
        </w:rPr>
      </w:pPr>
    </w:p>
    <w:p w14:paraId="04ECED10" w14:textId="599B4DEF" w:rsidR="00640E94" w:rsidRDefault="00640E94" w:rsidP="00517D61">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609B2CD" w14:textId="77777777" w:rsidR="00517D61" w:rsidRDefault="00517D61" w:rsidP="00517D61">
      <w:pPr>
        <w:pStyle w:val="List"/>
        <w:spacing w:before="120"/>
        <w:ind w:left="720" w:firstLine="0"/>
        <w:jc w:val="both"/>
        <w:rPr>
          <w:rFonts w:ascii="Arial" w:hAnsi="Arial"/>
        </w:rPr>
      </w:pPr>
    </w:p>
    <w:p w14:paraId="104F1F56"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4671D346" w14:textId="77777777" w:rsidR="00564E92" w:rsidRDefault="00564E92" w:rsidP="0085769A">
      <w:pPr>
        <w:pStyle w:val="List"/>
        <w:spacing w:before="0"/>
        <w:jc w:val="both"/>
        <w:rPr>
          <w:rFonts w:ascii="Arial" w:hAnsi="Arial"/>
        </w:rPr>
      </w:pPr>
    </w:p>
    <w:p w14:paraId="4F8C6706" w14:textId="77777777" w:rsidR="00961A72" w:rsidRDefault="00961A72" w:rsidP="00961A72">
      <w:pPr>
        <w:pStyle w:val="List"/>
        <w:spacing w:before="0"/>
        <w:ind w:left="720" w:firstLine="0"/>
        <w:jc w:val="both"/>
        <w:rPr>
          <w:rFonts w:ascii="Arial" w:hAnsi="Arial"/>
        </w:rPr>
      </w:pPr>
      <w:r>
        <w:rPr>
          <w:rFonts w:ascii="Arial" w:hAnsi="Arial"/>
        </w:rPr>
        <w:br w:type="page"/>
      </w:r>
    </w:p>
    <w:p w14:paraId="17C304A4" w14:textId="3EB56264" w:rsidR="00640E94" w:rsidRDefault="00640E94" w:rsidP="00517D61">
      <w:pPr>
        <w:pStyle w:val="List"/>
        <w:numPr>
          <w:ilvl w:val="0"/>
          <w:numId w:val="28"/>
        </w:numPr>
        <w:spacing w:before="0"/>
        <w:jc w:val="both"/>
        <w:rPr>
          <w:rFonts w:ascii="Arial" w:hAnsi="Arial"/>
        </w:rPr>
      </w:pPr>
      <w:r>
        <w:rPr>
          <w:rFonts w:ascii="Arial" w:hAnsi="Arial"/>
        </w:rPr>
        <w:lastRenderedPageBreak/>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2A01D43" w14:textId="77777777" w:rsidR="00517D61" w:rsidRDefault="00517D61" w:rsidP="00517D61">
      <w:pPr>
        <w:pStyle w:val="List"/>
        <w:spacing w:before="120"/>
        <w:ind w:left="720" w:firstLine="0"/>
        <w:jc w:val="both"/>
        <w:rPr>
          <w:rFonts w:ascii="Arial" w:hAnsi="Arial"/>
        </w:rPr>
      </w:pPr>
    </w:p>
    <w:p w14:paraId="2F95C3BF"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F834AC2" w14:textId="77777777" w:rsidR="00564E92" w:rsidRDefault="00564E92" w:rsidP="0085769A">
      <w:pPr>
        <w:pStyle w:val="List"/>
        <w:spacing w:before="0"/>
        <w:jc w:val="both"/>
        <w:rPr>
          <w:rFonts w:ascii="Arial" w:hAnsi="Arial"/>
        </w:rPr>
      </w:pPr>
    </w:p>
    <w:p w14:paraId="0AD7BC30" w14:textId="0B9A82D3" w:rsidR="00640E94" w:rsidRDefault="00640E94" w:rsidP="00517D61">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9980F7" w14:textId="77777777" w:rsidR="00517D61" w:rsidRDefault="00517D61" w:rsidP="00517D61">
      <w:pPr>
        <w:pStyle w:val="List"/>
        <w:spacing w:before="120"/>
        <w:ind w:left="720" w:firstLine="0"/>
        <w:jc w:val="both"/>
        <w:rPr>
          <w:rFonts w:ascii="Arial" w:hAnsi="Arial"/>
        </w:rPr>
      </w:pPr>
    </w:p>
    <w:p w14:paraId="115B2A66" w14:textId="798855F3" w:rsidR="00517D61"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7E564974" w14:textId="10C32CFA" w:rsidR="00517D61" w:rsidRDefault="00517D61">
      <w:pPr>
        <w:rPr>
          <w:rFonts w:ascii="Arial" w:hAnsi="Arial" w:cs="Arial"/>
          <w:b/>
          <w:sz w:val="24"/>
          <w:szCs w:val="24"/>
          <w:lang w:val="en-GB"/>
        </w:rPr>
      </w:pPr>
    </w:p>
    <w:p w14:paraId="6032BA1C" w14:textId="5753FA7F" w:rsidR="00640E94" w:rsidRDefault="00640E94" w:rsidP="00517D61">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BDB074" w14:textId="77777777" w:rsidR="00517D61" w:rsidRDefault="00517D61" w:rsidP="00517D61">
      <w:pPr>
        <w:pStyle w:val="List"/>
        <w:spacing w:before="0"/>
        <w:ind w:left="720" w:firstLine="0"/>
        <w:jc w:val="both"/>
        <w:rPr>
          <w:rFonts w:ascii="Arial" w:hAnsi="Arial"/>
        </w:rPr>
      </w:pPr>
    </w:p>
    <w:p w14:paraId="151ABEAF" w14:textId="4713A2A9" w:rsidR="00564E92" w:rsidRDefault="00517D61" w:rsidP="00517D61">
      <w:pPr>
        <w:pStyle w:val="List"/>
        <w:spacing w:before="0"/>
        <w:ind w:left="720" w:firstLine="0"/>
        <w:jc w:val="both"/>
        <w:rPr>
          <w:rFonts w:ascii="Arial" w:hAnsi="Arial" w:cs="Arial"/>
          <w:b/>
          <w:szCs w:val="24"/>
        </w:rPr>
      </w:pPr>
      <w:r>
        <w:rPr>
          <w:rFonts w:ascii="Arial" w:hAnsi="Arial" w:cs="Arial"/>
          <w:b/>
          <w:szCs w:val="24"/>
        </w:rPr>
        <w:t>N/A</w:t>
      </w:r>
    </w:p>
    <w:p w14:paraId="3E11F260" w14:textId="77777777" w:rsidR="00564E92" w:rsidRDefault="00564E92" w:rsidP="0085769A">
      <w:pPr>
        <w:pStyle w:val="List"/>
        <w:spacing w:before="0"/>
        <w:ind w:left="720" w:firstLine="0"/>
        <w:jc w:val="both"/>
        <w:rPr>
          <w:rFonts w:ascii="Arial" w:hAnsi="Arial" w:cs="Arial"/>
          <w:b/>
          <w:szCs w:val="24"/>
        </w:rPr>
      </w:pPr>
    </w:p>
    <w:p w14:paraId="518C2C8F" w14:textId="4F4CE2D9" w:rsidR="00640E94" w:rsidRDefault="00640E94" w:rsidP="00517D61">
      <w:pPr>
        <w:pStyle w:val="List"/>
        <w:numPr>
          <w:ilvl w:val="0"/>
          <w:numId w:val="28"/>
        </w:numPr>
        <w:spacing w:before="0"/>
        <w:jc w:val="both"/>
        <w:rPr>
          <w:rFonts w:ascii="Arial" w:hAnsi="Arial"/>
        </w:rPr>
      </w:pPr>
      <w:r>
        <w:rPr>
          <w:rFonts w:ascii="Arial" w:hAnsi="Arial"/>
        </w:rPr>
        <w:t>Describe the acquisition of new customers or loss of customers.</w:t>
      </w:r>
    </w:p>
    <w:p w14:paraId="53A77479" w14:textId="77777777" w:rsidR="00517D61" w:rsidRDefault="00517D61" w:rsidP="00517D61">
      <w:pPr>
        <w:pStyle w:val="List"/>
        <w:spacing w:before="0"/>
        <w:ind w:left="720" w:firstLine="0"/>
        <w:jc w:val="both"/>
        <w:rPr>
          <w:rFonts w:ascii="Arial" w:hAnsi="Arial"/>
        </w:rPr>
      </w:pPr>
    </w:p>
    <w:p w14:paraId="09964212"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64715107" w14:textId="77777777" w:rsidR="00564E92" w:rsidRDefault="00564E92" w:rsidP="0085769A">
      <w:pPr>
        <w:pStyle w:val="List"/>
        <w:spacing w:before="0"/>
        <w:jc w:val="both"/>
        <w:rPr>
          <w:rFonts w:ascii="Arial" w:hAnsi="Arial"/>
        </w:rPr>
      </w:pPr>
    </w:p>
    <w:p w14:paraId="6A3E64FD" w14:textId="5A2C3766" w:rsidR="00640E94" w:rsidRDefault="00640E94" w:rsidP="00517D61">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D561E0B" w14:textId="77777777" w:rsidR="00517D61" w:rsidRDefault="00517D61" w:rsidP="00517D61">
      <w:pPr>
        <w:pStyle w:val="List"/>
        <w:spacing w:before="0"/>
        <w:ind w:left="720" w:firstLine="0"/>
        <w:jc w:val="both"/>
        <w:rPr>
          <w:rFonts w:ascii="Arial" w:hAnsi="Arial"/>
        </w:rPr>
      </w:pPr>
    </w:p>
    <w:p w14:paraId="76B529E1"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F149321" w14:textId="77777777" w:rsidR="00564E92" w:rsidRDefault="00564E92" w:rsidP="0085769A">
      <w:pPr>
        <w:pStyle w:val="List"/>
        <w:spacing w:before="0"/>
        <w:jc w:val="both"/>
        <w:rPr>
          <w:rFonts w:ascii="Arial" w:hAnsi="Arial"/>
        </w:rPr>
      </w:pPr>
    </w:p>
    <w:p w14:paraId="735D0C29" w14:textId="2F1236E9" w:rsidR="00640E94" w:rsidRDefault="00640E94" w:rsidP="00517D61">
      <w:pPr>
        <w:pStyle w:val="List"/>
        <w:numPr>
          <w:ilvl w:val="0"/>
          <w:numId w:val="28"/>
        </w:numPr>
        <w:spacing w:before="0"/>
        <w:jc w:val="both"/>
        <w:rPr>
          <w:rFonts w:ascii="Arial" w:hAnsi="Arial"/>
        </w:rPr>
      </w:pPr>
      <w:r>
        <w:rPr>
          <w:rFonts w:ascii="Arial" w:hAnsi="Arial"/>
        </w:rPr>
        <w:t xml:space="preserve">Report on any employee </w:t>
      </w:r>
      <w:r w:rsidR="00B93A11">
        <w:rPr>
          <w:rFonts w:ascii="Arial" w:hAnsi="Arial"/>
        </w:rPr>
        <w:t>hiring’s</w:t>
      </w:r>
      <w:r>
        <w:rPr>
          <w:rFonts w:ascii="Arial" w:hAnsi="Arial"/>
        </w:rPr>
        <w:t>, terminations or lay-offs with details of anticipated length of lay-offs.</w:t>
      </w:r>
    </w:p>
    <w:p w14:paraId="65EBEA74" w14:textId="77777777" w:rsidR="00517D61" w:rsidRDefault="00517D61" w:rsidP="00517D61">
      <w:pPr>
        <w:pStyle w:val="List"/>
        <w:spacing w:before="0"/>
        <w:ind w:left="720" w:firstLine="0"/>
        <w:jc w:val="both"/>
        <w:rPr>
          <w:rFonts w:ascii="Arial" w:hAnsi="Arial"/>
        </w:rPr>
      </w:pPr>
    </w:p>
    <w:p w14:paraId="53A8836B"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02C689E6" w14:textId="77777777" w:rsidR="00564E92" w:rsidRDefault="00564E92" w:rsidP="0085769A">
      <w:pPr>
        <w:pStyle w:val="List"/>
        <w:spacing w:before="0"/>
        <w:jc w:val="both"/>
        <w:rPr>
          <w:rFonts w:ascii="Arial" w:hAnsi="Arial"/>
        </w:rPr>
      </w:pPr>
    </w:p>
    <w:p w14:paraId="15A4F0DC" w14:textId="268E597B" w:rsidR="00640E94" w:rsidRDefault="00640E94" w:rsidP="00517D61">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3E0B8865" w14:textId="77777777" w:rsidR="00517D61" w:rsidRDefault="00517D61" w:rsidP="00517D61">
      <w:pPr>
        <w:pStyle w:val="List"/>
        <w:spacing w:before="0"/>
        <w:ind w:left="720" w:firstLine="0"/>
        <w:jc w:val="both"/>
        <w:rPr>
          <w:rFonts w:ascii="Arial" w:hAnsi="Arial"/>
        </w:rPr>
      </w:pPr>
    </w:p>
    <w:p w14:paraId="73B8D328"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4898EF5" w14:textId="77777777" w:rsidR="00564E92" w:rsidRDefault="00564E92" w:rsidP="0085769A">
      <w:pPr>
        <w:pStyle w:val="List"/>
        <w:spacing w:before="0"/>
        <w:jc w:val="both"/>
        <w:rPr>
          <w:rFonts w:ascii="Arial" w:hAnsi="Arial"/>
        </w:rPr>
      </w:pPr>
    </w:p>
    <w:p w14:paraId="009FCBB5" w14:textId="77777777" w:rsidR="00961A72" w:rsidRDefault="00961A72" w:rsidP="00961A72">
      <w:pPr>
        <w:pStyle w:val="List"/>
        <w:spacing w:before="0"/>
        <w:ind w:left="720" w:firstLine="0"/>
        <w:jc w:val="both"/>
        <w:rPr>
          <w:rFonts w:ascii="Arial" w:hAnsi="Arial"/>
        </w:rPr>
      </w:pPr>
      <w:r>
        <w:rPr>
          <w:rFonts w:ascii="Arial" w:hAnsi="Arial"/>
        </w:rPr>
        <w:br w:type="page"/>
      </w:r>
    </w:p>
    <w:p w14:paraId="7C3E165B" w14:textId="736EE6F9" w:rsidR="00640E94" w:rsidRDefault="00640E94" w:rsidP="00517D61">
      <w:pPr>
        <w:pStyle w:val="List"/>
        <w:numPr>
          <w:ilvl w:val="0"/>
          <w:numId w:val="28"/>
        </w:numPr>
        <w:spacing w:before="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BA883EB" w14:textId="77777777" w:rsidR="00517D61" w:rsidRDefault="00517D61" w:rsidP="00517D61">
      <w:pPr>
        <w:pStyle w:val="List"/>
        <w:spacing w:before="0"/>
        <w:ind w:left="720" w:firstLine="0"/>
        <w:jc w:val="both"/>
        <w:rPr>
          <w:rFonts w:ascii="Arial" w:hAnsi="Arial"/>
        </w:rPr>
      </w:pPr>
    </w:p>
    <w:p w14:paraId="74EC9A97"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33F384AC" w14:textId="77777777" w:rsidR="00564E92" w:rsidRDefault="00564E92" w:rsidP="0085769A">
      <w:pPr>
        <w:pStyle w:val="List"/>
        <w:spacing w:before="0"/>
        <w:jc w:val="both"/>
        <w:rPr>
          <w:rFonts w:ascii="Arial" w:hAnsi="Arial"/>
        </w:rPr>
      </w:pPr>
    </w:p>
    <w:p w14:paraId="69AB75C6" w14:textId="1AD9A60A" w:rsidR="00793415" w:rsidRDefault="00793415" w:rsidP="00517D61">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2AC3950B" w14:textId="77777777" w:rsidR="00517D61" w:rsidRDefault="00517D61" w:rsidP="00517D61">
      <w:pPr>
        <w:pStyle w:val="List"/>
        <w:spacing w:before="0"/>
        <w:ind w:left="720" w:firstLine="0"/>
        <w:jc w:val="both"/>
        <w:rPr>
          <w:rFonts w:ascii="Arial" w:hAnsi="Arial"/>
        </w:rPr>
      </w:pPr>
    </w:p>
    <w:p w14:paraId="71D22D34" w14:textId="77777777" w:rsidR="00793415" w:rsidRDefault="00793415" w:rsidP="00517D61">
      <w:pPr>
        <w:pStyle w:val="List"/>
        <w:spacing w:before="0"/>
        <w:ind w:left="1800"/>
        <w:jc w:val="both"/>
        <w:rPr>
          <w:rFonts w:ascii="Arial" w:hAnsi="Arial"/>
          <w:b/>
          <w:bCs/>
        </w:rPr>
      </w:pPr>
      <w:r w:rsidRPr="00564E92">
        <w:rPr>
          <w:rFonts w:ascii="Arial" w:hAnsi="Arial"/>
          <w:b/>
          <w:bCs/>
        </w:rPr>
        <w:t>None.</w:t>
      </w:r>
      <w:r>
        <w:rPr>
          <w:rFonts w:ascii="Arial" w:hAnsi="Arial"/>
          <w:b/>
          <w:bCs/>
        </w:rPr>
        <w:t xml:space="preserve"> </w:t>
      </w:r>
    </w:p>
    <w:p w14:paraId="34B49EC7" w14:textId="0AA4FEE0" w:rsidR="00517D61" w:rsidRDefault="00517D61">
      <w:pPr>
        <w:rPr>
          <w:rFonts w:ascii="Arial" w:hAnsi="Arial"/>
          <w:sz w:val="24"/>
          <w:lang w:val="en-GB"/>
        </w:rPr>
      </w:pPr>
    </w:p>
    <w:p w14:paraId="6665304C" w14:textId="103BF716" w:rsidR="00640E94" w:rsidRDefault="00640E94" w:rsidP="00517D61">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782C2B5" w14:textId="66FDCB34" w:rsidR="00517D61" w:rsidRDefault="00517D61" w:rsidP="00517D61">
      <w:pPr>
        <w:pStyle w:val="List"/>
        <w:spacing w:before="0"/>
        <w:ind w:left="720" w:firstLine="0"/>
        <w:jc w:val="both"/>
        <w:rPr>
          <w:rFonts w:ascii="Arial" w:hAnsi="Arial"/>
        </w:rPr>
      </w:pP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276"/>
        <w:gridCol w:w="3402"/>
        <w:gridCol w:w="2126"/>
      </w:tblGrid>
      <w:tr w:rsidR="00DD5DB8" w14:paraId="72B0F819" w14:textId="77777777" w:rsidTr="00961A72">
        <w:tc>
          <w:tcPr>
            <w:tcW w:w="1730" w:type="dxa"/>
          </w:tcPr>
          <w:p w14:paraId="0DDBE978"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Security</w:t>
            </w:r>
          </w:p>
        </w:tc>
        <w:tc>
          <w:tcPr>
            <w:tcW w:w="1276" w:type="dxa"/>
          </w:tcPr>
          <w:p w14:paraId="489862E8"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Number Issued</w:t>
            </w:r>
          </w:p>
        </w:tc>
        <w:tc>
          <w:tcPr>
            <w:tcW w:w="3402" w:type="dxa"/>
          </w:tcPr>
          <w:p w14:paraId="19172E9B"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Details of Issuance</w:t>
            </w:r>
          </w:p>
        </w:tc>
        <w:tc>
          <w:tcPr>
            <w:tcW w:w="2126" w:type="dxa"/>
          </w:tcPr>
          <w:p w14:paraId="2963BF5C" w14:textId="77777777" w:rsidR="00DD5DB8" w:rsidRDefault="00DD5DB8" w:rsidP="007B329E">
            <w:pPr>
              <w:pStyle w:val="List"/>
              <w:tabs>
                <w:tab w:val="left" w:pos="360"/>
              </w:tabs>
              <w:spacing w:before="0" w:line="280" w:lineRule="exact"/>
              <w:ind w:left="0" w:firstLine="0"/>
              <w:jc w:val="center"/>
              <w:rPr>
                <w:rFonts w:ascii="Arial" w:hAnsi="Arial"/>
                <w:b/>
              </w:rPr>
            </w:pPr>
            <w:r>
              <w:rPr>
                <w:rFonts w:ascii="Arial" w:hAnsi="Arial"/>
                <w:b/>
              </w:rPr>
              <w:t xml:space="preserve">Use of Proceeds </w:t>
            </w:r>
            <w:r w:rsidRPr="00FF3FD9">
              <w:rPr>
                <w:rFonts w:ascii="Arial" w:hAnsi="Arial"/>
                <w:bCs/>
                <w:vertAlign w:val="superscript"/>
              </w:rPr>
              <w:t>(1)</w:t>
            </w:r>
          </w:p>
        </w:tc>
      </w:tr>
      <w:tr w:rsidR="00DD5DB8" w:rsidRPr="00480CED" w14:paraId="602EDFEA" w14:textId="77777777" w:rsidTr="00961A72">
        <w:tc>
          <w:tcPr>
            <w:tcW w:w="1730" w:type="dxa"/>
          </w:tcPr>
          <w:p w14:paraId="0A2AC275" w14:textId="7FB4505A" w:rsidR="00DD5DB8" w:rsidRPr="00480CED" w:rsidRDefault="00E16EA5" w:rsidP="007B329E">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Stock options</w:t>
            </w:r>
          </w:p>
        </w:tc>
        <w:tc>
          <w:tcPr>
            <w:tcW w:w="1276" w:type="dxa"/>
          </w:tcPr>
          <w:p w14:paraId="2572C139" w14:textId="102ED3F1" w:rsidR="00DD5DB8" w:rsidRPr="00480CED" w:rsidRDefault="00E16EA5" w:rsidP="007B329E">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2,185,000</w:t>
            </w:r>
          </w:p>
        </w:tc>
        <w:tc>
          <w:tcPr>
            <w:tcW w:w="3402" w:type="dxa"/>
          </w:tcPr>
          <w:p w14:paraId="3E6B5C75" w14:textId="2E4FD099" w:rsidR="00DD5DB8" w:rsidRPr="00480CED" w:rsidRDefault="00E16EA5" w:rsidP="007B329E">
            <w:pPr>
              <w:pStyle w:val="List"/>
              <w:tabs>
                <w:tab w:val="left" w:pos="360"/>
              </w:tabs>
              <w:spacing w:before="60" w:after="60" w:line="280" w:lineRule="exact"/>
              <w:ind w:left="0" w:firstLine="0"/>
              <w:rPr>
                <w:rFonts w:ascii="Arial" w:hAnsi="Arial"/>
                <w:sz w:val="20"/>
                <w:szCs w:val="16"/>
              </w:rPr>
            </w:pPr>
            <w:r>
              <w:rPr>
                <w:rFonts w:ascii="Arial" w:hAnsi="Arial"/>
                <w:sz w:val="20"/>
                <w:szCs w:val="16"/>
              </w:rPr>
              <w:t xml:space="preserve">Incentive stock options issued to directors, </w:t>
            </w:r>
            <w:proofErr w:type="gramStart"/>
            <w:r>
              <w:rPr>
                <w:rFonts w:ascii="Arial" w:hAnsi="Arial"/>
                <w:sz w:val="20"/>
                <w:szCs w:val="16"/>
              </w:rPr>
              <w:t>officers</w:t>
            </w:r>
            <w:proofErr w:type="gramEnd"/>
            <w:r>
              <w:rPr>
                <w:rFonts w:ascii="Arial" w:hAnsi="Arial"/>
                <w:sz w:val="20"/>
                <w:szCs w:val="16"/>
              </w:rPr>
              <w:t xml:space="preserve"> and consultants of the Company. The stock options vested immediately and are exercisable for one common share at a price of $0.25 for five years.</w:t>
            </w:r>
          </w:p>
        </w:tc>
        <w:tc>
          <w:tcPr>
            <w:tcW w:w="2126" w:type="dxa"/>
          </w:tcPr>
          <w:p w14:paraId="37C6C98C" w14:textId="77777777" w:rsidR="00DD5DB8" w:rsidRPr="00480CED" w:rsidRDefault="00DD5DB8" w:rsidP="007B329E">
            <w:pPr>
              <w:pStyle w:val="List"/>
              <w:tabs>
                <w:tab w:val="left" w:pos="360"/>
              </w:tabs>
              <w:spacing w:before="60" w:after="60" w:line="280" w:lineRule="exact"/>
              <w:ind w:left="0" w:firstLine="0"/>
              <w:rPr>
                <w:rFonts w:ascii="Arial" w:hAnsi="Arial"/>
                <w:sz w:val="20"/>
                <w:szCs w:val="16"/>
              </w:rPr>
            </w:pPr>
          </w:p>
        </w:tc>
      </w:tr>
      <w:tr w:rsidR="00DD5DB8" w:rsidRPr="00480CED" w14:paraId="3625E111" w14:textId="77777777" w:rsidTr="00961A72">
        <w:tc>
          <w:tcPr>
            <w:tcW w:w="1730" w:type="dxa"/>
          </w:tcPr>
          <w:p w14:paraId="01510EF8" w14:textId="77777777" w:rsidR="00DD5DB8" w:rsidRPr="00480CED" w:rsidRDefault="00DD5DB8" w:rsidP="007B329E">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Common Shares</w:t>
            </w:r>
          </w:p>
        </w:tc>
        <w:tc>
          <w:tcPr>
            <w:tcW w:w="1276" w:type="dxa"/>
          </w:tcPr>
          <w:p w14:paraId="1DB7F658" w14:textId="6E05E144" w:rsidR="00DD5DB8" w:rsidRDefault="00E16EA5" w:rsidP="007B329E">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21,026,550</w:t>
            </w:r>
          </w:p>
        </w:tc>
        <w:tc>
          <w:tcPr>
            <w:tcW w:w="3402" w:type="dxa"/>
          </w:tcPr>
          <w:p w14:paraId="357254EE" w14:textId="72CB449C" w:rsidR="00DD5DB8" w:rsidRDefault="00E16EA5" w:rsidP="007B329E">
            <w:pPr>
              <w:pStyle w:val="List"/>
              <w:tabs>
                <w:tab w:val="left" w:pos="360"/>
              </w:tabs>
              <w:spacing w:before="60" w:after="60" w:line="280" w:lineRule="exact"/>
              <w:ind w:left="0" w:firstLine="0"/>
              <w:rPr>
                <w:rFonts w:ascii="Arial" w:hAnsi="Arial"/>
                <w:sz w:val="20"/>
                <w:szCs w:val="16"/>
              </w:rPr>
            </w:pPr>
            <w:r>
              <w:rPr>
                <w:rFonts w:ascii="Arial" w:hAnsi="Arial"/>
                <w:sz w:val="20"/>
                <w:szCs w:val="16"/>
              </w:rPr>
              <w:t>Non brokered private placement for gross proceeds of $5,000,000</w:t>
            </w:r>
            <w:r w:rsidR="00961A72">
              <w:rPr>
                <w:rFonts w:ascii="Arial" w:hAnsi="Arial"/>
                <w:sz w:val="20"/>
                <w:szCs w:val="16"/>
              </w:rPr>
              <w:t xml:space="preserve"> (the “Offering”)</w:t>
            </w:r>
            <w:r>
              <w:rPr>
                <w:rFonts w:ascii="Arial" w:hAnsi="Arial"/>
                <w:sz w:val="20"/>
                <w:szCs w:val="16"/>
              </w:rPr>
              <w:t xml:space="preserve">. </w:t>
            </w:r>
            <w:r w:rsidRPr="00E16EA5">
              <w:rPr>
                <w:rFonts w:ascii="Arial" w:hAnsi="Arial"/>
                <w:sz w:val="20"/>
                <w:szCs w:val="16"/>
              </w:rPr>
              <w:t xml:space="preserve">Securities issued pursuant to the </w:t>
            </w:r>
            <w:r w:rsidR="00961A72">
              <w:rPr>
                <w:rFonts w:ascii="Arial" w:hAnsi="Arial"/>
                <w:sz w:val="20"/>
                <w:szCs w:val="16"/>
              </w:rPr>
              <w:t>Offering</w:t>
            </w:r>
            <w:r w:rsidRPr="00E16EA5">
              <w:rPr>
                <w:rFonts w:ascii="Arial" w:hAnsi="Arial"/>
                <w:sz w:val="20"/>
                <w:szCs w:val="16"/>
              </w:rPr>
              <w:t xml:space="preserve"> are subject to a four month and one-day statutory hold period</w:t>
            </w:r>
            <w:r w:rsidR="00961A72">
              <w:rPr>
                <w:rFonts w:ascii="Arial" w:hAnsi="Arial"/>
                <w:sz w:val="20"/>
                <w:szCs w:val="16"/>
              </w:rPr>
              <w:t>. T</w:t>
            </w:r>
            <w:r w:rsidR="00961A72" w:rsidRPr="00961A72">
              <w:rPr>
                <w:rFonts w:ascii="Arial" w:hAnsi="Arial"/>
                <w:sz w:val="20"/>
                <w:szCs w:val="16"/>
              </w:rPr>
              <w:t>he Company paid total finder’s fees of $40,600 in cash and issued 1,026,550 finder’s shares and 1,188,950 finder’s warrants (the “Finder’s Warrants”) to eligible finders.</w:t>
            </w:r>
            <w:r w:rsidR="00961A72">
              <w:rPr>
                <w:rFonts w:ascii="Arial" w:hAnsi="Arial"/>
                <w:sz w:val="20"/>
                <w:szCs w:val="16"/>
              </w:rPr>
              <w:t xml:space="preserve"> </w:t>
            </w:r>
            <w:r w:rsidR="00961A72" w:rsidRPr="00961A72">
              <w:rPr>
                <w:rFonts w:ascii="Arial" w:hAnsi="Arial"/>
                <w:sz w:val="20"/>
                <w:szCs w:val="16"/>
              </w:rPr>
              <w:t xml:space="preserve">Officers and Directors of the Company subscribed for a total of 460,000 shares in the </w:t>
            </w:r>
            <w:r w:rsidR="00961A72">
              <w:rPr>
                <w:rFonts w:ascii="Arial" w:hAnsi="Arial"/>
                <w:sz w:val="20"/>
                <w:szCs w:val="16"/>
              </w:rPr>
              <w:t>Offering</w:t>
            </w:r>
          </w:p>
        </w:tc>
        <w:tc>
          <w:tcPr>
            <w:tcW w:w="2126" w:type="dxa"/>
          </w:tcPr>
          <w:p w14:paraId="7E30EDF6" w14:textId="577270B0" w:rsidR="00DD5DB8" w:rsidRPr="00480CED" w:rsidRDefault="00961A72" w:rsidP="007B329E">
            <w:pPr>
              <w:pStyle w:val="List"/>
              <w:tabs>
                <w:tab w:val="left" w:pos="360"/>
              </w:tabs>
              <w:spacing w:before="60" w:after="60" w:line="280" w:lineRule="exact"/>
              <w:ind w:left="0" w:firstLine="0"/>
              <w:rPr>
                <w:rFonts w:ascii="Arial" w:hAnsi="Arial"/>
                <w:sz w:val="20"/>
                <w:szCs w:val="16"/>
              </w:rPr>
            </w:pPr>
            <w:r>
              <w:rPr>
                <w:rFonts w:ascii="Arial" w:hAnsi="Arial"/>
                <w:sz w:val="20"/>
                <w:szCs w:val="16"/>
              </w:rPr>
              <w:t>E</w:t>
            </w:r>
            <w:r w:rsidR="00E16EA5" w:rsidRPr="00E16EA5">
              <w:rPr>
                <w:rFonts w:ascii="Arial" w:hAnsi="Arial"/>
                <w:sz w:val="20"/>
                <w:szCs w:val="16"/>
              </w:rPr>
              <w:t>xploration, corporate development, and general working capital purposes</w:t>
            </w:r>
          </w:p>
        </w:tc>
      </w:tr>
      <w:tr w:rsidR="00DD5DB8" w:rsidRPr="00480CED" w14:paraId="5E2B7005" w14:textId="77777777" w:rsidTr="00961A72">
        <w:tc>
          <w:tcPr>
            <w:tcW w:w="1730" w:type="dxa"/>
          </w:tcPr>
          <w:p w14:paraId="663815D3" w14:textId="3DBCA1CF" w:rsidR="00DD5DB8" w:rsidRDefault="00E16EA5" w:rsidP="00961A72">
            <w:pPr>
              <w:pStyle w:val="List"/>
              <w:tabs>
                <w:tab w:val="left" w:pos="360"/>
              </w:tabs>
              <w:spacing w:before="60" w:line="280" w:lineRule="exact"/>
              <w:ind w:left="0" w:firstLine="0"/>
              <w:jc w:val="both"/>
              <w:rPr>
                <w:rFonts w:ascii="Arial" w:hAnsi="Arial"/>
                <w:sz w:val="20"/>
                <w:szCs w:val="16"/>
              </w:rPr>
            </w:pPr>
            <w:r>
              <w:rPr>
                <w:rFonts w:ascii="Arial" w:hAnsi="Arial"/>
                <w:sz w:val="20"/>
                <w:szCs w:val="16"/>
              </w:rPr>
              <w:t>Warrants</w:t>
            </w:r>
          </w:p>
        </w:tc>
        <w:tc>
          <w:tcPr>
            <w:tcW w:w="1276" w:type="dxa"/>
          </w:tcPr>
          <w:p w14:paraId="10AA38E4" w14:textId="52951603" w:rsidR="00DD5DB8" w:rsidRDefault="00E16EA5" w:rsidP="007B329E">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1,188,950</w:t>
            </w:r>
          </w:p>
        </w:tc>
        <w:tc>
          <w:tcPr>
            <w:tcW w:w="3402" w:type="dxa"/>
          </w:tcPr>
          <w:p w14:paraId="6D553241" w14:textId="12795758" w:rsidR="00DD5DB8" w:rsidRDefault="00E16EA5" w:rsidP="007B329E">
            <w:pPr>
              <w:pStyle w:val="List"/>
              <w:tabs>
                <w:tab w:val="left" w:pos="360"/>
              </w:tabs>
              <w:spacing w:before="60" w:after="60" w:line="280" w:lineRule="exact"/>
              <w:ind w:left="0" w:firstLine="0"/>
              <w:rPr>
                <w:rFonts w:ascii="Arial" w:hAnsi="Arial"/>
                <w:sz w:val="20"/>
                <w:szCs w:val="16"/>
              </w:rPr>
            </w:pPr>
            <w:r>
              <w:rPr>
                <w:rFonts w:ascii="Arial" w:hAnsi="Arial"/>
                <w:sz w:val="20"/>
                <w:szCs w:val="16"/>
              </w:rPr>
              <w:t>Finder’s warrants paid in connection with the Company’s non-brokered private placement. The</w:t>
            </w:r>
            <w:r w:rsidRPr="00E16EA5">
              <w:rPr>
                <w:rFonts w:ascii="Arial" w:hAnsi="Arial"/>
                <w:sz w:val="20"/>
                <w:szCs w:val="16"/>
              </w:rPr>
              <w:t xml:space="preserve"> finder’s warrants </w:t>
            </w:r>
            <w:r>
              <w:rPr>
                <w:rFonts w:ascii="Arial" w:hAnsi="Arial"/>
                <w:sz w:val="20"/>
                <w:szCs w:val="16"/>
              </w:rPr>
              <w:t xml:space="preserve">are </w:t>
            </w:r>
            <w:r w:rsidRPr="00E16EA5">
              <w:rPr>
                <w:rFonts w:ascii="Arial" w:hAnsi="Arial"/>
                <w:sz w:val="20"/>
                <w:szCs w:val="16"/>
              </w:rPr>
              <w:t>exercisable for one common share at a price of $0.25 for one year</w:t>
            </w:r>
            <w:r>
              <w:rPr>
                <w:rFonts w:ascii="Arial" w:hAnsi="Arial"/>
                <w:sz w:val="20"/>
                <w:szCs w:val="16"/>
              </w:rPr>
              <w:t>.</w:t>
            </w:r>
          </w:p>
        </w:tc>
        <w:tc>
          <w:tcPr>
            <w:tcW w:w="2126" w:type="dxa"/>
          </w:tcPr>
          <w:p w14:paraId="7875E6FD" w14:textId="77777777" w:rsidR="00DD5DB8" w:rsidRPr="00480CED" w:rsidRDefault="00DD5DB8" w:rsidP="007B329E">
            <w:pPr>
              <w:pStyle w:val="List"/>
              <w:tabs>
                <w:tab w:val="left" w:pos="360"/>
              </w:tabs>
              <w:spacing w:before="60" w:after="60" w:line="280" w:lineRule="exact"/>
              <w:ind w:left="0" w:firstLine="0"/>
              <w:rPr>
                <w:rFonts w:ascii="Arial" w:hAnsi="Arial"/>
                <w:sz w:val="20"/>
                <w:szCs w:val="16"/>
              </w:rPr>
            </w:pPr>
          </w:p>
        </w:tc>
      </w:tr>
    </w:tbl>
    <w:p w14:paraId="672547D2" w14:textId="02D9B8CB" w:rsidR="00640E94" w:rsidRPr="00FF3FD9" w:rsidRDefault="00640E94" w:rsidP="00961A72">
      <w:pPr>
        <w:pStyle w:val="List"/>
        <w:numPr>
          <w:ilvl w:val="0"/>
          <w:numId w:val="29"/>
        </w:numPr>
        <w:tabs>
          <w:tab w:val="left" w:pos="360"/>
        </w:tabs>
        <w:spacing w:before="200"/>
        <w:jc w:val="both"/>
        <w:rPr>
          <w:rFonts w:ascii="Arial" w:hAnsi="Arial"/>
          <w:i/>
          <w:sz w:val="20"/>
        </w:rPr>
      </w:pPr>
      <w:r w:rsidRPr="00FF3FD9">
        <w:rPr>
          <w:rFonts w:ascii="Arial" w:hAnsi="Arial"/>
          <w:i/>
          <w:sz w:val="20"/>
        </w:rPr>
        <w:t>State aggregate proceeds and intended allocation of proceeds.</w:t>
      </w:r>
    </w:p>
    <w:p w14:paraId="78ED0D10" w14:textId="77777777" w:rsidR="00517D61" w:rsidRDefault="00517D61" w:rsidP="00517D61">
      <w:pPr>
        <w:pStyle w:val="List"/>
        <w:tabs>
          <w:tab w:val="left" w:pos="360"/>
        </w:tabs>
        <w:spacing w:before="0"/>
        <w:ind w:left="720" w:firstLine="0"/>
        <w:jc w:val="both"/>
        <w:rPr>
          <w:rFonts w:ascii="Arial" w:hAnsi="Arial"/>
          <w:b/>
        </w:rPr>
      </w:pPr>
    </w:p>
    <w:p w14:paraId="1C412BF7" w14:textId="4C433DF8" w:rsidR="00640E94" w:rsidRDefault="00640E94" w:rsidP="00517D61">
      <w:pPr>
        <w:pStyle w:val="List"/>
        <w:keepNext/>
        <w:keepLines/>
        <w:numPr>
          <w:ilvl w:val="0"/>
          <w:numId w:val="28"/>
        </w:numPr>
        <w:spacing w:before="0"/>
        <w:jc w:val="both"/>
        <w:rPr>
          <w:rFonts w:ascii="Arial" w:hAnsi="Arial"/>
        </w:rPr>
      </w:pPr>
      <w:r>
        <w:rPr>
          <w:rFonts w:ascii="Arial" w:hAnsi="Arial"/>
        </w:rPr>
        <w:lastRenderedPageBreak/>
        <w:t>Provide details of any loans to or by Related Persons.</w:t>
      </w:r>
    </w:p>
    <w:p w14:paraId="5F315D68" w14:textId="77777777" w:rsidR="00517D61" w:rsidRDefault="00517D61" w:rsidP="00517D61">
      <w:pPr>
        <w:pStyle w:val="List"/>
        <w:keepNext/>
        <w:keepLines/>
        <w:spacing w:before="0"/>
        <w:ind w:left="720" w:firstLine="0"/>
        <w:jc w:val="both"/>
        <w:rPr>
          <w:rFonts w:ascii="Arial" w:hAnsi="Arial"/>
        </w:rPr>
      </w:pPr>
    </w:p>
    <w:p w14:paraId="0B40730F" w14:textId="77777777" w:rsidR="00564E92" w:rsidRPr="00B746C8" w:rsidRDefault="00564E92" w:rsidP="00517D61">
      <w:pPr>
        <w:pStyle w:val="List"/>
        <w:tabs>
          <w:tab w:val="left" w:pos="360"/>
        </w:tabs>
        <w:spacing w:before="0"/>
        <w:ind w:left="720" w:firstLine="0"/>
        <w:jc w:val="both"/>
        <w:rPr>
          <w:rFonts w:ascii="Arial" w:hAnsi="Arial"/>
          <w:b/>
        </w:rPr>
      </w:pPr>
      <w:r>
        <w:rPr>
          <w:rFonts w:ascii="Arial" w:hAnsi="Arial"/>
          <w:b/>
        </w:rPr>
        <w:t>N/A</w:t>
      </w:r>
    </w:p>
    <w:p w14:paraId="428AAF23" w14:textId="77777777" w:rsidR="00564E92" w:rsidRDefault="00564E92" w:rsidP="0085769A">
      <w:pPr>
        <w:pStyle w:val="List"/>
        <w:keepNext/>
        <w:keepLines/>
        <w:spacing w:before="0"/>
        <w:jc w:val="both"/>
        <w:rPr>
          <w:rFonts w:ascii="Arial" w:hAnsi="Arial"/>
        </w:rPr>
      </w:pPr>
    </w:p>
    <w:p w14:paraId="5D6D9D64" w14:textId="03D9358D"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EE822BC" w14:textId="77777777" w:rsidR="00517D61" w:rsidRDefault="00517D61" w:rsidP="00517D61">
      <w:pPr>
        <w:pStyle w:val="List"/>
        <w:keepNext/>
        <w:keepLines/>
        <w:spacing w:before="0"/>
        <w:ind w:left="720" w:firstLine="0"/>
        <w:jc w:val="both"/>
        <w:rPr>
          <w:rFonts w:ascii="Arial" w:hAnsi="Arial"/>
        </w:rPr>
      </w:pPr>
    </w:p>
    <w:p w14:paraId="6FB94AB2" w14:textId="2A118C2A" w:rsidR="00961A72" w:rsidRPr="00961A72" w:rsidRDefault="00DD5DB8" w:rsidP="00961A72">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sz w:val="24"/>
        </w:rPr>
        <w:t xml:space="preserve">On </w:t>
      </w:r>
      <w:r w:rsidR="00961A72">
        <w:rPr>
          <w:rFonts w:ascii="Arial" w:hAnsi="Arial" w:cs="Arial"/>
          <w:b/>
          <w:sz w:val="24"/>
        </w:rPr>
        <w:t>May 7</w:t>
      </w:r>
      <w:r>
        <w:rPr>
          <w:rFonts w:ascii="Arial" w:hAnsi="Arial" w:cs="Arial"/>
          <w:b/>
          <w:sz w:val="24"/>
        </w:rPr>
        <w:t xml:space="preserve">, 2020, </w:t>
      </w:r>
      <w:r w:rsidR="00961A72" w:rsidRPr="00E16EA5">
        <w:rPr>
          <w:rFonts w:ascii="Arial" w:hAnsi="Arial" w:cs="Arial"/>
          <w:b/>
          <w:bCs/>
          <w:color w:val="000000"/>
          <w:sz w:val="24"/>
          <w:szCs w:val="24"/>
          <w:shd w:val="clear" w:color="auto" w:fill="FFFFFF"/>
        </w:rPr>
        <w:t xml:space="preserve">Galen McNamara </w:t>
      </w:r>
      <w:r w:rsidR="00961A72">
        <w:rPr>
          <w:rFonts w:ascii="Arial" w:hAnsi="Arial" w:cs="Arial"/>
          <w:b/>
          <w:bCs/>
          <w:color w:val="000000"/>
          <w:sz w:val="24"/>
          <w:szCs w:val="24"/>
          <w:shd w:val="clear" w:color="auto" w:fill="FFFFFF"/>
        </w:rPr>
        <w:t>w</w:t>
      </w:r>
      <w:r w:rsidR="00961A72" w:rsidRPr="00E16EA5">
        <w:rPr>
          <w:rFonts w:ascii="Arial" w:hAnsi="Arial" w:cs="Arial"/>
          <w:b/>
          <w:bCs/>
          <w:color w:val="000000"/>
          <w:sz w:val="24"/>
          <w:szCs w:val="24"/>
          <w:shd w:val="clear" w:color="auto" w:fill="FFFFFF"/>
        </w:rPr>
        <w:t xml:space="preserve">as appointed </w:t>
      </w:r>
      <w:r w:rsidR="00961A72">
        <w:rPr>
          <w:rFonts w:ascii="Arial" w:hAnsi="Arial" w:cs="Arial"/>
          <w:b/>
          <w:bCs/>
          <w:color w:val="000000"/>
          <w:sz w:val="24"/>
          <w:szCs w:val="24"/>
          <w:shd w:val="clear" w:color="auto" w:fill="FFFFFF"/>
        </w:rPr>
        <w:t xml:space="preserve">as </w:t>
      </w:r>
      <w:r w:rsidR="00961A72" w:rsidRPr="00E16EA5">
        <w:rPr>
          <w:rFonts w:ascii="Arial" w:hAnsi="Arial" w:cs="Arial"/>
          <w:b/>
          <w:bCs/>
          <w:color w:val="000000"/>
          <w:sz w:val="24"/>
          <w:szCs w:val="24"/>
          <w:shd w:val="clear" w:color="auto" w:fill="FFFFFF"/>
        </w:rPr>
        <w:t>CEO of the Company. In connection with the appointment, Hani Zabaneh stepped down as CEO</w:t>
      </w:r>
      <w:r w:rsidR="00961A72">
        <w:rPr>
          <w:rFonts w:ascii="Arial" w:hAnsi="Arial" w:cs="Arial"/>
          <w:b/>
          <w:bCs/>
          <w:color w:val="000000"/>
          <w:sz w:val="24"/>
          <w:szCs w:val="24"/>
          <w:shd w:val="clear" w:color="auto" w:fill="FFFFFF"/>
        </w:rPr>
        <w:t xml:space="preserve"> and Corporate Secretary</w:t>
      </w:r>
      <w:r w:rsidR="00961A72" w:rsidRPr="00E16EA5">
        <w:rPr>
          <w:rFonts w:ascii="Arial" w:hAnsi="Arial" w:cs="Arial"/>
          <w:b/>
          <w:bCs/>
          <w:color w:val="000000"/>
          <w:sz w:val="24"/>
          <w:szCs w:val="24"/>
          <w:shd w:val="clear" w:color="auto" w:fill="FFFFFF"/>
        </w:rPr>
        <w:t xml:space="preserve"> but remains on the Board of Directors.</w:t>
      </w:r>
      <w:r w:rsidR="00961A72">
        <w:rPr>
          <w:rFonts w:ascii="Arial" w:hAnsi="Arial" w:cs="Arial"/>
          <w:b/>
          <w:bCs/>
          <w:color w:val="000000"/>
          <w:sz w:val="24"/>
          <w:szCs w:val="24"/>
          <w:shd w:val="clear" w:color="auto" w:fill="FFFFFF"/>
        </w:rPr>
        <w:t xml:space="preserve"> CFO of the Company, Martin Bajic, was appointed as Corporate Secretary.</w:t>
      </w:r>
    </w:p>
    <w:p w14:paraId="164B523B" w14:textId="77777777" w:rsidR="00A63AB0" w:rsidRDefault="00A63AB0" w:rsidP="0085769A">
      <w:pPr>
        <w:pStyle w:val="List"/>
        <w:keepNext/>
        <w:keepLines/>
        <w:spacing w:before="0"/>
        <w:jc w:val="both"/>
        <w:rPr>
          <w:rFonts w:ascii="Arial" w:hAnsi="Arial"/>
        </w:rPr>
      </w:pPr>
    </w:p>
    <w:p w14:paraId="760B4F0C" w14:textId="7252F970" w:rsidR="00640E94" w:rsidRDefault="00640E94" w:rsidP="00517D61">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74383199" w14:textId="77777777" w:rsidR="00517D61" w:rsidRDefault="00517D61" w:rsidP="00517D61">
      <w:pPr>
        <w:pStyle w:val="List"/>
        <w:spacing w:before="0"/>
        <w:ind w:left="720" w:firstLine="0"/>
        <w:jc w:val="both"/>
        <w:rPr>
          <w:rFonts w:ascii="Arial" w:hAnsi="Arial"/>
        </w:rPr>
      </w:pPr>
    </w:p>
    <w:p w14:paraId="609F5ED1" w14:textId="54AF91E8" w:rsidR="00517D61" w:rsidRPr="003C2890" w:rsidRDefault="00517D61" w:rsidP="00517D61">
      <w:pPr>
        <w:widowControl w:val="0"/>
        <w:overflowPunct w:val="0"/>
        <w:autoSpaceDE w:val="0"/>
        <w:autoSpaceDN w:val="0"/>
        <w:adjustRightInd w:val="0"/>
        <w:spacing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w:t>
      </w:r>
      <w:r w:rsidR="00742ACB" w:rsidRPr="00742ACB">
        <w:rPr>
          <w:rFonts w:ascii="Arial" w:hAnsi="Arial"/>
          <w:b/>
          <w:bCs/>
          <w:i/>
          <w:iCs/>
          <w:color w:val="000000"/>
          <w:sz w:val="24"/>
          <w:lang w:val="en-GB"/>
        </w:rPr>
        <w:t>“</w:t>
      </w:r>
      <w:r w:rsidRPr="00742ACB">
        <w:rPr>
          <w:rFonts w:ascii="Arial" w:hAnsi="Arial"/>
          <w:b/>
          <w:bCs/>
          <w:i/>
          <w:iCs/>
          <w:color w:val="000000"/>
          <w:sz w:val="24"/>
          <w:lang w:val="en-GB"/>
        </w:rPr>
        <w:t>Risk Factors</w:t>
      </w:r>
      <w:r w:rsidR="00742ACB" w:rsidRPr="00742ACB">
        <w:rPr>
          <w:rFonts w:ascii="Arial" w:hAnsi="Arial"/>
          <w:b/>
          <w:bCs/>
          <w:i/>
          <w:iCs/>
          <w:color w:val="000000"/>
          <w:sz w:val="24"/>
          <w:lang w:val="en-GB"/>
        </w:rPr>
        <w:t>”</w:t>
      </w:r>
      <w:r w:rsidRPr="003C2890">
        <w:rPr>
          <w:rFonts w:ascii="Arial" w:hAnsi="Arial"/>
          <w:b/>
          <w:bCs/>
          <w:color w:val="000000"/>
          <w:sz w:val="24"/>
          <w:lang w:val="en-GB"/>
        </w:rPr>
        <w:t xml:space="preserve"> of the Issuer’s Final Prospectus dated</w:t>
      </w:r>
      <w:r w:rsidR="00742ACB">
        <w:rPr>
          <w:rFonts w:ascii="Arial" w:hAnsi="Arial"/>
          <w:b/>
          <w:bCs/>
          <w:color w:val="000000"/>
          <w:sz w:val="24"/>
          <w:lang w:val="en-GB"/>
        </w:rPr>
        <w:t xml:space="preserve"> February 4, 2020</w:t>
      </w:r>
      <w:r w:rsidRPr="003C2890">
        <w:rPr>
          <w:rFonts w:ascii="Arial" w:hAnsi="Arial"/>
          <w:b/>
          <w:bCs/>
          <w:color w:val="000000"/>
          <w:sz w:val="24"/>
          <w:lang w:val="en-GB"/>
        </w:rPr>
        <w:t xml:space="preserve">. </w:t>
      </w:r>
    </w:p>
    <w:p w14:paraId="1AE4AA4D" w14:textId="77777777" w:rsidR="00564E92" w:rsidRDefault="00564E92">
      <w:pPr>
        <w:pStyle w:val="List"/>
        <w:keepNext/>
        <w:spacing w:before="120"/>
        <w:ind w:left="0" w:firstLine="0"/>
        <w:rPr>
          <w:rFonts w:ascii="Arial" w:hAnsi="Arial"/>
          <w:b/>
        </w:rPr>
      </w:pPr>
    </w:p>
    <w:p w14:paraId="7088BD67" w14:textId="6EC3F4DA" w:rsidR="00DD5DB8" w:rsidRDefault="00640E94" w:rsidP="00DD5DB8">
      <w:pPr>
        <w:pStyle w:val="List"/>
        <w:keepNext/>
        <w:spacing w:before="120"/>
        <w:ind w:left="0" w:firstLine="0"/>
        <w:rPr>
          <w:rFonts w:ascii="Arial" w:hAnsi="Arial"/>
          <w:b/>
        </w:rPr>
      </w:pPr>
      <w:r w:rsidRPr="00961A72">
        <w:br w:type="page"/>
      </w:r>
      <w:bookmarkEnd w:id="4"/>
      <w:r w:rsidR="00DD5DB8">
        <w:rPr>
          <w:rFonts w:ascii="Arial" w:hAnsi="Arial"/>
          <w:b/>
        </w:rPr>
        <w:lastRenderedPageBreak/>
        <w:t xml:space="preserve">Certificate </w:t>
      </w:r>
      <w:proofErr w:type="gramStart"/>
      <w:r w:rsidR="00DD5DB8">
        <w:rPr>
          <w:rFonts w:ascii="Arial" w:hAnsi="Arial"/>
          <w:b/>
        </w:rPr>
        <w:t>Of</w:t>
      </w:r>
      <w:proofErr w:type="gramEnd"/>
      <w:r w:rsidR="00DD5DB8">
        <w:rPr>
          <w:rFonts w:ascii="Arial" w:hAnsi="Arial"/>
          <w:b/>
        </w:rPr>
        <w:t xml:space="preserve"> Compliance</w:t>
      </w:r>
    </w:p>
    <w:p w14:paraId="48D70E0E" w14:textId="77777777" w:rsidR="00DD5DB8" w:rsidRDefault="00DD5DB8" w:rsidP="00DD5DB8">
      <w:pPr>
        <w:pStyle w:val="BodyText"/>
        <w:keepNext/>
        <w:rPr>
          <w:rFonts w:ascii="Arial" w:hAnsi="Arial"/>
        </w:rPr>
      </w:pPr>
      <w:r>
        <w:rPr>
          <w:rFonts w:ascii="Arial" w:hAnsi="Arial"/>
        </w:rPr>
        <w:t>The undersigned hereby certifies that:</w:t>
      </w:r>
    </w:p>
    <w:p w14:paraId="7D430FD1" w14:textId="77777777" w:rsidR="00DD5DB8" w:rsidRDefault="00DD5DB8" w:rsidP="00DD5DB8">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0C2B1E0" w14:textId="77777777" w:rsidR="00DD5DB8" w:rsidRDefault="00DD5DB8" w:rsidP="00DD5DB8">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82E960D" w14:textId="77777777" w:rsidR="00DD5DB8" w:rsidRDefault="00DD5DB8" w:rsidP="00DD5DB8">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4E3F22A0" w14:textId="77777777" w:rsidR="00DD5DB8" w:rsidRDefault="00DD5DB8" w:rsidP="00DD5DB8">
      <w:pPr>
        <w:pStyle w:val="List"/>
        <w:numPr>
          <w:ilvl w:val="0"/>
          <w:numId w:val="23"/>
        </w:numPr>
        <w:jc w:val="both"/>
        <w:rPr>
          <w:rFonts w:ascii="Arial" w:hAnsi="Arial"/>
        </w:rPr>
      </w:pPr>
      <w:r>
        <w:rPr>
          <w:rFonts w:ascii="Arial" w:hAnsi="Arial"/>
        </w:rPr>
        <w:t>All of the information in this Form 7 Monthly Progress Report is true.</w:t>
      </w:r>
    </w:p>
    <w:p w14:paraId="67202CEA" w14:textId="02F790E4" w:rsidR="00DD5DB8" w:rsidRDefault="00DD5DB8" w:rsidP="00DD5DB8">
      <w:pPr>
        <w:pStyle w:val="BodyText"/>
        <w:tabs>
          <w:tab w:val="left" w:pos="4680"/>
          <w:tab w:val="left" w:pos="7200"/>
        </w:tabs>
        <w:spacing w:before="480"/>
        <w:jc w:val="both"/>
        <w:rPr>
          <w:rFonts w:ascii="Arial" w:hAnsi="Arial"/>
        </w:rPr>
      </w:pPr>
      <w:r>
        <w:rPr>
          <w:rFonts w:ascii="Arial" w:hAnsi="Arial"/>
        </w:rPr>
        <w:t xml:space="preserve">Dated </w:t>
      </w:r>
      <w:r w:rsidR="00961A72">
        <w:rPr>
          <w:rFonts w:ascii="Arial" w:hAnsi="Arial"/>
          <w:b/>
          <w:bCs/>
          <w:u w:val="single"/>
        </w:rPr>
        <w:t>June</w:t>
      </w:r>
      <w:r>
        <w:rPr>
          <w:rFonts w:ascii="Arial" w:hAnsi="Arial"/>
          <w:b/>
          <w:bCs/>
          <w:u w:val="single"/>
        </w:rPr>
        <w:t xml:space="preserve"> </w:t>
      </w:r>
      <w:r w:rsidR="00961A72">
        <w:rPr>
          <w:rFonts w:ascii="Arial" w:hAnsi="Arial"/>
          <w:b/>
          <w:bCs/>
          <w:u w:val="single"/>
        </w:rPr>
        <w:t>5</w:t>
      </w:r>
      <w:r w:rsidRPr="00564E92">
        <w:rPr>
          <w:rFonts w:ascii="Arial" w:hAnsi="Arial"/>
          <w:b/>
          <w:bCs/>
          <w:u w:val="single"/>
        </w:rPr>
        <w:t>, 20</w:t>
      </w:r>
      <w:r>
        <w:rPr>
          <w:rFonts w:ascii="Arial" w:hAnsi="Arial"/>
          <w:b/>
          <w:bCs/>
          <w:u w:val="single"/>
        </w:rPr>
        <w:t>20</w:t>
      </w:r>
      <w:r>
        <w:rPr>
          <w:rFonts w:ascii="Arial" w:hAnsi="Arial"/>
          <w:u w:val="single"/>
        </w:rPr>
        <w:tab/>
      </w:r>
      <w:r>
        <w:rPr>
          <w:rFonts w:ascii="Arial" w:hAnsi="Arial"/>
        </w:rPr>
        <w:t>.</w:t>
      </w:r>
    </w:p>
    <w:p w14:paraId="5867F036" w14:textId="77777777" w:rsidR="00DD5DB8" w:rsidRDefault="00DD5DB8" w:rsidP="00DD5DB8">
      <w:pPr>
        <w:pStyle w:val="List"/>
        <w:tabs>
          <w:tab w:val="left" w:pos="9180"/>
        </w:tabs>
        <w:ind w:left="5760" w:hanging="5760"/>
        <w:rPr>
          <w:rFonts w:ascii="Arial" w:hAnsi="Arial"/>
        </w:rPr>
      </w:pPr>
      <w:r>
        <w:rPr>
          <w:rFonts w:ascii="Arial" w:hAnsi="Arial"/>
        </w:rPr>
        <w:tab/>
      </w:r>
      <w:r>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26773457" w14:textId="77777777" w:rsidR="00DD5DB8" w:rsidRDefault="00DD5DB8" w:rsidP="00DD5DB8">
      <w:pPr>
        <w:pStyle w:val="List"/>
        <w:tabs>
          <w:tab w:val="left" w:pos="9180"/>
          <w:tab w:val="left" w:pos="9360"/>
        </w:tabs>
        <w:ind w:left="5760" w:hanging="5760"/>
        <w:rPr>
          <w:rFonts w:ascii="Arial" w:hAnsi="Arial"/>
        </w:rPr>
      </w:pPr>
      <w:r>
        <w:rPr>
          <w:rFonts w:ascii="Arial" w:hAnsi="Arial"/>
        </w:rPr>
        <w:tab/>
      </w:r>
      <w:r w:rsidRPr="00DD1725">
        <w:rPr>
          <w:rFonts w:ascii="Arial" w:hAnsi="Arial"/>
          <w:b/>
          <w:bCs/>
          <w:i/>
          <w:u w:val="single"/>
        </w:rPr>
        <w:t>/s/ “</w:t>
      </w:r>
      <w:r>
        <w:rPr>
          <w:rFonts w:ascii="Arial" w:hAnsi="Arial"/>
          <w:b/>
          <w:bCs/>
          <w:i/>
          <w:iCs/>
          <w:u w:val="single"/>
        </w:rPr>
        <w:t>Martin Bajic</w:t>
      </w:r>
      <w:r w:rsidRPr="00DD1725">
        <w:rPr>
          <w:rFonts w:ascii="Arial" w:hAnsi="Arial"/>
          <w:b/>
          <w:bCs/>
          <w:i/>
          <w:u w:val="single"/>
        </w:rPr>
        <w:t>”</w:t>
      </w:r>
      <w:r>
        <w:rPr>
          <w:rFonts w:ascii="Arial" w:hAnsi="Arial"/>
          <w:u w:val="single"/>
        </w:rPr>
        <w:tab/>
      </w:r>
      <w:r>
        <w:rPr>
          <w:rFonts w:ascii="Arial" w:hAnsi="Arial"/>
        </w:rPr>
        <w:br/>
        <w:t>Signature</w:t>
      </w:r>
    </w:p>
    <w:p w14:paraId="461FB696" w14:textId="77777777" w:rsidR="00DD5DB8" w:rsidRDefault="00DD5DB8" w:rsidP="00DD5DB8">
      <w:pPr>
        <w:pStyle w:val="BodyText"/>
        <w:tabs>
          <w:tab w:val="left" w:pos="9180"/>
        </w:tabs>
        <w:spacing w:before="0"/>
        <w:ind w:left="5760"/>
        <w:rPr>
          <w:rFonts w:ascii="Arial" w:hAnsi="Arial"/>
          <w:u w:val="single"/>
        </w:rPr>
      </w:pPr>
    </w:p>
    <w:p w14:paraId="49AC6F2F" w14:textId="77777777" w:rsidR="00DD5DB8" w:rsidRDefault="00DD5DB8" w:rsidP="00DD5DB8">
      <w:pPr>
        <w:pStyle w:val="BodyText"/>
        <w:tabs>
          <w:tab w:val="left" w:pos="9180"/>
        </w:tabs>
        <w:spacing w:before="0"/>
        <w:ind w:left="5760"/>
        <w:rPr>
          <w:rFonts w:ascii="Arial" w:hAnsi="Arial"/>
        </w:rPr>
      </w:pPr>
      <w:r>
        <w:rPr>
          <w:rFonts w:ascii="Arial" w:hAnsi="Arial"/>
          <w:b/>
          <w:bCs/>
          <w:u w:val="single"/>
        </w:rPr>
        <w:t>CFO</w:t>
      </w:r>
      <w:r>
        <w:rPr>
          <w:rFonts w:ascii="Arial" w:hAnsi="Arial"/>
          <w:u w:val="single"/>
        </w:rPr>
        <w:tab/>
      </w:r>
      <w:r>
        <w:rPr>
          <w:rFonts w:ascii="Arial" w:hAnsi="Arial"/>
        </w:rPr>
        <w:br/>
        <w:t>Official Capacity</w:t>
      </w:r>
    </w:p>
    <w:p w14:paraId="77323DFB" w14:textId="77777777" w:rsidR="00DD5DB8" w:rsidRDefault="00DD5DB8" w:rsidP="00DD5DB8">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DD5DB8" w14:paraId="2C41AA04" w14:textId="77777777" w:rsidTr="007B329E">
        <w:tc>
          <w:tcPr>
            <w:tcW w:w="4878" w:type="dxa"/>
            <w:tcBorders>
              <w:top w:val="single" w:sz="18" w:space="0" w:color="auto"/>
              <w:bottom w:val="nil"/>
              <w:right w:val="single" w:sz="18" w:space="0" w:color="auto"/>
            </w:tcBorders>
          </w:tcPr>
          <w:p w14:paraId="5D80B334" w14:textId="77777777" w:rsidR="00DD5DB8" w:rsidRDefault="00DD5DB8" w:rsidP="007B329E">
            <w:pPr>
              <w:pStyle w:val="BodyText"/>
              <w:spacing w:before="0"/>
              <w:rPr>
                <w:rFonts w:ascii="Arial" w:hAnsi="Arial"/>
                <w:b/>
                <w:i/>
              </w:rPr>
            </w:pPr>
            <w:r>
              <w:rPr>
                <w:rFonts w:ascii="Arial" w:hAnsi="Arial"/>
                <w:b/>
                <w:i/>
              </w:rPr>
              <w:t>Issuer Details</w:t>
            </w:r>
          </w:p>
          <w:p w14:paraId="2D67B6D2" w14:textId="77777777" w:rsidR="00DD5DB8" w:rsidRDefault="00DD5DB8" w:rsidP="007B329E">
            <w:pPr>
              <w:pStyle w:val="BodyText"/>
              <w:spacing w:before="0"/>
              <w:rPr>
                <w:rFonts w:ascii="Arial" w:hAnsi="Arial"/>
              </w:rPr>
            </w:pPr>
            <w:r>
              <w:rPr>
                <w:rFonts w:ascii="Arial" w:hAnsi="Arial"/>
              </w:rPr>
              <w:t>Name of Issuer</w:t>
            </w:r>
          </w:p>
          <w:p w14:paraId="7EDD6376" w14:textId="1DD89B8B" w:rsidR="00DD5DB8" w:rsidRDefault="00961A72" w:rsidP="007B329E">
            <w:pPr>
              <w:pStyle w:val="BodyText"/>
              <w:spacing w:before="0"/>
              <w:rPr>
                <w:rFonts w:ascii="Arial" w:hAnsi="Arial"/>
              </w:rPr>
            </w:pPr>
            <w:r>
              <w:rPr>
                <w:rFonts w:ascii="Arial" w:hAnsi="Arial"/>
                <w:b/>
                <w:bCs/>
              </w:rPr>
              <w:t>Summa Silver</w:t>
            </w:r>
            <w:r w:rsidR="00DD5DB8">
              <w:rPr>
                <w:rFonts w:ascii="Arial" w:hAnsi="Arial"/>
                <w:b/>
                <w:bCs/>
              </w:rPr>
              <w:t xml:space="preserve"> Corp.</w:t>
            </w:r>
          </w:p>
        </w:tc>
        <w:tc>
          <w:tcPr>
            <w:tcW w:w="2176" w:type="dxa"/>
            <w:tcBorders>
              <w:top w:val="single" w:sz="18" w:space="0" w:color="auto"/>
              <w:left w:val="single" w:sz="18" w:space="0" w:color="auto"/>
              <w:bottom w:val="nil"/>
              <w:right w:val="single" w:sz="18" w:space="0" w:color="auto"/>
            </w:tcBorders>
          </w:tcPr>
          <w:p w14:paraId="0E3DA985" w14:textId="77777777" w:rsidR="00DD5DB8" w:rsidRDefault="00DD5DB8" w:rsidP="007B329E">
            <w:pPr>
              <w:pStyle w:val="BodyText"/>
              <w:spacing w:before="0"/>
              <w:rPr>
                <w:rFonts w:ascii="Arial" w:hAnsi="Arial"/>
              </w:rPr>
            </w:pPr>
            <w:r>
              <w:rPr>
                <w:rFonts w:ascii="Arial" w:hAnsi="Arial"/>
              </w:rPr>
              <w:t>For  Month End</w:t>
            </w:r>
          </w:p>
          <w:p w14:paraId="6E9D0C56" w14:textId="77777777" w:rsidR="00DD5DB8" w:rsidRDefault="00DD5DB8" w:rsidP="007B329E">
            <w:pPr>
              <w:pStyle w:val="BodyText"/>
              <w:spacing w:before="0"/>
              <w:rPr>
                <w:rFonts w:ascii="Arial" w:hAnsi="Arial"/>
                <w:b/>
                <w:bCs/>
              </w:rPr>
            </w:pPr>
          </w:p>
          <w:p w14:paraId="19EF21DA" w14:textId="7654E264" w:rsidR="00DD5DB8" w:rsidRDefault="00961A72" w:rsidP="007B329E">
            <w:pPr>
              <w:pStyle w:val="BodyText"/>
              <w:spacing w:before="0"/>
              <w:rPr>
                <w:rFonts w:ascii="Arial" w:hAnsi="Arial"/>
              </w:rPr>
            </w:pPr>
            <w:r>
              <w:rPr>
                <w:rFonts w:ascii="Arial" w:hAnsi="Arial"/>
                <w:b/>
                <w:bCs/>
              </w:rPr>
              <w:t>May</w:t>
            </w:r>
            <w:r w:rsidR="00DD5DB8">
              <w:rPr>
                <w:rFonts w:ascii="Arial" w:hAnsi="Arial"/>
                <w:b/>
                <w:bCs/>
              </w:rPr>
              <w:t xml:space="preserve"> 2020</w:t>
            </w:r>
          </w:p>
        </w:tc>
        <w:tc>
          <w:tcPr>
            <w:tcW w:w="2522" w:type="dxa"/>
            <w:tcBorders>
              <w:top w:val="single" w:sz="18" w:space="0" w:color="auto"/>
              <w:left w:val="single" w:sz="18" w:space="0" w:color="auto"/>
              <w:bottom w:val="nil"/>
            </w:tcBorders>
          </w:tcPr>
          <w:p w14:paraId="05F25D2C" w14:textId="77777777" w:rsidR="00DD5DB8" w:rsidRPr="00564E92" w:rsidRDefault="00DD5DB8" w:rsidP="007B329E">
            <w:pPr>
              <w:pStyle w:val="BodyText"/>
              <w:spacing w:before="0"/>
              <w:rPr>
                <w:rFonts w:ascii="Arial" w:hAnsi="Arial"/>
              </w:rPr>
            </w:pPr>
            <w:r w:rsidRPr="00564E92">
              <w:rPr>
                <w:rFonts w:ascii="Arial" w:hAnsi="Arial"/>
              </w:rPr>
              <w:t>Date of Report</w:t>
            </w:r>
          </w:p>
          <w:p w14:paraId="3DED2492" w14:textId="77777777" w:rsidR="00DD5DB8" w:rsidRPr="00564E92" w:rsidRDefault="00DD5DB8" w:rsidP="007B329E">
            <w:pPr>
              <w:pStyle w:val="BodyText"/>
              <w:spacing w:before="0"/>
              <w:rPr>
                <w:rFonts w:ascii="Arial" w:hAnsi="Arial"/>
              </w:rPr>
            </w:pPr>
            <w:r w:rsidRPr="00564E92">
              <w:rPr>
                <w:rFonts w:ascii="Arial" w:hAnsi="Arial"/>
              </w:rPr>
              <w:t>YY/MM/D</w:t>
            </w:r>
          </w:p>
          <w:p w14:paraId="4DA0C8BC" w14:textId="4A59B3D1" w:rsidR="00DD5DB8" w:rsidRPr="00564E92" w:rsidRDefault="00DD5DB8" w:rsidP="007B329E">
            <w:pPr>
              <w:pStyle w:val="BodyText"/>
              <w:spacing w:before="0"/>
              <w:rPr>
                <w:rFonts w:ascii="Arial" w:hAnsi="Arial"/>
                <w:b/>
                <w:bCs/>
              </w:rPr>
            </w:pPr>
            <w:r>
              <w:rPr>
                <w:rFonts w:ascii="Arial" w:hAnsi="Arial"/>
                <w:b/>
                <w:bCs/>
              </w:rPr>
              <w:t>20</w:t>
            </w:r>
            <w:r w:rsidRPr="00564E92">
              <w:rPr>
                <w:rFonts w:ascii="Arial" w:hAnsi="Arial"/>
                <w:b/>
                <w:bCs/>
              </w:rPr>
              <w:t>/</w:t>
            </w:r>
            <w:r>
              <w:rPr>
                <w:rFonts w:ascii="Arial" w:hAnsi="Arial"/>
                <w:b/>
                <w:bCs/>
              </w:rPr>
              <w:t>0</w:t>
            </w:r>
            <w:r w:rsidR="00961A72">
              <w:rPr>
                <w:rFonts w:ascii="Arial" w:hAnsi="Arial"/>
                <w:b/>
                <w:bCs/>
              </w:rPr>
              <w:t>6</w:t>
            </w:r>
            <w:r w:rsidRPr="00564E92">
              <w:rPr>
                <w:rFonts w:ascii="Arial" w:hAnsi="Arial"/>
                <w:b/>
                <w:bCs/>
              </w:rPr>
              <w:t>/</w:t>
            </w:r>
            <w:r>
              <w:rPr>
                <w:rFonts w:ascii="Arial" w:hAnsi="Arial"/>
                <w:b/>
                <w:bCs/>
              </w:rPr>
              <w:t>0</w:t>
            </w:r>
            <w:r w:rsidR="00961A72">
              <w:rPr>
                <w:rFonts w:ascii="Arial" w:hAnsi="Arial"/>
                <w:b/>
                <w:bCs/>
              </w:rPr>
              <w:t>5</w:t>
            </w:r>
          </w:p>
        </w:tc>
      </w:tr>
      <w:tr w:rsidR="00DD5DB8" w14:paraId="78F4BF47" w14:textId="77777777" w:rsidTr="007B329E">
        <w:trPr>
          <w:cantSplit/>
        </w:trPr>
        <w:tc>
          <w:tcPr>
            <w:tcW w:w="9576" w:type="dxa"/>
            <w:gridSpan w:val="3"/>
            <w:tcBorders>
              <w:top w:val="single" w:sz="18" w:space="0" w:color="auto"/>
              <w:bottom w:val="single" w:sz="18" w:space="0" w:color="auto"/>
            </w:tcBorders>
          </w:tcPr>
          <w:p w14:paraId="6E242D7F" w14:textId="77777777" w:rsidR="00DD5DB8" w:rsidRDefault="00DD5DB8" w:rsidP="007B329E">
            <w:pPr>
              <w:pStyle w:val="BodyText"/>
              <w:spacing w:before="0"/>
              <w:rPr>
                <w:rFonts w:ascii="Arial" w:hAnsi="Arial"/>
              </w:rPr>
            </w:pPr>
            <w:r>
              <w:rPr>
                <w:rFonts w:ascii="Arial" w:hAnsi="Arial"/>
              </w:rPr>
              <w:t>Issuer Address</w:t>
            </w:r>
          </w:p>
          <w:p w14:paraId="7CF25D5D" w14:textId="77777777" w:rsidR="00DD5DB8" w:rsidRDefault="00DD5DB8" w:rsidP="007B329E">
            <w:pPr>
              <w:pStyle w:val="BodyText"/>
              <w:spacing w:before="0"/>
              <w:rPr>
                <w:rFonts w:ascii="Arial" w:hAnsi="Arial"/>
              </w:rPr>
            </w:pPr>
            <w:r w:rsidRPr="00564E92">
              <w:rPr>
                <w:rFonts w:ascii="Arial" w:hAnsi="Arial"/>
                <w:b/>
                <w:bCs/>
              </w:rPr>
              <w:t>918 - 1030 West Georgia Street</w:t>
            </w:r>
          </w:p>
        </w:tc>
      </w:tr>
      <w:tr w:rsidR="00DD5DB8" w14:paraId="33392DC3" w14:textId="77777777" w:rsidTr="007B329E">
        <w:tc>
          <w:tcPr>
            <w:tcW w:w="4878" w:type="dxa"/>
            <w:tcBorders>
              <w:top w:val="single" w:sz="18" w:space="0" w:color="auto"/>
              <w:bottom w:val="single" w:sz="18" w:space="0" w:color="auto"/>
              <w:right w:val="single" w:sz="18" w:space="0" w:color="auto"/>
            </w:tcBorders>
          </w:tcPr>
          <w:p w14:paraId="605B08CB" w14:textId="77777777" w:rsidR="00DD5DB8" w:rsidRDefault="00DD5DB8" w:rsidP="007B329E">
            <w:pPr>
              <w:pStyle w:val="BodyText"/>
              <w:spacing w:before="0"/>
              <w:rPr>
                <w:rFonts w:ascii="Arial" w:hAnsi="Arial"/>
              </w:rPr>
            </w:pPr>
            <w:r>
              <w:rPr>
                <w:rFonts w:ascii="Arial" w:hAnsi="Arial"/>
              </w:rPr>
              <w:t>City/Province/Postal Code</w:t>
            </w:r>
          </w:p>
          <w:p w14:paraId="1F6D3348" w14:textId="77777777" w:rsidR="00DD5DB8" w:rsidRDefault="00DD5DB8" w:rsidP="007B329E">
            <w:pPr>
              <w:pStyle w:val="BodyText"/>
              <w:spacing w:before="0"/>
              <w:rPr>
                <w:rFonts w:ascii="Arial" w:hAnsi="Arial"/>
              </w:rPr>
            </w:pPr>
            <w:r w:rsidRPr="000B0A96">
              <w:rPr>
                <w:rFonts w:ascii="Arial" w:hAnsi="Arial"/>
                <w:b/>
                <w:bCs/>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3B551B56" w14:textId="77777777" w:rsidR="00DD5DB8" w:rsidRDefault="00DD5DB8" w:rsidP="007B329E">
            <w:pPr>
              <w:pStyle w:val="BodyText"/>
              <w:spacing w:before="0"/>
              <w:rPr>
                <w:rFonts w:ascii="Arial" w:hAnsi="Arial"/>
              </w:rPr>
            </w:pPr>
            <w:r>
              <w:rPr>
                <w:rFonts w:ascii="Arial" w:hAnsi="Arial"/>
              </w:rPr>
              <w:t>Issuer Fax No.</w:t>
            </w:r>
          </w:p>
          <w:p w14:paraId="4B068556" w14:textId="77777777" w:rsidR="00DD5DB8" w:rsidRDefault="00DD5DB8" w:rsidP="007B329E">
            <w:pPr>
              <w:pStyle w:val="BodyText"/>
              <w:spacing w:before="0"/>
              <w:rPr>
                <w:rFonts w:ascii="Arial" w:hAnsi="Arial"/>
              </w:rPr>
            </w:pPr>
            <w:r w:rsidRPr="00564E92">
              <w:rPr>
                <w:rFonts w:ascii="Arial" w:hAnsi="Arial"/>
                <w:b/>
                <w:bCs/>
              </w:rPr>
              <w:t>(604) 662-7950</w:t>
            </w:r>
          </w:p>
        </w:tc>
        <w:tc>
          <w:tcPr>
            <w:tcW w:w="2522" w:type="dxa"/>
            <w:tcBorders>
              <w:top w:val="single" w:sz="18" w:space="0" w:color="auto"/>
              <w:left w:val="single" w:sz="18" w:space="0" w:color="auto"/>
              <w:bottom w:val="single" w:sz="18" w:space="0" w:color="auto"/>
            </w:tcBorders>
          </w:tcPr>
          <w:p w14:paraId="54361EF0" w14:textId="77777777" w:rsidR="00DD5DB8" w:rsidRDefault="00DD5DB8" w:rsidP="007B329E">
            <w:pPr>
              <w:pStyle w:val="BodyText"/>
              <w:spacing w:before="0"/>
              <w:rPr>
                <w:rFonts w:ascii="Arial" w:hAnsi="Arial"/>
              </w:rPr>
            </w:pPr>
            <w:r>
              <w:rPr>
                <w:rFonts w:ascii="Arial" w:hAnsi="Arial"/>
              </w:rPr>
              <w:t>Issuer Telephone No.</w:t>
            </w:r>
          </w:p>
          <w:p w14:paraId="3B4DD034" w14:textId="77777777" w:rsidR="00DD5DB8" w:rsidRDefault="00DD5DB8" w:rsidP="007B329E">
            <w:pPr>
              <w:pStyle w:val="BodyText"/>
              <w:spacing w:before="0"/>
              <w:rPr>
                <w:rFonts w:ascii="Arial" w:hAnsi="Arial"/>
              </w:rPr>
            </w:pPr>
            <w:r w:rsidRPr="00564E92">
              <w:rPr>
                <w:rFonts w:ascii="Arial" w:hAnsi="Arial"/>
                <w:b/>
                <w:bCs/>
              </w:rPr>
              <w:t xml:space="preserve">(604) </w:t>
            </w:r>
            <w:r>
              <w:rPr>
                <w:rFonts w:ascii="Arial" w:hAnsi="Arial"/>
                <w:b/>
                <w:bCs/>
              </w:rPr>
              <w:t>782</w:t>
            </w:r>
            <w:r w:rsidRPr="00564E92">
              <w:rPr>
                <w:rFonts w:ascii="Arial" w:hAnsi="Arial"/>
                <w:b/>
                <w:bCs/>
              </w:rPr>
              <w:t>-</w:t>
            </w:r>
            <w:r>
              <w:rPr>
                <w:rFonts w:ascii="Arial" w:hAnsi="Arial"/>
                <w:b/>
                <w:bCs/>
              </w:rPr>
              <w:t>4264</w:t>
            </w:r>
          </w:p>
        </w:tc>
      </w:tr>
      <w:tr w:rsidR="00DD5DB8" w14:paraId="40B563E6" w14:textId="77777777" w:rsidTr="007B329E">
        <w:tc>
          <w:tcPr>
            <w:tcW w:w="4878" w:type="dxa"/>
            <w:tcBorders>
              <w:top w:val="single" w:sz="18" w:space="0" w:color="auto"/>
              <w:bottom w:val="single" w:sz="18" w:space="0" w:color="auto"/>
              <w:right w:val="single" w:sz="18" w:space="0" w:color="auto"/>
            </w:tcBorders>
          </w:tcPr>
          <w:p w14:paraId="339D67A2" w14:textId="77777777" w:rsidR="00DD5DB8" w:rsidRDefault="00DD5DB8" w:rsidP="007B329E">
            <w:pPr>
              <w:pStyle w:val="BodyText"/>
              <w:spacing w:before="0"/>
              <w:rPr>
                <w:rFonts w:ascii="Arial" w:hAnsi="Arial"/>
              </w:rPr>
            </w:pPr>
            <w:r>
              <w:rPr>
                <w:rFonts w:ascii="Arial" w:hAnsi="Arial"/>
              </w:rPr>
              <w:t>Contact Name</w:t>
            </w:r>
          </w:p>
          <w:p w14:paraId="389D8ADE" w14:textId="77777777" w:rsidR="00DD5DB8" w:rsidRPr="00836B68" w:rsidRDefault="00DD5DB8" w:rsidP="007B329E">
            <w:pPr>
              <w:pStyle w:val="BodyText"/>
              <w:spacing w:before="0"/>
              <w:rPr>
                <w:rFonts w:ascii="Arial" w:hAnsi="Arial"/>
              </w:rPr>
            </w:pPr>
            <w:r>
              <w:rPr>
                <w:rFonts w:ascii="Arial" w:hAnsi="Arial"/>
                <w:b/>
                <w:bCs/>
              </w:rPr>
              <w:t>Martin Bajic</w:t>
            </w:r>
          </w:p>
        </w:tc>
        <w:tc>
          <w:tcPr>
            <w:tcW w:w="2176" w:type="dxa"/>
            <w:tcBorders>
              <w:top w:val="single" w:sz="18" w:space="0" w:color="auto"/>
              <w:left w:val="single" w:sz="18" w:space="0" w:color="auto"/>
              <w:bottom w:val="single" w:sz="18" w:space="0" w:color="auto"/>
              <w:right w:val="single" w:sz="18" w:space="0" w:color="auto"/>
            </w:tcBorders>
          </w:tcPr>
          <w:p w14:paraId="0EE53866" w14:textId="77777777" w:rsidR="00DD5DB8" w:rsidRPr="00564E92" w:rsidRDefault="00DD5DB8" w:rsidP="007B329E">
            <w:pPr>
              <w:pStyle w:val="BodyText"/>
              <w:spacing w:before="0"/>
              <w:rPr>
                <w:rFonts w:ascii="Arial" w:hAnsi="Arial"/>
              </w:rPr>
            </w:pPr>
            <w:r w:rsidRPr="00564E92">
              <w:rPr>
                <w:rFonts w:ascii="Arial" w:hAnsi="Arial"/>
              </w:rPr>
              <w:t>Contact Position</w:t>
            </w:r>
          </w:p>
          <w:p w14:paraId="0AB15B0E" w14:textId="77777777" w:rsidR="00DD5DB8" w:rsidRPr="00564E92" w:rsidRDefault="00DD5DB8" w:rsidP="007B329E">
            <w:pPr>
              <w:pStyle w:val="BodyText"/>
              <w:spacing w:before="0"/>
              <w:rPr>
                <w:rFonts w:ascii="Arial" w:hAnsi="Arial"/>
                <w:b/>
                <w:bCs/>
              </w:rPr>
            </w:pPr>
            <w:r>
              <w:rPr>
                <w:rFonts w:ascii="Arial" w:hAnsi="Arial"/>
                <w:b/>
                <w:bCs/>
              </w:rPr>
              <w:t>CFO</w:t>
            </w:r>
          </w:p>
        </w:tc>
        <w:tc>
          <w:tcPr>
            <w:tcW w:w="2522" w:type="dxa"/>
            <w:tcBorders>
              <w:top w:val="single" w:sz="18" w:space="0" w:color="auto"/>
              <w:left w:val="single" w:sz="18" w:space="0" w:color="auto"/>
              <w:bottom w:val="single" w:sz="18" w:space="0" w:color="auto"/>
            </w:tcBorders>
          </w:tcPr>
          <w:p w14:paraId="50FECBD3" w14:textId="77777777" w:rsidR="00DD5DB8" w:rsidRDefault="00DD5DB8" w:rsidP="007B329E">
            <w:pPr>
              <w:pStyle w:val="BodyText"/>
              <w:spacing w:before="0"/>
              <w:rPr>
                <w:rFonts w:ascii="Arial" w:hAnsi="Arial"/>
              </w:rPr>
            </w:pPr>
            <w:r>
              <w:rPr>
                <w:rFonts w:ascii="Arial" w:hAnsi="Arial"/>
              </w:rPr>
              <w:t>Contact Telephone No.</w:t>
            </w:r>
          </w:p>
          <w:p w14:paraId="59DE5024" w14:textId="77777777" w:rsidR="00DD5DB8" w:rsidRDefault="00DD5DB8" w:rsidP="007B329E">
            <w:pPr>
              <w:pStyle w:val="BodyText"/>
              <w:spacing w:before="0"/>
              <w:rPr>
                <w:rFonts w:ascii="Arial" w:hAnsi="Arial"/>
              </w:rPr>
            </w:pPr>
            <w:r w:rsidRPr="00DF21B6">
              <w:rPr>
                <w:rFonts w:ascii="Arial" w:hAnsi="Arial"/>
                <w:b/>
                <w:bCs/>
              </w:rPr>
              <w:t xml:space="preserve">(604) </w:t>
            </w:r>
            <w:r>
              <w:rPr>
                <w:rFonts w:ascii="Arial" w:hAnsi="Arial"/>
                <w:b/>
                <w:bCs/>
              </w:rPr>
              <w:t>551-6770</w:t>
            </w:r>
          </w:p>
        </w:tc>
      </w:tr>
      <w:tr w:rsidR="00DD5DB8" w14:paraId="69BDC65D" w14:textId="77777777" w:rsidTr="007B329E">
        <w:trPr>
          <w:cantSplit/>
        </w:trPr>
        <w:tc>
          <w:tcPr>
            <w:tcW w:w="4878" w:type="dxa"/>
            <w:tcBorders>
              <w:top w:val="single" w:sz="18" w:space="0" w:color="auto"/>
              <w:bottom w:val="single" w:sz="18" w:space="0" w:color="auto"/>
              <w:right w:val="single" w:sz="18" w:space="0" w:color="auto"/>
            </w:tcBorders>
          </w:tcPr>
          <w:p w14:paraId="09C63AD6" w14:textId="77777777" w:rsidR="00DD5DB8" w:rsidRDefault="00DD5DB8" w:rsidP="007B329E">
            <w:pPr>
              <w:pStyle w:val="BodyText"/>
              <w:spacing w:before="0"/>
              <w:rPr>
                <w:rFonts w:ascii="Arial" w:hAnsi="Arial"/>
              </w:rPr>
            </w:pPr>
            <w:r>
              <w:rPr>
                <w:rFonts w:ascii="Arial" w:hAnsi="Arial"/>
              </w:rPr>
              <w:t>Contact Email Address</w:t>
            </w:r>
          </w:p>
          <w:p w14:paraId="14CBD3C6" w14:textId="77777777" w:rsidR="00DD5DB8" w:rsidRDefault="00DD5DB8" w:rsidP="007B329E">
            <w:pPr>
              <w:pStyle w:val="BodyText"/>
              <w:spacing w:before="0"/>
              <w:rPr>
                <w:rFonts w:ascii="Arial" w:hAnsi="Arial"/>
              </w:rPr>
            </w:pPr>
            <w:r>
              <w:rPr>
                <w:rFonts w:ascii="Arial" w:hAnsi="Arial"/>
                <w:b/>
                <w:bCs/>
              </w:rPr>
              <w:t>martin@nwcapital.ca</w:t>
            </w:r>
          </w:p>
        </w:tc>
        <w:tc>
          <w:tcPr>
            <w:tcW w:w="4698" w:type="dxa"/>
            <w:gridSpan w:val="2"/>
            <w:tcBorders>
              <w:top w:val="single" w:sz="18" w:space="0" w:color="auto"/>
              <w:left w:val="single" w:sz="18" w:space="0" w:color="auto"/>
              <w:bottom w:val="single" w:sz="18" w:space="0" w:color="auto"/>
            </w:tcBorders>
          </w:tcPr>
          <w:p w14:paraId="6A8816F6" w14:textId="77777777" w:rsidR="00DD5DB8" w:rsidRPr="00564E92" w:rsidRDefault="00DD5DB8" w:rsidP="007B329E">
            <w:pPr>
              <w:pStyle w:val="BodyText"/>
              <w:spacing w:before="0"/>
              <w:rPr>
                <w:rFonts w:ascii="Arial" w:hAnsi="Arial"/>
              </w:rPr>
            </w:pPr>
            <w:r w:rsidRPr="00564E92">
              <w:rPr>
                <w:rFonts w:ascii="Arial" w:hAnsi="Arial"/>
              </w:rPr>
              <w:t>Web Site Address</w:t>
            </w:r>
          </w:p>
          <w:p w14:paraId="01E5D8E0" w14:textId="77777777" w:rsidR="00DD5DB8" w:rsidRPr="00564E92" w:rsidRDefault="00DD5DB8" w:rsidP="007B329E">
            <w:pPr>
              <w:pStyle w:val="BodyText"/>
              <w:spacing w:before="0"/>
              <w:rPr>
                <w:rFonts w:ascii="Arial" w:hAnsi="Arial"/>
                <w:b/>
                <w:bCs/>
              </w:rPr>
            </w:pPr>
            <w:r w:rsidRPr="00564E92">
              <w:rPr>
                <w:rFonts w:ascii="Arial" w:hAnsi="Arial"/>
                <w:b/>
                <w:bCs/>
              </w:rPr>
              <w:t>N/A</w:t>
            </w:r>
          </w:p>
        </w:tc>
      </w:tr>
    </w:tbl>
    <w:p w14:paraId="306FD872" w14:textId="77777777" w:rsidR="00DD5DB8" w:rsidRDefault="00DD5DB8" w:rsidP="00DD5DB8">
      <w:pPr>
        <w:pStyle w:val="BodyText"/>
      </w:pPr>
    </w:p>
    <w:p w14:paraId="42B03763" w14:textId="4DCF6528" w:rsidR="00640E94" w:rsidRDefault="00640E94" w:rsidP="00DD5DB8">
      <w:pPr>
        <w:pStyle w:val="List"/>
        <w:keepNext/>
        <w:spacing w:before="120"/>
        <w:ind w:left="0" w:firstLine="0"/>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A545F" w14:textId="77777777" w:rsidR="00925D04" w:rsidRDefault="00925D04">
      <w:r>
        <w:separator/>
      </w:r>
    </w:p>
  </w:endnote>
  <w:endnote w:type="continuationSeparator" w:id="0">
    <w:p w14:paraId="30350EC8" w14:textId="77777777" w:rsidR="00925D04" w:rsidRDefault="0092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FE80" w14:textId="77777777" w:rsidR="00640E94" w:rsidRDefault="00640E94">
    <w:pPr>
      <w:pStyle w:val="Footer"/>
      <w:tabs>
        <w:tab w:val="clear" w:pos="4320"/>
        <w:tab w:val="clear" w:pos="8640"/>
        <w:tab w:val="center" w:pos="4680"/>
        <w:tab w:val="right" w:pos="9360"/>
      </w:tabs>
      <w:rPr>
        <w:b/>
      </w:rPr>
    </w:pPr>
  </w:p>
  <w:p w14:paraId="064A3F5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E04784C" wp14:editId="5C87A3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7C3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96D4B2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8900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02EE" w14:textId="77777777" w:rsidR="00640E94" w:rsidRDefault="00640E94">
    <w:pPr>
      <w:pStyle w:val="Footer"/>
      <w:tabs>
        <w:tab w:val="clear" w:pos="4320"/>
        <w:tab w:val="clear" w:pos="8640"/>
        <w:tab w:val="center" w:pos="4680"/>
        <w:tab w:val="right" w:pos="9360"/>
      </w:tabs>
      <w:rPr>
        <w:b/>
      </w:rPr>
    </w:pPr>
  </w:p>
  <w:p w14:paraId="07EC1A4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A9724B5" wp14:editId="736826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F4A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7B83FD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765A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B1A7" w14:textId="77777777" w:rsidR="00925D04" w:rsidRDefault="00925D04">
      <w:r>
        <w:separator/>
      </w:r>
    </w:p>
  </w:footnote>
  <w:footnote w:type="continuationSeparator" w:id="0">
    <w:p w14:paraId="066536F9" w14:textId="77777777" w:rsidR="00925D04" w:rsidRDefault="0092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AF1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CEEA5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56D7"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59223FA"/>
    <w:multiLevelType w:val="hybridMultilevel"/>
    <w:tmpl w:val="7EEC8FB6"/>
    <w:lvl w:ilvl="0" w:tplc="0C52FE1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MjcytjAzNrY0NDRU0lEKTi0uzszPAykwrAUAEQGZfiwAAAA="/>
  </w:docVars>
  <w:rsids>
    <w:rsidRoot w:val="00A47914"/>
    <w:rsid w:val="0007364E"/>
    <w:rsid w:val="000A1AB1"/>
    <w:rsid w:val="000E17DA"/>
    <w:rsid w:val="000E1A59"/>
    <w:rsid w:val="00102B00"/>
    <w:rsid w:val="001056F0"/>
    <w:rsid w:val="001A5DFD"/>
    <w:rsid w:val="001F2210"/>
    <w:rsid w:val="001F4A5F"/>
    <w:rsid w:val="002036B4"/>
    <w:rsid w:val="002123F1"/>
    <w:rsid w:val="002B582C"/>
    <w:rsid w:val="002C281E"/>
    <w:rsid w:val="002E5579"/>
    <w:rsid w:val="002F00EB"/>
    <w:rsid w:val="003669A9"/>
    <w:rsid w:val="00371A64"/>
    <w:rsid w:val="00387FA8"/>
    <w:rsid w:val="00431103"/>
    <w:rsid w:val="004C62B6"/>
    <w:rsid w:val="00517D61"/>
    <w:rsid w:val="005453C8"/>
    <w:rsid w:val="00564E92"/>
    <w:rsid w:val="005927C5"/>
    <w:rsid w:val="005B0736"/>
    <w:rsid w:val="005F095E"/>
    <w:rsid w:val="005F6D8F"/>
    <w:rsid w:val="00620E7F"/>
    <w:rsid w:val="00633ED3"/>
    <w:rsid w:val="00635E9A"/>
    <w:rsid w:val="00640E94"/>
    <w:rsid w:val="00695970"/>
    <w:rsid w:val="006D1A06"/>
    <w:rsid w:val="006F645C"/>
    <w:rsid w:val="00742ACB"/>
    <w:rsid w:val="00793415"/>
    <w:rsid w:val="007C7411"/>
    <w:rsid w:val="007F0866"/>
    <w:rsid w:val="00836B68"/>
    <w:rsid w:val="0085769A"/>
    <w:rsid w:val="008B7E92"/>
    <w:rsid w:val="00910F17"/>
    <w:rsid w:val="00922A46"/>
    <w:rsid w:val="00925D04"/>
    <w:rsid w:val="00961264"/>
    <w:rsid w:val="00961A72"/>
    <w:rsid w:val="00A47914"/>
    <w:rsid w:val="00A63AB0"/>
    <w:rsid w:val="00B40665"/>
    <w:rsid w:val="00B93A11"/>
    <w:rsid w:val="00C27A18"/>
    <w:rsid w:val="00C6383E"/>
    <w:rsid w:val="00DD1725"/>
    <w:rsid w:val="00DD5DB8"/>
    <w:rsid w:val="00DF21B6"/>
    <w:rsid w:val="00E16EA5"/>
    <w:rsid w:val="00E36141"/>
    <w:rsid w:val="00E83E58"/>
    <w:rsid w:val="00FA0B69"/>
    <w:rsid w:val="00FF3FD9"/>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CE9B38A"/>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21">
    <w:name w:val="Medium Grid 21"/>
    <w:uiPriority w:val="1"/>
    <w:qFormat/>
    <w:rsid w:val="00564E92"/>
  </w:style>
  <w:style w:type="paragraph" w:styleId="ListParagraph">
    <w:name w:val="List Paragraph"/>
    <w:basedOn w:val="Normal"/>
    <w:uiPriority w:val="34"/>
    <w:qFormat/>
    <w:rsid w:val="00517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1374</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Marlis Yassin</cp:lastModifiedBy>
  <cp:revision>3</cp:revision>
  <cp:lastPrinted>2004-05-10T18:28:00Z</cp:lastPrinted>
  <dcterms:created xsi:type="dcterms:W3CDTF">2020-06-05T16:42:00Z</dcterms:created>
  <dcterms:modified xsi:type="dcterms:W3CDTF">2020-06-05T18:50:00Z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