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6DFF" w14:textId="77777777" w:rsidR="00CF3455" w:rsidRDefault="00CF3455">
      <w:pPr>
        <w:jc w:val="center"/>
        <w:rPr>
          <w:rFonts w:ascii="Inter" w:eastAsia="Inter" w:hAnsi="Inter" w:cs="Inter"/>
          <w:sz w:val="20"/>
          <w:szCs w:val="20"/>
        </w:rPr>
      </w:pPr>
    </w:p>
    <w:p w14:paraId="279F9A91" w14:textId="77777777" w:rsidR="00CF3455" w:rsidRDefault="0035198B">
      <w:pPr>
        <w:jc w:val="center"/>
        <w:rPr>
          <w:rFonts w:ascii="Inter" w:eastAsia="Inter" w:hAnsi="Inter" w:cs="Inter"/>
          <w:b/>
          <w:sz w:val="28"/>
          <w:szCs w:val="28"/>
        </w:rPr>
      </w:pPr>
      <w:proofErr w:type="spellStart"/>
      <w:r>
        <w:rPr>
          <w:rFonts w:ascii="Inter" w:eastAsia="Inter" w:hAnsi="Inter" w:cs="Inter"/>
          <w:b/>
          <w:sz w:val="28"/>
          <w:szCs w:val="28"/>
        </w:rPr>
        <w:t>ShiftCarbon</w:t>
      </w:r>
      <w:proofErr w:type="spellEnd"/>
      <w:r>
        <w:rPr>
          <w:rFonts w:ascii="Inter" w:eastAsia="Inter" w:hAnsi="Inter" w:cs="Inter"/>
          <w:b/>
          <w:sz w:val="28"/>
          <w:szCs w:val="28"/>
        </w:rPr>
        <w:t xml:space="preserve"> Releases Carbon Transparency Hub</w:t>
      </w:r>
    </w:p>
    <w:p w14:paraId="30F978BB" w14:textId="77777777" w:rsidR="00CF3455" w:rsidRDefault="0035198B">
      <w:pPr>
        <w:ind w:left="720"/>
        <w:rPr>
          <w:rFonts w:ascii="Inter" w:eastAsia="Inter" w:hAnsi="Inter" w:cs="Inter"/>
          <w:b/>
          <w:sz w:val="20"/>
          <w:szCs w:val="20"/>
        </w:rPr>
      </w:pPr>
      <w:r>
        <w:rPr>
          <w:rFonts w:ascii="Inter" w:eastAsia="Inter" w:hAnsi="Inter" w:cs="Inter"/>
          <w:b/>
          <w:sz w:val="20"/>
          <w:szCs w:val="20"/>
        </w:rPr>
        <w:t xml:space="preserve"> </w:t>
      </w:r>
    </w:p>
    <w:p w14:paraId="6D995F6B" w14:textId="77777777" w:rsidR="00CF3455" w:rsidRDefault="0035198B">
      <w:pPr>
        <w:jc w:val="both"/>
        <w:rPr>
          <w:rFonts w:ascii="Inter" w:eastAsia="Inter" w:hAnsi="Inter" w:cs="Inter"/>
          <w:sz w:val="20"/>
          <w:szCs w:val="20"/>
        </w:rPr>
      </w:pPr>
      <w:r>
        <w:rPr>
          <w:rFonts w:ascii="Inter" w:eastAsia="Inter" w:hAnsi="Inter" w:cs="Inter"/>
          <w:b/>
          <w:sz w:val="20"/>
          <w:szCs w:val="20"/>
        </w:rPr>
        <w:t>February 13, 2023: Vancouver, BC</w:t>
      </w:r>
      <w:r>
        <w:rPr>
          <w:rFonts w:ascii="Inter" w:eastAsia="Inter" w:hAnsi="Inter" w:cs="Inter"/>
          <w:sz w:val="20"/>
          <w:szCs w:val="20"/>
        </w:rPr>
        <w:t xml:space="preserve"> –</w:t>
      </w:r>
      <w:hyperlink r:id="rId6">
        <w:r>
          <w:rPr>
            <w:rFonts w:ascii="Inter" w:eastAsia="Inter" w:hAnsi="Inter" w:cs="Inter"/>
            <w:sz w:val="20"/>
            <w:szCs w:val="20"/>
          </w:rPr>
          <w:t xml:space="preserve"> </w:t>
        </w:r>
      </w:hyperlink>
      <w:hyperlink r:id="rId7">
        <w:proofErr w:type="spellStart"/>
        <w:r>
          <w:rPr>
            <w:rFonts w:ascii="Inter" w:eastAsia="Inter" w:hAnsi="Inter" w:cs="Inter"/>
            <w:color w:val="1155CC"/>
            <w:sz w:val="20"/>
            <w:szCs w:val="20"/>
            <w:u w:val="single"/>
          </w:rPr>
          <w:t>ShiftCarbon</w:t>
        </w:r>
        <w:proofErr w:type="spellEnd"/>
      </w:hyperlink>
      <w:r>
        <w:rPr>
          <w:rFonts w:ascii="Inter" w:eastAsia="Inter" w:hAnsi="Inter" w:cs="Inter"/>
          <w:sz w:val="20"/>
          <w:szCs w:val="20"/>
        </w:rPr>
        <w:t xml:space="preserve"> (formerly </w:t>
      </w:r>
      <w:hyperlink r:id="rId8">
        <w:proofErr w:type="spellStart"/>
        <w:r>
          <w:rPr>
            <w:rFonts w:ascii="Inter" w:eastAsia="Inter" w:hAnsi="Inter" w:cs="Inter"/>
            <w:color w:val="1155CC"/>
            <w:sz w:val="20"/>
            <w:szCs w:val="20"/>
            <w:u w:val="single"/>
          </w:rPr>
          <w:t>Tracesafe</w:t>
        </w:r>
        <w:proofErr w:type="spellEnd"/>
      </w:hyperlink>
      <w:r>
        <w:rPr>
          <w:rFonts w:ascii="Inter" w:eastAsia="Inter" w:hAnsi="Inter" w:cs="Inter"/>
          <w:sz w:val="20"/>
          <w:szCs w:val="20"/>
        </w:rPr>
        <w:t xml:space="preserve">) (CSE: SHFT | OTCPINK: SHIFF) </w:t>
      </w:r>
      <w:r>
        <w:rPr>
          <w:rFonts w:ascii="Inter" w:eastAsia="Inter" w:hAnsi="Inter" w:cs="Inter"/>
          <w:sz w:val="20"/>
          <w:szCs w:val="20"/>
        </w:rPr>
        <w:t>(the “Company”), a global leader in the Internet of Things (IoT) platforms and an innovator in end-to-end decarbonization solutions, is pleased to announce its Offset platform now includes Carbon Transparency Hub, a feature that allows companies to securel</w:t>
      </w:r>
      <w:r>
        <w:rPr>
          <w:rFonts w:ascii="Inter" w:eastAsia="Inter" w:hAnsi="Inter" w:cs="Inter"/>
          <w:sz w:val="20"/>
          <w:szCs w:val="20"/>
        </w:rPr>
        <w:t>y display their climate impact to their customers and stakeholders.</w:t>
      </w:r>
    </w:p>
    <w:p w14:paraId="2FEE82A2" w14:textId="77777777" w:rsidR="00CF3455" w:rsidRDefault="00CF3455">
      <w:pPr>
        <w:jc w:val="both"/>
        <w:rPr>
          <w:rFonts w:ascii="Inter" w:eastAsia="Inter" w:hAnsi="Inter" w:cs="Inter"/>
          <w:sz w:val="20"/>
          <w:szCs w:val="20"/>
        </w:rPr>
      </w:pPr>
    </w:p>
    <w:p w14:paraId="6C1656F1" w14:textId="77777777" w:rsidR="00CF3455" w:rsidRDefault="0035198B">
      <w:pPr>
        <w:jc w:val="both"/>
        <w:rPr>
          <w:rFonts w:ascii="Inter" w:eastAsia="Inter" w:hAnsi="Inter" w:cs="Inter"/>
          <w:sz w:val="20"/>
          <w:szCs w:val="20"/>
        </w:rPr>
      </w:pPr>
      <w:r>
        <w:rPr>
          <w:rFonts w:ascii="Inter" w:eastAsia="Inter" w:hAnsi="Inter" w:cs="Inter"/>
          <w:sz w:val="20"/>
          <w:szCs w:val="20"/>
        </w:rPr>
        <w:t xml:space="preserve">The Carbon Transparency Hub is a powerful tool within </w:t>
      </w:r>
      <w:proofErr w:type="spellStart"/>
      <w:r>
        <w:rPr>
          <w:rFonts w:ascii="Inter" w:eastAsia="Inter" w:hAnsi="Inter" w:cs="Inter"/>
          <w:sz w:val="20"/>
          <w:szCs w:val="20"/>
        </w:rPr>
        <w:t>ShiftCarbon</w:t>
      </w:r>
      <w:proofErr w:type="spellEnd"/>
      <w:r>
        <w:rPr>
          <w:rFonts w:ascii="Inter" w:eastAsia="Inter" w:hAnsi="Inter" w:cs="Inter"/>
          <w:sz w:val="20"/>
          <w:szCs w:val="20"/>
        </w:rPr>
        <w:t xml:space="preserve"> Offset that enables clients to build their own custom </w:t>
      </w:r>
      <w:proofErr w:type="gramStart"/>
      <w:r>
        <w:rPr>
          <w:rFonts w:ascii="Inter" w:eastAsia="Inter" w:hAnsi="Inter" w:cs="Inter"/>
          <w:sz w:val="20"/>
          <w:szCs w:val="20"/>
        </w:rPr>
        <w:t>mini-sites</w:t>
      </w:r>
      <w:proofErr w:type="gramEnd"/>
      <w:r>
        <w:rPr>
          <w:rFonts w:ascii="Inter" w:eastAsia="Inter" w:hAnsi="Inter" w:cs="Inter"/>
          <w:sz w:val="20"/>
          <w:szCs w:val="20"/>
        </w:rPr>
        <w:t xml:space="preserve"> for climate reporting. This feature is designed to allow</w:t>
      </w:r>
      <w:r>
        <w:rPr>
          <w:rFonts w:ascii="Inter" w:eastAsia="Inter" w:hAnsi="Inter" w:cs="Inter"/>
          <w:sz w:val="20"/>
          <w:szCs w:val="20"/>
        </w:rPr>
        <w:t xml:space="preserve"> clients to showcase their offset certificates, retired credits, Sustainable Development Goals, and supported offset projects to their customers, investors, and regulators. By using the Carbon Transparency Hub, clients can demonstrate their commitment to s</w:t>
      </w:r>
      <w:r>
        <w:rPr>
          <w:rFonts w:ascii="Inter" w:eastAsia="Inter" w:hAnsi="Inter" w:cs="Inter"/>
          <w:sz w:val="20"/>
          <w:szCs w:val="20"/>
        </w:rPr>
        <w:t>ustainability and environmental responsibility, and communicate the impact of their offset efforts, while highlighting the importance of the verifiability and accessibility of the purchased carbon offset certificates.</w:t>
      </w:r>
    </w:p>
    <w:p w14:paraId="30125071" w14:textId="77777777" w:rsidR="00CF3455" w:rsidRDefault="00CF3455">
      <w:pPr>
        <w:jc w:val="both"/>
        <w:rPr>
          <w:rFonts w:ascii="Inter" w:eastAsia="Inter" w:hAnsi="Inter" w:cs="Inter"/>
          <w:sz w:val="20"/>
          <w:szCs w:val="20"/>
        </w:rPr>
      </w:pPr>
    </w:p>
    <w:p w14:paraId="49A4C050" w14:textId="77777777" w:rsidR="00CF3455" w:rsidRDefault="0035198B">
      <w:pPr>
        <w:jc w:val="both"/>
        <w:rPr>
          <w:rFonts w:ascii="Inter" w:eastAsia="Inter" w:hAnsi="Inter" w:cs="Inter"/>
          <w:sz w:val="20"/>
          <w:szCs w:val="20"/>
        </w:rPr>
      </w:pPr>
      <w:r>
        <w:rPr>
          <w:rFonts w:ascii="Inter" w:eastAsia="Inter" w:hAnsi="Inter" w:cs="Inter"/>
          <w:sz w:val="20"/>
          <w:szCs w:val="20"/>
        </w:rPr>
        <w:t xml:space="preserve">“At </w:t>
      </w:r>
      <w:proofErr w:type="spellStart"/>
      <w:r>
        <w:rPr>
          <w:rFonts w:ascii="Inter" w:eastAsia="Inter" w:hAnsi="Inter" w:cs="Inter"/>
          <w:sz w:val="20"/>
          <w:szCs w:val="20"/>
        </w:rPr>
        <w:t>ShiftCarbon</w:t>
      </w:r>
      <w:proofErr w:type="spellEnd"/>
      <w:r>
        <w:rPr>
          <w:rFonts w:ascii="Inter" w:eastAsia="Inter" w:hAnsi="Inter" w:cs="Inter"/>
          <w:sz w:val="20"/>
          <w:szCs w:val="20"/>
        </w:rPr>
        <w:t>, we understand the im</w:t>
      </w:r>
      <w:r>
        <w:rPr>
          <w:rFonts w:ascii="Inter" w:eastAsia="Inter" w:hAnsi="Inter" w:cs="Inter"/>
          <w:sz w:val="20"/>
          <w:szCs w:val="20"/>
        </w:rPr>
        <w:t xml:space="preserve">portance of transparency and accountability in the fight against climate change,” said Qayyum Rajan, Head of Carbon Products at </w:t>
      </w:r>
      <w:proofErr w:type="spellStart"/>
      <w:r>
        <w:rPr>
          <w:rFonts w:ascii="Inter" w:eastAsia="Inter" w:hAnsi="Inter" w:cs="Inter"/>
          <w:sz w:val="20"/>
          <w:szCs w:val="20"/>
        </w:rPr>
        <w:t>ShiftCarbon</w:t>
      </w:r>
      <w:proofErr w:type="spellEnd"/>
      <w:r>
        <w:rPr>
          <w:rFonts w:ascii="Inter" w:eastAsia="Inter" w:hAnsi="Inter" w:cs="Inter"/>
          <w:sz w:val="20"/>
          <w:szCs w:val="20"/>
        </w:rPr>
        <w:t>. “Our new Carbon Transparency Hub empowers companies to take the first step in their climate impact reporting. We be</w:t>
      </w:r>
      <w:r>
        <w:rPr>
          <w:rFonts w:ascii="Inter" w:eastAsia="Inter" w:hAnsi="Inter" w:cs="Inter"/>
          <w:sz w:val="20"/>
          <w:szCs w:val="20"/>
        </w:rPr>
        <w:t>lieve this feature will encourage companies to double down on their commitment to sustainability and environmental responsibility.”</w:t>
      </w:r>
    </w:p>
    <w:p w14:paraId="50729EEB" w14:textId="77777777" w:rsidR="00CF3455" w:rsidRDefault="00CF3455">
      <w:pPr>
        <w:spacing w:line="312" w:lineRule="auto"/>
        <w:jc w:val="both"/>
        <w:rPr>
          <w:rFonts w:ascii="Inter" w:eastAsia="Inter" w:hAnsi="Inter" w:cs="Inter"/>
          <w:sz w:val="20"/>
          <w:szCs w:val="20"/>
        </w:rPr>
      </w:pPr>
    </w:p>
    <w:p w14:paraId="58477FC0" w14:textId="77777777" w:rsidR="00CF3455" w:rsidRDefault="0035198B">
      <w:pPr>
        <w:jc w:val="both"/>
        <w:rPr>
          <w:rFonts w:ascii="Inter" w:eastAsia="Inter" w:hAnsi="Inter" w:cs="Inter"/>
          <w:sz w:val="20"/>
          <w:szCs w:val="20"/>
        </w:rPr>
      </w:pPr>
      <w:r>
        <w:rPr>
          <w:rFonts w:ascii="Inter" w:eastAsia="Inter" w:hAnsi="Inter" w:cs="Inter"/>
          <w:sz w:val="20"/>
          <w:szCs w:val="20"/>
        </w:rPr>
        <w:t xml:space="preserve">A </w:t>
      </w:r>
      <w:hyperlink r:id="rId9">
        <w:r>
          <w:rPr>
            <w:rFonts w:ascii="Inter" w:eastAsia="Inter" w:hAnsi="Inter" w:cs="Inter"/>
            <w:color w:val="1155CC"/>
            <w:sz w:val="20"/>
            <w:szCs w:val="20"/>
            <w:u w:val="single"/>
          </w:rPr>
          <w:t>study</w:t>
        </w:r>
      </w:hyperlink>
      <w:r>
        <w:rPr>
          <w:rFonts w:ascii="Inter" w:eastAsia="Inter" w:hAnsi="Inter" w:cs="Inter"/>
          <w:sz w:val="20"/>
          <w:szCs w:val="20"/>
        </w:rPr>
        <w:t xml:space="preserve"> by I</w:t>
      </w:r>
      <w:r>
        <w:rPr>
          <w:rFonts w:ascii="Inter" w:eastAsia="Inter" w:hAnsi="Inter" w:cs="Inter"/>
          <w:sz w:val="20"/>
          <w:szCs w:val="20"/>
        </w:rPr>
        <w:t xml:space="preserve">nstitute for Sustainable Finance highlights the incomplete state of the current climate-related risk disclosures by Canadian companies, which, the study suggests, “impedes the ability of financial institutions to properly price the opportunities and risks </w:t>
      </w:r>
      <w:r>
        <w:rPr>
          <w:rFonts w:ascii="Inter" w:eastAsia="Inter" w:hAnsi="Inter" w:cs="Inter"/>
          <w:sz w:val="20"/>
          <w:szCs w:val="20"/>
        </w:rPr>
        <w:t>associated with climate change [and] presents significant consequences for Canadian competitiveness, the functioning of Canadian markets, and the fight against climate change.”</w:t>
      </w:r>
    </w:p>
    <w:p w14:paraId="49FCD58C" w14:textId="77777777" w:rsidR="00CF3455" w:rsidRDefault="00CF3455">
      <w:pPr>
        <w:jc w:val="both"/>
        <w:rPr>
          <w:rFonts w:ascii="Inter" w:eastAsia="Inter" w:hAnsi="Inter" w:cs="Inter"/>
          <w:sz w:val="20"/>
          <w:szCs w:val="20"/>
        </w:rPr>
      </w:pPr>
    </w:p>
    <w:p w14:paraId="03992BD0" w14:textId="77777777" w:rsidR="00CF3455" w:rsidRDefault="0035198B">
      <w:pPr>
        <w:jc w:val="both"/>
        <w:rPr>
          <w:rFonts w:ascii="Inter" w:eastAsia="Inter" w:hAnsi="Inter" w:cs="Inter"/>
          <w:sz w:val="20"/>
          <w:szCs w:val="20"/>
        </w:rPr>
      </w:pPr>
      <w:r>
        <w:rPr>
          <w:rFonts w:ascii="Inter" w:eastAsia="Inter" w:hAnsi="Inter" w:cs="Inter"/>
          <w:sz w:val="20"/>
          <w:szCs w:val="20"/>
        </w:rPr>
        <w:t>The new Carbon Transparency Hub addresses a few key areas of improvement as su</w:t>
      </w:r>
      <w:r>
        <w:rPr>
          <w:rFonts w:ascii="Inter" w:eastAsia="Inter" w:hAnsi="Inter" w:cs="Inter"/>
          <w:sz w:val="20"/>
          <w:szCs w:val="20"/>
        </w:rPr>
        <w:t xml:space="preserve">ggested by the </w:t>
      </w:r>
      <w:proofErr w:type="spellStart"/>
      <w:r>
        <w:rPr>
          <w:rFonts w:ascii="Inter" w:eastAsia="Inter" w:hAnsi="Inter" w:cs="Inter"/>
          <w:sz w:val="20"/>
          <w:szCs w:val="20"/>
        </w:rPr>
        <w:t>Institut</w:t>
      </w:r>
      <w:proofErr w:type="spellEnd"/>
      <w:r>
        <w:rPr>
          <w:rFonts w:ascii="Inter" w:eastAsia="Inter" w:hAnsi="Inter" w:cs="Inter"/>
          <w:sz w:val="20"/>
          <w:szCs w:val="20"/>
        </w:rPr>
        <w:t xml:space="preserve"> for Sustainable Finance, specifically the new feature allows customers to improve the </w:t>
      </w:r>
      <w:r>
        <w:rPr>
          <w:rFonts w:ascii="Inter" w:eastAsia="Inter" w:hAnsi="Inter" w:cs="Inter"/>
          <w:i/>
          <w:sz w:val="20"/>
          <w:szCs w:val="20"/>
        </w:rPr>
        <w:t>breadth</w:t>
      </w:r>
      <w:r>
        <w:rPr>
          <w:rFonts w:ascii="Inter" w:eastAsia="Inter" w:hAnsi="Inter" w:cs="Inter"/>
          <w:sz w:val="20"/>
          <w:szCs w:val="20"/>
        </w:rPr>
        <w:t xml:space="preserve"> and </w:t>
      </w:r>
      <w:r>
        <w:rPr>
          <w:rFonts w:ascii="Inter" w:eastAsia="Inter" w:hAnsi="Inter" w:cs="Inter"/>
          <w:i/>
          <w:sz w:val="20"/>
          <w:szCs w:val="20"/>
        </w:rPr>
        <w:t>accessibility</w:t>
      </w:r>
      <w:r>
        <w:rPr>
          <w:rFonts w:ascii="Inter" w:eastAsia="Inter" w:hAnsi="Inter" w:cs="Inter"/>
          <w:sz w:val="20"/>
          <w:szCs w:val="20"/>
        </w:rPr>
        <w:t xml:space="preserve"> of their climate impact reporting. </w:t>
      </w:r>
      <w:proofErr w:type="spellStart"/>
      <w:r>
        <w:rPr>
          <w:rFonts w:ascii="Inter" w:eastAsia="Inter" w:hAnsi="Inter" w:cs="Inter"/>
          <w:sz w:val="20"/>
          <w:szCs w:val="20"/>
        </w:rPr>
        <w:t>ShiftCarbon</w:t>
      </w:r>
      <w:proofErr w:type="spellEnd"/>
      <w:r>
        <w:rPr>
          <w:rFonts w:ascii="Inter" w:eastAsia="Inter" w:hAnsi="Inter" w:cs="Inter"/>
          <w:sz w:val="20"/>
          <w:szCs w:val="20"/>
        </w:rPr>
        <w:t xml:space="preserve"> Measure already guides customers through the steps necessary to conform with the global climate </w:t>
      </w:r>
      <w:r>
        <w:rPr>
          <w:rFonts w:ascii="Inter" w:eastAsia="Inter" w:hAnsi="Inter" w:cs="Inter"/>
          <w:i/>
          <w:sz w:val="20"/>
          <w:szCs w:val="20"/>
        </w:rPr>
        <w:t>reporting</w:t>
      </w:r>
      <w:r>
        <w:rPr>
          <w:rFonts w:ascii="Inter" w:eastAsia="Inter" w:hAnsi="Inter" w:cs="Inter"/>
          <w:sz w:val="20"/>
          <w:szCs w:val="20"/>
        </w:rPr>
        <w:t xml:space="preserve"> frameworks, while </w:t>
      </w:r>
      <w:proofErr w:type="spellStart"/>
      <w:r>
        <w:rPr>
          <w:rFonts w:ascii="Inter" w:eastAsia="Inter" w:hAnsi="Inter" w:cs="Inter"/>
          <w:sz w:val="20"/>
          <w:szCs w:val="20"/>
        </w:rPr>
        <w:t>ShiftCarbon</w:t>
      </w:r>
      <w:proofErr w:type="spellEnd"/>
      <w:r>
        <w:rPr>
          <w:rFonts w:ascii="Inter" w:eastAsia="Inter" w:hAnsi="Inter" w:cs="Inter"/>
          <w:sz w:val="20"/>
          <w:szCs w:val="20"/>
        </w:rPr>
        <w:t xml:space="preserve"> Offset directly addresses the </w:t>
      </w:r>
      <w:r>
        <w:rPr>
          <w:rFonts w:ascii="Inter" w:eastAsia="Inter" w:hAnsi="Inter" w:cs="Inter"/>
          <w:i/>
          <w:sz w:val="20"/>
          <w:szCs w:val="20"/>
        </w:rPr>
        <w:t>quality</w:t>
      </w:r>
      <w:r>
        <w:rPr>
          <w:rFonts w:ascii="Inter" w:eastAsia="Inter" w:hAnsi="Inter" w:cs="Inter"/>
          <w:sz w:val="20"/>
          <w:szCs w:val="20"/>
        </w:rPr>
        <w:t xml:space="preserve"> concerns when it comes to carbon c</w:t>
      </w:r>
      <w:r>
        <w:rPr>
          <w:rFonts w:ascii="Inter" w:eastAsia="Inter" w:hAnsi="Inter" w:cs="Inter"/>
          <w:sz w:val="20"/>
          <w:szCs w:val="20"/>
        </w:rPr>
        <w:t xml:space="preserve">redit verifiability and authenticity. Existing </w:t>
      </w:r>
      <w:proofErr w:type="spellStart"/>
      <w:r>
        <w:rPr>
          <w:rFonts w:ascii="Inter" w:eastAsia="Inter" w:hAnsi="Inter" w:cs="Inter"/>
          <w:sz w:val="20"/>
          <w:szCs w:val="20"/>
        </w:rPr>
        <w:t>ShiftCarbon</w:t>
      </w:r>
      <w:proofErr w:type="spellEnd"/>
      <w:r>
        <w:rPr>
          <w:rFonts w:ascii="Inter" w:eastAsia="Inter" w:hAnsi="Inter" w:cs="Inter"/>
          <w:sz w:val="20"/>
          <w:szCs w:val="20"/>
        </w:rPr>
        <w:t xml:space="preserve"> users can try the new feature by logging into their </w:t>
      </w:r>
      <w:proofErr w:type="spellStart"/>
      <w:r>
        <w:rPr>
          <w:rFonts w:ascii="Inter" w:eastAsia="Inter" w:hAnsi="Inter" w:cs="Inter"/>
          <w:sz w:val="20"/>
          <w:szCs w:val="20"/>
        </w:rPr>
        <w:t>ShiftCarbon</w:t>
      </w:r>
      <w:proofErr w:type="spellEnd"/>
      <w:r>
        <w:rPr>
          <w:rFonts w:ascii="Inter" w:eastAsia="Inter" w:hAnsi="Inter" w:cs="Inter"/>
          <w:sz w:val="20"/>
          <w:szCs w:val="20"/>
        </w:rPr>
        <w:t xml:space="preserve"> Offset portal.</w:t>
      </w:r>
    </w:p>
    <w:p w14:paraId="263276C6" w14:textId="77777777" w:rsidR="00CF3455" w:rsidRDefault="00CF3455">
      <w:pPr>
        <w:jc w:val="both"/>
        <w:rPr>
          <w:rFonts w:ascii="Inter" w:eastAsia="Inter" w:hAnsi="Inter" w:cs="Inter"/>
          <w:sz w:val="20"/>
          <w:szCs w:val="20"/>
        </w:rPr>
      </w:pPr>
    </w:p>
    <w:p w14:paraId="790343D9" w14:textId="77777777" w:rsidR="00CF3455" w:rsidRDefault="0035198B">
      <w:pPr>
        <w:spacing w:line="312" w:lineRule="auto"/>
        <w:jc w:val="both"/>
        <w:rPr>
          <w:rFonts w:ascii="Inter" w:eastAsia="Inter" w:hAnsi="Inter" w:cs="Inter"/>
          <w:sz w:val="20"/>
          <w:szCs w:val="20"/>
        </w:rPr>
      </w:pPr>
      <w:r>
        <w:rPr>
          <w:rFonts w:ascii="Inter" w:eastAsia="Inter" w:hAnsi="Inter" w:cs="Inter"/>
          <w:b/>
          <w:sz w:val="20"/>
          <w:szCs w:val="20"/>
        </w:rPr>
        <w:t xml:space="preserve">About </w:t>
      </w:r>
      <w:proofErr w:type="spellStart"/>
      <w:r>
        <w:rPr>
          <w:rFonts w:ascii="Inter" w:eastAsia="Inter" w:hAnsi="Inter" w:cs="Inter"/>
          <w:b/>
          <w:sz w:val="20"/>
          <w:szCs w:val="20"/>
        </w:rPr>
        <w:t>ShiftCarbon</w:t>
      </w:r>
      <w:proofErr w:type="spellEnd"/>
      <w:r>
        <w:rPr>
          <w:rFonts w:ascii="Inter" w:eastAsia="Inter" w:hAnsi="Inter" w:cs="Inter"/>
          <w:b/>
          <w:sz w:val="20"/>
          <w:szCs w:val="20"/>
        </w:rPr>
        <w:t xml:space="preserve"> </w:t>
      </w:r>
    </w:p>
    <w:p w14:paraId="0D4EC556" w14:textId="77777777" w:rsidR="00CF3455" w:rsidRDefault="0035198B">
      <w:pPr>
        <w:jc w:val="both"/>
        <w:rPr>
          <w:rFonts w:ascii="Inter" w:eastAsia="Inter" w:hAnsi="Inter" w:cs="Inter"/>
          <w:sz w:val="20"/>
          <w:szCs w:val="20"/>
        </w:rPr>
      </w:pPr>
      <w:proofErr w:type="spellStart"/>
      <w:r>
        <w:rPr>
          <w:rFonts w:ascii="Inter" w:eastAsia="Inter" w:hAnsi="Inter" w:cs="Inter"/>
          <w:sz w:val="20"/>
          <w:szCs w:val="20"/>
        </w:rPr>
        <w:t>Shiftcarbon</w:t>
      </w:r>
      <w:proofErr w:type="spellEnd"/>
      <w:r>
        <w:rPr>
          <w:rFonts w:ascii="Inter" w:eastAsia="Inter" w:hAnsi="Inter" w:cs="Inter"/>
          <w:sz w:val="20"/>
          <w:szCs w:val="20"/>
        </w:rPr>
        <w:t xml:space="preserve"> provides an innovative platform for carbon accounting, offsets, and MRV (Measurement, </w:t>
      </w:r>
      <w:r>
        <w:rPr>
          <w:rFonts w:ascii="Inter" w:eastAsia="Inter" w:hAnsi="Inter" w:cs="Inter"/>
          <w:sz w:val="20"/>
          <w:szCs w:val="20"/>
        </w:rPr>
        <w:t xml:space="preserve">Reporting and Verification) automation. Businesses can use </w:t>
      </w:r>
      <w:proofErr w:type="spellStart"/>
      <w:r>
        <w:rPr>
          <w:rFonts w:ascii="Inter" w:eastAsia="Inter" w:hAnsi="Inter" w:cs="Inter"/>
          <w:sz w:val="20"/>
          <w:szCs w:val="20"/>
        </w:rPr>
        <w:t>Shiftcarbon</w:t>
      </w:r>
      <w:proofErr w:type="spellEnd"/>
      <w:r>
        <w:rPr>
          <w:rFonts w:ascii="Inter" w:eastAsia="Inter" w:hAnsi="Inter" w:cs="Inter"/>
          <w:sz w:val="20"/>
          <w:szCs w:val="20"/>
        </w:rPr>
        <w:t xml:space="preserve"> Measure to view a complete picture of their carbon emissions, without the need to hire external consultants or use manual calculations. </w:t>
      </w:r>
      <w:proofErr w:type="spellStart"/>
      <w:r>
        <w:rPr>
          <w:rFonts w:ascii="Inter" w:eastAsia="Inter" w:hAnsi="Inter" w:cs="Inter"/>
          <w:sz w:val="20"/>
          <w:szCs w:val="20"/>
        </w:rPr>
        <w:t>Shiftcarbon</w:t>
      </w:r>
      <w:proofErr w:type="spellEnd"/>
      <w:r>
        <w:rPr>
          <w:rFonts w:ascii="Inter" w:eastAsia="Inter" w:hAnsi="Inter" w:cs="Inter"/>
          <w:sz w:val="20"/>
          <w:szCs w:val="20"/>
        </w:rPr>
        <w:t xml:space="preserve"> Offset provides enterprises with powe</w:t>
      </w:r>
      <w:r>
        <w:rPr>
          <w:rFonts w:ascii="Inter" w:eastAsia="Inter" w:hAnsi="Inter" w:cs="Inter"/>
          <w:sz w:val="20"/>
          <w:szCs w:val="20"/>
        </w:rPr>
        <w:t xml:space="preserve">rful APIs that allow customers to embed carbon offsets into their business. Find more details on </w:t>
      </w:r>
      <w:hyperlink r:id="rId10">
        <w:r>
          <w:rPr>
            <w:rFonts w:ascii="Inter" w:eastAsia="Inter" w:hAnsi="Inter" w:cs="Inter"/>
            <w:color w:val="1155CC"/>
            <w:sz w:val="20"/>
            <w:szCs w:val="20"/>
            <w:u w:val="single"/>
          </w:rPr>
          <w:t>www.shiftcarbon.io</w:t>
        </w:r>
      </w:hyperlink>
      <w:r>
        <w:rPr>
          <w:rFonts w:ascii="Inter" w:eastAsia="Inter" w:hAnsi="Inter" w:cs="Inter"/>
          <w:sz w:val="20"/>
          <w:szCs w:val="20"/>
        </w:rPr>
        <w:t>.</w:t>
      </w:r>
    </w:p>
    <w:p w14:paraId="21F51E21" w14:textId="77777777" w:rsidR="00CF3455" w:rsidRDefault="00CF3455">
      <w:pPr>
        <w:jc w:val="both"/>
        <w:rPr>
          <w:rFonts w:ascii="Inter" w:eastAsia="Inter" w:hAnsi="Inter" w:cs="Inter"/>
          <w:sz w:val="20"/>
          <w:szCs w:val="20"/>
        </w:rPr>
      </w:pPr>
    </w:p>
    <w:p w14:paraId="5391A012" w14:textId="77777777" w:rsidR="00CF3455" w:rsidRDefault="0035198B">
      <w:pPr>
        <w:jc w:val="both"/>
        <w:rPr>
          <w:rFonts w:ascii="Inter" w:eastAsia="Inter" w:hAnsi="Inter" w:cs="Inter"/>
          <w:sz w:val="20"/>
          <w:szCs w:val="20"/>
        </w:rPr>
      </w:pPr>
      <w:proofErr w:type="spellStart"/>
      <w:r>
        <w:rPr>
          <w:rFonts w:ascii="Inter" w:eastAsia="Inter" w:hAnsi="Inter" w:cs="Inter"/>
          <w:sz w:val="20"/>
          <w:szCs w:val="20"/>
        </w:rPr>
        <w:t>ShiftCarbon</w:t>
      </w:r>
      <w:proofErr w:type="spellEnd"/>
      <w:r>
        <w:rPr>
          <w:rFonts w:ascii="Inter" w:eastAsia="Inter" w:hAnsi="Inter" w:cs="Inter"/>
          <w:sz w:val="20"/>
          <w:szCs w:val="20"/>
        </w:rPr>
        <w:t xml:space="preserve"> also operates </w:t>
      </w:r>
      <w:proofErr w:type="spellStart"/>
      <w:r>
        <w:rPr>
          <w:rFonts w:ascii="Inter" w:eastAsia="Inter" w:hAnsi="Inter" w:cs="Inter"/>
          <w:sz w:val="20"/>
          <w:szCs w:val="20"/>
        </w:rPr>
        <w:t>TraceSafe</w:t>
      </w:r>
      <w:proofErr w:type="spellEnd"/>
      <w:r>
        <w:rPr>
          <w:rFonts w:ascii="Inter" w:eastAsia="Inter" w:hAnsi="Inter" w:cs="Inter"/>
          <w:sz w:val="20"/>
          <w:szCs w:val="20"/>
        </w:rPr>
        <w:t>, a leading IoT cloud pla</w:t>
      </w:r>
      <w:r>
        <w:rPr>
          <w:rFonts w:ascii="Inter" w:eastAsia="Inter" w:hAnsi="Inter" w:cs="Inter"/>
          <w:sz w:val="20"/>
          <w:szCs w:val="20"/>
        </w:rPr>
        <w:t xml:space="preserve">tform. The solution uses sensor technology to deliver precise and timely information, powering safer and smarter enterprise </w:t>
      </w:r>
      <w:r>
        <w:rPr>
          <w:rFonts w:ascii="Inter" w:eastAsia="Inter" w:hAnsi="Inter" w:cs="Inter"/>
          <w:sz w:val="20"/>
          <w:szCs w:val="20"/>
        </w:rPr>
        <w:lastRenderedPageBreak/>
        <w:t xml:space="preserve">environments. With a presence across North America, </w:t>
      </w:r>
      <w:proofErr w:type="gramStart"/>
      <w:r>
        <w:rPr>
          <w:rFonts w:ascii="Inter" w:eastAsia="Inter" w:hAnsi="Inter" w:cs="Inter"/>
          <w:sz w:val="20"/>
          <w:szCs w:val="20"/>
        </w:rPr>
        <w:t>Asia</w:t>
      </w:r>
      <w:proofErr w:type="gramEnd"/>
      <w:r>
        <w:rPr>
          <w:rFonts w:ascii="Inter" w:eastAsia="Inter" w:hAnsi="Inter" w:cs="Inter"/>
          <w:sz w:val="20"/>
          <w:szCs w:val="20"/>
        </w:rPr>
        <w:t xml:space="preserve"> and Europe, </w:t>
      </w:r>
      <w:proofErr w:type="spellStart"/>
      <w:r>
        <w:rPr>
          <w:rFonts w:ascii="Inter" w:eastAsia="Inter" w:hAnsi="Inter" w:cs="Inter"/>
          <w:sz w:val="20"/>
          <w:szCs w:val="20"/>
        </w:rPr>
        <w:t>TraceSafe</w:t>
      </w:r>
      <w:proofErr w:type="spellEnd"/>
      <w:r>
        <w:rPr>
          <w:rFonts w:ascii="Inter" w:eastAsia="Inter" w:hAnsi="Inter" w:cs="Inter"/>
          <w:sz w:val="20"/>
          <w:szCs w:val="20"/>
        </w:rPr>
        <w:t xml:space="preserve"> is trusted by leading organizations in healthcare, ho</w:t>
      </w:r>
      <w:r>
        <w:rPr>
          <w:rFonts w:ascii="Inter" w:eastAsia="Inter" w:hAnsi="Inter" w:cs="Inter"/>
          <w:sz w:val="20"/>
          <w:szCs w:val="20"/>
        </w:rPr>
        <w:t xml:space="preserve">spitality, construction, events, education, and government. Find more details on </w:t>
      </w:r>
      <w:hyperlink r:id="rId11">
        <w:r>
          <w:rPr>
            <w:rFonts w:ascii="Inter" w:eastAsia="Inter" w:hAnsi="Inter" w:cs="Inter"/>
            <w:color w:val="1155CC"/>
            <w:sz w:val="20"/>
            <w:szCs w:val="20"/>
            <w:u w:val="single"/>
          </w:rPr>
          <w:t>www.tracesafe.io</w:t>
        </w:r>
      </w:hyperlink>
      <w:r>
        <w:rPr>
          <w:rFonts w:ascii="Inter" w:eastAsia="Inter" w:hAnsi="Inter" w:cs="Inter"/>
          <w:sz w:val="20"/>
          <w:szCs w:val="20"/>
        </w:rPr>
        <w:t>.</w:t>
      </w:r>
    </w:p>
    <w:p w14:paraId="14B6A257" w14:textId="77777777" w:rsidR="00CF3455" w:rsidRDefault="00CF3455">
      <w:pPr>
        <w:jc w:val="both"/>
        <w:rPr>
          <w:rFonts w:ascii="Inter" w:eastAsia="Inter" w:hAnsi="Inter" w:cs="Inter"/>
          <w:sz w:val="20"/>
          <w:szCs w:val="20"/>
        </w:rPr>
      </w:pPr>
    </w:p>
    <w:p w14:paraId="3D7EA83E" w14:textId="77777777" w:rsidR="00CF3455" w:rsidRDefault="0035198B">
      <w:pPr>
        <w:spacing w:line="312" w:lineRule="auto"/>
        <w:jc w:val="both"/>
        <w:rPr>
          <w:rFonts w:ascii="Inter" w:eastAsia="Inter" w:hAnsi="Inter" w:cs="Inter"/>
          <w:sz w:val="20"/>
          <w:szCs w:val="20"/>
        </w:rPr>
      </w:pPr>
      <w:r>
        <w:rPr>
          <w:rFonts w:ascii="Inter" w:eastAsia="Inter" w:hAnsi="Inter" w:cs="Inter"/>
          <w:b/>
          <w:sz w:val="20"/>
          <w:szCs w:val="20"/>
        </w:rPr>
        <w:t>For further information, please contact:</w:t>
      </w:r>
    </w:p>
    <w:tbl>
      <w:tblPr>
        <w:tblStyle w:val="a"/>
        <w:tblW w:w="8670" w:type="dxa"/>
        <w:tblBorders>
          <w:top w:val="nil"/>
          <w:left w:val="nil"/>
          <w:bottom w:val="nil"/>
          <w:right w:val="nil"/>
          <w:insideH w:val="nil"/>
          <w:insideV w:val="nil"/>
        </w:tblBorders>
        <w:tblLayout w:type="fixed"/>
        <w:tblLook w:val="0600" w:firstRow="0" w:lastRow="0" w:firstColumn="0" w:lastColumn="0" w:noHBand="1" w:noVBand="1"/>
      </w:tblPr>
      <w:tblGrid>
        <w:gridCol w:w="2745"/>
        <w:gridCol w:w="435"/>
        <w:gridCol w:w="2745"/>
        <w:gridCol w:w="2745"/>
      </w:tblGrid>
      <w:tr w:rsidR="00CF3455" w14:paraId="6CE77ACC" w14:textId="77777777">
        <w:trPr>
          <w:trHeight w:val="965"/>
        </w:trPr>
        <w:tc>
          <w:tcPr>
            <w:tcW w:w="2745" w:type="dxa"/>
            <w:tcBorders>
              <w:top w:val="nil"/>
              <w:left w:val="nil"/>
              <w:bottom w:val="nil"/>
              <w:right w:val="nil"/>
            </w:tcBorders>
            <w:tcMar>
              <w:top w:w="100" w:type="dxa"/>
              <w:left w:w="100" w:type="dxa"/>
              <w:bottom w:w="100" w:type="dxa"/>
              <w:right w:w="100" w:type="dxa"/>
            </w:tcMar>
          </w:tcPr>
          <w:p w14:paraId="3F0914AF" w14:textId="77777777" w:rsidR="00CF3455" w:rsidRDefault="0035198B">
            <w:pPr>
              <w:spacing w:line="312" w:lineRule="auto"/>
              <w:jc w:val="both"/>
              <w:rPr>
                <w:rFonts w:ascii="Inter" w:eastAsia="Inter" w:hAnsi="Inter" w:cs="Inter"/>
                <w:sz w:val="20"/>
                <w:szCs w:val="20"/>
              </w:rPr>
            </w:pPr>
            <w:r>
              <w:rPr>
                <w:rFonts w:ascii="Inter" w:eastAsia="Inter" w:hAnsi="Inter" w:cs="Inter"/>
                <w:sz w:val="20"/>
                <w:szCs w:val="20"/>
              </w:rPr>
              <w:t>Wayne Lloyd, CEO</w:t>
            </w:r>
          </w:p>
          <w:p w14:paraId="5A6B6653" w14:textId="77777777" w:rsidR="00CF3455" w:rsidRDefault="0035198B">
            <w:pPr>
              <w:spacing w:line="312" w:lineRule="auto"/>
              <w:jc w:val="both"/>
              <w:rPr>
                <w:rFonts w:ascii="Inter" w:eastAsia="Inter" w:hAnsi="Inter" w:cs="Inter"/>
                <w:sz w:val="20"/>
                <w:szCs w:val="20"/>
              </w:rPr>
            </w:pPr>
            <w:r>
              <w:rPr>
                <w:rFonts w:ascii="Inter" w:eastAsia="Inter" w:hAnsi="Inter" w:cs="Inter"/>
                <w:sz w:val="20"/>
                <w:szCs w:val="20"/>
              </w:rPr>
              <w:t>+1 (604) 629-9975</w:t>
            </w:r>
          </w:p>
          <w:p w14:paraId="65415571" w14:textId="77777777" w:rsidR="00CF3455" w:rsidRDefault="0035198B">
            <w:pPr>
              <w:spacing w:line="312" w:lineRule="auto"/>
              <w:jc w:val="both"/>
              <w:rPr>
                <w:rFonts w:ascii="Inter" w:eastAsia="Inter" w:hAnsi="Inter" w:cs="Inter"/>
                <w:color w:val="1155CC"/>
                <w:sz w:val="20"/>
                <w:szCs w:val="20"/>
              </w:rPr>
            </w:pPr>
            <w:r>
              <w:rPr>
                <w:rFonts w:ascii="Inter" w:eastAsia="Inter" w:hAnsi="Inter" w:cs="Inter"/>
                <w:color w:val="1155CC"/>
                <w:sz w:val="20"/>
                <w:szCs w:val="20"/>
              </w:rPr>
              <w:t>wayn</w:t>
            </w:r>
            <w:r>
              <w:rPr>
                <w:rFonts w:ascii="Inter" w:eastAsia="Inter" w:hAnsi="Inter" w:cs="Inter"/>
                <w:color w:val="1155CC"/>
                <w:sz w:val="20"/>
                <w:szCs w:val="20"/>
              </w:rPr>
              <w:t>e@shiftcarbon.io</w:t>
            </w:r>
          </w:p>
        </w:tc>
        <w:tc>
          <w:tcPr>
            <w:tcW w:w="435" w:type="dxa"/>
            <w:tcBorders>
              <w:top w:val="nil"/>
              <w:left w:val="nil"/>
              <w:bottom w:val="nil"/>
              <w:right w:val="nil"/>
            </w:tcBorders>
            <w:tcMar>
              <w:top w:w="100" w:type="dxa"/>
              <w:left w:w="100" w:type="dxa"/>
              <w:bottom w:w="100" w:type="dxa"/>
              <w:right w:w="100" w:type="dxa"/>
            </w:tcMar>
          </w:tcPr>
          <w:p w14:paraId="1677C158" w14:textId="77777777" w:rsidR="00CF3455" w:rsidRDefault="0035198B">
            <w:pPr>
              <w:spacing w:line="312" w:lineRule="auto"/>
              <w:jc w:val="both"/>
              <w:rPr>
                <w:rFonts w:ascii="Inter" w:eastAsia="Inter" w:hAnsi="Inter" w:cs="Inter"/>
                <w:sz w:val="20"/>
                <w:szCs w:val="20"/>
              </w:rPr>
            </w:pPr>
            <w:r>
              <w:rPr>
                <w:rFonts w:ascii="Inter" w:eastAsia="Inter" w:hAnsi="Inter" w:cs="Inter"/>
                <w:sz w:val="20"/>
                <w:szCs w:val="20"/>
              </w:rPr>
              <w:t xml:space="preserve"> </w:t>
            </w:r>
          </w:p>
        </w:tc>
        <w:tc>
          <w:tcPr>
            <w:tcW w:w="2745" w:type="dxa"/>
            <w:tcBorders>
              <w:top w:val="nil"/>
              <w:left w:val="nil"/>
              <w:bottom w:val="nil"/>
              <w:right w:val="nil"/>
            </w:tcBorders>
            <w:tcMar>
              <w:top w:w="100" w:type="dxa"/>
              <w:left w:w="100" w:type="dxa"/>
              <w:bottom w:w="100" w:type="dxa"/>
              <w:right w:w="100" w:type="dxa"/>
            </w:tcMar>
          </w:tcPr>
          <w:p w14:paraId="0B411906" w14:textId="77777777" w:rsidR="00CF3455" w:rsidRDefault="0035198B">
            <w:pPr>
              <w:spacing w:line="312" w:lineRule="auto"/>
              <w:jc w:val="both"/>
              <w:rPr>
                <w:rFonts w:ascii="Inter" w:eastAsia="Inter" w:hAnsi="Inter" w:cs="Inter"/>
                <w:sz w:val="20"/>
                <w:szCs w:val="20"/>
              </w:rPr>
            </w:pPr>
            <w:r>
              <w:rPr>
                <w:rFonts w:ascii="Inter" w:eastAsia="Inter" w:hAnsi="Inter" w:cs="Inter"/>
                <w:sz w:val="20"/>
                <w:szCs w:val="20"/>
              </w:rPr>
              <w:t>Mark Leung, CFO</w:t>
            </w:r>
          </w:p>
          <w:p w14:paraId="5B69BCAA" w14:textId="77777777" w:rsidR="00CF3455" w:rsidRDefault="0035198B">
            <w:pPr>
              <w:spacing w:line="312" w:lineRule="auto"/>
              <w:jc w:val="both"/>
              <w:rPr>
                <w:rFonts w:ascii="Inter" w:eastAsia="Inter" w:hAnsi="Inter" w:cs="Inter"/>
                <w:sz w:val="20"/>
                <w:szCs w:val="20"/>
              </w:rPr>
            </w:pPr>
            <w:r>
              <w:rPr>
                <w:rFonts w:ascii="Inter" w:eastAsia="Inter" w:hAnsi="Inter" w:cs="Inter"/>
                <w:sz w:val="20"/>
                <w:szCs w:val="20"/>
              </w:rPr>
              <w:t>+1 (778) 655-4242</w:t>
            </w:r>
          </w:p>
          <w:p w14:paraId="0277BC86" w14:textId="77777777" w:rsidR="00CF3455" w:rsidRDefault="0035198B">
            <w:pPr>
              <w:spacing w:line="312" w:lineRule="auto"/>
              <w:jc w:val="both"/>
              <w:rPr>
                <w:rFonts w:ascii="Inter" w:eastAsia="Inter" w:hAnsi="Inter" w:cs="Inter"/>
                <w:color w:val="1155CC"/>
                <w:sz w:val="20"/>
                <w:szCs w:val="20"/>
              </w:rPr>
            </w:pPr>
            <w:r>
              <w:rPr>
                <w:rFonts w:ascii="Inter" w:eastAsia="Inter" w:hAnsi="Inter" w:cs="Inter"/>
                <w:color w:val="1155CC"/>
                <w:sz w:val="20"/>
                <w:szCs w:val="20"/>
              </w:rPr>
              <w:t>mark@shiftcarbon.io</w:t>
            </w:r>
          </w:p>
        </w:tc>
        <w:tc>
          <w:tcPr>
            <w:tcW w:w="2745" w:type="dxa"/>
            <w:tcBorders>
              <w:top w:val="nil"/>
              <w:left w:val="nil"/>
              <w:bottom w:val="nil"/>
              <w:right w:val="nil"/>
            </w:tcBorders>
            <w:tcMar>
              <w:top w:w="100" w:type="dxa"/>
              <w:left w:w="100" w:type="dxa"/>
              <w:bottom w:w="100" w:type="dxa"/>
              <w:right w:w="100" w:type="dxa"/>
            </w:tcMar>
          </w:tcPr>
          <w:p w14:paraId="46881056" w14:textId="77777777" w:rsidR="00CF3455" w:rsidRDefault="0035198B">
            <w:pPr>
              <w:spacing w:line="312" w:lineRule="auto"/>
              <w:jc w:val="both"/>
              <w:rPr>
                <w:rFonts w:ascii="Inter" w:eastAsia="Inter" w:hAnsi="Inter" w:cs="Inter"/>
                <w:sz w:val="20"/>
                <w:szCs w:val="20"/>
                <w:u w:val="single"/>
              </w:rPr>
            </w:pPr>
            <w:r>
              <w:rPr>
                <w:rFonts w:ascii="Inter" w:eastAsia="Inter" w:hAnsi="Inter" w:cs="Inter"/>
                <w:sz w:val="20"/>
                <w:szCs w:val="20"/>
                <w:u w:val="single"/>
              </w:rPr>
              <w:t xml:space="preserve"> </w:t>
            </w:r>
          </w:p>
        </w:tc>
      </w:tr>
    </w:tbl>
    <w:p w14:paraId="075EE6DD" w14:textId="77777777" w:rsidR="00CF3455" w:rsidRDefault="0035198B">
      <w:pPr>
        <w:spacing w:line="312" w:lineRule="auto"/>
        <w:jc w:val="both"/>
        <w:rPr>
          <w:rFonts w:ascii="Inter" w:eastAsia="Inter" w:hAnsi="Inter" w:cs="Inter"/>
          <w:sz w:val="20"/>
          <w:szCs w:val="20"/>
        </w:rPr>
      </w:pPr>
      <w:r>
        <w:rPr>
          <w:rFonts w:ascii="Inter" w:eastAsia="Inter" w:hAnsi="Inter" w:cs="Inter"/>
          <w:sz w:val="20"/>
          <w:szCs w:val="20"/>
        </w:rPr>
        <w:t xml:space="preserve"> </w:t>
      </w:r>
    </w:p>
    <w:p w14:paraId="5ECB5E69" w14:textId="77777777" w:rsidR="00CF3455" w:rsidRDefault="0035198B">
      <w:pPr>
        <w:spacing w:line="312" w:lineRule="auto"/>
        <w:jc w:val="both"/>
        <w:rPr>
          <w:rFonts w:ascii="Inter" w:eastAsia="Inter" w:hAnsi="Inter" w:cs="Inter"/>
          <w:sz w:val="14"/>
          <w:szCs w:val="14"/>
        </w:rPr>
      </w:pPr>
      <w:r>
        <w:rPr>
          <w:rFonts w:ascii="Inter" w:eastAsia="Inter" w:hAnsi="Inter" w:cs="Inter"/>
          <w:sz w:val="14"/>
          <w:szCs w:val="14"/>
        </w:rPr>
        <w:t>The Canadian Securities Exchange has in no way approved or disapproved the contents of this news release.</w:t>
      </w:r>
    </w:p>
    <w:p w14:paraId="3AF1CFD7" w14:textId="77777777" w:rsidR="00CF3455" w:rsidRDefault="0035198B">
      <w:pPr>
        <w:spacing w:line="312" w:lineRule="auto"/>
        <w:jc w:val="both"/>
        <w:rPr>
          <w:rFonts w:ascii="Inter" w:eastAsia="Inter" w:hAnsi="Inter" w:cs="Inter"/>
          <w:i/>
          <w:sz w:val="20"/>
          <w:szCs w:val="20"/>
          <w:highlight w:val="yellow"/>
        </w:rPr>
      </w:pPr>
      <w:r>
        <w:rPr>
          <w:rFonts w:ascii="Inter" w:eastAsia="Inter" w:hAnsi="Inter" w:cs="Inter"/>
          <w:i/>
          <w:sz w:val="20"/>
          <w:szCs w:val="20"/>
          <w:highlight w:val="yellow"/>
        </w:rPr>
        <w:t xml:space="preserve"> </w:t>
      </w:r>
    </w:p>
    <w:p w14:paraId="69BF41F2" w14:textId="77777777" w:rsidR="00CF3455" w:rsidRDefault="0035198B">
      <w:pPr>
        <w:spacing w:line="312" w:lineRule="auto"/>
        <w:jc w:val="both"/>
        <w:rPr>
          <w:rFonts w:ascii="Inter" w:eastAsia="Inter" w:hAnsi="Inter" w:cs="Inter"/>
          <w:sz w:val="14"/>
          <w:szCs w:val="14"/>
        </w:rPr>
      </w:pPr>
      <w:r>
        <w:rPr>
          <w:rFonts w:ascii="Inter" w:eastAsia="Inter" w:hAnsi="Inter" w:cs="Inter"/>
          <w:sz w:val="14"/>
          <w:szCs w:val="14"/>
        </w:rPr>
        <w:t xml:space="preserve">Statements in this news release may contain forward-looking statements that are based on </w:t>
      </w:r>
      <w:proofErr w:type="spellStart"/>
      <w:r>
        <w:rPr>
          <w:rFonts w:ascii="Inter" w:eastAsia="Inter" w:hAnsi="Inter" w:cs="Inter"/>
          <w:sz w:val="14"/>
          <w:szCs w:val="14"/>
        </w:rPr>
        <w:t>ShiftCarbon’s</w:t>
      </w:r>
      <w:proofErr w:type="spellEnd"/>
      <w:r>
        <w:rPr>
          <w:rFonts w:ascii="Inter" w:eastAsia="Inter" w:hAnsi="Inter" w:cs="Inter"/>
          <w:sz w:val="14"/>
          <w:szCs w:val="14"/>
        </w:rPr>
        <w:t xml:space="preserve"> expectations, estimates and projections regar</w:t>
      </w:r>
      <w:r>
        <w:rPr>
          <w:rFonts w:ascii="Inter" w:eastAsia="Inter" w:hAnsi="Inter" w:cs="Inter"/>
          <w:sz w:val="14"/>
          <w:szCs w:val="14"/>
        </w:rPr>
        <w:t xml:space="preserve">ding its business and the economic environment in which it operates, including with respect to expectations regarding the </w:t>
      </w:r>
      <w:proofErr w:type="spellStart"/>
      <w:r>
        <w:rPr>
          <w:rFonts w:ascii="Inter" w:eastAsia="Inter" w:hAnsi="Inter" w:cs="Inter"/>
          <w:sz w:val="14"/>
          <w:szCs w:val="14"/>
        </w:rPr>
        <w:t>ShiftCarbon</w:t>
      </w:r>
      <w:proofErr w:type="spellEnd"/>
      <w:r>
        <w:rPr>
          <w:rFonts w:ascii="Inter" w:eastAsia="Inter" w:hAnsi="Inter" w:cs="Inter"/>
          <w:sz w:val="14"/>
          <w:szCs w:val="14"/>
        </w:rPr>
        <w:t xml:space="preserve"> assets and their application, future business plans and relationships, future developments in respect of carbon and climat</w:t>
      </w:r>
      <w:r>
        <w:rPr>
          <w:rFonts w:ascii="Inter" w:eastAsia="Inter" w:hAnsi="Inter" w:cs="Inter"/>
          <w:sz w:val="14"/>
          <w:szCs w:val="14"/>
        </w:rPr>
        <w:t xml:space="preserve">e risks and solutions adopted in response to climate change, and the deployment and acceptance of the </w:t>
      </w:r>
      <w:proofErr w:type="spellStart"/>
      <w:r>
        <w:rPr>
          <w:rFonts w:ascii="Inter" w:eastAsia="Inter" w:hAnsi="Inter" w:cs="Inter"/>
          <w:sz w:val="14"/>
          <w:szCs w:val="14"/>
        </w:rPr>
        <w:t>ShiftCarbon</w:t>
      </w:r>
      <w:proofErr w:type="spellEnd"/>
      <w:r>
        <w:rPr>
          <w:rFonts w:ascii="Inter" w:eastAsia="Inter" w:hAnsi="Inter" w:cs="Inter"/>
          <w:sz w:val="14"/>
          <w:szCs w:val="14"/>
        </w:rPr>
        <w:t xml:space="preserve"> technology. Although </w:t>
      </w:r>
      <w:proofErr w:type="spellStart"/>
      <w:r>
        <w:rPr>
          <w:rFonts w:ascii="Inter" w:eastAsia="Inter" w:hAnsi="Inter" w:cs="Inter"/>
          <w:sz w:val="14"/>
          <w:szCs w:val="14"/>
        </w:rPr>
        <w:t>ShiftCarbon</w:t>
      </w:r>
      <w:proofErr w:type="spellEnd"/>
      <w:r>
        <w:rPr>
          <w:rFonts w:ascii="Inter" w:eastAsia="Inter" w:hAnsi="Inter" w:cs="Inter"/>
          <w:sz w:val="14"/>
          <w:szCs w:val="14"/>
        </w:rPr>
        <w:t xml:space="preserve"> believes the expectations expressed in such forward-looking statements are based on reasonable assumptions, s</w:t>
      </w:r>
      <w:r>
        <w:rPr>
          <w:rFonts w:ascii="Inter" w:eastAsia="Inter" w:hAnsi="Inter" w:cs="Inter"/>
          <w:sz w:val="14"/>
          <w:szCs w:val="14"/>
        </w:rPr>
        <w:t>uch statements are not guarantees of future performance and involve risks and uncertainties that are difficult to control or predict, including the suitability of our products to help businesses and governments respond to climate change and impact of carbo</w:t>
      </w:r>
      <w:r>
        <w:rPr>
          <w:rFonts w:ascii="Inter" w:eastAsia="Inter" w:hAnsi="Inter" w:cs="Inter"/>
          <w:sz w:val="14"/>
          <w:szCs w:val="14"/>
        </w:rPr>
        <w:t>n emissions and government responses thereto and general economic and market conditions. Therefore, outcomes and results may differ materially from those expressed in these forward-looking statements and readers should not place undue reliance on such stat</w:t>
      </w:r>
      <w:r>
        <w:rPr>
          <w:rFonts w:ascii="Inter" w:eastAsia="Inter" w:hAnsi="Inter" w:cs="Inter"/>
          <w:sz w:val="14"/>
          <w:szCs w:val="14"/>
        </w:rPr>
        <w:t xml:space="preserve">ements. These forward-looking statements speak only as of the date on which they are made, and </w:t>
      </w:r>
      <w:proofErr w:type="spellStart"/>
      <w:r>
        <w:rPr>
          <w:rFonts w:ascii="Inter" w:eastAsia="Inter" w:hAnsi="Inter" w:cs="Inter"/>
          <w:sz w:val="14"/>
          <w:szCs w:val="14"/>
        </w:rPr>
        <w:t>ShiftCarbon</w:t>
      </w:r>
      <w:proofErr w:type="spellEnd"/>
      <w:r>
        <w:rPr>
          <w:rFonts w:ascii="Inter" w:eastAsia="Inter" w:hAnsi="Inter" w:cs="Inter"/>
          <w:sz w:val="14"/>
          <w:szCs w:val="14"/>
        </w:rPr>
        <w:t xml:space="preserve"> undertakes no obligation to update them publicly to reflect new information or the occurrence of future events or circumstances unless otherwise requ</w:t>
      </w:r>
      <w:r>
        <w:rPr>
          <w:rFonts w:ascii="Inter" w:eastAsia="Inter" w:hAnsi="Inter" w:cs="Inter"/>
          <w:sz w:val="14"/>
          <w:szCs w:val="14"/>
        </w:rPr>
        <w:t xml:space="preserve">ired to do so by law.  </w:t>
      </w:r>
    </w:p>
    <w:p w14:paraId="6951CEC2" w14:textId="77777777" w:rsidR="00CF3455" w:rsidRDefault="00CF3455">
      <w:pPr>
        <w:jc w:val="both"/>
        <w:rPr>
          <w:rFonts w:ascii="Inter" w:eastAsia="Inter" w:hAnsi="Inter" w:cs="Inter"/>
          <w:sz w:val="20"/>
          <w:szCs w:val="20"/>
        </w:rPr>
      </w:pPr>
    </w:p>
    <w:sectPr w:rsidR="00CF345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D5FF" w14:textId="77777777" w:rsidR="00000000" w:rsidRDefault="0035198B">
      <w:pPr>
        <w:spacing w:line="240" w:lineRule="auto"/>
      </w:pPr>
      <w:r>
        <w:separator/>
      </w:r>
    </w:p>
  </w:endnote>
  <w:endnote w:type="continuationSeparator" w:id="0">
    <w:p w14:paraId="3DA396F5" w14:textId="77777777" w:rsidR="00000000" w:rsidRDefault="00351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CD42" w14:textId="77777777" w:rsidR="00000000" w:rsidRDefault="0035198B">
      <w:pPr>
        <w:spacing w:line="240" w:lineRule="auto"/>
      </w:pPr>
      <w:r>
        <w:separator/>
      </w:r>
    </w:p>
  </w:footnote>
  <w:footnote w:type="continuationSeparator" w:id="0">
    <w:p w14:paraId="28574F83" w14:textId="77777777" w:rsidR="00000000" w:rsidRDefault="00351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9C20" w14:textId="77777777" w:rsidR="00CF3455" w:rsidRDefault="0035198B">
    <w:pPr>
      <w:jc w:val="right"/>
      <w:rPr>
        <w:rFonts w:ascii="Inter" w:eastAsia="Inter" w:hAnsi="Inter" w:cs="Inter"/>
        <w:sz w:val="16"/>
        <w:szCs w:val="16"/>
      </w:rPr>
    </w:pPr>
    <w:r>
      <w:rPr>
        <w:rFonts w:ascii="Inter" w:eastAsia="Inter" w:hAnsi="Inter" w:cs="Inter"/>
        <w:sz w:val="16"/>
        <w:szCs w:val="16"/>
      </w:rPr>
      <w:t>shiftcarbon.io</w:t>
    </w:r>
    <w:r>
      <w:rPr>
        <w:noProof/>
      </w:rPr>
      <w:drawing>
        <wp:anchor distT="114300" distB="114300" distL="114300" distR="114300" simplePos="0" relativeHeight="251658240" behindDoc="1" locked="0" layoutInCell="1" hidden="0" allowOverlap="1" wp14:anchorId="4BE03042" wp14:editId="72A82EA3">
          <wp:simplePos x="0" y="0"/>
          <wp:positionH relativeFrom="column">
            <wp:posOffset>1</wp:posOffset>
          </wp:positionH>
          <wp:positionV relativeFrom="paragraph">
            <wp:posOffset>-95249</wp:posOffset>
          </wp:positionV>
          <wp:extent cx="1093839" cy="1905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93839" cy="190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55"/>
    <w:rsid w:val="0035198B"/>
    <w:rsid w:val="00CF3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5FD9"/>
  <w15:docId w15:val="{8340B5C3-5023-4DFA-87F3-7EEFE6FE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acesafe.i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iftcarbon.io/"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tracesafe.io/" TargetMode="External"/><Relationship Id="rId11" Type="http://schemas.openxmlformats.org/officeDocument/2006/relationships/hyperlink" Target="http://www.tracesafe.io"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www.shiftcarbon.io" TargetMode="External"/><Relationship Id="rId4" Type="http://schemas.openxmlformats.org/officeDocument/2006/relationships/footnotes" Target="footnotes.xml"/><Relationship Id="rId9" Type="http://schemas.openxmlformats.org/officeDocument/2006/relationships/hyperlink" Target="https://smith.queensu.ca/centres/isf/research/project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9" ma:contentTypeDescription="Create a new document." ma:contentTypeScope="" ma:versionID="b2f77b2de948c37fcef53e4f4d0794c2">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0bb37abc3365b0252362568d1e90a311"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727a5377-243f-470d-be98-295c45a2353c}" ma:internalName="TaxCatchAll" ma:showField="CatchAllData" ma:web="2c942762-8e15-4eb6-a21b-cd1757ad7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c0782fd-d336-437d-93ad-73cb57b9d739" ma:termSetId="09814cd3-568e-fe90-9814-8d621ff8fb84" ma:anchorId="fba54fb3-c3e1-fe81-a776-ca4b69148c4d" ma:open="true" ma:isKeyword="false">
      <xsd:complexType>
        <xsd:sequence>
          <xsd:element ref="pc:Terms" minOccurs="0" maxOccurs="1"/>
        </xsd:sequence>
      </xsd:complexType>
    </xsd:element>
    <xsd:element name="Search" ma:index="26" nillable="true" ma:displayName="Search" ma:list="{15e6e6bc-a859-4acb-8b6c-79c31ebf5591}" ma:internalName="Search"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arch xmlns="15e6e6bc-a859-4acb-8b6c-79c31ebf5591" xsi:nil="true"/>
    <lcf76f155ced4ddcb4097134ff3c332f xmlns="15e6e6bc-a859-4acb-8b6c-79c31ebf5591">
      <Terms xmlns="http://schemas.microsoft.com/office/infopath/2007/PartnerControls"/>
    </lcf76f155ced4ddcb4097134ff3c332f>
    <TaxCatchAll xmlns="2c942762-8e15-4eb6-a21b-cd1757ad73cd" xsi:nil="true"/>
  </documentManagement>
</p:properties>
</file>

<file path=customXml/itemProps1.xml><?xml version="1.0" encoding="utf-8"?>
<ds:datastoreItem xmlns:ds="http://schemas.openxmlformats.org/officeDocument/2006/customXml" ds:itemID="{1EE304BF-4D1F-4F17-AB71-01419F71E60B}"/>
</file>

<file path=customXml/itemProps2.xml><?xml version="1.0" encoding="utf-8"?>
<ds:datastoreItem xmlns:ds="http://schemas.openxmlformats.org/officeDocument/2006/customXml" ds:itemID="{2A02A5A1-D99C-442B-8D1B-D1A42F55C083}"/>
</file>

<file path=customXml/itemProps3.xml><?xml version="1.0" encoding="utf-8"?>
<ds:datastoreItem xmlns:ds="http://schemas.openxmlformats.org/officeDocument/2006/customXml" ds:itemID="{7A8C21FC-12FC-4C84-BBB8-11DFB27B64F8}"/>
</file>

<file path=docProps/app.xml><?xml version="1.0" encoding="utf-8"?>
<Properties xmlns="http://schemas.openxmlformats.org/officeDocument/2006/extended-properties" xmlns:vt="http://schemas.openxmlformats.org/officeDocument/2006/docPropsVTypes">
  <Template>Normal</Template>
  <TotalTime>21</TotalTime>
  <Pages>2</Pages>
  <Words>825</Words>
  <Characters>4705</Characters>
  <Application>Microsoft Office Word</Application>
  <DocSecurity>4</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Vega</dc:creator>
  <cp:lastModifiedBy>Laura Vega</cp:lastModifiedBy>
  <cp:revision>2</cp:revision>
  <cp:lastPrinted>2023-02-13T17:22:00Z</cp:lastPrinted>
  <dcterms:created xsi:type="dcterms:W3CDTF">2023-02-13T17:42:00Z</dcterms:created>
  <dcterms:modified xsi:type="dcterms:W3CDTF">2023-02-13T17:42:00Z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0x010100F3F18E2D66807E4392C37229355013C7</vt:lpwstr>
  </property>
</Properties>
</file>