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5796" w14:textId="0B551117" w:rsidR="00036337" w:rsidRDefault="0051186E" w:rsidP="00036337">
      <w:pPr>
        <w:pStyle w:val="GCCentrebold"/>
        <w:rPr>
          <w:rFonts w:ascii="Arial" w:hAnsi="Arial" w:cs="Arial"/>
          <w:sz w:val="22"/>
          <w:szCs w:val="22"/>
        </w:rPr>
      </w:pPr>
      <w:r>
        <w:rPr>
          <w:rFonts w:ascii="Arial" w:hAnsi="Arial" w:cs="Arial"/>
          <w:sz w:val="22"/>
          <w:szCs w:val="22"/>
        </w:rPr>
        <w:t xml:space="preserve">                                                                                                                                                                                                                                                                                       </w:t>
      </w:r>
      <w:r w:rsidR="00036337" w:rsidRPr="00AC4FB8">
        <w:rPr>
          <w:rFonts w:ascii="Arial" w:hAnsi="Arial" w:cs="Arial"/>
          <w:sz w:val="22"/>
          <w:szCs w:val="22"/>
        </w:rPr>
        <w:t>FORM 51-102F3</w:t>
      </w:r>
      <w:r w:rsidR="00036337" w:rsidRPr="00AC4FB8">
        <w:rPr>
          <w:rFonts w:ascii="Arial" w:hAnsi="Arial" w:cs="Arial"/>
          <w:sz w:val="22"/>
          <w:szCs w:val="22"/>
        </w:rPr>
        <w:br/>
        <w:t>Material Change Report</w:t>
      </w:r>
    </w:p>
    <w:p w14:paraId="4474D5EE" w14:textId="77777777" w:rsidR="00B02149" w:rsidRPr="00B02149" w:rsidRDefault="00B02149" w:rsidP="00B02149"/>
    <w:p w14:paraId="513FED64" w14:textId="77777777" w:rsidR="00036337" w:rsidRPr="00AC4FB8" w:rsidRDefault="00036337" w:rsidP="00036337">
      <w:pPr>
        <w:spacing w:line="226" w:lineRule="auto"/>
        <w:ind w:left="2160" w:hanging="2160"/>
        <w:rPr>
          <w:szCs w:val="22"/>
        </w:rPr>
      </w:pPr>
      <w:r w:rsidRPr="00AC4FB8">
        <w:rPr>
          <w:b/>
          <w:szCs w:val="22"/>
        </w:rPr>
        <w:t>Item 1.</w:t>
      </w:r>
      <w:r w:rsidRPr="00AC4FB8">
        <w:rPr>
          <w:b/>
          <w:szCs w:val="22"/>
        </w:rPr>
        <w:tab/>
      </w:r>
      <w:r w:rsidRPr="00AC4FB8">
        <w:rPr>
          <w:b/>
          <w:szCs w:val="22"/>
          <w:u w:val="single"/>
        </w:rPr>
        <w:t>Reporting Issuer</w:t>
      </w:r>
    </w:p>
    <w:p w14:paraId="1C82FEAE" w14:textId="77777777" w:rsidR="00036337" w:rsidRDefault="00036337" w:rsidP="00036337">
      <w:pPr>
        <w:ind w:left="2160"/>
        <w:jc w:val="both"/>
        <w:rPr>
          <w:szCs w:val="22"/>
        </w:rPr>
      </w:pPr>
    </w:p>
    <w:p w14:paraId="68711B85" w14:textId="64AC27A4" w:rsidR="00036337" w:rsidRPr="00AC4FB8" w:rsidRDefault="00AA1BC7" w:rsidP="00036337">
      <w:pPr>
        <w:ind w:left="2160"/>
        <w:rPr>
          <w:szCs w:val="22"/>
        </w:rPr>
      </w:pPr>
      <w:r>
        <w:rPr>
          <w:szCs w:val="22"/>
        </w:rPr>
        <w:t xml:space="preserve">Rockland </w:t>
      </w:r>
      <w:r w:rsidR="00E73A9F">
        <w:rPr>
          <w:szCs w:val="22"/>
        </w:rPr>
        <w:t>R</w:t>
      </w:r>
      <w:r>
        <w:rPr>
          <w:szCs w:val="22"/>
        </w:rPr>
        <w:t>esources Inc</w:t>
      </w:r>
      <w:r w:rsidR="00036337">
        <w:rPr>
          <w:szCs w:val="22"/>
        </w:rPr>
        <w:t>. (the “</w:t>
      </w:r>
      <w:r w:rsidR="00036337">
        <w:rPr>
          <w:b/>
          <w:szCs w:val="22"/>
        </w:rPr>
        <w:t>Company</w:t>
      </w:r>
      <w:r w:rsidR="00036337">
        <w:rPr>
          <w:szCs w:val="22"/>
        </w:rPr>
        <w:t>”)</w:t>
      </w:r>
      <w:r w:rsidR="00036337">
        <w:rPr>
          <w:szCs w:val="22"/>
        </w:rPr>
        <w:br/>
        <w:t>1</w:t>
      </w:r>
      <w:r w:rsidR="008956E0">
        <w:rPr>
          <w:szCs w:val="22"/>
        </w:rPr>
        <w:t>240</w:t>
      </w:r>
      <w:r w:rsidR="00036337">
        <w:rPr>
          <w:szCs w:val="22"/>
        </w:rPr>
        <w:t xml:space="preserve"> – </w:t>
      </w:r>
      <w:r w:rsidR="008956E0">
        <w:rPr>
          <w:szCs w:val="22"/>
        </w:rPr>
        <w:t>789</w:t>
      </w:r>
      <w:r w:rsidR="00036337">
        <w:rPr>
          <w:szCs w:val="22"/>
        </w:rPr>
        <w:t xml:space="preserve"> </w:t>
      </w:r>
      <w:r w:rsidR="008956E0">
        <w:rPr>
          <w:szCs w:val="22"/>
        </w:rPr>
        <w:t>West Pender</w:t>
      </w:r>
      <w:r w:rsidR="00036337">
        <w:rPr>
          <w:szCs w:val="22"/>
        </w:rPr>
        <w:t xml:space="preserve"> Street</w:t>
      </w:r>
    </w:p>
    <w:p w14:paraId="5639B400" w14:textId="7F321735" w:rsidR="00036337" w:rsidRPr="00B33843" w:rsidRDefault="00036337" w:rsidP="00036337">
      <w:pPr>
        <w:ind w:left="2160"/>
        <w:rPr>
          <w:szCs w:val="22"/>
        </w:rPr>
      </w:pPr>
      <w:r w:rsidRPr="00B33843">
        <w:rPr>
          <w:szCs w:val="22"/>
        </w:rPr>
        <w:t>Vancouver, BC V</w:t>
      </w:r>
      <w:r w:rsidR="002C596D">
        <w:rPr>
          <w:szCs w:val="22"/>
        </w:rPr>
        <w:t>6C 1H2</w:t>
      </w:r>
      <w:r w:rsidRPr="00B33843">
        <w:rPr>
          <w:szCs w:val="22"/>
        </w:rPr>
        <w:t xml:space="preserve"> </w:t>
      </w:r>
      <w:r w:rsidRPr="00B33843">
        <w:rPr>
          <w:szCs w:val="22"/>
        </w:rPr>
        <w:br/>
      </w:r>
    </w:p>
    <w:p w14:paraId="7EBB5969" w14:textId="77777777" w:rsidR="00036337" w:rsidRPr="00AC4FB8" w:rsidRDefault="00036337" w:rsidP="00036337">
      <w:pPr>
        <w:spacing w:line="226" w:lineRule="auto"/>
        <w:ind w:left="2160" w:hanging="2160"/>
        <w:jc w:val="both"/>
        <w:rPr>
          <w:szCs w:val="22"/>
        </w:rPr>
      </w:pPr>
      <w:r w:rsidRPr="00B33843">
        <w:rPr>
          <w:b/>
          <w:szCs w:val="22"/>
        </w:rPr>
        <w:t>Item 2.</w:t>
      </w:r>
      <w:r w:rsidRPr="00B33843">
        <w:rPr>
          <w:b/>
          <w:szCs w:val="22"/>
        </w:rPr>
        <w:tab/>
      </w:r>
      <w:r w:rsidRPr="00AC4FB8">
        <w:rPr>
          <w:b/>
          <w:szCs w:val="22"/>
          <w:u w:val="single"/>
        </w:rPr>
        <w:t>Date of Material Change</w:t>
      </w:r>
    </w:p>
    <w:p w14:paraId="7462032F" w14:textId="77777777" w:rsidR="00036337" w:rsidRDefault="00036337" w:rsidP="00036337">
      <w:pPr>
        <w:spacing w:line="226" w:lineRule="auto"/>
        <w:ind w:left="2160"/>
        <w:jc w:val="both"/>
        <w:rPr>
          <w:szCs w:val="22"/>
        </w:rPr>
      </w:pPr>
    </w:p>
    <w:p w14:paraId="6F210D98" w14:textId="5C38DF35" w:rsidR="00036337" w:rsidRPr="00AC4FB8" w:rsidRDefault="00036337" w:rsidP="00036337">
      <w:pPr>
        <w:spacing w:line="226" w:lineRule="auto"/>
        <w:ind w:left="2160"/>
        <w:jc w:val="both"/>
        <w:rPr>
          <w:color w:val="000000"/>
          <w:szCs w:val="22"/>
        </w:rPr>
      </w:pPr>
      <w:r w:rsidRPr="00AC4FB8">
        <w:rPr>
          <w:szCs w:val="22"/>
        </w:rPr>
        <w:t>A material change took place on</w:t>
      </w:r>
      <w:r>
        <w:rPr>
          <w:szCs w:val="22"/>
        </w:rPr>
        <w:t xml:space="preserve"> </w:t>
      </w:r>
      <w:r w:rsidR="009462C2">
        <w:rPr>
          <w:szCs w:val="22"/>
        </w:rPr>
        <w:t xml:space="preserve">March </w:t>
      </w:r>
      <w:r w:rsidR="00E31154">
        <w:rPr>
          <w:szCs w:val="22"/>
        </w:rPr>
        <w:t>April 06</w:t>
      </w:r>
      <w:r w:rsidRPr="00AC4FB8">
        <w:rPr>
          <w:szCs w:val="22"/>
        </w:rPr>
        <w:t>, 20</w:t>
      </w:r>
      <w:r>
        <w:rPr>
          <w:szCs w:val="22"/>
        </w:rPr>
        <w:t>2</w:t>
      </w:r>
      <w:r w:rsidR="00B02149">
        <w:rPr>
          <w:szCs w:val="22"/>
        </w:rPr>
        <w:t>1</w:t>
      </w:r>
      <w:r w:rsidRPr="00AC4FB8">
        <w:rPr>
          <w:szCs w:val="22"/>
        </w:rPr>
        <w:t>.</w:t>
      </w:r>
    </w:p>
    <w:p w14:paraId="6213733B" w14:textId="77777777" w:rsidR="00036337" w:rsidRDefault="00036337" w:rsidP="00036337">
      <w:pPr>
        <w:spacing w:line="226" w:lineRule="auto"/>
        <w:ind w:left="2160" w:hanging="2160"/>
        <w:jc w:val="both"/>
        <w:rPr>
          <w:b/>
          <w:szCs w:val="22"/>
        </w:rPr>
      </w:pPr>
    </w:p>
    <w:p w14:paraId="1F3897BF" w14:textId="77777777" w:rsidR="00036337" w:rsidRPr="00AC4FB8" w:rsidRDefault="00036337" w:rsidP="00036337">
      <w:pPr>
        <w:spacing w:line="226" w:lineRule="auto"/>
        <w:ind w:left="2160" w:hanging="2160"/>
        <w:jc w:val="both"/>
        <w:rPr>
          <w:szCs w:val="22"/>
        </w:rPr>
      </w:pPr>
      <w:r w:rsidRPr="00AC4FB8">
        <w:rPr>
          <w:b/>
          <w:szCs w:val="22"/>
        </w:rPr>
        <w:t>Item 3.</w:t>
      </w:r>
      <w:r w:rsidRPr="00AC4FB8">
        <w:rPr>
          <w:b/>
          <w:szCs w:val="22"/>
        </w:rPr>
        <w:tab/>
      </w:r>
      <w:r w:rsidRPr="00AC4FB8">
        <w:rPr>
          <w:b/>
          <w:szCs w:val="22"/>
          <w:u w:val="single"/>
        </w:rPr>
        <w:t>Press Release</w:t>
      </w:r>
    </w:p>
    <w:p w14:paraId="592230C9" w14:textId="77777777" w:rsidR="00036337" w:rsidRDefault="00036337" w:rsidP="00036337">
      <w:pPr>
        <w:spacing w:line="226" w:lineRule="auto"/>
        <w:ind w:left="2160"/>
        <w:jc w:val="both"/>
        <w:rPr>
          <w:szCs w:val="22"/>
        </w:rPr>
      </w:pPr>
    </w:p>
    <w:p w14:paraId="0FB663EB" w14:textId="3FA6B13F" w:rsidR="00036337" w:rsidRPr="00AC4FB8" w:rsidRDefault="00036337" w:rsidP="00036337">
      <w:pPr>
        <w:spacing w:line="226" w:lineRule="auto"/>
        <w:ind w:left="2160"/>
        <w:jc w:val="both"/>
        <w:rPr>
          <w:szCs w:val="22"/>
        </w:rPr>
      </w:pPr>
      <w:r w:rsidRPr="00AC4FB8">
        <w:rPr>
          <w:szCs w:val="22"/>
        </w:rPr>
        <w:t xml:space="preserve">On </w:t>
      </w:r>
      <w:r w:rsidR="00E31154">
        <w:rPr>
          <w:szCs w:val="22"/>
        </w:rPr>
        <w:t>April 06</w:t>
      </w:r>
      <w:r w:rsidR="00B02149" w:rsidRPr="00AC4FB8">
        <w:rPr>
          <w:szCs w:val="22"/>
        </w:rPr>
        <w:t>, 20</w:t>
      </w:r>
      <w:r w:rsidR="00B02149">
        <w:rPr>
          <w:szCs w:val="22"/>
        </w:rPr>
        <w:t>21</w:t>
      </w:r>
      <w:r w:rsidRPr="00AC4FB8">
        <w:rPr>
          <w:szCs w:val="22"/>
        </w:rPr>
        <w:t xml:space="preserve">, a news release in respect of the material change was disseminated by </w:t>
      </w:r>
      <w:r w:rsidR="00D75BE8">
        <w:rPr>
          <w:szCs w:val="22"/>
        </w:rPr>
        <w:t>Accesswire</w:t>
      </w:r>
      <w:r w:rsidRPr="00AC4FB8">
        <w:rPr>
          <w:szCs w:val="22"/>
        </w:rPr>
        <w:t>.</w:t>
      </w:r>
    </w:p>
    <w:p w14:paraId="6323DA21" w14:textId="77777777" w:rsidR="00036337" w:rsidRDefault="00036337" w:rsidP="00036337">
      <w:pPr>
        <w:spacing w:line="226" w:lineRule="auto"/>
        <w:ind w:left="2160" w:hanging="2160"/>
        <w:jc w:val="both"/>
        <w:rPr>
          <w:b/>
          <w:szCs w:val="22"/>
        </w:rPr>
      </w:pPr>
    </w:p>
    <w:p w14:paraId="717400D2" w14:textId="77777777" w:rsidR="00036337" w:rsidRPr="00AC4FB8" w:rsidRDefault="00036337" w:rsidP="00036337">
      <w:pPr>
        <w:spacing w:line="226" w:lineRule="auto"/>
        <w:ind w:left="2160" w:hanging="2160"/>
        <w:jc w:val="both"/>
        <w:rPr>
          <w:szCs w:val="22"/>
        </w:rPr>
      </w:pPr>
      <w:r w:rsidRPr="00AC4FB8">
        <w:rPr>
          <w:b/>
          <w:szCs w:val="22"/>
        </w:rPr>
        <w:t>Item 4.</w:t>
      </w:r>
      <w:r w:rsidRPr="00AC4FB8">
        <w:rPr>
          <w:b/>
          <w:szCs w:val="22"/>
        </w:rPr>
        <w:tab/>
      </w:r>
      <w:r w:rsidRPr="00AC4FB8">
        <w:rPr>
          <w:b/>
          <w:szCs w:val="22"/>
          <w:u w:val="single"/>
        </w:rPr>
        <w:t>Summary of Material Change</w:t>
      </w:r>
    </w:p>
    <w:p w14:paraId="0A507A85" w14:textId="77777777" w:rsidR="00036337" w:rsidRDefault="00036337" w:rsidP="00036337">
      <w:pPr>
        <w:spacing w:line="226" w:lineRule="auto"/>
        <w:ind w:left="2160"/>
        <w:jc w:val="both"/>
        <w:rPr>
          <w:szCs w:val="22"/>
        </w:rPr>
      </w:pPr>
    </w:p>
    <w:p w14:paraId="556D1897" w14:textId="52FD4268" w:rsidR="00036337" w:rsidRDefault="00833116" w:rsidP="00885C1E">
      <w:pPr>
        <w:spacing w:line="226" w:lineRule="auto"/>
        <w:ind w:left="2160"/>
        <w:jc w:val="both"/>
        <w:rPr>
          <w:color w:val="FF0000"/>
          <w:szCs w:val="22"/>
        </w:rPr>
      </w:pPr>
      <w:r w:rsidRPr="00561AE3">
        <w:rPr>
          <w:szCs w:val="22"/>
        </w:rPr>
        <w:t xml:space="preserve">On </w:t>
      </w:r>
      <w:r w:rsidR="004D0CD1">
        <w:rPr>
          <w:szCs w:val="22"/>
        </w:rPr>
        <w:t>April 06</w:t>
      </w:r>
      <w:r w:rsidRPr="00561AE3">
        <w:rPr>
          <w:szCs w:val="22"/>
        </w:rPr>
        <w:t xml:space="preserve"> 2021, the Company announced </w:t>
      </w:r>
      <w:r w:rsidR="00C34D41">
        <w:rPr>
          <w:color w:val="000000"/>
        </w:rPr>
        <w:t>a</w:t>
      </w:r>
      <w:r w:rsidR="00876D99" w:rsidRPr="002117D6">
        <w:rPr>
          <w:color w:val="000000"/>
        </w:rPr>
        <w:t xml:space="preserve"> contract proposal for 2,500 meters of HQ diamond drilling has been submitted to established drill contractors in Manitoba and Ontario to mobilize a rig to the Property on, or near, the 3rd week of May</w:t>
      </w:r>
      <w:r w:rsidR="00876D99">
        <w:rPr>
          <w:color w:val="000000"/>
          <w:sz w:val="27"/>
          <w:szCs w:val="27"/>
        </w:rPr>
        <w:t>.</w:t>
      </w:r>
      <w:r w:rsidR="00876D99">
        <w:t xml:space="preserve"> </w:t>
      </w:r>
      <w:r w:rsidR="00876D99">
        <w:rPr>
          <w:color w:val="FF0000"/>
          <w:szCs w:val="22"/>
        </w:rPr>
        <w:t xml:space="preserve"> </w:t>
      </w:r>
    </w:p>
    <w:p w14:paraId="0A25445C" w14:textId="737CDDA8" w:rsidR="003B735E" w:rsidRPr="001B55C7" w:rsidRDefault="003B735E" w:rsidP="00376D15">
      <w:pPr>
        <w:pStyle w:val="NormalWeb"/>
        <w:ind w:left="2154"/>
        <w:jc w:val="both"/>
        <w:rPr>
          <w:rFonts w:ascii="Arial" w:hAnsi="Arial" w:cs="Arial"/>
          <w:color w:val="000000"/>
          <w:sz w:val="22"/>
          <w:szCs w:val="22"/>
        </w:rPr>
      </w:pPr>
      <w:r w:rsidRPr="00FD3B69">
        <w:rPr>
          <w:rFonts w:ascii="Arial" w:hAnsi="Arial" w:cs="Arial"/>
          <w:sz w:val="22"/>
          <w:szCs w:val="22"/>
        </w:rPr>
        <w:t xml:space="preserve">The Company also announces </w:t>
      </w:r>
      <w:r w:rsidRPr="00FD3B69">
        <w:rPr>
          <w:rFonts w:ascii="Arial" w:hAnsi="Arial" w:cs="Arial"/>
          <w:color w:val="000000"/>
          <w:sz w:val="22"/>
          <w:szCs w:val="22"/>
        </w:rPr>
        <w:t xml:space="preserve">that it has arranged a non-brokered private placement of  up to 10 million units ("Units") at a price of $0.20 per Unit for aggregate gross proceeds of $2,000,000.00 (the "Offering"). </w:t>
      </w:r>
      <w:r w:rsidR="001B55C7">
        <w:rPr>
          <w:rFonts w:ascii="Arial" w:hAnsi="Arial" w:cs="Arial"/>
          <w:color w:val="000000"/>
          <w:sz w:val="22"/>
          <w:szCs w:val="22"/>
        </w:rPr>
        <w:t xml:space="preserve"> </w:t>
      </w:r>
    </w:p>
    <w:p w14:paraId="06D05FD4" w14:textId="77777777" w:rsidR="00692101" w:rsidRPr="00561AE3" w:rsidRDefault="00692101" w:rsidP="00885C1E">
      <w:pPr>
        <w:spacing w:line="226" w:lineRule="auto"/>
        <w:ind w:left="2160"/>
        <w:jc w:val="both"/>
        <w:rPr>
          <w:b/>
          <w:szCs w:val="22"/>
        </w:rPr>
      </w:pPr>
    </w:p>
    <w:p w14:paraId="55554F51" w14:textId="77777777" w:rsidR="00036337" w:rsidRPr="00561AE3" w:rsidRDefault="00036337" w:rsidP="00036337">
      <w:pPr>
        <w:spacing w:line="226" w:lineRule="auto"/>
        <w:ind w:left="2160" w:hanging="2160"/>
        <w:jc w:val="both"/>
        <w:rPr>
          <w:b/>
          <w:szCs w:val="22"/>
          <w:u w:val="single"/>
        </w:rPr>
      </w:pPr>
      <w:r w:rsidRPr="00561AE3">
        <w:rPr>
          <w:b/>
          <w:szCs w:val="22"/>
        </w:rPr>
        <w:t>Item 5.</w:t>
      </w:r>
      <w:r w:rsidRPr="00561AE3">
        <w:rPr>
          <w:b/>
          <w:szCs w:val="22"/>
        </w:rPr>
        <w:tab/>
      </w:r>
      <w:r w:rsidRPr="00561AE3">
        <w:rPr>
          <w:b/>
          <w:szCs w:val="22"/>
          <w:u w:val="single"/>
        </w:rPr>
        <w:t>Full Description of Material Change</w:t>
      </w:r>
    </w:p>
    <w:p w14:paraId="44D0B6EF" w14:textId="77777777" w:rsidR="00036337" w:rsidRPr="00561AE3" w:rsidRDefault="00036337" w:rsidP="00036337">
      <w:pPr>
        <w:spacing w:line="226" w:lineRule="auto"/>
        <w:ind w:left="2160"/>
        <w:jc w:val="both"/>
        <w:rPr>
          <w:szCs w:val="22"/>
        </w:rPr>
      </w:pPr>
    </w:p>
    <w:p w14:paraId="1606C6DE" w14:textId="33B78A01" w:rsidR="00440D42" w:rsidRDefault="00440D42" w:rsidP="00440D42">
      <w:pPr>
        <w:spacing w:line="226" w:lineRule="auto"/>
        <w:ind w:left="2160"/>
        <w:jc w:val="both"/>
        <w:rPr>
          <w:szCs w:val="22"/>
        </w:rPr>
      </w:pPr>
    </w:p>
    <w:p w14:paraId="7C9520A3" w14:textId="77777777" w:rsidR="00FD3B69" w:rsidRDefault="00FD3B69" w:rsidP="00FD3B69">
      <w:pPr>
        <w:spacing w:line="226" w:lineRule="auto"/>
        <w:ind w:left="2160"/>
        <w:jc w:val="both"/>
        <w:rPr>
          <w:color w:val="FF0000"/>
          <w:szCs w:val="22"/>
        </w:rPr>
      </w:pPr>
      <w:r w:rsidRPr="00561AE3">
        <w:rPr>
          <w:szCs w:val="22"/>
        </w:rPr>
        <w:t xml:space="preserve">On </w:t>
      </w:r>
      <w:r>
        <w:rPr>
          <w:szCs w:val="22"/>
        </w:rPr>
        <w:t>April 06</w:t>
      </w:r>
      <w:r w:rsidRPr="00561AE3">
        <w:rPr>
          <w:szCs w:val="22"/>
        </w:rPr>
        <w:t xml:space="preserve"> 2021, the Company announced </w:t>
      </w:r>
      <w:r>
        <w:rPr>
          <w:szCs w:val="22"/>
        </w:rPr>
        <w:t xml:space="preserve">it has agreed </w:t>
      </w:r>
      <w:r>
        <w:t>to carry out logistics activities and personnel placements directed at the start of a maiden drill program in May, 2021 on our Cole Gold Mines Property located in Ball Township, Red Lake Mining District.</w:t>
      </w:r>
      <w:r w:rsidRPr="002117D6">
        <w:rPr>
          <w:color w:val="000000"/>
          <w:sz w:val="27"/>
          <w:szCs w:val="27"/>
        </w:rPr>
        <w:t xml:space="preserve"> </w:t>
      </w:r>
      <w:r w:rsidRPr="002117D6">
        <w:rPr>
          <w:color w:val="000000"/>
        </w:rPr>
        <w:t>A contract proposal for 2,500 meters of HQ diamond drilling has been submitted to established drill contractors in Manitoba and Ontario to mobilize a rig to the Property on, or near, the 3rd week of May</w:t>
      </w:r>
      <w:r>
        <w:rPr>
          <w:color w:val="000000"/>
          <w:sz w:val="27"/>
          <w:szCs w:val="27"/>
        </w:rPr>
        <w:t>.</w:t>
      </w:r>
      <w:r>
        <w:t xml:space="preserve"> </w:t>
      </w:r>
      <w:r>
        <w:rPr>
          <w:color w:val="FF0000"/>
          <w:szCs w:val="22"/>
        </w:rPr>
        <w:t xml:space="preserve"> </w:t>
      </w:r>
    </w:p>
    <w:p w14:paraId="0011FAD7" w14:textId="77777777" w:rsidR="00FD3B69" w:rsidRDefault="00FD3B69" w:rsidP="00FD3B69">
      <w:pPr>
        <w:spacing w:line="226" w:lineRule="auto"/>
        <w:ind w:left="2160"/>
        <w:jc w:val="both"/>
        <w:rPr>
          <w:color w:val="FF0000"/>
          <w:szCs w:val="22"/>
        </w:rPr>
      </w:pPr>
    </w:p>
    <w:p w14:paraId="4CD0B3B1" w14:textId="77777777" w:rsidR="00FD3B69" w:rsidRPr="00FD3B69" w:rsidRDefault="00FD3B69" w:rsidP="00FD3B69">
      <w:pPr>
        <w:pStyle w:val="NormalWeb"/>
        <w:ind w:left="2154"/>
        <w:jc w:val="both"/>
        <w:rPr>
          <w:rFonts w:ascii="Arial" w:hAnsi="Arial" w:cs="Arial"/>
          <w:color w:val="000000"/>
          <w:sz w:val="22"/>
          <w:szCs w:val="22"/>
        </w:rPr>
      </w:pPr>
      <w:r w:rsidRPr="00FD3B69">
        <w:rPr>
          <w:rFonts w:ascii="Arial" w:hAnsi="Arial" w:cs="Arial"/>
          <w:sz w:val="22"/>
          <w:szCs w:val="22"/>
        </w:rPr>
        <w:t xml:space="preserve">The Company also announces </w:t>
      </w:r>
      <w:r w:rsidRPr="00FD3B69">
        <w:rPr>
          <w:rFonts w:ascii="Arial" w:hAnsi="Arial" w:cs="Arial"/>
          <w:color w:val="000000"/>
          <w:sz w:val="22"/>
          <w:szCs w:val="22"/>
        </w:rPr>
        <w:t>that it has arranged a non-brokered private placement of  up to 10 million units ("Units") at a price of $0.20 per Unit for aggregate gross proceeds of $2,000,000.00 (the "Offering"). Each Unit will be comprised of one common share ("Share") and one half of one transferable Share purchase warrant of the Company ("Warrant"). Each whole Warrant will entitle the Subscriber to purchase one Warrant Share for a 24-month period after the Closing Date at an exercise price of $0.30 per share.</w:t>
      </w:r>
      <w:r w:rsidRPr="00FD3B69">
        <w:rPr>
          <w:rFonts w:ascii="Arial" w:hAnsi="Arial" w:cs="Arial"/>
          <w:color w:val="000000"/>
          <w:szCs w:val="22"/>
        </w:rPr>
        <w:t xml:space="preserve"> </w:t>
      </w:r>
      <w:r w:rsidRPr="00FD3B69">
        <w:rPr>
          <w:rFonts w:ascii="Arial" w:hAnsi="Arial" w:cs="Arial"/>
          <w:color w:val="000000"/>
          <w:sz w:val="22"/>
          <w:szCs w:val="22"/>
        </w:rPr>
        <w:t xml:space="preserve">Net proceeds of the Financing will be used to advance the </w:t>
      </w:r>
      <w:r w:rsidRPr="00FD3B69">
        <w:rPr>
          <w:rFonts w:ascii="Arial" w:hAnsi="Arial" w:cs="Arial"/>
          <w:color w:val="000000"/>
          <w:sz w:val="22"/>
          <w:szCs w:val="22"/>
        </w:rPr>
        <w:lastRenderedPageBreak/>
        <w:t>corporation's Cole Gold Mines project Ball Township, Red Lake Mining District and for general working capital purposes. Shares issued pursuant to the Financing will be subject to a four-month hold period</w:t>
      </w:r>
    </w:p>
    <w:p w14:paraId="23361C96" w14:textId="6DF36042" w:rsidR="006C3E99" w:rsidRDefault="006C3E99" w:rsidP="00440D42">
      <w:pPr>
        <w:spacing w:line="226" w:lineRule="auto"/>
        <w:ind w:left="2160"/>
        <w:jc w:val="both"/>
        <w:rPr>
          <w:szCs w:val="22"/>
        </w:rPr>
      </w:pPr>
    </w:p>
    <w:p w14:paraId="2CC0C5E7" w14:textId="7A75078E" w:rsidR="006C3E99" w:rsidRDefault="006C3E99" w:rsidP="00440D42">
      <w:pPr>
        <w:spacing w:line="226" w:lineRule="auto"/>
        <w:ind w:left="2160"/>
        <w:jc w:val="both"/>
        <w:rPr>
          <w:szCs w:val="22"/>
        </w:rPr>
      </w:pPr>
    </w:p>
    <w:p w14:paraId="76AFCE37" w14:textId="51870918" w:rsidR="006C3E99" w:rsidRDefault="006C3E99" w:rsidP="00440D42">
      <w:pPr>
        <w:spacing w:line="226" w:lineRule="auto"/>
        <w:ind w:left="2160"/>
        <w:jc w:val="both"/>
        <w:rPr>
          <w:szCs w:val="22"/>
        </w:rPr>
      </w:pPr>
    </w:p>
    <w:p w14:paraId="4474B3F6" w14:textId="77777777" w:rsidR="006C3E99" w:rsidRPr="00561AE3" w:rsidRDefault="006C3E99" w:rsidP="00440D42">
      <w:pPr>
        <w:spacing w:line="226" w:lineRule="auto"/>
        <w:ind w:left="2160"/>
        <w:jc w:val="both"/>
        <w:rPr>
          <w:szCs w:val="22"/>
        </w:rPr>
      </w:pPr>
    </w:p>
    <w:p w14:paraId="1A779A9E" w14:textId="5E0887A3" w:rsidR="00505194" w:rsidRPr="00561AE3" w:rsidRDefault="00FD3B69" w:rsidP="00214D43">
      <w:pPr>
        <w:pStyle w:val="NormalWeb"/>
        <w:ind w:left="2154"/>
        <w:jc w:val="both"/>
        <w:rPr>
          <w:rFonts w:ascii="Arial" w:hAnsi="Arial" w:cs="Arial"/>
          <w:color w:val="000000"/>
          <w:sz w:val="22"/>
          <w:szCs w:val="22"/>
        </w:rPr>
      </w:pPr>
      <w:r>
        <w:rPr>
          <w:rFonts w:ascii="Arial" w:hAnsi="Arial" w:cs="Arial"/>
          <w:color w:val="000000"/>
          <w:sz w:val="22"/>
          <w:szCs w:val="22"/>
        </w:rPr>
        <w:t xml:space="preserve"> </w:t>
      </w:r>
    </w:p>
    <w:p w14:paraId="5AD91177" w14:textId="3F563D71" w:rsidR="00036337" w:rsidRPr="00AC4FB8" w:rsidRDefault="00036337" w:rsidP="00561AE3">
      <w:pPr>
        <w:spacing w:line="226" w:lineRule="auto"/>
        <w:jc w:val="both"/>
        <w:rPr>
          <w:b/>
          <w:szCs w:val="22"/>
        </w:rPr>
      </w:pPr>
    </w:p>
    <w:p w14:paraId="547FDEEA" w14:textId="77777777" w:rsidR="00036337" w:rsidRDefault="00036337" w:rsidP="00036337">
      <w:pPr>
        <w:spacing w:line="226" w:lineRule="auto"/>
        <w:ind w:left="2160" w:hanging="2160"/>
        <w:jc w:val="both"/>
        <w:rPr>
          <w:b/>
          <w:szCs w:val="22"/>
        </w:rPr>
      </w:pPr>
    </w:p>
    <w:p w14:paraId="4897AB4C" w14:textId="77777777" w:rsidR="00036337" w:rsidRPr="00AC4FB8" w:rsidRDefault="00036337" w:rsidP="00036337">
      <w:pPr>
        <w:spacing w:line="226" w:lineRule="auto"/>
        <w:ind w:left="2160" w:hanging="2160"/>
        <w:jc w:val="both"/>
        <w:rPr>
          <w:szCs w:val="22"/>
        </w:rPr>
      </w:pPr>
      <w:r w:rsidRPr="00AC4FB8">
        <w:rPr>
          <w:b/>
          <w:szCs w:val="22"/>
        </w:rPr>
        <w:t>Item 6.</w:t>
      </w:r>
      <w:r w:rsidRPr="00AC4FB8">
        <w:rPr>
          <w:b/>
          <w:szCs w:val="22"/>
        </w:rPr>
        <w:tab/>
      </w:r>
      <w:r w:rsidRPr="00AC4FB8">
        <w:rPr>
          <w:b/>
          <w:szCs w:val="22"/>
          <w:u w:val="single"/>
        </w:rPr>
        <w:t>Reliance on subsection 7.1(2) or (3) of National Instrument 51-102</w:t>
      </w:r>
    </w:p>
    <w:p w14:paraId="7D9358D9" w14:textId="77777777" w:rsidR="00036337" w:rsidRDefault="00036337" w:rsidP="00036337">
      <w:pPr>
        <w:spacing w:line="226" w:lineRule="auto"/>
        <w:ind w:left="2160"/>
        <w:jc w:val="both"/>
        <w:rPr>
          <w:szCs w:val="22"/>
        </w:rPr>
      </w:pPr>
    </w:p>
    <w:p w14:paraId="18C47FA9" w14:textId="77777777" w:rsidR="00036337" w:rsidRPr="00AC4FB8" w:rsidRDefault="00036337" w:rsidP="00036337">
      <w:pPr>
        <w:spacing w:line="226" w:lineRule="auto"/>
        <w:ind w:left="2160"/>
        <w:jc w:val="both"/>
        <w:rPr>
          <w:szCs w:val="22"/>
        </w:rPr>
      </w:pPr>
      <w:r w:rsidRPr="00AC4FB8">
        <w:rPr>
          <w:szCs w:val="22"/>
        </w:rPr>
        <w:t>The report is not being filed on a confidential basis.</w:t>
      </w:r>
    </w:p>
    <w:p w14:paraId="45622F91" w14:textId="77777777" w:rsidR="00036337" w:rsidRDefault="00036337" w:rsidP="00036337">
      <w:pPr>
        <w:keepNext/>
        <w:keepLines/>
        <w:spacing w:line="226" w:lineRule="auto"/>
        <w:ind w:left="2160" w:hanging="2160"/>
        <w:jc w:val="both"/>
        <w:rPr>
          <w:b/>
          <w:szCs w:val="22"/>
        </w:rPr>
      </w:pPr>
    </w:p>
    <w:p w14:paraId="62C797DA" w14:textId="77777777" w:rsidR="00036337" w:rsidRPr="00AC4FB8" w:rsidRDefault="00036337" w:rsidP="00036337">
      <w:pPr>
        <w:keepNext/>
        <w:keepLines/>
        <w:spacing w:line="226" w:lineRule="auto"/>
        <w:ind w:left="2160" w:hanging="2160"/>
        <w:jc w:val="both"/>
        <w:rPr>
          <w:szCs w:val="22"/>
        </w:rPr>
      </w:pPr>
      <w:r w:rsidRPr="00AC4FB8">
        <w:rPr>
          <w:b/>
          <w:szCs w:val="22"/>
        </w:rPr>
        <w:t>Item 7.</w:t>
      </w:r>
      <w:r w:rsidRPr="00AC4FB8">
        <w:rPr>
          <w:b/>
          <w:szCs w:val="22"/>
        </w:rPr>
        <w:tab/>
      </w:r>
      <w:r w:rsidRPr="00AC4FB8">
        <w:rPr>
          <w:b/>
          <w:szCs w:val="22"/>
          <w:u w:val="single"/>
        </w:rPr>
        <w:t>Omitted Information</w:t>
      </w:r>
    </w:p>
    <w:p w14:paraId="1E197FA8" w14:textId="77777777" w:rsidR="00036337" w:rsidRDefault="00036337" w:rsidP="00036337">
      <w:pPr>
        <w:keepLines/>
        <w:spacing w:line="226" w:lineRule="auto"/>
        <w:ind w:firstLine="2160"/>
        <w:jc w:val="both"/>
        <w:rPr>
          <w:szCs w:val="22"/>
        </w:rPr>
      </w:pPr>
    </w:p>
    <w:p w14:paraId="5343145D" w14:textId="77777777" w:rsidR="00036337" w:rsidRPr="00AC4FB8" w:rsidRDefault="00036337" w:rsidP="00036337">
      <w:pPr>
        <w:keepLines/>
        <w:spacing w:line="226" w:lineRule="auto"/>
        <w:ind w:firstLine="2160"/>
        <w:jc w:val="both"/>
        <w:rPr>
          <w:szCs w:val="22"/>
        </w:rPr>
      </w:pPr>
      <w:r w:rsidRPr="00AC4FB8">
        <w:rPr>
          <w:szCs w:val="22"/>
        </w:rPr>
        <w:t>No information has been omitted.</w:t>
      </w:r>
    </w:p>
    <w:p w14:paraId="4F7126CD" w14:textId="77777777" w:rsidR="00036337" w:rsidRDefault="00036337" w:rsidP="00036337">
      <w:pPr>
        <w:keepNext/>
        <w:keepLines/>
        <w:spacing w:line="226" w:lineRule="auto"/>
        <w:ind w:left="2160" w:hanging="2160"/>
        <w:jc w:val="both"/>
        <w:rPr>
          <w:b/>
          <w:szCs w:val="22"/>
        </w:rPr>
      </w:pPr>
    </w:p>
    <w:p w14:paraId="42EA5958" w14:textId="77777777" w:rsidR="00036337" w:rsidRPr="00AC4FB8" w:rsidRDefault="00036337" w:rsidP="00036337">
      <w:pPr>
        <w:keepNext/>
        <w:keepLines/>
        <w:spacing w:line="226" w:lineRule="auto"/>
        <w:ind w:left="2160" w:hanging="2160"/>
        <w:jc w:val="both"/>
        <w:rPr>
          <w:szCs w:val="22"/>
        </w:rPr>
      </w:pPr>
      <w:r w:rsidRPr="00AC4FB8">
        <w:rPr>
          <w:b/>
          <w:szCs w:val="22"/>
        </w:rPr>
        <w:t>Item 8.</w:t>
      </w:r>
      <w:r w:rsidRPr="00AC4FB8">
        <w:rPr>
          <w:b/>
          <w:szCs w:val="22"/>
        </w:rPr>
        <w:tab/>
      </w:r>
      <w:r w:rsidRPr="00AC4FB8">
        <w:rPr>
          <w:b/>
          <w:szCs w:val="22"/>
          <w:u w:val="single"/>
        </w:rPr>
        <w:t>Executive Officer</w:t>
      </w:r>
    </w:p>
    <w:p w14:paraId="33725AC3" w14:textId="77777777" w:rsidR="00036337" w:rsidRDefault="00036337" w:rsidP="00036337">
      <w:pPr>
        <w:spacing w:line="226" w:lineRule="auto"/>
        <w:ind w:left="2160" w:hanging="2160"/>
        <w:rPr>
          <w:rStyle w:val="FillinBullet"/>
          <w:color w:val="000000"/>
          <w:szCs w:val="22"/>
        </w:rPr>
      </w:pPr>
      <w:r w:rsidRPr="00AC4FB8">
        <w:rPr>
          <w:rStyle w:val="FillinBullet"/>
          <w:color w:val="000000"/>
          <w:szCs w:val="22"/>
        </w:rPr>
        <w:tab/>
      </w:r>
    </w:p>
    <w:p w14:paraId="4510C3DB" w14:textId="19B4E0BC" w:rsidR="00036337" w:rsidRPr="00AC4FB8" w:rsidRDefault="00736219" w:rsidP="00036337">
      <w:pPr>
        <w:spacing w:line="226" w:lineRule="auto"/>
        <w:ind w:left="2160"/>
        <w:rPr>
          <w:szCs w:val="22"/>
        </w:rPr>
      </w:pPr>
      <w:r>
        <w:rPr>
          <w:rStyle w:val="FillinBullet"/>
          <w:color w:val="000000"/>
          <w:szCs w:val="22"/>
        </w:rPr>
        <w:t>Mike Engla</w:t>
      </w:r>
      <w:r w:rsidR="005620A7">
        <w:rPr>
          <w:rStyle w:val="FillinBullet"/>
          <w:color w:val="000000"/>
          <w:szCs w:val="22"/>
        </w:rPr>
        <w:t>nd, President and CEO</w:t>
      </w:r>
      <w:r w:rsidR="00B02149" w:rsidRPr="00B02149">
        <w:rPr>
          <w:color w:val="000000"/>
          <w:szCs w:val="22"/>
        </w:rPr>
        <w:t xml:space="preserve"> and Director</w:t>
      </w:r>
      <w:r w:rsidR="00036337">
        <w:rPr>
          <w:szCs w:val="22"/>
        </w:rPr>
        <w:br/>
      </w:r>
      <w:r w:rsidR="00BA6BBA" w:rsidRPr="00BA6BBA">
        <w:rPr>
          <w:szCs w:val="22"/>
        </w:rPr>
        <w:t>(</w:t>
      </w:r>
      <w:r w:rsidR="005E002F">
        <w:rPr>
          <w:szCs w:val="22"/>
        </w:rPr>
        <w:t>604</w:t>
      </w:r>
      <w:r w:rsidR="00BA6BBA" w:rsidRPr="00BA6BBA">
        <w:rPr>
          <w:szCs w:val="22"/>
        </w:rPr>
        <w:t xml:space="preserve">) </w:t>
      </w:r>
      <w:r w:rsidR="005E002F">
        <w:rPr>
          <w:szCs w:val="22"/>
        </w:rPr>
        <w:t>683 3995</w:t>
      </w:r>
    </w:p>
    <w:p w14:paraId="2F367A4F" w14:textId="77777777" w:rsidR="00036337" w:rsidRDefault="00036337" w:rsidP="00036337">
      <w:pPr>
        <w:spacing w:line="226" w:lineRule="auto"/>
        <w:ind w:left="2160" w:hanging="2160"/>
        <w:jc w:val="both"/>
        <w:rPr>
          <w:b/>
          <w:szCs w:val="22"/>
        </w:rPr>
      </w:pPr>
    </w:p>
    <w:p w14:paraId="57FEE2B1" w14:textId="77777777" w:rsidR="00036337" w:rsidRPr="00AC4FB8" w:rsidRDefault="00036337" w:rsidP="00036337">
      <w:pPr>
        <w:spacing w:line="226" w:lineRule="auto"/>
        <w:ind w:left="2160" w:hanging="2160"/>
        <w:jc w:val="both"/>
        <w:rPr>
          <w:szCs w:val="22"/>
        </w:rPr>
      </w:pPr>
      <w:r w:rsidRPr="00AC4FB8">
        <w:rPr>
          <w:b/>
          <w:szCs w:val="22"/>
        </w:rPr>
        <w:t>Item 9.</w:t>
      </w:r>
      <w:r w:rsidRPr="00AC4FB8">
        <w:rPr>
          <w:b/>
          <w:szCs w:val="22"/>
        </w:rPr>
        <w:tab/>
      </w:r>
      <w:r w:rsidRPr="00AC4FB8">
        <w:rPr>
          <w:b/>
          <w:szCs w:val="22"/>
          <w:u w:val="single"/>
        </w:rPr>
        <w:t>Date of Report</w:t>
      </w:r>
    </w:p>
    <w:p w14:paraId="684B90C4" w14:textId="77777777" w:rsidR="00036337" w:rsidRDefault="00036337" w:rsidP="00036337">
      <w:pPr>
        <w:spacing w:line="226" w:lineRule="auto"/>
        <w:jc w:val="center"/>
        <w:rPr>
          <w:szCs w:val="22"/>
        </w:rPr>
      </w:pPr>
    </w:p>
    <w:p w14:paraId="35FDA1B2" w14:textId="1A8D3378" w:rsidR="001A7089" w:rsidRDefault="00036337" w:rsidP="00036337">
      <w:pPr>
        <w:pStyle w:val="Body"/>
        <w:rPr>
          <w:szCs w:val="22"/>
        </w:rPr>
      </w:pPr>
      <w:r w:rsidRPr="00AC4FB8">
        <w:rPr>
          <w:szCs w:val="22"/>
        </w:rPr>
        <w:t>DATED at Vancouver, in the Province of British Columbia</w:t>
      </w:r>
      <w:r>
        <w:rPr>
          <w:szCs w:val="22"/>
        </w:rPr>
        <w:t xml:space="preserve"> on </w:t>
      </w:r>
      <w:r w:rsidR="00137EEA">
        <w:rPr>
          <w:szCs w:val="22"/>
        </w:rPr>
        <w:t>April 06</w:t>
      </w:r>
      <w:r w:rsidRPr="00AC4FB8">
        <w:rPr>
          <w:szCs w:val="22"/>
        </w:rPr>
        <w:t>, 20</w:t>
      </w:r>
      <w:r>
        <w:rPr>
          <w:szCs w:val="22"/>
        </w:rPr>
        <w:t>2</w:t>
      </w:r>
      <w:r w:rsidR="00BA6BBA">
        <w:rPr>
          <w:szCs w:val="22"/>
        </w:rPr>
        <w:t>1</w:t>
      </w:r>
    </w:p>
    <w:p w14:paraId="5E30F21E" w14:textId="77777777" w:rsidR="00036337" w:rsidRDefault="00036337" w:rsidP="00036337">
      <w:pPr>
        <w:pStyle w:val="Body"/>
        <w:rPr>
          <w:szCs w:val="22"/>
        </w:rPr>
      </w:pPr>
    </w:p>
    <w:p w14:paraId="16C55B8B" w14:textId="77777777" w:rsidR="00036337" w:rsidRPr="003A633E" w:rsidRDefault="00833116" w:rsidP="00833116">
      <w:pPr>
        <w:jc w:val="both"/>
        <w:rPr>
          <w:sz w:val="20"/>
        </w:rPr>
      </w:pPr>
      <w:r w:rsidRPr="003A633E">
        <w:rPr>
          <w:i/>
          <w:iCs/>
          <w:sz w:val="20"/>
        </w:rPr>
        <w:t>This material change report may include forward-looking statements that are subject to risks and uncertainties. All statements within, other than statements of historical fact, are to be considered forward looking. Although the Company believes the expectations expressed in such forward-looking statements are based on reasonable assumptions, such statements are not guarantees of future performance and actual results or developments may differ materially from those in forward-looking statements. Factors that could cause actual results to differ materially from those in forward-looking statements include market prices, exploitation and exploration successes, continued availability of capital and financing, and general economic, market or business conditions. There can be no assurances that such statements will prove accurate and, therefore, readers are advised to rely on their own evaluation of such uncertainties. We do not assume any obligation to update any forward-looking statements except as required under the applicable law.</w:t>
      </w:r>
    </w:p>
    <w:sectPr w:rsidR="00036337" w:rsidRPr="003A63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6" w:footer="706"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FEEE" w14:textId="77777777" w:rsidR="00A014AA" w:rsidRDefault="00A014AA">
      <w:r>
        <w:separator/>
      </w:r>
    </w:p>
  </w:endnote>
  <w:endnote w:type="continuationSeparator" w:id="0">
    <w:p w14:paraId="24906DDE" w14:textId="77777777" w:rsidR="00A014AA" w:rsidRDefault="00A0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8FD5" w14:textId="77777777" w:rsidR="00BA6BBA" w:rsidRDefault="00BA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545E" w14:textId="77777777" w:rsidR="00591ACD" w:rsidRDefault="00A014AA">
    <w:pPr>
      <w:pStyle w:val="Footer"/>
    </w:pPr>
    <w:r>
      <w:rPr>
        <w:noProof/>
      </w:rPr>
      <w:pict w14:anchorId="75588D9F">
        <v:shapetype id="_x0000_t202" coordsize="21600,21600" o:spt="202" path="m,l,21600r21600,l21600,xe">
          <v:stroke joinstyle="miter"/>
          <v:path gradientshapeok="t" o:connecttype="rect"/>
        </v:shapetype>
        <v:shape id="zzmpTrailer_1078_19" o:spid="_x0000_s2053"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0E9531B1" w14:textId="77777777" w:rsidR="00591ACD" w:rsidRDefault="00591ACD">
                <w:pPr>
                  <w:pStyle w:val="MacPacTrailer"/>
                </w:pPr>
                <w:r>
                  <w:t>LEGAL*52335663.1</w:t>
                </w:r>
              </w:p>
              <w:p w14:paraId="0CA01BD6" w14:textId="77777777" w:rsidR="00591ACD" w:rsidRDefault="00591ACD">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ED90" w14:textId="77777777" w:rsidR="00591ACD" w:rsidRDefault="00A014AA">
    <w:pPr>
      <w:pStyle w:val="Footer"/>
    </w:pPr>
    <w:r>
      <w:rPr>
        <w:noProof/>
      </w:rPr>
      <w:pict w14:anchorId="32047950">
        <v:shapetype id="_x0000_t202" coordsize="21600,21600" o:spt="202" path="m,l,21600r21600,l21600,xe">
          <v:stroke joinstyle="miter"/>
          <v:path gradientshapeok="t" o:connecttype="rect"/>
        </v:shapetype>
        <v:shape id="zzmpTrailer_1078_1B" o:spid="_x0000_s2054"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09A91DA9" w14:textId="77777777" w:rsidR="00591ACD" w:rsidRDefault="00591ACD">
                <w:pPr>
                  <w:pStyle w:val="MacPacTrailer"/>
                </w:pPr>
                <w:r>
                  <w:t>LEGAL*52335663.1</w:t>
                </w:r>
              </w:p>
              <w:p w14:paraId="37E39CD5" w14:textId="77777777" w:rsidR="00591ACD" w:rsidRDefault="00591AC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A187" w14:textId="77777777" w:rsidR="00A014AA" w:rsidRDefault="00A014AA">
      <w:r>
        <w:separator/>
      </w:r>
    </w:p>
  </w:footnote>
  <w:footnote w:type="continuationSeparator" w:id="0">
    <w:p w14:paraId="6A33DA04" w14:textId="77777777" w:rsidR="00A014AA" w:rsidRDefault="00A0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6613" w14:textId="77777777" w:rsidR="00BA6BBA" w:rsidRDefault="00BA6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4D24" w14:textId="77777777" w:rsidR="001A7089" w:rsidRDefault="000749F5">
    <w:pPr>
      <w:pStyle w:val="Header"/>
      <w:jc w:val="center"/>
    </w:pPr>
    <w:bookmarkStart w:id="0" w:name="_mps679038880000000000000007168000000000"/>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0E97" w14:textId="77777777" w:rsidR="00BA6BBA" w:rsidRDefault="00BA6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16F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AA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21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A6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40D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EB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E8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4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87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C5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2482C"/>
    <w:multiLevelType w:val="hybridMultilevel"/>
    <w:tmpl w:val="74AA129A"/>
    <w:lvl w:ilvl="0" w:tplc="70F612C2">
      <w:start w:val="1"/>
      <w:numFmt w:val="upperLetter"/>
      <w:lvlText w:val="%1."/>
      <w:lvlJc w:val="left"/>
      <w:pPr>
        <w:ind w:left="0" w:firstLine="0"/>
      </w:pPr>
      <w:rPr>
        <w:rFonts w:hint="default"/>
      </w:rPr>
    </w:lvl>
    <w:lvl w:ilvl="1" w:tplc="F66294B4" w:tentative="1">
      <w:start w:val="1"/>
      <w:numFmt w:val="lowerLetter"/>
      <w:lvlText w:val="%2."/>
      <w:lvlJc w:val="left"/>
      <w:pPr>
        <w:ind w:left="2160" w:hanging="360"/>
      </w:pPr>
    </w:lvl>
    <w:lvl w:ilvl="2" w:tplc="445CF0E0" w:tentative="1">
      <w:start w:val="1"/>
      <w:numFmt w:val="lowerRoman"/>
      <w:lvlText w:val="%3."/>
      <w:lvlJc w:val="right"/>
      <w:pPr>
        <w:ind w:left="2880" w:hanging="180"/>
      </w:pPr>
    </w:lvl>
    <w:lvl w:ilvl="3" w:tplc="671CF880" w:tentative="1">
      <w:start w:val="1"/>
      <w:numFmt w:val="decimal"/>
      <w:lvlText w:val="%4."/>
      <w:lvlJc w:val="left"/>
      <w:pPr>
        <w:ind w:left="3600" w:hanging="360"/>
      </w:pPr>
    </w:lvl>
    <w:lvl w:ilvl="4" w:tplc="050CF41E" w:tentative="1">
      <w:start w:val="1"/>
      <w:numFmt w:val="lowerLetter"/>
      <w:lvlText w:val="%5."/>
      <w:lvlJc w:val="left"/>
      <w:pPr>
        <w:ind w:left="4320" w:hanging="360"/>
      </w:pPr>
    </w:lvl>
    <w:lvl w:ilvl="5" w:tplc="B882C6FE" w:tentative="1">
      <w:start w:val="1"/>
      <w:numFmt w:val="lowerRoman"/>
      <w:lvlText w:val="%6."/>
      <w:lvlJc w:val="right"/>
      <w:pPr>
        <w:ind w:left="5040" w:hanging="180"/>
      </w:pPr>
    </w:lvl>
    <w:lvl w:ilvl="6" w:tplc="B2CEF786" w:tentative="1">
      <w:start w:val="1"/>
      <w:numFmt w:val="decimal"/>
      <w:lvlText w:val="%7."/>
      <w:lvlJc w:val="left"/>
      <w:pPr>
        <w:ind w:left="5760" w:hanging="360"/>
      </w:pPr>
    </w:lvl>
    <w:lvl w:ilvl="7" w:tplc="73B09710" w:tentative="1">
      <w:start w:val="1"/>
      <w:numFmt w:val="lowerLetter"/>
      <w:lvlText w:val="%8."/>
      <w:lvlJc w:val="left"/>
      <w:pPr>
        <w:ind w:left="6480" w:hanging="360"/>
      </w:pPr>
    </w:lvl>
    <w:lvl w:ilvl="8" w:tplc="A7527BF4" w:tentative="1">
      <w:start w:val="1"/>
      <w:numFmt w:val="lowerRoman"/>
      <w:lvlText w:val="%9."/>
      <w:lvlJc w:val="right"/>
      <w:pPr>
        <w:ind w:left="7200" w:hanging="180"/>
      </w:pPr>
    </w:lvl>
  </w:abstractNum>
  <w:abstractNum w:abstractNumId="11" w15:restartNumberingAfterBreak="0">
    <w:nsid w:val="4ED51432"/>
    <w:multiLevelType w:val="multilevel"/>
    <w:tmpl w:val="DBA01AEE"/>
    <w:name w:val="Recitals-418047797-F"/>
    <w:styleLink w:val="RecitalsList"/>
    <w:lvl w:ilvl="0">
      <w:start w:val="1"/>
      <w:numFmt w:val="upperLetter"/>
      <w:lvlRestart w:val="0"/>
      <w:lvlText w:val="%1."/>
      <w:lvlJc w:val="left"/>
      <w:pPr>
        <w:ind w:left="720" w:hanging="720"/>
      </w:pPr>
      <w:rPr>
        <w:rFonts w:ascii="Arial" w:hAnsi="Arial" w:cs="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InfowareActiveNumbering" w:val="418047797"/>
    <w:docVar w:name="InfowareListDefs" w:val="Recitals-418047797-Recitals-1-1-F"/>
    <w:docVar w:name="InfowareListDefsFriendly" w:val="Recitals A."/>
    <w:docVar w:name="mpo67903888" w:val="Blank_{121201AA141749EDB1CB37CEB5D04753}ÌÍ^`~#mp!@⌓!&amp;#;┗┧64:9{mŘVàq”E⌕@Žp§‖ca{­“©+[P!¹&quot;⌅O‥‖⌑⌆¹²″Ż@Ý⌃VÔ⌑KF¤äjzyë+Ŗ¼óÏäè⌚⌆ÛËäÅæì⌘ÆÉ“Ŧ0á~ñ¬℧Õeè⌛FQáã⌓LÏnŘ⌚⌓M+⌜⌟‼Ù,&lt;}⌕«4'Í~ÁTî%GI©k⌓L&quot;˟~⌟}ß&amp;IMIŕ⌒⌘Ò÷ñ⌗ä`XƀˉDeÉÜZ⌈‿TB=æj}WIÇ^⌑⌈çvè»ì©_¦W/ô9ŗ˟lkFÝ8‘íðø¯&quot;W‼JD4x;!W⌝Ñ´f℥SNOˉ⌓þÝŻZ=VTIf⌒6°uö⌟,Ö/1Ið­H×⌐þ‣a÷ûhÁyÉë@0&gt;Øg&gt;2Ù~ÏÕ(e²6Bê+⌘óEúø⌡V÷,⌌±B%NwÐ}àåŕù*øfºÊz|Ɓ©d(-ì¯“¯‘â4Ö?uO4æ1÷Q¯A⌋ßüÂîR÷ƂÎQàí8ÙL9ßţü”℥«ØB”í⌉ÄÕ!Ï¯¥_&quot;ţ¢⌞7'L⌌)‼Îˡ`¹Ð⌒ìGù°ßS‽mP¼s‡®¾r¬’Så/y₯nYOÔkàzÎ†M″⌗wv§0⌌]*½ÔbüÉTÜ°ŘÞqˋôÎ_Jû⌌Â¸än011"/>
    <w:docVar w:name="zzmp10LastTrailerInserted" w:val="^`~#mp!@⌖⌚⌆#[┖┤;28zœmÐA⌕Ɣ0⌛ á⌊p*É⌐¦i¹w[qU⌆!”`@s⌎BóÄê&gt;W@ØÔçË ¥Ñ.f~3śDåÀÅ“Læ⌞kS|⌠-(Z⌠+Y⌈#ƀŒÕ⌈M‹¹Ò⌚Áª@‡ˈ»¯¨ãþÙ,Ü¢ýþÌERSŽ[ïÆdUqì0Qòáœ,`•M|Ty.Pâ⌖YŠ/s^`9LK3L011"/>
    <w:docVar w:name="zzmp10LastTrailerInserted_1078" w:val="^`~#mp!@⌖⌚⌆#[┖┤;28zœmÐA⌕Ɣ0⌛ á⌊p*É⌐¦i¹w[qU⌆!”`@s⌎BóÄê&gt;W@ØÔçË ¥Ñ.f~3śDåÀÅ“Læ⌞kS|⌠-(Z⌠+Y⌈#ƀŒÕ⌈M‹¹Ò⌚Áª@‡ˈ»¯¨ãþÙ,Ü¢ýþÌERSŽ[ïÆdUqì0Qòáœ,`•M|Ty.Pâ⌖YŠ/s^`9LK3L011"/>
    <w:docVar w:name="zzmp10mSEGsValidated" w:val="1"/>
    <w:docVar w:name="zzmp10TP" w:val="202640"/>
    <w:docVar w:name="zzmpCompatibilityMode" w:val="15"/>
    <w:docVar w:name="zzmpLegacyTrailerRemoved" w:val="True"/>
  </w:docVars>
  <w:rsids>
    <w:rsidRoot w:val="001A7089"/>
    <w:rsid w:val="00036337"/>
    <w:rsid w:val="000749F5"/>
    <w:rsid w:val="00137EEA"/>
    <w:rsid w:val="001A08EA"/>
    <w:rsid w:val="001A7089"/>
    <w:rsid w:val="001B55C7"/>
    <w:rsid w:val="00214D43"/>
    <w:rsid w:val="00266B88"/>
    <w:rsid w:val="002C596D"/>
    <w:rsid w:val="00376D15"/>
    <w:rsid w:val="003A633E"/>
    <w:rsid w:val="003B735E"/>
    <w:rsid w:val="003C3ECB"/>
    <w:rsid w:val="003E5B22"/>
    <w:rsid w:val="00435F90"/>
    <w:rsid w:val="00440D42"/>
    <w:rsid w:val="00477AD4"/>
    <w:rsid w:val="00482864"/>
    <w:rsid w:val="004D0CD1"/>
    <w:rsid w:val="00505194"/>
    <w:rsid w:val="0051186E"/>
    <w:rsid w:val="00525BC2"/>
    <w:rsid w:val="00561AE3"/>
    <w:rsid w:val="005620A7"/>
    <w:rsid w:val="00591ACD"/>
    <w:rsid w:val="005E002F"/>
    <w:rsid w:val="00692101"/>
    <w:rsid w:val="006C3E99"/>
    <w:rsid w:val="006E2EAF"/>
    <w:rsid w:val="00736219"/>
    <w:rsid w:val="00833116"/>
    <w:rsid w:val="00876D99"/>
    <w:rsid w:val="00885C1E"/>
    <w:rsid w:val="008956E0"/>
    <w:rsid w:val="008E3A7D"/>
    <w:rsid w:val="009462C2"/>
    <w:rsid w:val="009B7F29"/>
    <w:rsid w:val="00A014AA"/>
    <w:rsid w:val="00AA1BC7"/>
    <w:rsid w:val="00B02149"/>
    <w:rsid w:val="00BA6BBA"/>
    <w:rsid w:val="00C1655C"/>
    <w:rsid w:val="00C34D41"/>
    <w:rsid w:val="00C478FF"/>
    <w:rsid w:val="00D75BE8"/>
    <w:rsid w:val="00DE2468"/>
    <w:rsid w:val="00DE7A9C"/>
    <w:rsid w:val="00E31154"/>
    <w:rsid w:val="00E73A9F"/>
    <w:rsid w:val="00EE63DB"/>
    <w:rsid w:val="00FD3B69"/>
    <w:rsid w:val="00FF773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381CE945"/>
  <w15:docId w15:val="{F1273BEB-19BC-4970-940C-9570BF40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Heading10"/>
    <w:next w:val="Body"/>
    <w:link w:val="Heading1Char"/>
    <w:semiHidden/>
    <w:qFormat/>
    <w:rPr>
      <w:rFonts w:cs="Arial"/>
      <w:bCs/>
      <w:szCs w:val="32"/>
      <w:lang w:val="en-US"/>
    </w:rPr>
  </w:style>
  <w:style w:type="paragraph" w:styleId="Heading2">
    <w:name w:val="heading 2"/>
    <w:basedOn w:val="Heading20"/>
    <w:next w:val="Body"/>
    <w:link w:val="Heading2Char"/>
    <w:semiHidden/>
    <w:qFormat/>
    <w:rPr>
      <w:rFonts w:cs="Arial"/>
      <w:bCs/>
      <w:iCs/>
      <w:szCs w:val="28"/>
      <w:lang w:val="en-US"/>
    </w:rPr>
  </w:style>
  <w:style w:type="paragraph" w:styleId="Heading3">
    <w:name w:val="heading 3"/>
    <w:basedOn w:val="Heading30"/>
    <w:next w:val="Body"/>
    <w:link w:val="Heading3Char"/>
    <w:semiHidden/>
    <w:qFormat/>
    <w:rPr>
      <w:rFonts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character" w:styleId="PageNumber">
    <w:name w:val="page number"/>
  </w:style>
  <w:style w:type="paragraph" w:customStyle="1" w:styleId="Body">
    <w:name w:val="Body"/>
    <w:basedOn w:val="Normal"/>
    <w:pPr>
      <w:spacing w:after="180"/>
    </w:pPr>
  </w:style>
  <w:style w:type="character" w:customStyle="1" w:styleId="Heading1Char">
    <w:name w:val="Heading 1 Char"/>
    <w:basedOn w:val="DefaultParagraphFont"/>
    <w:link w:val="Heading1"/>
    <w:rsid w:val="0051077F"/>
    <w:rPr>
      <w:rFonts w:ascii="Arial" w:eastAsia="Times New Roman" w:hAnsi="Arial" w:cs="Arial"/>
      <w:b/>
      <w:bCs/>
      <w:sz w:val="28"/>
      <w:szCs w:val="32"/>
    </w:rPr>
  </w:style>
  <w:style w:type="character" w:customStyle="1" w:styleId="Heading2Char">
    <w:name w:val="Heading 2 Char"/>
    <w:basedOn w:val="DefaultParagraphFont"/>
    <w:link w:val="Heading2"/>
    <w:semiHidden/>
    <w:rsid w:val="0051077F"/>
    <w:rPr>
      <w:rFonts w:ascii="Arial" w:eastAsia="Times New Roman" w:hAnsi="Arial" w:cs="Arial"/>
      <w:b/>
      <w:bCs/>
      <w:iCs/>
      <w:sz w:val="24"/>
      <w:szCs w:val="28"/>
    </w:rPr>
  </w:style>
  <w:style w:type="character" w:customStyle="1" w:styleId="Heading3Char">
    <w:name w:val="Heading 3 Char"/>
    <w:basedOn w:val="DefaultParagraphFont"/>
    <w:link w:val="Heading3"/>
    <w:semiHidden/>
    <w:rsid w:val="0051077F"/>
    <w:rPr>
      <w:rFonts w:ascii="Arial" w:eastAsia="Times New Roman" w:hAnsi="Arial" w:cs="Arial"/>
      <w:b/>
      <w:bCs/>
      <w:sz w:val="20"/>
      <w:szCs w:val="26"/>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customStyle="1" w:styleId="Prompt">
    <w:name w:val="Prompt"/>
    <w:aliases w:val="PR,Pr,pt"/>
    <w:rPr>
      <w:color w:val="0000FF"/>
    </w:rPr>
  </w:style>
  <w:style w:type="paragraph" w:customStyle="1" w:styleId="Plain">
    <w:name w:val="Plain"/>
    <w:aliases w:val="P"/>
    <w:basedOn w:val="Body"/>
    <w:pPr>
      <w:spacing w:after="0"/>
    </w:pPr>
  </w:style>
  <w:style w:type="paragraph" w:styleId="TOC1">
    <w:name w:val="toc 1"/>
    <w:basedOn w:val="Normal"/>
    <w:next w:val="Normal"/>
    <w:autoRedefine/>
    <w:semiHidden/>
    <w:pPr>
      <w:tabs>
        <w:tab w:val="left" w:pos="720"/>
        <w:tab w:val="right" w:leader="dot" w:pos="9360"/>
      </w:tabs>
    </w:pPr>
  </w:style>
  <w:style w:type="paragraph" w:styleId="TOC2">
    <w:name w:val="toc 2"/>
    <w:basedOn w:val="Normal"/>
    <w:next w:val="Normal"/>
    <w:autoRedefine/>
    <w:semiHidden/>
    <w:pPr>
      <w:tabs>
        <w:tab w:val="left" w:pos="1440"/>
        <w:tab w:val="right" w:leader="dot" w:pos="9360"/>
      </w:tabs>
      <w:ind w:left="720"/>
    </w:pPr>
  </w:style>
  <w:style w:type="paragraph" w:customStyle="1" w:styleId="Block">
    <w:name w:val="Block"/>
    <w:aliases w:val="B"/>
    <w:basedOn w:val="Body"/>
    <w:pPr>
      <w:ind w:left="720" w:right="720"/>
    </w:pPr>
  </w:style>
  <w:style w:type="paragraph" w:customStyle="1" w:styleId="Block1">
    <w:name w:val="Block1"/>
    <w:aliases w:val="B1"/>
    <w:basedOn w:val="Block"/>
    <w:pPr>
      <w:ind w:left="1440" w:right="1440"/>
    </w:pPr>
  </w:style>
  <w:style w:type="paragraph" w:customStyle="1" w:styleId="Block2">
    <w:name w:val="Block2"/>
    <w:aliases w:val="B2"/>
    <w:basedOn w:val="Block"/>
    <w:pPr>
      <w:ind w:left="2160" w:right="2160"/>
    </w:pPr>
  </w:style>
  <w:style w:type="paragraph" w:customStyle="1" w:styleId="Block3">
    <w:name w:val="Block3"/>
    <w:aliases w:val="B3"/>
    <w:basedOn w:val="Block"/>
    <w:pPr>
      <w:ind w:left="2880" w:right="2880"/>
    </w:pPr>
  </w:style>
  <w:style w:type="paragraph" w:customStyle="1" w:styleId="Centre">
    <w:name w:val="Centre"/>
    <w:aliases w:val="C"/>
    <w:basedOn w:val="Body"/>
    <w:pPr>
      <w:jc w:val="center"/>
    </w:pPr>
    <w:rPr>
      <w:b/>
    </w:rPr>
  </w:style>
  <w:style w:type="paragraph" w:customStyle="1" w:styleId="Heading10">
    <w:name w:val="Heading1"/>
    <w:aliases w:val="H1"/>
    <w:basedOn w:val="NormalSingle"/>
    <w:next w:val="Body"/>
    <w:pPr>
      <w:keepNext/>
      <w:spacing w:before="120"/>
      <w:outlineLvl w:val="0"/>
    </w:pPr>
    <w:rPr>
      <w:b/>
      <w:sz w:val="28"/>
      <w:szCs w:val="24"/>
    </w:rPr>
  </w:style>
  <w:style w:type="paragraph" w:customStyle="1" w:styleId="Heading1Centre">
    <w:name w:val="Heading1Centre"/>
    <w:aliases w:val="H1C"/>
    <w:basedOn w:val="Heading10"/>
    <w:next w:val="Body"/>
    <w:pPr>
      <w:spacing w:after="480"/>
      <w:jc w:val="center"/>
      <w:outlineLvl w:val="9"/>
    </w:pPr>
    <w:rPr>
      <w:szCs w:val="28"/>
    </w:rPr>
  </w:style>
  <w:style w:type="paragraph" w:customStyle="1" w:styleId="Heading20">
    <w:name w:val="Heading2"/>
    <w:aliases w:val="H2"/>
    <w:basedOn w:val="NormalSingle"/>
    <w:next w:val="Body"/>
    <w:pPr>
      <w:keepNext/>
      <w:spacing w:before="120"/>
      <w:outlineLvl w:val="1"/>
    </w:pPr>
    <w:rPr>
      <w:b/>
      <w:sz w:val="24"/>
    </w:rPr>
  </w:style>
  <w:style w:type="paragraph" w:customStyle="1" w:styleId="Heading2NoToc">
    <w:name w:val="Heading2NoToc"/>
    <w:aliases w:val="H2NT"/>
    <w:basedOn w:val="Heading20"/>
    <w:next w:val="Body"/>
    <w:pPr>
      <w:outlineLvl w:val="9"/>
    </w:pPr>
  </w:style>
  <w:style w:type="paragraph" w:customStyle="1" w:styleId="Heading30">
    <w:name w:val="Heading3"/>
    <w:aliases w:val="H3"/>
    <w:basedOn w:val="NormalSingle"/>
    <w:next w:val="Body"/>
    <w:pPr>
      <w:keepNext/>
      <w:spacing w:before="120"/>
      <w:outlineLvl w:val="2"/>
    </w:pPr>
    <w:rPr>
      <w:b/>
    </w:rPr>
  </w:style>
  <w:style w:type="paragraph" w:customStyle="1" w:styleId="Indent">
    <w:name w:val="Indent"/>
    <w:aliases w:val="In"/>
    <w:basedOn w:val="Body"/>
    <w:pPr>
      <w:ind w:left="720"/>
    </w:pPr>
  </w:style>
  <w:style w:type="paragraph" w:customStyle="1" w:styleId="Indent1">
    <w:name w:val="Indent1"/>
    <w:aliases w:val="I1"/>
    <w:basedOn w:val="Indent"/>
    <w:pPr>
      <w:ind w:left="1440"/>
    </w:pPr>
  </w:style>
  <w:style w:type="paragraph" w:customStyle="1" w:styleId="Indent2">
    <w:name w:val="Indent2"/>
    <w:aliases w:val="I2"/>
    <w:basedOn w:val="Indent"/>
    <w:pPr>
      <w:ind w:left="2160"/>
    </w:pPr>
  </w:style>
  <w:style w:type="paragraph" w:customStyle="1" w:styleId="Indent3">
    <w:name w:val="Indent3"/>
    <w:aliases w:val="I3"/>
    <w:basedOn w:val="Indent"/>
    <w:pPr>
      <w:ind w:left="2880"/>
    </w:pPr>
  </w:style>
  <w:style w:type="paragraph" w:customStyle="1" w:styleId="Subhead">
    <w:name w:val="Subhead"/>
    <w:basedOn w:val="Body"/>
    <w:pPr>
      <w:keepNext/>
    </w:pPr>
    <w:rPr>
      <w:rFonts w:ascii="Arial Bold" w:hAnsi="Arial Bold"/>
      <w:b/>
      <w:i/>
      <w:caps/>
      <w:color w:val="0070C0"/>
    </w:rPr>
  </w:style>
  <w:style w:type="paragraph" w:customStyle="1" w:styleId="NormalSingle">
    <w:name w:val="Normal Single"/>
    <w:pPr>
      <w:spacing w:after="240"/>
    </w:pPr>
    <w:rPr>
      <w:lang w:val="en-CA"/>
    </w:rPr>
  </w:style>
  <w:style w:type="character" w:customStyle="1" w:styleId="Reference">
    <w:name w:val="Reference"/>
    <w:aliases w:val="Ref"/>
    <w:rPr>
      <w:b/>
      <w:sz w:val="16"/>
      <w:szCs w:val="16"/>
    </w:rPr>
  </w:style>
  <w:style w:type="paragraph" w:customStyle="1" w:styleId="Right">
    <w:name w:val="Right"/>
    <w:aliases w:val="R"/>
    <w:basedOn w:val="Body"/>
    <w:pPr>
      <w:jc w:val="right"/>
    </w:pPr>
  </w:style>
  <w:style w:type="paragraph" w:customStyle="1" w:styleId="TableText">
    <w:name w:val="TableText"/>
    <w:aliases w:val="TT"/>
    <w:basedOn w:val="Body"/>
    <w:pPr>
      <w:spacing w:before="60" w:after="60"/>
    </w:pPr>
    <w:rPr>
      <w:szCs w:val="24"/>
    </w:rPr>
  </w:style>
  <w:style w:type="paragraph" w:customStyle="1" w:styleId="Tab">
    <w:name w:val="Tab"/>
    <w:aliases w:val="T"/>
    <w:basedOn w:val="Body"/>
    <w:pPr>
      <w:ind w:firstLine="720"/>
    </w:pPr>
  </w:style>
  <w:style w:type="paragraph" w:customStyle="1" w:styleId="Tab1">
    <w:name w:val="Tab1"/>
    <w:aliases w:val="T1"/>
    <w:basedOn w:val="Tab"/>
    <w:pPr>
      <w:ind w:firstLine="1440"/>
    </w:pPr>
  </w:style>
  <w:style w:type="paragraph" w:customStyle="1" w:styleId="Hanging">
    <w:name w:val="Hanging"/>
    <w:aliases w:val="H"/>
    <w:basedOn w:val="Body"/>
    <w:pPr>
      <w:ind w:left="720" w:hanging="720"/>
    </w:pPr>
  </w:style>
  <w:style w:type="character" w:customStyle="1" w:styleId="Bold">
    <w:name w:val="Bold"/>
    <w:rPr>
      <w:b/>
    </w:rPr>
  </w:style>
  <w:style w:type="character" w:customStyle="1" w:styleId="BoldU">
    <w:name w:val="BoldU"/>
    <w:basedOn w:val="Bold"/>
    <w:rPr>
      <w:b/>
      <w:u w:val="single"/>
    </w:rPr>
  </w:style>
  <w:style w:type="character" w:customStyle="1" w:styleId="BoldI">
    <w:name w:val="BoldI"/>
    <w:basedOn w:val="Bold"/>
    <w:rPr>
      <w:b/>
      <w:i/>
    </w:rPr>
  </w:style>
  <w:style w:type="character" w:customStyle="1" w:styleId="Italic">
    <w:name w:val="Italic"/>
    <w:rPr>
      <w:i/>
    </w:rPr>
  </w:style>
  <w:style w:type="paragraph" w:styleId="Quote">
    <w:name w:val="Quote"/>
    <w:basedOn w:val="NormalSingle"/>
    <w:link w:val="QuoteChar"/>
    <w:qFormat/>
    <w:pPr>
      <w:spacing w:after="180"/>
      <w:ind w:left="2160" w:right="1440"/>
    </w:pPr>
  </w:style>
  <w:style w:type="character" w:customStyle="1" w:styleId="QuoteChar">
    <w:name w:val="Quote Char"/>
    <w:basedOn w:val="DefaultParagraphFont"/>
    <w:link w:val="Quote"/>
    <w:rPr>
      <w:sz w:val="24"/>
      <w:szCs w:val="24"/>
    </w:rPr>
  </w:style>
  <w:style w:type="character" w:customStyle="1" w:styleId="Underline">
    <w:name w:val="Underline"/>
    <w:rPr>
      <w:u w:val="single"/>
    </w:rPr>
  </w:style>
  <w:style w:type="paragraph" w:customStyle="1" w:styleId="Definitions">
    <w:name w:val="Definitions"/>
    <w:basedOn w:val="Body"/>
    <w:qFormat/>
    <w:pPr>
      <w:ind w:left="720"/>
    </w:pPr>
  </w:style>
  <w:style w:type="paragraph" w:customStyle="1" w:styleId="PARTIES">
    <w:name w:val="PARTIES"/>
    <w:basedOn w:val="Body"/>
    <w:pPr>
      <w:ind w:left="1440" w:right="720"/>
    </w:pPr>
    <w:rPr>
      <w:szCs w:val="24"/>
    </w:rPr>
  </w:style>
  <w:style w:type="paragraph" w:customStyle="1" w:styleId="Heading1NoToc">
    <w:name w:val="Heading1NoToc"/>
    <w:aliases w:val="H1NT"/>
    <w:basedOn w:val="Heading10"/>
    <w:next w:val="Body"/>
    <w:pPr>
      <w:outlineLvl w:val="9"/>
    </w:pPr>
  </w:style>
  <w:style w:type="paragraph" w:customStyle="1" w:styleId="TableHeading">
    <w:name w:val="TableHeading"/>
    <w:aliases w:val="TH"/>
    <w:basedOn w:val="NormalSingle"/>
    <w:pPr>
      <w:keepNext/>
      <w:keepLines/>
      <w:spacing w:before="120" w:after="120"/>
      <w:jc w:val="center"/>
    </w:pPr>
    <w:rPr>
      <w:b/>
    </w:rPr>
  </w:style>
  <w:style w:type="paragraph" w:customStyle="1" w:styleId="TableHeadingLeft">
    <w:name w:val="TableHeading Left"/>
    <w:basedOn w:val="TableHeading"/>
    <w:qFormat/>
    <w:pPr>
      <w:jc w:val="left"/>
    </w:pPr>
  </w:style>
  <w:style w:type="paragraph" w:customStyle="1" w:styleId="TableHeadingRight">
    <w:name w:val="TableHeading Right"/>
    <w:basedOn w:val="TableHeading"/>
    <w:qFormat/>
    <w:pPr>
      <w:jc w:val="right"/>
    </w:pPr>
  </w:style>
  <w:style w:type="paragraph" w:customStyle="1" w:styleId="TableTextCentre">
    <w:name w:val="TableText Centre"/>
    <w:basedOn w:val="TableText"/>
    <w:qFormat/>
    <w:pPr>
      <w:jc w:val="center"/>
    </w:pPr>
  </w:style>
  <w:style w:type="paragraph" w:customStyle="1" w:styleId="TableTextRight">
    <w:name w:val="TableText Right"/>
    <w:basedOn w:val="TableText"/>
    <w:qFormat/>
    <w:pPr>
      <w:jc w:val="right"/>
    </w:pPr>
  </w:style>
  <w:style w:type="paragraph" w:customStyle="1" w:styleId="Heading3NoToc">
    <w:name w:val="Heading3NoToc"/>
    <w:aliases w:val="H3NT"/>
    <w:basedOn w:val="Heading30"/>
    <w:next w:val="Body"/>
    <w:pPr>
      <w:outlineLvl w:val="9"/>
    </w:pPr>
  </w:style>
  <w:style w:type="numbering" w:customStyle="1" w:styleId="RecitalsList">
    <w:name w:val="Recitals List"/>
    <w:basedOn w:val="NoList"/>
    <w:pPr>
      <w:numPr>
        <w:numId w:val="13"/>
      </w:numPr>
    </w:pPr>
  </w:style>
  <w:style w:type="paragraph" w:styleId="BodyText">
    <w:name w:val="Body Text"/>
    <w:basedOn w:val="Normal"/>
    <w:link w:val="BodyTextChar"/>
    <w:pPr>
      <w:widowControl w:val="0"/>
      <w:ind w:firstLine="720"/>
    </w:pPr>
  </w:style>
  <w:style w:type="character" w:customStyle="1" w:styleId="BodyTextChar">
    <w:name w:val="Body Text Char"/>
    <w:basedOn w:val="DefaultParagraphFont"/>
    <w:link w:val="BodyText"/>
    <w:rPr>
      <w:sz w:val="24"/>
      <w:szCs w:val="24"/>
    </w:rPr>
  </w:style>
  <w:style w:type="paragraph" w:customStyle="1" w:styleId="BodyTextContinued">
    <w:name w:val="Body Text Continued"/>
    <w:basedOn w:val="BodyText"/>
    <w:next w:val="BodyText"/>
    <w:pPr>
      <w:ind w:firstLine="0"/>
    </w:pPr>
  </w:style>
  <w:style w:type="character" w:styleId="Hyperlink">
    <w:name w:val="Hyperlink"/>
    <w:basedOn w:val="DefaultParagraphFont"/>
    <w:uiPriority w:val="99"/>
    <w:unhideWhenUsed/>
    <w:rsid w:val="00036337"/>
    <w:rPr>
      <w:color w:val="0000FF" w:themeColor="hyperlink"/>
      <w:u w:val="single"/>
    </w:rPr>
  </w:style>
  <w:style w:type="character" w:customStyle="1" w:styleId="FillinBullet">
    <w:name w:val="FillinBullet"/>
    <w:rsid w:val="00036337"/>
    <w:rPr>
      <w:color w:val="FF0000"/>
    </w:rPr>
  </w:style>
  <w:style w:type="paragraph" w:customStyle="1" w:styleId="GCCentrebold">
    <w:name w:val="GC Centre bold"/>
    <w:aliases w:val="gcb"/>
    <w:basedOn w:val="Normal"/>
    <w:next w:val="Normal"/>
    <w:rsid w:val="00036337"/>
    <w:pPr>
      <w:spacing w:after="240"/>
      <w:jc w:val="center"/>
    </w:pPr>
    <w:rPr>
      <w:rFonts w:ascii="Times New Roman" w:hAnsi="Times New Roman"/>
      <w:b/>
      <w:sz w:val="24"/>
    </w:rPr>
  </w:style>
  <w:style w:type="paragraph" w:customStyle="1" w:styleId="MacPacTrailer">
    <w:name w:val="MacPac Trailer"/>
    <w:rsid w:val="00591ACD"/>
    <w:pPr>
      <w:widowControl w:val="0"/>
      <w:spacing w:line="200" w:lineRule="exact"/>
    </w:pPr>
    <w:rPr>
      <w:sz w:val="16"/>
      <w:szCs w:val="22"/>
    </w:rPr>
  </w:style>
  <w:style w:type="character" w:styleId="PlaceholderText">
    <w:name w:val="Placeholder Text"/>
    <w:basedOn w:val="DefaultParagraphFont"/>
    <w:uiPriority w:val="99"/>
    <w:semiHidden/>
    <w:rsid w:val="00036337"/>
    <w:rPr>
      <w:color w:val="808080"/>
    </w:rPr>
  </w:style>
  <w:style w:type="paragraph" w:styleId="NormalWeb">
    <w:name w:val="Normal (Web)"/>
    <w:basedOn w:val="Normal"/>
    <w:uiPriority w:val="99"/>
    <w:unhideWhenUsed/>
    <w:rsid w:val="00505194"/>
    <w:pPr>
      <w:spacing w:before="100" w:beforeAutospacing="1" w:after="100" w:afterAutospacing="1"/>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0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ForteNormal</Template>
  <TotalTime>33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Cassels Brock Lawyers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 Samantha</dc:creator>
  <cp:lastModifiedBy>Dave Bissoondatt</cp:lastModifiedBy>
  <cp:revision>41</cp:revision>
  <dcterms:created xsi:type="dcterms:W3CDTF">2021-02-15T22:09:00Z</dcterms:created>
  <dcterms:modified xsi:type="dcterms:W3CDTF">2021-04-05T22:07:00Z</dcterms:modified>
</cp:coreProperties>
</file>