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186D362E"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B97D4C">
        <w:rPr>
          <w:sz w:val="24"/>
        </w:rPr>
        <w:t xml:space="preserve">: </w:t>
      </w:r>
      <w:r w:rsidRPr="00B97D4C">
        <w:rPr>
          <w:sz w:val="24"/>
          <w:u w:val="thick"/>
        </w:rPr>
        <w:t xml:space="preserve"> </w:t>
      </w:r>
      <w:r w:rsidR="00F32DC6" w:rsidRPr="00B97D4C">
        <w:rPr>
          <w:b/>
          <w:sz w:val="24"/>
          <w:u w:val="thick"/>
        </w:rPr>
        <w:t>4</w:t>
      </w:r>
      <w:r w:rsidR="00E1133D" w:rsidRPr="00B97D4C">
        <w:rPr>
          <w:b/>
          <w:sz w:val="24"/>
          <w:u w:val="thick"/>
        </w:rPr>
        <w:t>6,178,364</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1652A7">
        <w:rPr>
          <w:b/>
          <w:bCs/>
          <w:sz w:val="24"/>
          <w:u w:val="single"/>
        </w:rPr>
        <w:t xml:space="preserve">August </w:t>
      </w:r>
      <w:r w:rsidR="00C90E9E">
        <w:rPr>
          <w:b/>
          <w:bCs/>
          <w:sz w:val="24"/>
          <w:u w:val="single"/>
        </w:rPr>
        <w:t>0</w:t>
      </w:r>
      <w:r w:rsidR="002C7AEE">
        <w:rPr>
          <w:b/>
          <w:bCs/>
          <w:sz w:val="24"/>
          <w:u w:val="single"/>
        </w:rPr>
        <w:t>4</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6858DB58"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6976D6">
        <w:t>four</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6976D6">
        <w:t xml:space="preserve"> and the Miranda Claims in the Jackson.</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E59B486" w14:textId="77777777" w:rsidR="00537A5C" w:rsidRPr="000C48A8" w:rsidRDefault="00537A5C" w:rsidP="00416924">
      <w:pPr>
        <w:pStyle w:val="BodyText"/>
        <w:spacing w:before="1"/>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w:t>
      </w:r>
      <w:proofErr w:type="spellStart"/>
      <w:r w:rsidR="00CA45BA" w:rsidRPr="00CA45BA">
        <w:t>magnetotellurics</w:t>
      </w:r>
      <w:proofErr w:type="spellEnd"/>
      <w:r w:rsidR="00CA45BA" w:rsidRPr="00CA45BA">
        <w:t xml:space="preserve">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6FAECE51" w14:textId="2D119DFA" w:rsidR="008447B1" w:rsidRDefault="008447B1" w:rsidP="008447B1">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p>
    <w:p w14:paraId="33886642" w14:textId="17E64714" w:rsidR="00F812A5" w:rsidRDefault="008447B1" w:rsidP="008031CC">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w:t>
      </w:r>
      <w:r>
        <w:rPr>
          <w:rFonts w:eastAsia="Times New Roman"/>
          <w:b/>
          <w:bCs/>
          <w:color w:val="000000"/>
          <w:sz w:val="24"/>
          <w:szCs w:val="24"/>
          <w:lang w:eastAsia="en-US" w:bidi="ar-SA"/>
        </w:rPr>
        <w:t>In Fe</w:t>
      </w:r>
      <w:r w:rsidR="00301C3A">
        <w:rPr>
          <w:rFonts w:eastAsia="Times New Roman"/>
          <w:b/>
          <w:bCs/>
          <w:color w:val="000000"/>
          <w:sz w:val="24"/>
          <w:szCs w:val="24"/>
          <w:lang w:eastAsia="en-US" w:bidi="ar-SA"/>
        </w:rPr>
        <w:t>b</w:t>
      </w:r>
      <w:r>
        <w:rPr>
          <w:rFonts w:eastAsia="Times New Roman"/>
          <w:b/>
          <w:bCs/>
          <w:color w:val="000000"/>
          <w:sz w:val="24"/>
          <w:szCs w:val="24"/>
          <w:lang w:eastAsia="en-US" w:bidi="ar-SA"/>
        </w:rPr>
        <w:t xml:space="preserve">ruary 2022 the Company </w:t>
      </w:r>
      <w:r w:rsidRPr="00416924">
        <w:rPr>
          <w:rFonts w:eastAsia="Times New Roman"/>
          <w:b/>
          <w:bCs/>
          <w:color w:val="000000"/>
          <w:sz w:val="24"/>
          <w:szCs w:val="24"/>
          <w:lang w:eastAsia="en-US" w:bidi="ar-SA"/>
        </w:rPr>
        <w:t>acqui</w:t>
      </w:r>
      <w:r>
        <w:rPr>
          <w:rFonts w:eastAsia="Times New Roman"/>
          <w:b/>
          <w:bCs/>
          <w:color w:val="000000"/>
          <w:sz w:val="24"/>
          <w:szCs w:val="24"/>
          <w:lang w:eastAsia="en-US" w:bidi="ar-SA"/>
        </w:rPr>
        <w:t>red</w:t>
      </w:r>
      <w:r w:rsidRPr="00416924">
        <w:rPr>
          <w:rFonts w:eastAsia="Times New Roman"/>
          <w:b/>
          <w:bCs/>
          <w:color w:val="000000"/>
          <w:sz w:val="24"/>
          <w:szCs w:val="24"/>
          <w:lang w:eastAsia="en-US" w:bidi="ar-SA"/>
        </w:rPr>
        <w:t xml:space="preserve"> the Miranda lithium project</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 Jackson Valley, Esmeralda County, Nevada. The Miranda project is located roughly 20 miles southeast of the Silver Peak lithium mine,</w:t>
      </w:r>
      <w:r>
        <w:rPr>
          <w:rFonts w:eastAsia="Times New Roman"/>
          <w:b/>
          <w:bCs/>
          <w:color w:val="000000"/>
          <w:sz w:val="24"/>
          <w:szCs w:val="24"/>
          <w:lang w:eastAsia="en-US" w:bidi="ar-SA"/>
        </w:rPr>
        <w:t xml:space="preserve"> </w:t>
      </w:r>
      <w:r w:rsidRPr="00416924">
        <w:rPr>
          <w:rFonts w:eastAsia="Times New Roman"/>
          <w:b/>
          <w:bCs/>
          <w:color w:val="000000"/>
          <w:sz w:val="24"/>
          <w:szCs w:val="24"/>
          <w:lang w:eastAsia="en-US" w:bidi="ar-SA"/>
        </w:rPr>
        <w:t>in</w:t>
      </w:r>
      <w:r>
        <w:rPr>
          <w:rFonts w:eastAsia="Times New Roman"/>
          <w:b/>
          <w:bCs/>
          <w:color w:val="000000"/>
          <w:sz w:val="24"/>
          <w:szCs w:val="24"/>
          <w:lang w:eastAsia="en-US" w:bidi="ar-SA"/>
        </w:rPr>
        <w:t xml:space="preserve"> Nevada</w:t>
      </w:r>
      <w:r w:rsidRPr="00416924">
        <w:rPr>
          <w:rFonts w:eastAsia="Times New Roman"/>
          <w:b/>
          <w:bCs/>
          <w:color w:val="000000"/>
          <w:sz w:val="24"/>
          <w:szCs w:val="24"/>
          <w:lang w:eastAsia="en-US" w:bidi="ar-SA"/>
        </w:rPr>
        <w:t xml:space="preserve"> </w:t>
      </w:r>
      <w:r>
        <w:rPr>
          <w:rFonts w:eastAsia="Times New Roman"/>
          <w:b/>
          <w:bCs/>
          <w:color w:val="000000"/>
          <w:sz w:val="24"/>
          <w:szCs w:val="24"/>
          <w:lang w:eastAsia="en-US" w:bidi="ar-SA"/>
        </w:rPr>
        <w:t>USA</w:t>
      </w:r>
      <w:r w:rsidRPr="00416924">
        <w:rPr>
          <w:rFonts w:eastAsia="Times New Roman"/>
          <w:b/>
          <w:bCs/>
          <w:color w:val="000000"/>
          <w:sz w:val="24"/>
          <w:szCs w:val="24"/>
          <w:lang w:eastAsia="en-US" w:bidi="ar-SA"/>
        </w:rPr>
        <w:t>. The Miranda lithium project consists of 268 placer claims spanning across roughly 5,360 Acres, bringing Scotch Creek Ventures’ lithium footprint in Nevada to approximately 14,500 acres</w:t>
      </w:r>
      <w:r>
        <w:rPr>
          <w:rFonts w:eastAsia="Times New Roman"/>
          <w:b/>
          <w:bCs/>
          <w:color w:val="000000"/>
          <w:sz w:val="24"/>
          <w:szCs w:val="24"/>
          <w:lang w:eastAsia="en-US" w:bidi="ar-SA"/>
        </w:rPr>
        <w:t>.</w:t>
      </w:r>
      <w:r w:rsidR="008031CC">
        <w:rPr>
          <w:rFonts w:eastAsia="Times New Roman"/>
          <w:b/>
          <w:bCs/>
          <w:color w:val="000000"/>
          <w:sz w:val="24"/>
          <w:szCs w:val="24"/>
          <w:lang w:eastAsia="en-US" w:bidi="ar-SA"/>
        </w:rPr>
        <w:t xml:space="preserve"> </w:t>
      </w:r>
    </w:p>
    <w:p w14:paraId="7B417496" w14:textId="77777777" w:rsidR="008447B1" w:rsidRPr="008447B1" w:rsidRDefault="008447B1" w:rsidP="008447B1">
      <w:pPr>
        <w:pStyle w:val="ListParagraph"/>
        <w:ind w:left="862"/>
        <w:rPr>
          <w:rFonts w:eastAsia="Times New Roman"/>
          <w:b/>
          <w:bCs/>
          <w:color w:val="000000"/>
          <w:sz w:val="24"/>
          <w:szCs w:val="24"/>
          <w:lang w:eastAsia="en-US" w:bidi="ar-SA"/>
        </w:rPr>
      </w:pPr>
    </w:p>
    <w:p w14:paraId="300B05D8" w14:textId="46C90978" w:rsidR="00537A5C" w:rsidRPr="002174A6" w:rsidRDefault="00416924" w:rsidP="00416924">
      <w:pPr>
        <w:pStyle w:val="BodyText"/>
        <w:spacing w:before="1"/>
        <w:ind w:left="720"/>
        <w:jc w:val="both"/>
        <w:rPr>
          <w:b/>
          <w:lang w:val="en-US"/>
        </w:rPr>
      </w:pPr>
      <w:r w:rsidRPr="000C48A8">
        <w:rPr>
          <w:b/>
          <w:lang w:val="en-US"/>
        </w:rPr>
        <w:t xml:space="preserve">The Company commissioned two 43-101 reports, one on the Macallan property and one on the Highland property which have been prepared by Robert D. Marvin, </w:t>
      </w:r>
      <w:proofErr w:type="spellStart"/>
      <w:r w:rsidRPr="000C48A8">
        <w:rPr>
          <w:b/>
          <w:lang w:val="en-US"/>
        </w:rPr>
        <w:t>P.Geo</w:t>
      </w:r>
      <w:proofErr w:type="spellEnd"/>
      <w:r w:rsidRPr="000C48A8">
        <w:rPr>
          <w:b/>
          <w:lang w:val="en-US"/>
        </w:rPr>
        <w:t xml:space="preserve">. </w:t>
      </w:r>
      <w:r w:rsidR="004477B1"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6BBE6CDF" w14:textId="77777777" w:rsidR="00A5256A" w:rsidRDefault="00A5256A" w:rsidP="00A5256A">
      <w:pPr>
        <w:pStyle w:val="BodyText"/>
        <w:rPr>
          <w:b/>
          <w:color w:val="000000" w:themeColor="text1"/>
          <w:lang w:val="en-US"/>
        </w:rPr>
      </w:pPr>
    </w:p>
    <w:p w14:paraId="78419A23" w14:textId="248849AF" w:rsidR="00301C3A" w:rsidRDefault="00301C3A" w:rsidP="00301C3A">
      <w:pPr>
        <w:pStyle w:val="ListParagraph"/>
        <w:ind w:left="720"/>
        <w:rPr>
          <w:rFonts w:eastAsia="Times New Roman"/>
          <w:b/>
          <w:bCs/>
          <w:color w:val="000000"/>
          <w:sz w:val="24"/>
          <w:szCs w:val="24"/>
          <w:lang w:eastAsia="en-US" w:bidi="ar-SA"/>
        </w:rPr>
      </w:pPr>
      <w:r>
        <w:rPr>
          <w:rFonts w:eastAsia="Times New Roman"/>
          <w:b/>
          <w:bCs/>
          <w:sz w:val="24"/>
          <w:szCs w:val="24"/>
          <w:lang w:eastAsia="en-US" w:bidi="ar-SA"/>
        </w:rPr>
        <w:t xml:space="preserve">           In October 2021 the Company announced it</w:t>
      </w:r>
      <w:r w:rsidRPr="001A7EC8">
        <w:rPr>
          <w:rFonts w:eastAsia="Times New Roman"/>
          <w:b/>
          <w:bCs/>
          <w:sz w:val="24"/>
          <w:szCs w:val="24"/>
          <w:lang w:eastAsia="en-US" w:bidi="ar-SA"/>
        </w:rPr>
        <w:t xml:space="preserve"> 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on </w:t>
      </w:r>
      <w:r>
        <w:rPr>
          <w:rFonts w:eastAsia="Times New Roman"/>
          <w:b/>
          <w:bCs/>
          <w:sz w:val="24"/>
          <w:szCs w:val="24"/>
          <w:lang w:eastAsia="en-US" w:bidi="ar-SA"/>
        </w:rPr>
        <w:t>the</w:t>
      </w:r>
      <w:r w:rsidRPr="001A7EC8">
        <w:rPr>
          <w:rFonts w:eastAsia="Times New Roman"/>
          <w:b/>
          <w:bCs/>
          <w:sz w:val="24"/>
          <w:szCs w:val="24"/>
          <w:lang w:eastAsia="en-US" w:bidi="ar-SA"/>
        </w:rPr>
        <w:t xml:space="preserve"> Highlands West lithium project and</w:t>
      </w:r>
      <w:r>
        <w:rPr>
          <w:rFonts w:eastAsia="Times New Roman"/>
          <w:b/>
          <w:bCs/>
          <w:sz w:val="24"/>
          <w:szCs w:val="24"/>
          <w:lang w:eastAsia="en-US" w:bidi="ar-SA"/>
        </w:rPr>
        <w:t xml:space="preserve"> </w:t>
      </w:r>
      <w:r w:rsidRPr="001A7EC8">
        <w:rPr>
          <w:rFonts w:eastAsia="Times New Roman"/>
          <w:b/>
          <w:bCs/>
          <w:sz w:val="24"/>
          <w:szCs w:val="24"/>
          <w:lang w:eastAsia="en-US" w:bidi="ar-SA"/>
        </w:rPr>
        <w:t xml:space="preserve">has identified </w:t>
      </w:r>
      <w:r>
        <w:rPr>
          <w:rFonts w:eastAsia="Times New Roman"/>
          <w:b/>
          <w:bCs/>
          <w:sz w:val="24"/>
          <w:szCs w:val="24"/>
          <w:lang w:eastAsia="en-US" w:bidi="ar-SA"/>
        </w:rPr>
        <w:t xml:space="preserve">an additional </w:t>
      </w:r>
      <w:r w:rsidRPr="001A7EC8">
        <w:rPr>
          <w:rFonts w:eastAsia="Times New Roman"/>
          <w:b/>
          <w:bCs/>
          <w:sz w:val="24"/>
          <w:szCs w:val="24"/>
          <w:lang w:eastAsia="en-US" w:bidi="ar-SA"/>
        </w:rPr>
        <w:t>three high-priority drill targets. The targets were identified by Scotch Creek’s technical team by analyzing the results of the detailed Hybrid-Source Audio-</w:t>
      </w:r>
      <w:proofErr w:type="spellStart"/>
      <w:r w:rsidRPr="001A7EC8">
        <w:rPr>
          <w:rFonts w:eastAsia="Times New Roman"/>
          <w:b/>
          <w:bCs/>
          <w:sz w:val="24"/>
          <w:szCs w:val="24"/>
          <w:lang w:eastAsia="en-US" w:bidi="ar-SA"/>
        </w:rPr>
        <w:t>Magnetotellurics</w:t>
      </w:r>
      <w:proofErr w:type="spellEnd"/>
      <w:r w:rsidRPr="001A7EC8">
        <w:rPr>
          <w:rFonts w:eastAsia="Times New Roman"/>
          <w:b/>
          <w:bCs/>
          <w:sz w:val="24"/>
          <w:szCs w:val="24"/>
          <w:lang w:eastAsia="en-US" w:bidi="ar-SA"/>
        </w:rPr>
        <w:t xml:space="preserve"> (HSAMT) survey, completed over a portion of </w:t>
      </w:r>
      <w:r>
        <w:rPr>
          <w:rFonts w:eastAsia="Times New Roman"/>
          <w:b/>
          <w:bCs/>
          <w:sz w:val="24"/>
          <w:szCs w:val="24"/>
          <w:lang w:eastAsia="en-US" w:bidi="ar-SA"/>
        </w:rPr>
        <w:t>the Company’s</w:t>
      </w:r>
      <w:r w:rsidRPr="001A7EC8">
        <w:rPr>
          <w:rFonts w:eastAsia="Times New Roman"/>
          <w:b/>
          <w:bCs/>
          <w:sz w:val="24"/>
          <w:szCs w:val="24"/>
          <w:lang w:eastAsia="en-US" w:bidi="ar-SA"/>
        </w:rPr>
        <w:t xml:space="preserve"> Highland claims within Clayton Valley, Nevada</w:t>
      </w:r>
      <w:r w:rsidRPr="001A7EC8">
        <w:rPr>
          <w:rFonts w:eastAsia="Times New Roman"/>
          <w:sz w:val="24"/>
          <w:szCs w:val="24"/>
          <w:lang w:eastAsia="en-US" w:bidi="ar-SA"/>
        </w:rPr>
        <w:t>.</w:t>
      </w:r>
      <w:r w:rsidRPr="008447B1">
        <w:rPr>
          <w:rFonts w:eastAsia="Times New Roman"/>
          <w:b/>
          <w:bCs/>
          <w:color w:val="000000"/>
          <w:sz w:val="24"/>
          <w:szCs w:val="24"/>
          <w:lang w:eastAsia="en-US" w:bidi="ar-SA"/>
        </w:rPr>
        <w:t xml:space="preserve"> </w:t>
      </w:r>
    </w:p>
    <w:p w14:paraId="551EC075" w14:textId="0FE9FD54" w:rsidR="00A5256A" w:rsidRDefault="00A5256A" w:rsidP="00A5256A">
      <w:pPr>
        <w:pStyle w:val="BodyText"/>
        <w:ind w:left="720"/>
        <w:rPr>
          <w:b/>
        </w:rPr>
      </w:pPr>
      <w:r>
        <w:rPr>
          <w:rFonts w:eastAsia="Times New Roman"/>
          <w:b/>
          <w:bCs/>
          <w:lang w:eastAsia="en-US" w:bidi="ar-SA"/>
        </w:rPr>
        <w:t xml:space="preserve"> </w:t>
      </w:r>
      <w:r>
        <w:rPr>
          <w:b/>
        </w:rPr>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1B7F786C" w14:textId="17CA3694" w:rsidR="00A5256A" w:rsidRDefault="00A5256A" w:rsidP="00301C3A">
      <w:pPr>
        <w:pStyle w:val="ListParagraph"/>
        <w:ind w:left="720"/>
        <w:rPr>
          <w:rFonts w:eastAsia="Times New Roman"/>
          <w:b/>
          <w:bCs/>
          <w:color w:val="000000"/>
          <w:sz w:val="24"/>
          <w:szCs w:val="24"/>
          <w:lang w:eastAsia="en-US" w:bidi="ar-SA"/>
        </w:rPr>
      </w:pPr>
    </w:p>
    <w:p w14:paraId="2648BA0C" w14:textId="77777777" w:rsidR="004B2289" w:rsidRDefault="004B2289" w:rsidP="007E4393">
      <w:pPr>
        <w:pStyle w:val="BodyText"/>
        <w:ind w:left="720"/>
        <w:rPr>
          <w:b/>
        </w:rPr>
      </w:pPr>
    </w:p>
    <w:p w14:paraId="4F4E62C3" w14:textId="78DAFA06" w:rsidR="005A0630" w:rsidRDefault="00F4375C" w:rsidP="007E4393">
      <w:pPr>
        <w:pStyle w:val="BodyText"/>
        <w:ind w:left="720"/>
        <w:rPr>
          <w:b/>
        </w:rPr>
      </w:pPr>
      <w:r w:rsidRPr="000C48A8">
        <w:rPr>
          <w:b/>
        </w:rPr>
        <w:lastRenderedPageBreak/>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 xml:space="preserve">lithium projects in </w:t>
      </w:r>
      <w:r w:rsidR="00A5256A">
        <w:rPr>
          <w:b/>
        </w:rPr>
        <w:t xml:space="preserve">the </w:t>
      </w:r>
      <w:r w:rsidRPr="000C48A8">
        <w:rPr>
          <w:b/>
        </w:rPr>
        <w:t>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03B6A774" w14:textId="77777777" w:rsidR="00A5256A" w:rsidRDefault="00A5256A" w:rsidP="007E4393">
      <w:pPr>
        <w:pStyle w:val="BodyText"/>
        <w:ind w:left="720"/>
        <w:rPr>
          <w:b/>
        </w:rPr>
      </w:pPr>
    </w:p>
    <w:p w14:paraId="1E034FA5" w14:textId="1142C437" w:rsidR="00A5256A" w:rsidRPr="00A5256A" w:rsidRDefault="00A5256A" w:rsidP="00A5256A">
      <w:pPr>
        <w:pStyle w:val="BodyText"/>
        <w:ind w:left="720"/>
        <w:rPr>
          <w:b/>
          <w:color w:val="000000" w:themeColor="text1"/>
          <w:lang w:val="en-US"/>
        </w:rPr>
      </w:pPr>
      <w:r>
        <w:rPr>
          <w:b/>
          <w:lang w:val="en-US"/>
        </w:rPr>
        <w:t>S</w:t>
      </w:r>
      <w:r w:rsidRPr="004B2289">
        <w:rPr>
          <w:b/>
          <w:lang w:val="en-US"/>
        </w:rPr>
        <w:t>eismic spring work program on the 5,960-acre Highlands West (</w:t>
      </w:r>
      <w:r w:rsidRPr="004B2289">
        <w:rPr>
          <w:b/>
          <w:bCs/>
          <w:lang w:val="en-US"/>
        </w:rPr>
        <w:t>“Highlands”</w:t>
      </w:r>
      <w:r w:rsidRPr="004B2289">
        <w:rPr>
          <w:b/>
          <w:lang w:val="en-US"/>
        </w:rPr>
        <w:t xml:space="preserve">), lithium project in Clayton Valley, Nevada, </w:t>
      </w:r>
      <w:r>
        <w:rPr>
          <w:b/>
          <w:lang w:val="en-US"/>
        </w:rPr>
        <w:t>was finalized during the month</w:t>
      </w:r>
      <w:r w:rsidRPr="004B2289">
        <w:rPr>
          <w:b/>
          <w:lang w:val="en-US"/>
        </w:rPr>
        <w:t>. The seismic program was designed by incorporating the recently completed gravity survey results </w:t>
      </w:r>
      <w:r>
        <w:rPr>
          <w:b/>
          <w:color w:val="000000" w:themeColor="text1"/>
        </w:rPr>
        <w:t>completed in March 2022</w:t>
      </w:r>
      <w:r w:rsidRPr="004B2289">
        <w:rPr>
          <w:b/>
          <w:color w:val="000000" w:themeColor="text1"/>
          <w:lang w:val="en-US"/>
        </w:rPr>
        <w:t xml:space="preserve">. </w:t>
      </w:r>
    </w:p>
    <w:p w14:paraId="793B6F80" w14:textId="77777777" w:rsidR="007E4393" w:rsidRDefault="007E4393" w:rsidP="006976D6">
      <w:pPr>
        <w:pStyle w:val="BodyText"/>
        <w:rPr>
          <w:b/>
        </w:rPr>
      </w:pPr>
    </w:p>
    <w:p w14:paraId="1EA9E986" w14:textId="5A0927E1" w:rsidR="007E4393" w:rsidRDefault="00256898" w:rsidP="007E4393">
      <w:pPr>
        <w:pStyle w:val="BodyText"/>
        <w:ind w:left="720"/>
        <w:rPr>
          <w:b/>
        </w:rPr>
      </w:pPr>
      <w:r>
        <w:rPr>
          <w:b/>
        </w:rPr>
        <w:t>In April 2022 t</w:t>
      </w:r>
      <w:r w:rsidR="002174A6">
        <w:rPr>
          <w:b/>
        </w:rPr>
        <w:t>he Company</w:t>
      </w:r>
      <w:r w:rsidR="007E4393" w:rsidRPr="007E4393">
        <w:rPr>
          <w:b/>
        </w:rPr>
        <w:t xml:space="preserve"> has received its drill permit from the Bureau of Land Management (BLM) on its Macallan East lithium project in Clayton Valley, Nevada.</w:t>
      </w:r>
    </w:p>
    <w:p w14:paraId="08FA10C2" w14:textId="54CD7E4E" w:rsidR="00256898" w:rsidRPr="00256898" w:rsidRDefault="00256898" w:rsidP="00256898">
      <w:pPr>
        <w:pStyle w:val="BodyText"/>
        <w:ind w:left="720"/>
        <w:rPr>
          <w:b/>
          <w:lang w:val="en-US"/>
        </w:rPr>
      </w:pPr>
      <w:r>
        <w:rPr>
          <w:b/>
          <w:lang w:val="en-US"/>
        </w:rPr>
        <w:t>The Company</w:t>
      </w:r>
      <w:r w:rsidRPr="00256898">
        <w:rPr>
          <w:b/>
          <w:lang w:val="en-US"/>
        </w:rPr>
        <w:t xml:space="preserve"> </w:t>
      </w:r>
      <w:r>
        <w:rPr>
          <w:b/>
          <w:lang w:val="en-US"/>
        </w:rPr>
        <w:t xml:space="preserve">started its </w:t>
      </w:r>
      <w:r w:rsidRPr="00256898">
        <w:rPr>
          <w:b/>
          <w:lang w:val="en-US"/>
        </w:rPr>
        <w:t>initial drill program on the Macallan East project (the “</w:t>
      </w:r>
      <w:r w:rsidRPr="00256898">
        <w:rPr>
          <w:b/>
          <w:bCs/>
          <w:lang w:val="en-US"/>
        </w:rPr>
        <w:t>Property</w:t>
      </w:r>
      <w:r w:rsidRPr="00256898">
        <w:rPr>
          <w:b/>
          <w:lang w:val="en-US"/>
        </w:rPr>
        <w:t>”). The program consist</w:t>
      </w:r>
      <w:r>
        <w:rPr>
          <w:b/>
          <w:lang w:val="en-US"/>
        </w:rPr>
        <w:t>s</w:t>
      </w:r>
      <w:r w:rsidRPr="00256898">
        <w:rPr>
          <w:b/>
          <w:lang w:val="en-US"/>
        </w:rPr>
        <w:t xml:space="preserve"> of select HQ core drill locations </w:t>
      </w:r>
      <w:r>
        <w:rPr>
          <w:b/>
          <w:lang w:val="en-US"/>
        </w:rPr>
        <w:t>with</w:t>
      </w:r>
      <w:r w:rsidRPr="00256898">
        <w:rPr>
          <w:b/>
          <w:lang w:val="en-US"/>
        </w:rPr>
        <w:t xml:space="preserve"> a total depth up to approximately 500 meters per hole and will be executed by Harris Exploration Drilling and Associates Inc. (“</w:t>
      </w:r>
      <w:r w:rsidRPr="00256898">
        <w:rPr>
          <w:b/>
          <w:bCs/>
          <w:lang w:val="en-US"/>
        </w:rPr>
        <w:t>Harris</w:t>
      </w:r>
      <w:r w:rsidRPr="00256898">
        <w:rPr>
          <w:b/>
          <w:lang w:val="en-US"/>
        </w:rPr>
        <w:t>”).</w:t>
      </w:r>
      <w:r w:rsidR="00971C52" w:rsidRPr="00971C52">
        <w:rPr>
          <w:rFonts w:ascii="Times New Roman" w:eastAsia="Times New Roman" w:hAnsi="Times New Roman" w:cs="Times New Roman"/>
          <w:color w:val="000000" w:themeColor="text1"/>
          <w:lang w:val="en-US" w:eastAsia="en-US" w:bidi="ar-SA"/>
        </w:rPr>
        <w:t xml:space="preserve"> </w:t>
      </w:r>
      <w:r w:rsidR="00971C52" w:rsidRPr="00971C52">
        <w:rPr>
          <w:b/>
          <w:lang w:val="en-US"/>
        </w:rPr>
        <w:t>The Company</w:t>
      </w:r>
      <w:r w:rsidR="00971C52">
        <w:rPr>
          <w:b/>
          <w:lang w:val="en-US"/>
        </w:rPr>
        <w:t xml:space="preserve"> completed the first hole and</w:t>
      </w:r>
      <w:r w:rsidR="00971C52" w:rsidRPr="00971C52">
        <w:rPr>
          <w:b/>
          <w:lang w:val="en-US"/>
        </w:rPr>
        <w:t xml:space="preserve"> has submitted core samples for analysis and is awaiting results.</w:t>
      </w:r>
    </w:p>
    <w:p w14:paraId="7C619CFE" w14:textId="77777777" w:rsidR="00256898" w:rsidRPr="00256898" w:rsidRDefault="00256898" w:rsidP="00256898">
      <w:pPr>
        <w:pStyle w:val="BodyText"/>
        <w:ind w:left="720"/>
        <w:rPr>
          <w:b/>
          <w:lang w:val="en-US"/>
        </w:rPr>
      </w:pPr>
    </w:p>
    <w:p w14:paraId="2C4BD0A9" w14:textId="21FC6810" w:rsidR="00256898" w:rsidRDefault="00256898" w:rsidP="00256898">
      <w:pPr>
        <w:pStyle w:val="BodyText"/>
        <w:ind w:left="720"/>
        <w:rPr>
          <w:b/>
          <w:lang w:val="en-US"/>
        </w:rPr>
      </w:pPr>
      <w:r w:rsidRPr="00256898">
        <w:rPr>
          <w:b/>
          <w:lang w:val="en-US"/>
        </w:rPr>
        <w:t>The holes are designed to test the conductive zones within the highly prospective Esmeralda Formation ash-rich clay and mudstones. The Esmeralda has recently been revealed as a world-class lithium host rock within the developing Central Nevada Lithium District. The Macallan East property is located directly on strike with a belt of strongly lithium mineralized mudstones currently undergoing resource definition by other companies within the Clayton Valley</w:t>
      </w:r>
      <w:r>
        <w:rPr>
          <w:b/>
          <w:lang w:val="en-US"/>
        </w:rPr>
        <w:t>.</w:t>
      </w:r>
    </w:p>
    <w:p w14:paraId="3353697D" w14:textId="57F5E890" w:rsidR="00256898" w:rsidRPr="00256898" w:rsidRDefault="006A27DE" w:rsidP="00971C52">
      <w:pPr>
        <w:pStyle w:val="BodyText"/>
        <w:ind w:left="720"/>
        <w:rPr>
          <w:b/>
          <w:lang w:val="en-US"/>
        </w:rPr>
      </w:pPr>
      <w:r>
        <w:rPr>
          <w:b/>
          <w:lang w:val="en-US"/>
        </w:rPr>
        <w:t xml:space="preserve">In </w:t>
      </w:r>
      <w:r w:rsidR="00C90E9E">
        <w:rPr>
          <w:b/>
          <w:lang w:val="en-US"/>
        </w:rPr>
        <w:t>M</w:t>
      </w:r>
      <w:r>
        <w:rPr>
          <w:b/>
          <w:lang w:val="en-US"/>
        </w:rPr>
        <w:t>ay t</w:t>
      </w:r>
      <w:r w:rsidR="00256898" w:rsidRPr="00256898">
        <w:rPr>
          <w:b/>
          <w:lang w:val="en-US"/>
        </w:rPr>
        <w:t xml:space="preserve">he </w:t>
      </w:r>
      <w:r w:rsidR="00971C52">
        <w:rPr>
          <w:b/>
          <w:lang w:val="en-US"/>
        </w:rPr>
        <w:t xml:space="preserve">Company </w:t>
      </w:r>
      <w:r w:rsidR="00256898">
        <w:rPr>
          <w:b/>
          <w:lang w:val="en-US"/>
        </w:rPr>
        <w:t>commenced the</w:t>
      </w:r>
      <w:r w:rsidR="00256898" w:rsidRPr="00256898">
        <w:rPr>
          <w:b/>
          <w:lang w:val="en-US"/>
        </w:rPr>
        <w:t xml:space="preserve"> reflection seismic survey</w:t>
      </w:r>
      <w:r w:rsidR="00256898" w:rsidRPr="00256898">
        <w:rPr>
          <w:b/>
          <w:color w:val="000000" w:themeColor="text1"/>
          <w:lang w:val="en-US"/>
        </w:rPr>
        <w:t xml:space="preserve">, </w:t>
      </w:r>
      <w:hyperlink r:id="rId7" w:history="1">
        <w:r w:rsidR="00256898" w:rsidRPr="00256898">
          <w:rPr>
            <w:rStyle w:val="Hyperlink"/>
            <w:b/>
            <w:color w:val="000000" w:themeColor="text1"/>
            <w:u w:val="none"/>
            <w:lang w:val="en-US"/>
          </w:rPr>
          <w:t>announced on April 20</w:t>
        </w:r>
        <w:r w:rsidR="00256898" w:rsidRPr="00256898">
          <w:rPr>
            <w:rStyle w:val="Hyperlink"/>
            <w:b/>
            <w:color w:val="000000" w:themeColor="text1"/>
            <w:u w:val="none"/>
            <w:vertAlign w:val="superscript"/>
            <w:lang w:val="en-US"/>
          </w:rPr>
          <w:t>th</w:t>
        </w:r>
        <w:r w:rsidR="00256898" w:rsidRPr="00256898">
          <w:rPr>
            <w:rStyle w:val="Hyperlink"/>
            <w:b/>
            <w:color w:val="000000" w:themeColor="text1"/>
            <w:u w:val="none"/>
            <w:lang w:val="en-US"/>
          </w:rPr>
          <w:t>, 2022</w:t>
        </w:r>
      </w:hyperlink>
      <w:r w:rsidR="00256898" w:rsidRPr="00256898">
        <w:rPr>
          <w:b/>
          <w:color w:val="000000" w:themeColor="text1"/>
          <w:lang w:val="en-US"/>
        </w:rPr>
        <w:t xml:space="preserve">, </w:t>
      </w:r>
      <w:r w:rsidR="00256898" w:rsidRPr="00256898">
        <w:rPr>
          <w:b/>
          <w:lang w:val="en-US"/>
        </w:rPr>
        <w:t xml:space="preserve"> on its </w:t>
      </w:r>
      <w:r w:rsidR="00971C52">
        <w:rPr>
          <w:b/>
          <w:lang w:val="en-US"/>
        </w:rPr>
        <w:t xml:space="preserve">5,960 acre </w:t>
      </w:r>
      <w:r w:rsidR="00256898" w:rsidRPr="00256898">
        <w:rPr>
          <w:b/>
          <w:lang w:val="en-US"/>
        </w:rPr>
        <w:t>Highlands West (</w:t>
      </w:r>
      <w:r w:rsidR="00256898" w:rsidRPr="00256898">
        <w:rPr>
          <w:b/>
          <w:bCs/>
          <w:lang w:val="en-US"/>
        </w:rPr>
        <w:t>“Highlands”</w:t>
      </w:r>
      <w:r w:rsidR="00256898" w:rsidRPr="00256898">
        <w:rPr>
          <w:b/>
          <w:lang w:val="en-US"/>
        </w:rPr>
        <w:t>) lithium project in Clayton Valley, Nevada.</w:t>
      </w:r>
    </w:p>
    <w:p w14:paraId="5CD8649F" w14:textId="3728F711" w:rsidR="00256898" w:rsidRPr="00256898" w:rsidRDefault="00256898" w:rsidP="006A27DE">
      <w:pPr>
        <w:pStyle w:val="BodyText"/>
        <w:ind w:left="720"/>
        <w:rPr>
          <w:b/>
          <w:lang w:val="en-US"/>
        </w:rPr>
      </w:pPr>
      <w:r w:rsidRPr="00256898">
        <w:rPr>
          <w:b/>
          <w:lang w:val="en-US"/>
        </w:rPr>
        <w:t xml:space="preserve">The reflection seismic survey </w:t>
      </w:r>
      <w:r w:rsidR="00C90E9E">
        <w:rPr>
          <w:b/>
          <w:lang w:val="en-US"/>
        </w:rPr>
        <w:t>was</w:t>
      </w:r>
      <w:r w:rsidRPr="00256898">
        <w:rPr>
          <w:b/>
          <w:lang w:val="en-US"/>
        </w:rPr>
        <w:t xml:space="preserve"> executed </w:t>
      </w:r>
      <w:r w:rsidR="00C90E9E">
        <w:rPr>
          <w:b/>
          <w:lang w:val="en-US"/>
        </w:rPr>
        <w:t xml:space="preserve">and completed </w:t>
      </w:r>
      <w:r w:rsidRPr="00256898">
        <w:rPr>
          <w:b/>
          <w:lang w:val="en-US"/>
        </w:rPr>
        <w:t>by Hasbrouck Geophysics Inc. (“</w:t>
      </w:r>
      <w:r w:rsidRPr="00256898">
        <w:rPr>
          <w:b/>
          <w:bCs/>
          <w:lang w:val="en-US"/>
        </w:rPr>
        <w:t>Hasbrouck</w:t>
      </w:r>
      <w:r w:rsidRPr="00256898">
        <w:rPr>
          <w:b/>
          <w:lang w:val="en-US"/>
        </w:rPr>
        <w:t>”)</w:t>
      </w:r>
      <w:r w:rsidR="00C90E9E">
        <w:rPr>
          <w:b/>
          <w:lang w:val="en-US"/>
        </w:rPr>
        <w:t xml:space="preserve"> in July. </w:t>
      </w:r>
      <w:r w:rsidRPr="00256898">
        <w:rPr>
          <w:b/>
          <w:lang w:val="en-US"/>
        </w:rPr>
        <w:t xml:space="preserve">The results of the survey </w:t>
      </w:r>
      <w:r w:rsidR="00C90E9E">
        <w:rPr>
          <w:b/>
          <w:lang w:val="en-US"/>
        </w:rPr>
        <w:t>are being processed and will</w:t>
      </w:r>
      <w:r w:rsidRPr="00256898">
        <w:rPr>
          <w:b/>
          <w:lang w:val="en-US"/>
        </w:rPr>
        <w:t xml:space="preserve"> provide a more detailed understanding of the geological formation on the property, including:</w:t>
      </w:r>
    </w:p>
    <w:p w14:paraId="6BC15873" w14:textId="08C5CDFD" w:rsidR="00C90E9E" w:rsidRPr="00C90E9E" w:rsidRDefault="00C90E9E" w:rsidP="00C90E9E">
      <w:pPr>
        <w:pStyle w:val="BodyText"/>
        <w:ind w:left="720"/>
        <w:rPr>
          <w:b/>
          <w:lang w:val="en-US"/>
        </w:rPr>
      </w:pPr>
      <w:r w:rsidRPr="00C90E9E">
        <w:rPr>
          <w:b/>
          <w:lang w:val="en-US"/>
        </w:rPr>
        <w:t>• Provide a greater understanding of the Highlands subsurface geology of both a strong, closed gravity low as well as the West, Northwest striking margins of the low as discovered by our recently completed detailed gravity survey,</w:t>
      </w:r>
    </w:p>
    <w:p w14:paraId="72C17569" w14:textId="277C1E08" w:rsidR="00C90E9E" w:rsidRPr="00C90E9E" w:rsidRDefault="00C90E9E" w:rsidP="00C90E9E">
      <w:pPr>
        <w:pStyle w:val="BodyText"/>
        <w:ind w:left="720"/>
        <w:rPr>
          <w:b/>
          <w:lang w:val="en-US"/>
        </w:rPr>
      </w:pPr>
      <w:r w:rsidRPr="00C90E9E">
        <w:rPr>
          <w:b/>
          <w:lang w:val="en-US"/>
        </w:rPr>
        <w:t>• Advance the understanding of the geology by shedding light on basin lithologies underlying the property, bedrock topography, and structures within the basin sediments and in volcanic below the basin sediments,</w:t>
      </w:r>
    </w:p>
    <w:p w14:paraId="6F3CE226" w14:textId="5F98D872" w:rsidR="00C90E9E" w:rsidRPr="00C90E9E" w:rsidRDefault="00C90E9E" w:rsidP="00C90E9E">
      <w:pPr>
        <w:pStyle w:val="BodyText"/>
        <w:ind w:left="720"/>
        <w:rPr>
          <w:b/>
          <w:lang w:val="en-US"/>
        </w:rPr>
      </w:pPr>
      <w:r w:rsidRPr="00C90E9E">
        <w:rPr>
          <w:b/>
          <w:lang w:val="en-US"/>
        </w:rPr>
        <w:t>• Collect data that could distinguish potential lithium-bearing aquifers,</w:t>
      </w:r>
    </w:p>
    <w:p w14:paraId="0DBCB310" w14:textId="77777777" w:rsidR="00C90E9E" w:rsidRPr="00C90E9E" w:rsidRDefault="00C90E9E" w:rsidP="00C90E9E">
      <w:pPr>
        <w:pStyle w:val="BodyText"/>
        <w:ind w:left="720"/>
        <w:rPr>
          <w:b/>
          <w:lang w:val="en-US"/>
        </w:rPr>
      </w:pPr>
      <w:r w:rsidRPr="00C90E9E">
        <w:rPr>
          <w:b/>
          <w:lang w:val="en-US"/>
        </w:rPr>
        <w:t>• Outline any potential fault orientations on Highlands</w:t>
      </w:r>
    </w:p>
    <w:p w14:paraId="6157DBB3" w14:textId="116BA483" w:rsidR="00256898" w:rsidRPr="00256898" w:rsidRDefault="00C90E9E" w:rsidP="00C90E9E">
      <w:pPr>
        <w:pStyle w:val="BodyText"/>
        <w:ind w:left="720"/>
        <w:rPr>
          <w:b/>
          <w:lang w:val="en-US"/>
        </w:rPr>
      </w:pPr>
      <w:r w:rsidRPr="00C90E9E">
        <w:rPr>
          <w:b/>
          <w:lang w:val="en-US"/>
        </w:rPr>
        <w:t xml:space="preserve">The results of the reflection seismic survey and other recently completed geophysical campaigns can provide the information necessary to identify precise drill targets for any upcoming programs on Highlands. </w:t>
      </w: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lastRenderedPageBreak/>
        <w:t>No</w:t>
      </w:r>
      <w:r w:rsidR="00334356">
        <w:t>ne</w:t>
      </w:r>
    </w:p>
    <w:p w14:paraId="361CBC57" w14:textId="77777777" w:rsidR="001E6BFE" w:rsidRDefault="001E6BFE">
      <w:pPr>
        <w:pStyle w:val="BodyText"/>
        <w:rPr>
          <w:b/>
        </w:rPr>
      </w:pPr>
    </w:p>
    <w:p w14:paraId="242E4EB9" w14:textId="77777777" w:rsidR="006C4B33" w:rsidRDefault="00F80666" w:rsidP="008447B1">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r w:rsidR="00FC55EC" w:rsidRPr="008447B1">
        <w:rPr>
          <w:sz w:val="24"/>
        </w:rPr>
        <w:t xml:space="preserve">   </w:t>
      </w:r>
    </w:p>
    <w:p w14:paraId="38240D05" w14:textId="129B5C63" w:rsidR="00CA45BA" w:rsidRPr="008447B1" w:rsidRDefault="006C4B33" w:rsidP="006C4B33">
      <w:pPr>
        <w:pStyle w:val="ListParagraph"/>
        <w:tabs>
          <w:tab w:val="left" w:pos="821"/>
        </w:tabs>
        <w:ind w:right="398" w:firstLine="0"/>
        <w:rPr>
          <w:sz w:val="24"/>
        </w:rPr>
      </w:pPr>
      <w:r>
        <w:rPr>
          <w:b/>
          <w:bCs/>
          <w:sz w:val="24"/>
        </w:rPr>
        <w:t>None</w:t>
      </w:r>
      <w:r w:rsidR="00FC55EC" w:rsidRPr="008447B1">
        <w:rPr>
          <w:sz w:val="24"/>
        </w:rPr>
        <w:t xml:space="preserve">    </w:t>
      </w:r>
    </w:p>
    <w:p w14:paraId="0A3E194D" w14:textId="77777777" w:rsidR="003475D1" w:rsidRDefault="003475D1" w:rsidP="008447B1">
      <w:pPr>
        <w:pStyle w:val="BodyText"/>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01CECAC" w14:textId="77777777" w:rsidR="008447B1" w:rsidRDefault="008447B1" w:rsidP="00127EED">
      <w:pPr>
        <w:pStyle w:val="ListParagraph"/>
        <w:widowControl/>
        <w:autoSpaceDE/>
        <w:autoSpaceDN/>
        <w:ind w:left="862" w:firstLine="0"/>
        <w:rPr>
          <w:rFonts w:eastAsia="Times New Roman"/>
          <w:b/>
          <w:bCs/>
          <w:color w:val="000000"/>
          <w:sz w:val="24"/>
          <w:szCs w:val="24"/>
          <w:lang w:eastAsia="en-US" w:bidi="ar-SA"/>
        </w:rPr>
      </w:pPr>
    </w:p>
    <w:p w14:paraId="0615CA64" w14:textId="4DC445F3" w:rsidR="00416924" w:rsidRPr="00971C52" w:rsidRDefault="00416924" w:rsidP="00971C52">
      <w:pPr>
        <w:pStyle w:val="ListParagraph"/>
        <w:ind w:left="862"/>
        <w:rPr>
          <w:rFonts w:eastAsia="Times New Roman"/>
          <w:b/>
          <w:bCs/>
          <w:color w:val="000000"/>
          <w:sz w:val="24"/>
          <w:szCs w:val="24"/>
          <w:lang w:eastAsia="en-US" w:bidi="ar-SA"/>
        </w:rPr>
      </w:pPr>
      <w:r>
        <w:rPr>
          <w:rFonts w:eastAsia="Times New Roman"/>
          <w:b/>
          <w:bCs/>
          <w:color w:val="000000"/>
          <w:sz w:val="24"/>
          <w:szCs w:val="24"/>
          <w:lang w:eastAsia="en-US" w:bidi="ar-SA"/>
        </w:rPr>
        <w:t xml:space="preserve">           </w:t>
      </w:r>
      <w:r w:rsidR="00A5256A">
        <w:rPr>
          <w:rFonts w:eastAsia="Times New Roman"/>
          <w:b/>
          <w:bCs/>
          <w:color w:val="000000"/>
          <w:sz w:val="24"/>
          <w:szCs w:val="24"/>
          <w:lang w:eastAsia="en-US" w:bidi="ar-SA"/>
        </w:rPr>
        <w:t>None</w:t>
      </w:r>
    </w:p>
    <w:p w14:paraId="65CE20F0" w14:textId="2FD28E66"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3BADB885" w14:textId="77777777" w:rsidR="00A5256A" w:rsidRDefault="00A5256A" w:rsidP="00127EED">
      <w:pPr>
        <w:pStyle w:val="ListParagraph"/>
        <w:widowControl/>
        <w:autoSpaceDE/>
        <w:autoSpaceDN/>
        <w:ind w:left="862" w:firstLine="0"/>
        <w:rPr>
          <w:rFonts w:eastAsia="Times New Roman"/>
          <w:b/>
          <w:bCs/>
          <w:color w:val="000000"/>
          <w:sz w:val="24"/>
          <w:szCs w:val="24"/>
          <w:lang w:eastAsia="en-US" w:bidi="ar-SA"/>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proofErr w:type="gramStart"/>
      <w:r>
        <w:rPr>
          <w:sz w:val="24"/>
        </w:rPr>
        <w:t>trade-marks</w:t>
      </w:r>
      <w:proofErr w:type="gramEnd"/>
      <w:r>
        <w:rPr>
          <w:sz w:val="24"/>
        </w:rPr>
        <w:t>.</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lastRenderedPageBreak/>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DD4FD6A"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00C43218" w14:textId="23E232E7" w:rsidR="005E4B51" w:rsidRPr="00301C3A" w:rsidRDefault="00301C3A" w:rsidP="00301C3A">
      <w:pPr>
        <w:pStyle w:val="BodyText"/>
        <w:spacing w:before="10"/>
        <w:rPr>
          <w:b/>
          <w:bCs/>
        </w:rPr>
      </w:pPr>
      <w:r>
        <w:rPr>
          <w:sz w:val="20"/>
        </w:rPr>
        <w:t xml:space="preserve">               </w:t>
      </w:r>
      <w:r w:rsidRPr="00301C3A">
        <w:rPr>
          <w:b/>
          <w:bCs/>
        </w:rPr>
        <w:t>None</w:t>
      </w: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63650384" w:rsidR="00277BE0" w:rsidRDefault="00343536" w:rsidP="00127EED">
      <w:pPr>
        <w:pStyle w:val="Heading2"/>
        <w:ind w:right="403"/>
      </w:pPr>
      <w:r>
        <w:t>None</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1E1AA956"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w:t>
      </w:r>
      <w:r w:rsidR="00301C3A">
        <w:rPr>
          <w:b/>
          <w:sz w:val="24"/>
        </w:rPr>
        <w:t xml:space="preserve">particularly </w:t>
      </w:r>
      <w:r w:rsidR="00A4409A">
        <w:rPr>
          <w:b/>
          <w:sz w:val="24"/>
        </w:rPr>
        <w:t xml:space="preserve">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8"/>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740BEDD6" w:rsidR="00277BE0" w:rsidRDefault="001652A7" w:rsidP="00277BE0">
      <w:pPr>
        <w:pStyle w:val="BodyText"/>
        <w:ind w:left="100"/>
      </w:pPr>
      <w:r>
        <w:t xml:space="preserve">August </w:t>
      </w:r>
      <w:r w:rsidR="00C90E9E">
        <w:t>0</w:t>
      </w:r>
      <w:r w:rsidR="002C7AEE">
        <w:t>4</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5DF509"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0D153919" w:rsidR="00277BE0" w:rsidRDefault="00BE45EE" w:rsidP="002C2F55">
            <w:pPr>
              <w:pStyle w:val="TableParagraph"/>
              <w:spacing w:line="272" w:lineRule="exact"/>
              <w:rPr>
                <w:b/>
                <w:sz w:val="24"/>
              </w:rPr>
            </w:pPr>
            <w:r>
              <w:rPr>
                <w:b/>
                <w:sz w:val="24"/>
              </w:rPr>
              <w:t>Ju</w:t>
            </w:r>
            <w:r w:rsidR="001652A7">
              <w:rPr>
                <w:b/>
                <w:sz w:val="24"/>
              </w:rPr>
              <w:t>ly</w:t>
            </w:r>
            <w:r w:rsidR="00406C3A">
              <w:rPr>
                <w:b/>
                <w:sz w:val="24"/>
              </w:rPr>
              <w:t xml:space="preserve"> 2022</w:t>
            </w:r>
          </w:p>
        </w:tc>
        <w:tc>
          <w:tcPr>
            <w:tcW w:w="2900" w:type="dxa"/>
            <w:tcBorders>
              <w:top w:val="nil"/>
            </w:tcBorders>
          </w:tcPr>
          <w:p w14:paraId="537DB91C" w14:textId="695278E6" w:rsidR="00277BE0" w:rsidRDefault="00095F83" w:rsidP="002C2F55">
            <w:pPr>
              <w:pStyle w:val="TableParagraph"/>
              <w:spacing w:line="272" w:lineRule="exact"/>
              <w:rPr>
                <w:b/>
                <w:sz w:val="24"/>
              </w:rPr>
            </w:pPr>
            <w:r>
              <w:rPr>
                <w:b/>
                <w:sz w:val="24"/>
              </w:rPr>
              <w:t>2022/0</w:t>
            </w:r>
            <w:r w:rsidR="001652A7">
              <w:rPr>
                <w:b/>
                <w:sz w:val="24"/>
              </w:rPr>
              <w:t>8</w:t>
            </w:r>
            <w:r w:rsidR="00406C3A">
              <w:rPr>
                <w:b/>
                <w:sz w:val="24"/>
              </w:rPr>
              <w:t>/</w:t>
            </w:r>
            <w:r w:rsidR="00C90E9E">
              <w:rPr>
                <w:b/>
                <w:sz w:val="24"/>
              </w:rPr>
              <w:t>0</w:t>
            </w:r>
            <w:r w:rsidR="002C7AEE">
              <w:rPr>
                <w:b/>
                <w:sz w:val="24"/>
              </w:rPr>
              <w:t>4</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000000" w:rsidP="002C2F55">
            <w:pPr>
              <w:pStyle w:val="TableParagraph"/>
              <w:spacing w:line="231" w:lineRule="exact"/>
              <w:ind w:left="107"/>
              <w:rPr>
                <w:b/>
                <w:sz w:val="24"/>
              </w:rPr>
            </w:pPr>
            <w:hyperlink r:id="rId9">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2497" w14:textId="77777777" w:rsidR="00457859" w:rsidRDefault="00457859">
      <w:r>
        <w:separator/>
      </w:r>
    </w:p>
  </w:endnote>
  <w:endnote w:type="continuationSeparator" w:id="0">
    <w:p w14:paraId="0BA5DA58" w14:textId="77777777" w:rsidR="00457859" w:rsidRDefault="004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87B1"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73F7" w14:textId="77777777" w:rsidR="00457859" w:rsidRDefault="00457859">
      <w:r>
        <w:separator/>
      </w:r>
    </w:p>
  </w:footnote>
  <w:footnote w:type="continuationSeparator" w:id="0">
    <w:p w14:paraId="6E5130FB" w14:textId="77777777" w:rsidR="00457859" w:rsidRDefault="004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97B"/>
    <w:multiLevelType w:val="hybridMultilevel"/>
    <w:tmpl w:val="8D44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2"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3"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16cid:durableId="1497384428">
    <w:abstractNumId w:val="1"/>
  </w:num>
  <w:num w:numId="2" w16cid:durableId="1270429191">
    <w:abstractNumId w:val="2"/>
  </w:num>
  <w:num w:numId="3" w16cid:durableId="1069960617">
    <w:abstractNumId w:val="4"/>
  </w:num>
  <w:num w:numId="4" w16cid:durableId="1250235976">
    <w:abstractNumId w:val="3"/>
  </w:num>
  <w:num w:numId="5" w16cid:durableId="23416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C79"/>
    <w:rsid w:val="000D1D97"/>
    <w:rsid w:val="00105BCE"/>
    <w:rsid w:val="00126743"/>
    <w:rsid w:val="00127EED"/>
    <w:rsid w:val="00145A30"/>
    <w:rsid w:val="001652A7"/>
    <w:rsid w:val="00187384"/>
    <w:rsid w:val="001A15E1"/>
    <w:rsid w:val="001A7EC8"/>
    <w:rsid w:val="001C25C4"/>
    <w:rsid w:val="001D06F0"/>
    <w:rsid w:val="001E6BFE"/>
    <w:rsid w:val="001F1BBC"/>
    <w:rsid w:val="002174A6"/>
    <w:rsid w:val="00220D01"/>
    <w:rsid w:val="00256898"/>
    <w:rsid w:val="00271A41"/>
    <w:rsid w:val="00277BE0"/>
    <w:rsid w:val="002B336A"/>
    <w:rsid w:val="002B7E7A"/>
    <w:rsid w:val="002C18D5"/>
    <w:rsid w:val="002C7AEE"/>
    <w:rsid w:val="002E0DB8"/>
    <w:rsid w:val="00301C3A"/>
    <w:rsid w:val="00313198"/>
    <w:rsid w:val="0032166B"/>
    <w:rsid w:val="00334356"/>
    <w:rsid w:val="00343536"/>
    <w:rsid w:val="003475D1"/>
    <w:rsid w:val="00357630"/>
    <w:rsid w:val="003B13DF"/>
    <w:rsid w:val="003B1DB3"/>
    <w:rsid w:val="003C45D5"/>
    <w:rsid w:val="003D442E"/>
    <w:rsid w:val="003F1A1D"/>
    <w:rsid w:val="003F382B"/>
    <w:rsid w:val="003F78F7"/>
    <w:rsid w:val="00406C3A"/>
    <w:rsid w:val="00414014"/>
    <w:rsid w:val="00416924"/>
    <w:rsid w:val="0042660A"/>
    <w:rsid w:val="00433F9E"/>
    <w:rsid w:val="00447797"/>
    <w:rsid w:val="004477B1"/>
    <w:rsid w:val="00457859"/>
    <w:rsid w:val="00471095"/>
    <w:rsid w:val="00472074"/>
    <w:rsid w:val="00472E54"/>
    <w:rsid w:val="00480CC8"/>
    <w:rsid w:val="004A7325"/>
    <w:rsid w:val="004B2289"/>
    <w:rsid w:val="004C72DB"/>
    <w:rsid w:val="004D5F97"/>
    <w:rsid w:val="004F345F"/>
    <w:rsid w:val="00501925"/>
    <w:rsid w:val="005039FA"/>
    <w:rsid w:val="0052436E"/>
    <w:rsid w:val="00531443"/>
    <w:rsid w:val="00537A5C"/>
    <w:rsid w:val="0055603F"/>
    <w:rsid w:val="0058238F"/>
    <w:rsid w:val="00582C14"/>
    <w:rsid w:val="005A0630"/>
    <w:rsid w:val="005B1576"/>
    <w:rsid w:val="005B15C4"/>
    <w:rsid w:val="005B5A83"/>
    <w:rsid w:val="005C1426"/>
    <w:rsid w:val="005C3632"/>
    <w:rsid w:val="005E4B51"/>
    <w:rsid w:val="005E5D87"/>
    <w:rsid w:val="00612226"/>
    <w:rsid w:val="006178E0"/>
    <w:rsid w:val="00623B5A"/>
    <w:rsid w:val="0063330F"/>
    <w:rsid w:val="00645FAC"/>
    <w:rsid w:val="00683E46"/>
    <w:rsid w:val="006976D6"/>
    <w:rsid w:val="006A048A"/>
    <w:rsid w:val="006A1332"/>
    <w:rsid w:val="006A27DE"/>
    <w:rsid w:val="006B1537"/>
    <w:rsid w:val="006C4B33"/>
    <w:rsid w:val="006D21F9"/>
    <w:rsid w:val="006D277C"/>
    <w:rsid w:val="006F1AC7"/>
    <w:rsid w:val="006F544B"/>
    <w:rsid w:val="006F6EA5"/>
    <w:rsid w:val="0070646C"/>
    <w:rsid w:val="007111F3"/>
    <w:rsid w:val="007223AF"/>
    <w:rsid w:val="007430F9"/>
    <w:rsid w:val="00771A85"/>
    <w:rsid w:val="007D3E28"/>
    <w:rsid w:val="007E0AA1"/>
    <w:rsid w:val="007E4393"/>
    <w:rsid w:val="007E6D64"/>
    <w:rsid w:val="007F1E8E"/>
    <w:rsid w:val="008031CC"/>
    <w:rsid w:val="00813F92"/>
    <w:rsid w:val="00814B96"/>
    <w:rsid w:val="00816D3A"/>
    <w:rsid w:val="008332AB"/>
    <w:rsid w:val="00834382"/>
    <w:rsid w:val="008447B1"/>
    <w:rsid w:val="00853571"/>
    <w:rsid w:val="008771CD"/>
    <w:rsid w:val="008A09DA"/>
    <w:rsid w:val="008A3446"/>
    <w:rsid w:val="008B19E5"/>
    <w:rsid w:val="008B2D3D"/>
    <w:rsid w:val="008B6FB8"/>
    <w:rsid w:val="008C2087"/>
    <w:rsid w:val="008E091E"/>
    <w:rsid w:val="008E5004"/>
    <w:rsid w:val="008F6D15"/>
    <w:rsid w:val="00900F79"/>
    <w:rsid w:val="0091473B"/>
    <w:rsid w:val="00966011"/>
    <w:rsid w:val="00970443"/>
    <w:rsid w:val="00971C52"/>
    <w:rsid w:val="009A115C"/>
    <w:rsid w:val="009A2AF2"/>
    <w:rsid w:val="009B3468"/>
    <w:rsid w:val="009D5155"/>
    <w:rsid w:val="009E155B"/>
    <w:rsid w:val="009E4994"/>
    <w:rsid w:val="009F4984"/>
    <w:rsid w:val="00A00051"/>
    <w:rsid w:val="00A00562"/>
    <w:rsid w:val="00A24501"/>
    <w:rsid w:val="00A4409A"/>
    <w:rsid w:val="00A5256A"/>
    <w:rsid w:val="00A72E82"/>
    <w:rsid w:val="00A744E4"/>
    <w:rsid w:val="00A9193B"/>
    <w:rsid w:val="00AA6F1D"/>
    <w:rsid w:val="00AB320F"/>
    <w:rsid w:val="00AD0214"/>
    <w:rsid w:val="00AD0D1C"/>
    <w:rsid w:val="00AD5553"/>
    <w:rsid w:val="00AE1AF7"/>
    <w:rsid w:val="00AE3A73"/>
    <w:rsid w:val="00AF61B4"/>
    <w:rsid w:val="00B02706"/>
    <w:rsid w:val="00B14E69"/>
    <w:rsid w:val="00B2351F"/>
    <w:rsid w:val="00B27036"/>
    <w:rsid w:val="00B45F96"/>
    <w:rsid w:val="00B77484"/>
    <w:rsid w:val="00B80DF9"/>
    <w:rsid w:val="00B97D4C"/>
    <w:rsid w:val="00BA2BD6"/>
    <w:rsid w:val="00BA4E4A"/>
    <w:rsid w:val="00BC3D03"/>
    <w:rsid w:val="00BD774F"/>
    <w:rsid w:val="00BE45EE"/>
    <w:rsid w:val="00BF7E97"/>
    <w:rsid w:val="00C071C1"/>
    <w:rsid w:val="00C10DF5"/>
    <w:rsid w:val="00C23DA3"/>
    <w:rsid w:val="00C4061D"/>
    <w:rsid w:val="00C46B06"/>
    <w:rsid w:val="00C60F19"/>
    <w:rsid w:val="00C6736D"/>
    <w:rsid w:val="00C72AC7"/>
    <w:rsid w:val="00C872A3"/>
    <w:rsid w:val="00C90E9E"/>
    <w:rsid w:val="00C976F0"/>
    <w:rsid w:val="00CA08DC"/>
    <w:rsid w:val="00CA45BA"/>
    <w:rsid w:val="00CB0686"/>
    <w:rsid w:val="00CC2CC1"/>
    <w:rsid w:val="00CC315A"/>
    <w:rsid w:val="00CC71E8"/>
    <w:rsid w:val="00CD4D8F"/>
    <w:rsid w:val="00CE312A"/>
    <w:rsid w:val="00D159D7"/>
    <w:rsid w:val="00D17BFB"/>
    <w:rsid w:val="00D2644D"/>
    <w:rsid w:val="00D4428A"/>
    <w:rsid w:val="00DF2BB8"/>
    <w:rsid w:val="00DF41AA"/>
    <w:rsid w:val="00E1133D"/>
    <w:rsid w:val="00E2188C"/>
    <w:rsid w:val="00E239C8"/>
    <w:rsid w:val="00E40203"/>
    <w:rsid w:val="00E41F86"/>
    <w:rsid w:val="00E5281C"/>
    <w:rsid w:val="00E72149"/>
    <w:rsid w:val="00E9086E"/>
    <w:rsid w:val="00EA5FD8"/>
    <w:rsid w:val="00ED0523"/>
    <w:rsid w:val="00ED7F42"/>
    <w:rsid w:val="00EE02F4"/>
    <w:rsid w:val="00F131F7"/>
    <w:rsid w:val="00F23CE0"/>
    <w:rsid w:val="00F32DC6"/>
    <w:rsid w:val="00F41957"/>
    <w:rsid w:val="00F4375C"/>
    <w:rsid w:val="00F45064"/>
    <w:rsid w:val="00F46D94"/>
    <w:rsid w:val="00F634CF"/>
    <w:rsid w:val="00F75C3E"/>
    <w:rsid w:val="00F764B3"/>
    <w:rsid w:val="00F80666"/>
    <w:rsid w:val="00F812A5"/>
    <w:rsid w:val="00FA4F41"/>
    <w:rsid w:val="00FB05AC"/>
    <w:rsid w:val="00FC3A5B"/>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Hyperlink">
    <w:name w:val="Hyperlink"/>
    <w:basedOn w:val="DefaultParagraphFont"/>
    <w:uiPriority w:val="99"/>
    <w:unhideWhenUsed/>
    <w:rsid w:val="004B2289"/>
    <w:rPr>
      <w:color w:val="0000FF" w:themeColor="hyperlink"/>
      <w:u w:val="single"/>
    </w:rPr>
  </w:style>
  <w:style w:type="character" w:styleId="UnresolvedMention">
    <w:name w:val="Unresolved Mention"/>
    <w:basedOn w:val="DefaultParagraphFont"/>
    <w:uiPriority w:val="99"/>
    <w:semiHidden/>
    <w:unhideWhenUsed/>
    <w:rsid w:val="004B2289"/>
    <w:rPr>
      <w:color w:val="605E5C"/>
      <w:shd w:val="clear" w:color="auto" w:fill="E1DFDD"/>
    </w:rPr>
  </w:style>
  <w:style w:type="character" w:styleId="FollowedHyperlink">
    <w:name w:val="FollowedHyperlink"/>
    <w:basedOn w:val="DefaultParagraphFont"/>
    <w:uiPriority w:val="99"/>
    <w:semiHidden/>
    <w:unhideWhenUsed/>
    <w:rsid w:val="004B2289"/>
    <w:rPr>
      <w:color w:val="800080" w:themeColor="followedHyperlink"/>
      <w:u w:val="single"/>
    </w:rPr>
  </w:style>
  <w:style w:type="paragraph" w:styleId="Header">
    <w:name w:val="header"/>
    <w:basedOn w:val="Normal"/>
    <w:link w:val="HeaderChar"/>
    <w:uiPriority w:val="99"/>
    <w:unhideWhenUsed/>
    <w:rsid w:val="00256898"/>
    <w:pPr>
      <w:widowControl/>
      <w:tabs>
        <w:tab w:val="center" w:pos="4680"/>
        <w:tab w:val="right" w:pos="9360"/>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256898"/>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255215751">
      <w:bodyDiv w:val="1"/>
      <w:marLeft w:val="0"/>
      <w:marRight w:val="0"/>
      <w:marTop w:val="0"/>
      <w:marBottom w:val="0"/>
      <w:divBdr>
        <w:top w:val="none" w:sz="0" w:space="0" w:color="auto"/>
        <w:left w:val="none" w:sz="0" w:space="0" w:color="auto"/>
        <w:bottom w:val="none" w:sz="0" w:space="0" w:color="auto"/>
        <w:right w:val="none" w:sz="0" w:space="0" w:color="auto"/>
      </w:divBdr>
      <w:divsChild>
        <w:div w:id="1617255584">
          <w:marLeft w:val="0"/>
          <w:marRight w:val="0"/>
          <w:marTop w:val="0"/>
          <w:marBottom w:val="0"/>
          <w:divBdr>
            <w:top w:val="none" w:sz="0" w:space="0" w:color="auto"/>
            <w:left w:val="none" w:sz="0" w:space="0" w:color="auto"/>
            <w:bottom w:val="none" w:sz="0" w:space="0" w:color="auto"/>
            <w:right w:val="none" w:sz="0" w:space="0" w:color="auto"/>
          </w:divBdr>
          <w:divsChild>
            <w:div w:id="756941957">
              <w:marLeft w:val="0"/>
              <w:marRight w:val="0"/>
              <w:marTop w:val="0"/>
              <w:marBottom w:val="0"/>
              <w:divBdr>
                <w:top w:val="none" w:sz="0" w:space="0" w:color="auto"/>
                <w:left w:val="none" w:sz="0" w:space="0" w:color="auto"/>
                <w:bottom w:val="none" w:sz="0" w:space="0" w:color="auto"/>
                <w:right w:val="none" w:sz="0" w:space="0" w:color="auto"/>
              </w:divBdr>
              <w:divsChild>
                <w:div w:id="13288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6005">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419253065">
      <w:bodyDiv w:val="1"/>
      <w:marLeft w:val="0"/>
      <w:marRight w:val="0"/>
      <w:marTop w:val="0"/>
      <w:marBottom w:val="0"/>
      <w:divBdr>
        <w:top w:val="none" w:sz="0" w:space="0" w:color="auto"/>
        <w:left w:val="none" w:sz="0" w:space="0" w:color="auto"/>
        <w:bottom w:val="none" w:sz="0" w:space="0" w:color="auto"/>
        <w:right w:val="none" w:sz="0" w:space="0" w:color="auto"/>
      </w:divBdr>
      <w:divsChild>
        <w:div w:id="424495300">
          <w:marLeft w:val="0"/>
          <w:marRight w:val="0"/>
          <w:marTop w:val="0"/>
          <w:marBottom w:val="0"/>
          <w:divBdr>
            <w:top w:val="none" w:sz="0" w:space="0" w:color="auto"/>
            <w:left w:val="none" w:sz="0" w:space="0" w:color="auto"/>
            <w:bottom w:val="none" w:sz="0" w:space="0" w:color="auto"/>
            <w:right w:val="none" w:sz="0" w:space="0" w:color="auto"/>
          </w:divBdr>
          <w:divsChild>
            <w:div w:id="564611842">
              <w:marLeft w:val="0"/>
              <w:marRight w:val="0"/>
              <w:marTop w:val="0"/>
              <w:marBottom w:val="0"/>
              <w:divBdr>
                <w:top w:val="none" w:sz="0" w:space="0" w:color="auto"/>
                <w:left w:val="none" w:sz="0" w:space="0" w:color="auto"/>
                <w:bottom w:val="none" w:sz="0" w:space="0" w:color="auto"/>
                <w:right w:val="none" w:sz="0" w:space="0" w:color="auto"/>
              </w:divBdr>
              <w:divsChild>
                <w:div w:id="641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59981598">
      <w:bodyDiv w:val="1"/>
      <w:marLeft w:val="0"/>
      <w:marRight w:val="0"/>
      <w:marTop w:val="0"/>
      <w:marBottom w:val="0"/>
      <w:divBdr>
        <w:top w:val="none" w:sz="0" w:space="0" w:color="auto"/>
        <w:left w:val="none" w:sz="0" w:space="0" w:color="auto"/>
        <w:bottom w:val="none" w:sz="0" w:space="0" w:color="auto"/>
        <w:right w:val="none" w:sz="0" w:space="0" w:color="auto"/>
      </w:divBdr>
      <w:divsChild>
        <w:div w:id="805970458">
          <w:marLeft w:val="0"/>
          <w:marRight w:val="0"/>
          <w:marTop w:val="0"/>
          <w:marBottom w:val="0"/>
          <w:divBdr>
            <w:top w:val="none" w:sz="0" w:space="0" w:color="auto"/>
            <w:left w:val="none" w:sz="0" w:space="0" w:color="auto"/>
            <w:bottom w:val="none" w:sz="0" w:space="0" w:color="auto"/>
            <w:right w:val="none" w:sz="0" w:space="0" w:color="auto"/>
          </w:divBdr>
          <w:divsChild>
            <w:div w:id="897935225">
              <w:marLeft w:val="0"/>
              <w:marRight w:val="0"/>
              <w:marTop w:val="0"/>
              <w:marBottom w:val="0"/>
              <w:divBdr>
                <w:top w:val="none" w:sz="0" w:space="0" w:color="auto"/>
                <w:left w:val="none" w:sz="0" w:space="0" w:color="auto"/>
                <w:bottom w:val="none" w:sz="0" w:space="0" w:color="auto"/>
                <w:right w:val="none" w:sz="0" w:space="0" w:color="auto"/>
              </w:divBdr>
              <w:divsChild>
                <w:div w:id="7067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80798921">
      <w:bodyDiv w:val="1"/>
      <w:marLeft w:val="0"/>
      <w:marRight w:val="0"/>
      <w:marTop w:val="0"/>
      <w:marBottom w:val="0"/>
      <w:divBdr>
        <w:top w:val="none" w:sz="0" w:space="0" w:color="auto"/>
        <w:left w:val="none" w:sz="0" w:space="0" w:color="auto"/>
        <w:bottom w:val="none" w:sz="0" w:space="0" w:color="auto"/>
        <w:right w:val="none" w:sz="0" w:space="0" w:color="auto"/>
      </w:divBdr>
      <w:divsChild>
        <w:div w:id="1073503607">
          <w:marLeft w:val="0"/>
          <w:marRight w:val="0"/>
          <w:marTop w:val="0"/>
          <w:marBottom w:val="0"/>
          <w:divBdr>
            <w:top w:val="none" w:sz="0" w:space="0" w:color="auto"/>
            <w:left w:val="none" w:sz="0" w:space="0" w:color="auto"/>
            <w:bottom w:val="none" w:sz="0" w:space="0" w:color="auto"/>
            <w:right w:val="none" w:sz="0" w:space="0" w:color="auto"/>
          </w:divBdr>
          <w:divsChild>
            <w:div w:id="9071238">
              <w:marLeft w:val="0"/>
              <w:marRight w:val="0"/>
              <w:marTop w:val="0"/>
              <w:marBottom w:val="0"/>
              <w:divBdr>
                <w:top w:val="none" w:sz="0" w:space="0" w:color="auto"/>
                <w:left w:val="none" w:sz="0" w:space="0" w:color="auto"/>
                <w:bottom w:val="none" w:sz="0" w:space="0" w:color="auto"/>
                <w:right w:val="none" w:sz="0" w:space="0" w:color="auto"/>
              </w:divBdr>
              <w:divsChild>
                <w:div w:id="2129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51104066">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ch-creek.com/scotch-creek-advances-geophysical-exploration-on-its-highlands-west-lithium-project-clayton-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ryan@hotma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2022-08-04T17:41:00Z</dcterms:created>
  <dcterms:modified xsi:type="dcterms:W3CDTF">2022-08-04T17:41:00Z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