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7B305187" w14:textId="3D03BE19" w:rsidR="00D843AD" w:rsidRPr="006B0385" w:rsidRDefault="003C30AB" w:rsidP="00D843AD">
      <w:pPr>
        <w:jc w:val="center"/>
        <w:rPr>
          <w:rFonts w:ascii="Calibri" w:eastAsia="Times New Roman" w:hAnsi="Calibri" w:cs="Calibri"/>
          <w:b/>
          <w:bCs/>
        </w:rPr>
      </w:pPr>
      <w:r w:rsidRPr="00D843AD">
        <w:rPr>
          <w:rFonts w:ascii="Calibri" w:eastAsia="Times New Roman" w:hAnsi="Calibri" w:cs="Calibri"/>
          <w:b/>
          <w:bCs/>
        </w:rPr>
        <w:t xml:space="preserve">Rapid Dose Therapeutics </w:t>
      </w:r>
      <w:r w:rsidR="00080E94">
        <w:rPr>
          <w:rFonts w:ascii="Calibri" w:eastAsia="Times New Roman" w:hAnsi="Calibri" w:cs="Calibri"/>
          <w:b/>
          <w:bCs/>
        </w:rPr>
        <w:t>Corp Announces Pr</w:t>
      </w:r>
      <w:r w:rsidR="006A1A30">
        <w:rPr>
          <w:rFonts w:ascii="Calibri" w:eastAsia="Times New Roman" w:hAnsi="Calibri" w:cs="Calibri"/>
          <w:b/>
          <w:bCs/>
        </w:rPr>
        <w:t>oposed Private</w:t>
      </w:r>
      <w:r w:rsidR="00080E94">
        <w:rPr>
          <w:rFonts w:ascii="Calibri" w:eastAsia="Times New Roman" w:hAnsi="Calibri" w:cs="Calibri"/>
          <w:b/>
          <w:bCs/>
        </w:rPr>
        <w:t xml:space="preserve"> Placement</w:t>
      </w:r>
    </w:p>
    <w:p w14:paraId="7FDBCF51" w14:textId="096837BE" w:rsidR="001D6342" w:rsidRPr="001D6342" w:rsidRDefault="001D6342" w:rsidP="001D6342">
      <w:pPr>
        <w:jc w:val="center"/>
        <w:rPr>
          <w:rFonts w:ascii="Calibri" w:eastAsia="Times New Roman" w:hAnsi="Calibri" w:cs="Calibri"/>
          <w:i/>
          <w:iCs/>
        </w:rPr>
      </w:pPr>
    </w:p>
    <w:p w14:paraId="0E222D38" w14:textId="77777777" w:rsidR="006A1A30" w:rsidRPr="006A1A30" w:rsidRDefault="009276B9" w:rsidP="006A1A30">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041D6A">
        <w:rPr>
          <w:rFonts w:ascii="Calibri" w:eastAsia="Times New Roman" w:hAnsi="Calibri" w:cs="Calibri"/>
        </w:rPr>
        <w:t>May</w:t>
      </w:r>
      <w:r w:rsidR="003B10F2">
        <w:rPr>
          <w:rFonts w:ascii="Calibri" w:eastAsia="Times New Roman" w:hAnsi="Calibri" w:cs="Calibri"/>
        </w:rPr>
        <w:t xml:space="preserve"> </w:t>
      </w:r>
      <w:r w:rsidR="00A65A12">
        <w:rPr>
          <w:rFonts w:ascii="Calibri" w:eastAsia="Times New Roman" w:hAnsi="Calibri" w:cs="Calibri"/>
        </w:rPr>
        <w:t>2</w:t>
      </w:r>
      <w:r w:rsidR="00CA2CB3">
        <w:rPr>
          <w:rFonts w:ascii="Calibri" w:eastAsia="Times New Roman" w:hAnsi="Calibri" w:cs="Calibri"/>
        </w:rPr>
        <w:t>6</w:t>
      </w:r>
      <w:r w:rsidR="005C106C">
        <w:rPr>
          <w:rFonts w:ascii="Calibri" w:eastAsia="Times New Roman" w:hAnsi="Calibri" w:cs="Calibri"/>
        </w:rPr>
        <w:t>, 2022</w:t>
      </w:r>
      <w:bookmarkStart w:id="0" w:name="_Hlk95829695"/>
      <w:bookmarkStart w:id="1" w:name="_Hlk95829774"/>
      <w:r w:rsidR="00012596">
        <w:rPr>
          <w:rFonts w:ascii="Calibri" w:eastAsia="Times New Roman" w:hAnsi="Calibri" w:cs="Calibri"/>
        </w:rPr>
        <w:t>:</w:t>
      </w:r>
      <w:r w:rsidR="0007787E" w:rsidRPr="0007787E">
        <w:rPr>
          <w:rFonts w:ascii="Calibri" w:eastAsia="Times New Roman" w:hAnsi="Calibri" w:cs="Calibri"/>
        </w:rPr>
        <w:t xml:space="preserve"> Rapid Dose Therapeutics</w:t>
      </w:r>
      <w:bookmarkEnd w:id="0"/>
      <w:r w:rsidR="0007787E" w:rsidRPr="0007787E">
        <w:rPr>
          <w:rFonts w:ascii="Calibri" w:eastAsia="Times New Roman" w:hAnsi="Calibri" w:cs="Calibri"/>
        </w:rPr>
        <w:t xml:space="preserve"> </w:t>
      </w:r>
      <w:bookmarkEnd w:id="1"/>
      <w:r w:rsidR="0007787E" w:rsidRPr="0007787E">
        <w:rPr>
          <w:rFonts w:ascii="Calibri" w:eastAsia="Times New Roman" w:hAnsi="Calibri" w:cs="Calibri"/>
        </w:rPr>
        <w:t>Corp. (“</w:t>
      </w:r>
      <w:r w:rsidR="0007787E" w:rsidRPr="0007787E">
        <w:rPr>
          <w:rFonts w:ascii="Calibri" w:eastAsia="Times New Roman" w:hAnsi="Calibri" w:cs="Calibri"/>
          <w:b/>
          <w:bCs/>
        </w:rPr>
        <w:t>RDT</w:t>
      </w:r>
      <w:r w:rsidR="00B02F4B">
        <w:rPr>
          <w:rFonts w:ascii="Calibri" w:eastAsia="Times New Roman" w:hAnsi="Calibri" w:cs="Calibri"/>
          <w:b/>
          <w:bCs/>
        </w:rPr>
        <w:t>”</w:t>
      </w:r>
      <w:r w:rsidR="0007787E" w:rsidRPr="0007787E">
        <w:rPr>
          <w:rFonts w:ascii="Calibri" w:eastAsia="Times New Roman" w:hAnsi="Calibri" w:cs="Calibri"/>
        </w:rPr>
        <w:t>)</w:t>
      </w:r>
      <w:r w:rsidR="00B02F4B">
        <w:rPr>
          <w:rFonts w:ascii="Calibri" w:eastAsia="Times New Roman" w:hAnsi="Calibri" w:cs="Calibri"/>
        </w:rPr>
        <w:t>,</w:t>
      </w:r>
      <w:r w:rsidR="00012596">
        <w:rPr>
          <w:rFonts w:ascii="Calibri" w:eastAsia="Times New Roman" w:hAnsi="Calibri" w:cs="Calibri"/>
        </w:rPr>
        <w:t xml:space="preserve"> (</w:t>
      </w:r>
      <w:r w:rsidR="0007787E" w:rsidRPr="0007787E">
        <w:rPr>
          <w:rFonts w:ascii="Calibri" w:eastAsia="Times New Roman" w:hAnsi="Calibri" w:cs="Calibri"/>
          <w:b/>
          <w:bCs/>
        </w:rPr>
        <w:t>CSE: DOSE</w:t>
      </w:r>
      <w:r w:rsidR="00012596">
        <w:rPr>
          <w:rFonts w:ascii="Calibri" w:eastAsia="Times New Roman" w:hAnsi="Calibri" w:cs="Calibri"/>
          <w:b/>
          <w:bCs/>
        </w:rPr>
        <w:t>)</w:t>
      </w:r>
      <w:r w:rsidR="0007787E" w:rsidRPr="0007787E">
        <w:rPr>
          <w:rFonts w:ascii="Calibri" w:eastAsia="Times New Roman" w:hAnsi="Calibri" w:cs="Calibri"/>
        </w:rPr>
        <w:t xml:space="preserve">, a Canadian biotechnology </w:t>
      </w:r>
      <w:r w:rsidR="00A65A12" w:rsidRPr="0007787E">
        <w:rPr>
          <w:rFonts w:ascii="Calibri" w:eastAsia="Times New Roman" w:hAnsi="Calibri" w:cs="Calibri"/>
        </w:rPr>
        <w:t>company leveraging an innovative, proprietary oral delivery platform</w:t>
      </w:r>
      <w:r w:rsidR="00A65A12">
        <w:rPr>
          <w:rFonts w:ascii="Calibri" w:eastAsia="Times New Roman" w:hAnsi="Calibri" w:cs="Calibri"/>
        </w:rPr>
        <w:t>,</w:t>
      </w:r>
      <w:r w:rsidR="00A65A12" w:rsidRPr="00A65A12">
        <w:rPr>
          <w:rFonts w:ascii="Calibri" w:eastAsia="Times New Roman" w:hAnsi="Calibri" w:cs="Calibri"/>
        </w:rPr>
        <w:t xml:space="preserve"> </w:t>
      </w:r>
      <w:r w:rsidR="006A1A30" w:rsidRPr="006A1A30">
        <w:rPr>
          <w:rFonts w:ascii="Calibri" w:eastAsia="Times New Roman" w:hAnsi="Calibri" w:cs="Calibri"/>
        </w:rPr>
        <w:t>today announced that it plans to complete a private placement financing (the “</w:t>
      </w:r>
      <w:r w:rsidR="006A1A30" w:rsidRPr="006A1A30">
        <w:rPr>
          <w:rFonts w:ascii="Calibri" w:eastAsia="Times New Roman" w:hAnsi="Calibri" w:cs="Calibri"/>
          <w:b/>
          <w:bCs/>
        </w:rPr>
        <w:t>Financing</w:t>
      </w:r>
      <w:r w:rsidR="006A1A30" w:rsidRPr="006A1A30">
        <w:rPr>
          <w:rFonts w:ascii="Calibri" w:eastAsia="Times New Roman" w:hAnsi="Calibri" w:cs="Calibri"/>
        </w:rPr>
        <w:t>”) for up to $5,000,000 of gross proceeds, consisting of up to 5,000 units (the “</w:t>
      </w:r>
      <w:r w:rsidR="006A1A30" w:rsidRPr="006A1A30">
        <w:rPr>
          <w:rFonts w:ascii="Calibri" w:eastAsia="Times New Roman" w:hAnsi="Calibri" w:cs="Calibri"/>
          <w:b/>
          <w:bCs/>
        </w:rPr>
        <w:t>Units</w:t>
      </w:r>
      <w:r w:rsidR="006A1A30" w:rsidRPr="006A1A30">
        <w:rPr>
          <w:rFonts w:ascii="Calibri" w:eastAsia="Times New Roman" w:hAnsi="Calibri" w:cs="Calibri"/>
        </w:rPr>
        <w:t>”) at a price of $1,000 per Unit. Each Unit will consist of $1,000 principal amount of unsecured convertible notes (the “</w:t>
      </w:r>
      <w:r w:rsidR="006A1A30" w:rsidRPr="006A1A30">
        <w:rPr>
          <w:rFonts w:ascii="Calibri" w:eastAsia="Times New Roman" w:hAnsi="Calibri" w:cs="Calibri"/>
          <w:b/>
          <w:bCs/>
        </w:rPr>
        <w:t>Notes</w:t>
      </w:r>
      <w:r w:rsidR="006A1A30" w:rsidRPr="006A1A30">
        <w:rPr>
          <w:rFonts w:ascii="Calibri" w:eastAsia="Times New Roman" w:hAnsi="Calibri" w:cs="Calibri"/>
        </w:rPr>
        <w:t>”) and 100 common share purchase warrants of the Company (the “</w:t>
      </w:r>
      <w:r w:rsidR="006A1A30" w:rsidRPr="006A1A30">
        <w:rPr>
          <w:rFonts w:ascii="Calibri" w:eastAsia="Times New Roman" w:hAnsi="Calibri" w:cs="Calibri"/>
          <w:b/>
          <w:bCs/>
        </w:rPr>
        <w:t>Warrants</w:t>
      </w:r>
      <w:r w:rsidR="006A1A30" w:rsidRPr="006A1A30">
        <w:rPr>
          <w:rFonts w:ascii="Calibri" w:eastAsia="Times New Roman" w:hAnsi="Calibri" w:cs="Calibri"/>
        </w:rPr>
        <w:t>”).</w:t>
      </w:r>
    </w:p>
    <w:p w14:paraId="15D868FD" w14:textId="77777777" w:rsidR="006A1A30" w:rsidRDefault="006A1A30" w:rsidP="006A1A30">
      <w:pPr>
        <w:jc w:val="both"/>
        <w:rPr>
          <w:rFonts w:ascii="Calibri" w:eastAsia="Times New Roman" w:hAnsi="Calibri" w:cs="Calibri"/>
        </w:rPr>
      </w:pPr>
    </w:p>
    <w:p w14:paraId="502D7910" w14:textId="2B4875B5" w:rsidR="006A1A30" w:rsidRPr="006A1A30" w:rsidRDefault="006A1A30" w:rsidP="006A1A30">
      <w:pPr>
        <w:jc w:val="both"/>
        <w:rPr>
          <w:rFonts w:ascii="Calibri" w:eastAsia="Times New Roman" w:hAnsi="Calibri" w:cs="Calibri"/>
        </w:rPr>
      </w:pPr>
      <w:r w:rsidRPr="006A1A30">
        <w:rPr>
          <w:rFonts w:ascii="Calibri" w:eastAsia="Times New Roman" w:hAnsi="Calibri" w:cs="Calibri"/>
        </w:rPr>
        <w:t>All Notes will have a maturity date of 24 months from the closing date and will bear interest from their date of issue at 10.0% per annum, payable quarterly in arrears. A further 2% per annum interest payment will be made annually in cash or in common shares of the Company (“</w:t>
      </w:r>
      <w:r w:rsidRPr="006A1A30">
        <w:rPr>
          <w:rFonts w:ascii="Calibri" w:eastAsia="Times New Roman" w:hAnsi="Calibri" w:cs="Calibri"/>
          <w:b/>
          <w:bCs/>
        </w:rPr>
        <w:t>Common Shares</w:t>
      </w:r>
      <w:r w:rsidRPr="006A1A30">
        <w:rPr>
          <w:rFonts w:ascii="Calibri" w:eastAsia="Times New Roman" w:hAnsi="Calibri" w:cs="Calibri"/>
        </w:rPr>
        <w:t xml:space="preserve">”) as determined by the Company. During the second year of the two-year term of the Notes, the Company may prepay all or any portion of each of the Notes with an early termination fee payable to each noteholder of 1% of the amount of the principal prepayment of the Note.  </w:t>
      </w:r>
    </w:p>
    <w:p w14:paraId="0413D1EA" w14:textId="77777777" w:rsidR="006A1A30" w:rsidRDefault="006A1A30" w:rsidP="006A1A30">
      <w:pPr>
        <w:jc w:val="both"/>
        <w:rPr>
          <w:rFonts w:ascii="Calibri" w:eastAsia="Times New Roman" w:hAnsi="Calibri" w:cs="Calibri"/>
        </w:rPr>
      </w:pPr>
    </w:p>
    <w:p w14:paraId="7B8A2BBB" w14:textId="2A406949" w:rsidR="006A1A30" w:rsidRPr="006A1A30" w:rsidRDefault="006A1A30" w:rsidP="006A1A30">
      <w:pPr>
        <w:jc w:val="both"/>
        <w:rPr>
          <w:rFonts w:ascii="Calibri" w:eastAsia="Times New Roman" w:hAnsi="Calibri" w:cs="Calibri"/>
        </w:rPr>
      </w:pPr>
      <w:r w:rsidRPr="006A1A30">
        <w:rPr>
          <w:rFonts w:ascii="Calibri" w:eastAsia="Times New Roman" w:hAnsi="Calibri" w:cs="Calibri"/>
        </w:rPr>
        <w:t xml:space="preserve">The Notes will be convertible, at the option of the holders at any time prior to maturity, into Common Shares at a conversion price of $0.40 per Common Share. Each Warrant may be exercised for one Common Share at a price of $0.40 per Common Share for a term of 24 months from the closing date.  All securities issued on the Financing will be subject to a four month hold from the date of closing.   </w:t>
      </w:r>
    </w:p>
    <w:p w14:paraId="58BDD914" w14:textId="77777777" w:rsidR="006A1A30" w:rsidRDefault="006A1A30" w:rsidP="006A1A30">
      <w:pPr>
        <w:jc w:val="both"/>
        <w:rPr>
          <w:rFonts w:ascii="Calibri" w:eastAsia="Times New Roman" w:hAnsi="Calibri" w:cs="Calibri"/>
        </w:rPr>
      </w:pPr>
    </w:p>
    <w:p w14:paraId="7EBCABBA" w14:textId="0768C0EC" w:rsidR="006A1A30" w:rsidRPr="006A1A30" w:rsidRDefault="006A1A30" w:rsidP="006A1A30">
      <w:pPr>
        <w:jc w:val="both"/>
        <w:rPr>
          <w:rFonts w:ascii="Calibri" w:eastAsia="Times New Roman" w:hAnsi="Calibri" w:cs="Calibri"/>
        </w:rPr>
      </w:pPr>
      <w:r w:rsidRPr="006A1A30">
        <w:rPr>
          <w:rFonts w:ascii="Calibri" w:eastAsia="Times New Roman" w:hAnsi="Calibri" w:cs="Calibri"/>
        </w:rPr>
        <w:t xml:space="preserve">The Company intends to use the proceeds from the Financing to continue its research and development of oral thin films embedded with vaccines and mRNA as the active ingredients, to finance capital expansion projects for specific revenue streams, for working capital supporting revenue streams coming on line and costs and fees for the Financing. </w:t>
      </w:r>
    </w:p>
    <w:p w14:paraId="067E1CCC" w14:textId="77777777" w:rsidR="006A1A30" w:rsidRDefault="006A1A30" w:rsidP="006A1A30">
      <w:pPr>
        <w:jc w:val="both"/>
        <w:rPr>
          <w:rFonts w:ascii="Calibri" w:eastAsia="Times New Roman" w:hAnsi="Calibri" w:cs="Calibri"/>
        </w:rPr>
      </w:pPr>
    </w:p>
    <w:p w14:paraId="2714F615" w14:textId="063DA8B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Meadowbank Asset Management Inc. (“</w:t>
      </w:r>
      <w:r w:rsidRPr="006A1A30">
        <w:rPr>
          <w:rFonts w:ascii="Calibri" w:eastAsia="Times New Roman" w:hAnsi="Calibri" w:cs="Calibri"/>
          <w:b/>
          <w:bCs/>
        </w:rPr>
        <w:t>Meadowbank</w:t>
      </w:r>
      <w:r w:rsidRPr="006A1A30">
        <w:rPr>
          <w:rFonts w:ascii="Calibri" w:eastAsia="Times New Roman" w:hAnsi="Calibri" w:cs="Calibri"/>
        </w:rPr>
        <w:t>”) will act as lead broker in the Financing.  Fees payable to Meadowbank or other authorized dealers or finders will be cash of 8.0% of the gross proceeds raised and broker warrants equal to 8% of such gross proceeds (the “</w:t>
      </w:r>
      <w:r w:rsidRPr="006A1A30">
        <w:rPr>
          <w:rFonts w:ascii="Calibri" w:eastAsia="Times New Roman" w:hAnsi="Calibri" w:cs="Calibri"/>
          <w:b/>
          <w:bCs/>
        </w:rPr>
        <w:t>Broker Warrants</w:t>
      </w:r>
      <w:r w:rsidRPr="006A1A30">
        <w:rPr>
          <w:rFonts w:ascii="Calibri" w:eastAsia="Times New Roman" w:hAnsi="Calibri" w:cs="Calibri"/>
        </w:rPr>
        <w:t>”).  Each Broker Warrant shall entitle the holder thereof to acquire one Common Share at a price of $0.40 per share for a term of 24 months from the closing date.</w:t>
      </w:r>
    </w:p>
    <w:p w14:paraId="7C312B86" w14:textId="77777777" w:rsidR="006A1A30" w:rsidRDefault="006A1A30" w:rsidP="006A1A30">
      <w:pPr>
        <w:jc w:val="both"/>
        <w:rPr>
          <w:rFonts w:ascii="Calibri" w:eastAsia="Times New Roman" w:hAnsi="Calibri" w:cs="Calibri"/>
        </w:rPr>
      </w:pPr>
    </w:p>
    <w:p w14:paraId="6A3152AD" w14:textId="2F2366F2" w:rsidR="006A1A30" w:rsidRPr="006A1A30" w:rsidRDefault="006A1A30" w:rsidP="006A1A30">
      <w:pPr>
        <w:jc w:val="both"/>
        <w:rPr>
          <w:rFonts w:ascii="Calibri" w:eastAsia="Times New Roman" w:hAnsi="Calibri" w:cs="Calibri"/>
        </w:rPr>
      </w:pPr>
      <w:r w:rsidRPr="006A1A30">
        <w:rPr>
          <w:rFonts w:ascii="Calibri" w:eastAsia="Times New Roman" w:hAnsi="Calibri" w:cs="Calibri"/>
        </w:rPr>
        <w:t xml:space="preserve">Mark Upsdell, CEO of Rapid Dose Therapeutics stated “The Company’s commitment to the activities and strategic relationships required for the ongoing and accelerating development of the vaccine strip provides an important opportunity for the Company to make a significant difference in the wellbeing of people in all parts of the world. Our revenue generating agreements now in place provide the cash flow to support the cost of maintaining the debt instruments to maturity. The value of this type of financing for shareholders is that it provides </w:t>
      </w:r>
      <w:r w:rsidRPr="006A1A30">
        <w:rPr>
          <w:rFonts w:ascii="Calibri" w:eastAsia="Times New Roman" w:hAnsi="Calibri" w:cs="Calibri"/>
        </w:rPr>
        <w:lastRenderedPageBreak/>
        <w:t>the cash resources required during this stage of the Company’s development while minimizing the dilutive impact of traditional equity raises.”</w:t>
      </w:r>
    </w:p>
    <w:p w14:paraId="44E926D0" w14:textId="77777777" w:rsidR="006A1A30" w:rsidRDefault="006A1A30" w:rsidP="006A1A30">
      <w:pPr>
        <w:jc w:val="both"/>
        <w:rPr>
          <w:rFonts w:ascii="Calibri" w:eastAsia="Times New Roman" w:hAnsi="Calibri" w:cs="Calibri"/>
        </w:rPr>
      </w:pPr>
    </w:p>
    <w:p w14:paraId="4924B1BF"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About Rapid Dose Therapeutics Corp. </w:t>
      </w:r>
    </w:p>
    <w:p w14:paraId="1FC3CBFF"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6A1A30">
          <w:rPr>
            <w:rStyle w:val="Hyperlink"/>
            <w:rFonts w:ascii="Calibri" w:eastAsia="Times New Roman" w:hAnsi="Calibri" w:cs="Calibri"/>
          </w:rPr>
          <w:t>www.rapid-dose.com</w:t>
        </w:r>
      </w:hyperlink>
      <w:r w:rsidRPr="006A1A30">
        <w:rPr>
          <w:rFonts w:ascii="Calibri" w:eastAsia="Times New Roman" w:hAnsi="Calibri" w:cs="Calibri"/>
          <w:u w:val="single"/>
        </w:rPr>
        <w:t>.</w:t>
      </w:r>
      <w:r w:rsidRPr="006A1A30">
        <w:rPr>
          <w:rFonts w:ascii="Calibri" w:eastAsia="Times New Roman" w:hAnsi="Calibri" w:cs="Calibri"/>
        </w:rPr>
        <w:t xml:space="preserve"> </w:t>
      </w:r>
    </w:p>
    <w:p w14:paraId="28143BD7" w14:textId="77777777" w:rsidR="006A1A30" w:rsidRDefault="006A1A30" w:rsidP="006A1A30">
      <w:pPr>
        <w:jc w:val="both"/>
        <w:rPr>
          <w:rFonts w:ascii="Calibri" w:eastAsia="Times New Roman" w:hAnsi="Calibri" w:cs="Calibri"/>
          <w:b/>
          <w:bCs/>
        </w:rPr>
      </w:pPr>
    </w:p>
    <w:p w14:paraId="3575C6C9" w14:textId="57F333BA"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Contacts: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03458C"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4702EB48"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CAUTIONARY NOTE REGARDING FORWARD-LOOKING STATEMENTS:</w:t>
      </w:r>
    </w:p>
    <w:p w14:paraId="56090CBC"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i/>
          <w:iCs/>
        </w:rPr>
        <w:t>Certain information in this news release may contain forward-looking information within the meaning of applicable securities laws.</w:t>
      </w:r>
      <w:r w:rsidRPr="006A1A30">
        <w:rPr>
          <w:rFonts w:ascii="Calibri" w:eastAsia="Times New Roman" w:hAnsi="Calibri" w:cs="Calibri"/>
        </w:rPr>
        <w:t xml:space="preserve"> </w:t>
      </w:r>
      <w:r w:rsidRPr="006A1A30">
        <w:rPr>
          <w:rFonts w:ascii="Calibri" w:eastAsia="Times New Roman" w:hAnsi="Calibri" w:cs="Calibri"/>
          <w:i/>
          <w:iCs/>
        </w:rPr>
        <w:t xml:space="preserve">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w:t>
      </w:r>
      <w:r w:rsidRPr="006A1A30">
        <w:rPr>
          <w:rFonts w:ascii="Calibri" w:eastAsia="Times New Roman" w:hAnsi="Calibri" w:cs="Calibri"/>
          <w:i/>
          <w:iCs/>
        </w:rPr>
        <w:lastRenderedPageBreak/>
        <w:t>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6A1A30">
        <w:rPr>
          <w:rFonts w:ascii="Calibri" w:eastAsia="Times New Roman" w:hAnsi="Calibri" w:cs="Calibri"/>
          <w:i/>
          <w:iCs/>
          <w:lang w:val="en-US"/>
        </w:rPr>
        <w:t xml:space="preserve"> </w:t>
      </w:r>
      <w:r w:rsidRPr="006A1A30">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7BD5D584" w14:textId="77777777" w:rsidR="006A1A30" w:rsidRDefault="006A1A30" w:rsidP="006A1A30">
      <w:pPr>
        <w:jc w:val="both"/>
        <w:rPr>
          <w:rFonts w:ascii="Calibri" w:eastAsia="Times New Roman" w:hAnsi="Calibri" w:cs="Calibri"/>
        </w:rPr>
      </w:pPr>
    </w:p>
    <w:p w14:paraId="343A717F" w14:textId="5E5EF47A" w:rsidR="006A1A30" w:rsidRPr="006A1A30" w:rsidRDefault="006A1A30" w:rsidP="006A1A30">
      <w:pPr>
        <w:jc w:val="both"/>
        <w:rPr>
          <w:rFonts w:ascii="Calibri" w:eastAsia="Times New Roman" w:hAnsi="Calibri" w:cs="Calibri"/>
        </w:rPr>
      </w:pPr>
      <w:r w:rsidRPr="006A1A30">
        <w:rPr>
          <w:rFonts w:ascii="Calibri" w:eastAsia="Times New Roman" w:hAnsi="Calibri" w:cs="Calibri"/>
        </w:rPr>
        <w:t>This news release does not constitute an offer to sell or a solicitation of an offer to sell any of the securities described herein in the United States. The securities described in this news release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3AEC0A27" w14:textId="4120EFE0" w:rsidR="00A407EB" w:rsidRPr="00012596" w:rsidRDefault="00A407EB" w:rsidP="006A1A30">
      <w:pPr>
        <w:jc w:val="both"/>
        <w:rPr>
          <w:rFonts w:asciiTheme="minorHAnsi" w:eastAsia="Times New Roman" w:hAnsiTheme="minorHAnsi" w:cstheme="minorHAnsi"/>
          <w:shd w:val="clear" w:color="auto" w:fill="FFFFFF"/>
        </w:rPr>
      </w:pP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DE78" w14:textId="77777777" w:rsidR="0003458C" w:rsidRDefault="0003458C" w:rsidP="00781948">
      <w:r>
        <w:separator/>
      </w:r>
    </w:p>
  </w:endnote>
  <w:endnote w:type="continuationSeparator" w:id="0">
    <w:p w14:paraId="1588BE79" w14:textId="77777777" w:rsidR="0003458C" w:rsidRDefault="0003458C"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698" w14:textId="77777777" w:rsidR="0003458C" w:rsidRDefault="0003458C" w:rsidP="00781948">
      <w:r>
        <w:separator/>
      </w:r>
    </w:p>
  </w:footnote>
  <w:footnote w:type="continuationSeparator" w:id="0">
    <w:p w14:paraId="1A4EAE99" w14:textId="77777777" w:rsidR="0003458C" w:rsidRDefault="0003458C"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12596"/>
    <w:rsid w:val="00021E4E"/>
    <w:rsid w:val="000255E0"/>
    <w:rsid w:val="0003026C"/>
    <w:rsid w:val="00030F53"/>
    <w:rsid w:val="00031307"/>
    <w:rsid w:val="00033641"/>
    <w:rsid w:val="0003458C"/>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3A45"/>
    <w:rsid w:val="001962E1"/>
    <w:rsid w:val="001B1DFE"/>
    <w:rsid w:val="001D50BD"/>
    <w:rsid w:val="001D6342"/>
    <w:rsid w:val="001F0175"/>
    <w:rsid w:val="001F7E26"/>
    <w:rsid w:val="0020278D"/>
    <w:rsid w:val="00203B2E"/>
    <w:rsid w:val="00204A60"/>
    <w:rsid w:val="00205062"/>
    <w:rsid w:val="00212B04"/>
    <w:rsid w:val="00221288"/>
    <w:rsid w:val="00224AA8"/>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230C5"/>
    <w:rsid w:val="00324557"/>
    <w:rsid w:val="003501B1"/>
    <w:rsid w:val="0036184C"/>
    <w:rsid w:val="00362D86"/>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F46E4"/>
    <w:rsid w:val="00401066"/>
    <w:rsid w:val="004036A6"/>
    <w:rsid w:val="00406E03"/>
    <w:rsid w:val="00411812"/>
    <w:rsid w:val="004279CA"/>
    <w:rsid w:val="0043265C"/>
    <w:rsid w:val="004339B2"/>
    <w:rsid w:val="0043404C"/>
    <w:rsid w:val="00436CD7"/>
    <w:rsid w:val="004405AC"/>
    <w:rsid w:val="0044269C"/>
    <w:rsid w:val="00443E76"/>
    <w:rsid w:val="004466C4"/>
    <w:rsid w:val="0045258B"/>
    <w:rsid w:val="00452655"/>
    <w:rsid w:val="00456B90"/>
    <w:rsid w:val="00464024"/>
    <w:rsid w:val="004659D6"/>
    <w:rsid w:val="00490A60"/>
    <w:rsid w:val="004923B1"/>
    <w:rsid w:val="0049330D"/>
    <w:rsid w:val="004A0291"/>
    <w:rsid w:val="004A1387"/>
    <w:rsid w:val="004A64B2"/>
    <w:rsid w:val="004A6B2C"/>
    <w:rsid w:val="004B14FD"/>
    <w:rsid w:val="004E5D80"/>
    <w:rsid w:val="004E7445"/>
    <w:rsid w:val="004F18BC"/>
    <w:rsid w:val="004F456A"/>
    <w:rsid w:val="004F5A1B"/>
    <w:rsid w:val="00501BC5"/>
    <w:rsid w:val="00511486"/>
    <w:rsid w:val="00515DF6"/>
    <w:rsid w:val="0051772C"/>
    <w:rsid w:val="00523DA3"/>
    <w:rsid w:val="00525776"/>
    <w:rsid w:val="00526AAD"/>
    <w:rsid w:val="00543A62"/>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E89"/>
    <w:rsid w:val="005C106C"/>
    <w:rsid w:val="005C2E15"/>
    <w:rsid w:val="005D520C"/>
    <w:rsid w:val="00605AA8"/>
    <w:rsid w:val="00607F44"/>
    <w:rsid w:val="00610678"/>
    <w:rsid w:val="006306B4"/>
    <w:rsid w:val="00644D80"/>
    <w:rsid w:val="006534C6"/>
    <w:rsid w:val="00662189"/>
    <w:rsid w:val="00671083"/>
    <w:rsid w:val="006741AB"/>
    <w:rsid w:val="006846FA"/>
    <w:rsid w:val="00685961"/>
    <w:rsid w:val="00686989"/>
    <w:rsid w:val="0069202B"/>
    <w:rsid w:val="006A1A30"/>
    <w:rsid w:val="006A43A9"/>
    <w:rsid w:val="006B0BCB"/>
    <w:rsid w:val="006B136C"/>
    <w:rsid w:val="006B4D7F"/>
    <w:rsid w:val="006D0DC5"/>
    <w:rsid w:val="006D7696"/>
    <w:rsid w:val="006E3234"/>
    <w:rsid w:val="006F336F"/>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105BE"/>
    <w:rsid w:val="00822717"/>
    <w:rsid w:val="00822C5A"/>
    <w:rsid w:val="0082698F"/>
    <w:rsid w:val="008307C5"/>
    <w:rsid w:val="008365B4"/>
    <w:rsid w:val="00836919"/>
    <w:rsid w:val="00841478"/>
    <w:rsid w:val="00862A92"/>
    <w:rsid w:val="008B5216"/>
    <w:rsid w:val="008C219E"/>
    <w:rsid w:val="008C2B69"/>
    <w:rsid w:val="008C52CC"/>
    <w:rsid w:val="008D190A"/>
    <w:rsid w:val="0090209E"/>
    <w:rsid w:val="0090280D"/>
    <w:rsid w:val="00903CDF"/>
    <w:rsid w:val="0090711A"/>
    <w:rsid w:val="00916627"/>
    <w:rsid w:val="009211E8"/>
    <w:rsid w:val="00925CDE"/>
    <w:rsid w:val="009276B9"/>
    <w:rsid w:val="0093212F"/>
    <w:rsid w:val="00933270"/>
    <w:rsid w:val="009360D1"/>
    <w:rsid w:val="00943B19"/>
    <w:rsid w:val="00960F6B"/>
    <w:rsid w:val="0096250A"/>
    <w:rsid w:val="00964BE5"/>
    <w:rsid w:val="0096585F"/>
    <w:rsid w:val="009675B5"/>
    <w:rsid w:val="009771E4"/>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626F9"/>
    <w:rsid w:val="00A65A12"/>
    <w:rsid w:val="00A721B0"/>
    <w:rsid w:val="00A826B7"/>
    <w:rsid w:val="00A8303A"/>
    <w:rsid w:val="00A83F0F"/>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11F3E"/>
    <w:rsid w:val="00B208A2"/>
    <w:rsid w:val="00B25DC9"/>
    <w:rsid w:val="00B30ED7"/>
    <w:rsid w:val="00B3552E"/>
    <w:rsid w:val="00B43B03"/>
    <w:rsid w:val="00B46D71"/>
    <w:rsid w:val="00B74417"/>
    <w:rsid w:val="00B75403"/>
    <w:rsid w:val="00B871DA"/>
    <w:rsid w:val="00B958DF"/>
    <w:rsid w:val="00B95A24"/>
    <w:rsid w:val="00BA47B1"/>
    <w:rsid w:val="00BA499F"/>
    <w:rsid w:val="00BB04C8"/>
    <w:rsid w:val="00BB51DB"/>
    <w:rsid w:val="00BB554C"/>
    <w:rsid w:val="00BC0376"/>
    <w:rsid w:val="00BC5600"/>
    <w:rsid w:val="00C010F8"/>
    <w:rsid w:val="00C039A4"/>
    <w:rsid w:val="00C175F3"/>
    <w:rsid w:val="00C26AC0"/>
    <w:rsid w:val="00C3398B"/>
    <w:rsid w:val="00C3441F"/>
    <w:rsid w:val="00C418ED"/>
    <w:rsid w:val="00C41F3A"/>
    <w:rsid w:val="00C42CDC"/>
    <w:rsid w:val="00C449F4"/>
    <w:rsid w:val="00C61264"/>
    <w:rsid w:val="00C67D46"/>
    <w:rsid w:val="00C73399"/>
    <w:rsid w:val="00C75BB3"/>
    <w:rsid w:val="00C8707C"/>
    <w:rsid w:val="00CA2CB3"/>
    <w:rsid w:val="00CB37EA"/>
    <w:rsid w:val="00CC112D"/>
    <w:rsid w:val="00CC35DB"/>
    <w:rsid w:val="00CC4BE2"/>
    <w:rsid w:val="00CD089D"/>
    <w:rsid w:val="00CD0FA5"/>
    <w:rsid w:val="00CE3061"/>
    <w:rsid w:val="00CE3660"/>
    <w:rsid w:val="00CE67BA"/>
    <w:rsid w:val="00D005D3"/>
    <w:rsid w:val="00D02443"/>
    <w:rsid w:val="00D101FA"/>
    <w:rsid w:val="00D3357E"/>
    <w:rsid w:val="00D53D21"/>
    <w:rsid w:val="00D73F7A"/>
    <w:rsid w:val="00D74288"/>
    <w:rsid w:val="00D82DC0"/>
    <w:rsid w:val="00D843AD"/>
    <w:rsid w:val="00DC2C1E"/>
    <w:rsid w:val="00DC4AE0"/>
    <w:rsid w:val="00DC4C98"/>
    <w:rsid w:val="00DC6531"/>
    <w:rsid w:val="00DD03CF"/>
    <w:rsid w:val="00DD1675"/>
    <w:rsid w:val="00DE60E3"/>
    <w:rsid w:val="00DE72A1"/>
    <w:rsid w:val="00DF16E0"/>
    <w:rsid w:val="00E024A9"/>
    <w:rsid w:val="00E07391"/>
    <w:rsid w:val="00E1510C"/>
    <w:rsid w:val="00E1761A"/>
    <w:rsid w:val="00E23BA6"/>
    <w:rsid w:val="00E33449"/>
    <w:rsid w:val="00E33681"/>
    <w:rsid w:val="00E40862"/>
    <w:rsid w:val="00E415BD"/>
    <w:rsid w:val="00E42DD8"/>
    <w:rsid w:val="00E43619"/>
    <w:rsid w:val="00E4366D"/>
    <w:rsid w:val="00E450B7"/>
    <w:rsid w:val="00E4737E"/>
    <w:rsid w:val="00E4785C"/>
    <w:rsid w:val="00E50890"/>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5D70"/>
    <w:rsid w:val="00EC71E4"/>
    <w:rsid w:val="00ED6E8D"/>
    <w:rsid w:val="00EE18D8"/>
    <w:rsid w:val="00EF397C"/>
    <w:rsid w:val="00EF5D52"/>
    <w:rsid w:val="00EF5E6A"/>
    <w:rsid w:val="00F112BC"/>
    <w:rsid w:val="00F12285"/>
    <w:rsid w:val="00F14056"/>
    <w:rsid w:val="00F17653"/>
    <w:rsid w:val="00F205C8"/>
    <w:rsid w:val="00F22BAB"/>
    <w:rsid w:val="00F359BA"/>
    <w:rsid w:val="00F41B49"/>
    <w:rsid w:val="00F4320C"/>
    <w:rsid w:val="00F5154C"/>
    <w:rsid w:val="00F60B6D"/>
    <w:rsid w:val="00F60D24"/>
    <w:rsid w:val="00F725C0"/>
    <w:rsid w:val="00F83288"/>
    <w:rsid w:val="00F84B79"/>
    <w:rsid w:val="00F8585B"/>
    <w:rsid w:val="00F9786C"/>
    <w:rsid w:val="00FA24DE"/>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2022-04-28T11:54:00Z</cp:lastPrinted>
  <dcterms:created xsi:type="dcterms:W3CDTF">2022-05-26T12:58:00Z</dcterms:created>
  <dcterms:modified xsi:type="dcterms:W3CDTF">2022-05-26T12:58:00Z</dcterms:modified>
</cp:coreProperties>
</file>