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40D976BE" w14:textId="77777777" w:rsidR="0053610F" w:rsidRPr="0053610F" w:rsidRDefault="0053610F" w:rsidP="0053610F">
      <w:pPr>
        <w:jc w:val="center"/>
        <w:rPr>
          <w:rFonts w:ascii="Calibri" w:eastAsia="Times New Roman" w:hAnsi="Calibri" w:cs="Calibri"/>
          <w:b/>
          <w:bCs/>
        </w:rPr>
      </w:pPr>
      <w:r w:rsidRPr="0053610F">
        <w:rPr>
          <w:rFonts w:ascii="Calibri" w:eastAsia="Times New Roman" w:hAnsi="Calibri" w:cs="Calibri"/>
          <w:b/>
          <w:bCs/>
        </w:rPr>
        <w:t>Rapid Dose Therapeutics Provides Update on Failure to File Cease Trade Order</w:t>
      </w:r>
    </w:p>
    <w:p w14:paraId="117B5A20" w14:textId="27005F68" w:rsidR="00E519A9" w:rsidRPr="00E519A9" w:rsidRDefault="00E519A9" w:rsidP="00E519A9">
      <w:pPr>
        <w:jc w:val="center"/>
        <w:rPr>
          <w:rFonts w:ascii="Calibri" w:eastAsia="Times New Roman" w:hAnsi="Calibri" w:cs="Calibri"/>
          <w:b/>
          <w:bCs/>
        </w:rPr>
      </w:pPr>
    </w:p>
    <w:p w14:paraId="584A9419" w14:textId="68F59E66" w:rsidR="006845F3" w:rsidRPr="006845F3" w:rsidRDefault="009276B9" w:rsidP="006845F3">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A66EBF">
        <w:rPr>
          <w:rFonts w:ascii="Calibri" w:eastAsia="Times New Roman" w:hAnsi="Calibri" w:cs="Calibri"/>
        </w:rPr>
        <w:t xml:space="preserve">November </w:t>
      </w:r>
      <w:r w:rsidR="00DF1EB3">
        <w:rPr>
          <w:rFonts w:ascii="Calibri" w:eastAsia="Times New Roman" w:hAnsi="Calibri" w:cs="Calibri"/>
        </w:rPr>
        <w:t>2</w:t>
      </w:r>
      <w:r w:rsidR="00626BF2">
        <w:rPr>
          <w:rFonts w:ascii="Calibri" w:eastAsia="Times New Roman" w:hAnsi="Calibri" w:cs="Calibri"/>
        </w:rPr>
        <w:t>9</w:t>
      </w:r>
      <w:r w:rsidR="0053610F" w:rsidRPr="0053610F">
        <w:rPr>
          <w:rFonts w:ascii="Calibri" w:eastAsia="Times New Roman" w:hAnsi="Calibri" w:cs="Calibri"/>
        </w:rPr>
        <w:t xml:space="preserve">, 2022 - </w:t>
      </w:r>
      <w:r w:rsidR="006845F3" w:rsidRPr="006845F3">
        <w:rPr>
          <w:rFonts w:ascii="Calibri" w:eastAsia="Times New Roman" w:hAnsi="Calibri" w:cs="Calibri"/>
        </w:rPr>
        <w:t>Rapid Dose Therapeutics Corp. (“</w:t>
      </w:r>
      <w:r w:rsidR="006845F3" w:rsidRPr="006845F3">
        <w:rPr>
          <w:rFonts w:ascii="Calibri" w:eastAsia="Times New Roman" w:hAnsi="Calibri" w:cs="Calibri"/>
          <w:b/>
          <w:bCs/>
        </w:rPr>
        <w:t>RDT</w:t>
      </w:r>
      <w:r w:rsidR="006845F3" w:rsidRPr="006845F3">
        <w:rPr>
          <w:rFonts w:ascii="Calibri" w:eastAsia="Times New Roman" w:hAnsi="Calibri" w:cs="Calibri"/>
        </w:rPr>
        <w:t>” or the “</w:t>
      </w:r>
      <w:r w:rsidR="006845F3" w:rsidRPr="006845F3">
        <w:rPr>
          <w:rFonts w:ascii="Calibri" w:eastAsia="Times New Roman" w:hAnsi="Calibri" w:cs="Calibri"/>
          <w:b/>
          <w:bCs/>
        </w:rPr>
        <w:t>Company</w:t>
      </w:r>
      <w:r w:rsidR="006845F3" w:rsidRPr="006845F3">
        <w:rPr>
          <w:rFonts w:ascii="Calibri" w:eastAsia="Times New Roman" w:hAnsi="Calibri" w:cs="Calibri"/>
        </w:rPr>
        <w:t>”) (</w:t>
      </w:r>
      <w:r w:rsidR="006845F3" w:rsidRPr="006845F3">
        <w:rPr>
          <w:rFonts w:ascii="Calibri" w:eastAsia="Times New Roman" w:hAnsi="Calibri" w:cs="Calibri"/>
          <w:b/>
          <w:bCs/>
        </w:rPr>
        <w:t>CSE: DOSE</w:t>
      </w:r>
      <w:r w:rsidR="006845F3" w:rsidRPr="006845F3">
        <w:rPr>
          <w:rFonts w:ascii="Calibri" w:eastAsia="Times New Roman" w:hAnsi="Calibri" w:cs="Calibri"/>
        </w:rPr>
        <w:t xml:space="preserve">), a Canadian biotechnology company revolutionizing drug delivery through innovation, announces that further to its press release dated </w:t>
      </w:r>
      <w:r w:rsidR="00626BF2">
        <w:rPr>
          <w:rFonts w:ascii="Calibri" w:eastAsia="Times New Roman" w:hAnsi="Calibri" w:cs="Calibri"/>
        </w:rPr>
        <w:t>November 11</w:t>
      </w:r>
      <w:r w:rsidR="006845F3" w:rsidRPr="006845F3">
        <w:rPr>
          <w:rFonts w:ascii="Calibri" w:eastAsia="Times New Roman" w:hAnsi="Calibri" w:cs="Calibri"/>
        </w:rPr>
        <w:t xml:space="preserve">, 2022, the Company and its auditors are continuing to work diligently to complete the audit of the Company’s annual financial statements for the fiscal year ended February 28, 2022.  </w:t>
      </w:r>
    </w:p>
    <w:p w14:paraId="4020780C" w14:textId="77777777" w:rsidR="006845F3" w:rsidRPr="006845F3" w:rsidRDefault="006845F3" w:rsidP="006845F3">
      <w:pPr>
        <w:jc w:val="both"/>
        <w:rPr>
          <w:rFonts w:ascii="Calibri" w:eastAsia="Times New Roman" w:hAnsi="Calibri" w:cs="Calibri"/>
        </w:rPr>
      </w:pPr>
    </w:p>
    <w:p w14:paraId="38AA2C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rPr>
        <w:t>On August 26, 2022, the Ontario Securities Commission (the “</w:t>
      </w:r>
      <w:r w:rsidRPr="006845F3">
        <w:rPr>
          <w:rFonts w:ascii="Calibri" w:eastAsia="Times New Roman" w:hAnsi="Calibri" w:cs="Calibri"/>
          <w:b/>
          <w:bCs/>
        </w:rPr>
        <w:t>OSC</w:t>
      </w:r>
      <w:r w:rsidRPr="006845F3">
        <w:rPr>
          <w:rFonts w:ascii="Calibri" w:eastAsia="Times New Roman" w:hAnsi="Calibri" w:cs="Calibri"/>
        </w:rPr>
        <w:t>”) issued a failure to file cease trade order (“</w:t>
      </w:r>
      <w:r w:rsidRPr="006845F3">
        <w:rPr>
          <w:rFonts w:ascii="Calibri" w:eastAsia="Times New Roman" w:hAnsi="Calibri" w:cs="Calibri"/>
          <w:b/>
          <w:bCs/>
        </w:rPr>
        <w:t>FTFCTO</w:t>
      </w:r>
      <w:r w:rsidRPr="006845F3">
        <w:rPr>
          <w:rFonts w:ascii="Calibri" w:eastAsia="Times New Roman" w:hAnsi="Calibri" w:cs="Calibri"/>
        </w:rPr>
        <w:t>”) against the Company which orders that general trading, whether direct or indirect, by any person, of the securities of the Company cease, which includes trading of the shares of the Company on the Canadian Securities Exchange.  A copy of the FTFCTO has been posted to the OSC website</w:t>
      </w:r>
      <w:r w:rsidRPr="006845F3">
        <w:rPr>
          <w:rFonts w:ascii="Calibri" w:eastAsia="Times New Roman" w:hAnsi="Calibri" w:cs="Calibri"/>
          <w:lang w:val="en-US"/>
        </w:rPr>
        <w:t xml:space="preserve">.  The Company expects the FTFCTO to remain in place until such time as the Company’s annual financial statements for the fiscal year ended February 28, 2022 and all other required filings have been made and the FTFCTO revoked.  </w:t>
      </w:r>
    </w:p>
    <w:p w14:paraId="737D7A97" w14:textId="77777777" w:rsidR="006845F3" w:rsidRPr="006845F3" w:rsidRDefault="006845F3" w:rsidP="006845F3">
      <w:pPr>
        <w:jc w:val="both"/>
        <w:rPr>
          <w:rFonts w:ascii="Calibri" w:eastAsia="Times New Roman" w:hAnsi="Calibri" w:cs="Calibri"/>
          <w:lang w:val="en-US"/>
        </w:rPr>
      </w:pPr>
    </w:p>
    <w:p w14:paraId="2FD4D59D"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delay in completing and filing the Company’s financial statements stems from certain valuation information that was required in connection with the Company’s Consolidated Craft Brands acquisition on March 29, 2021 and the Company’s need to engage additional accounting advisors to complete the requisite information and provide same to the Company’s auditors.  This process has taken longer than originally anticipated by the Company. </w:t>
      </w:r>
    </w:p>
    <w:p w14:paraId="1313AB19" w14:textId="77777777" w:rsidR="006845F3" w:rsidRPr="006845F3" w:rsidRDefault="006845F3" w:rsidP="006845F3">
      <w:pPr>
        <w:jc w:val="both"/>
        <w:rPr>
          <w:rFonts w:ascii="Calibri" w:eastAsia="Times New Roman" w:hAnsi="Calibri" w:cs="Calibri"/>
        </w:rPr>
      </w:pPr>
    </w:p>
    <w:p w14:paraId="7497A75C"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announced via press release dated June 16, 2022 (the “</w:t>
      </w:r>
      <w:r w:rsidRPr="006845F3">
        <w:rPr>
          <w:rFonts w:ascii="Calibri" w:eastAsia="Times New Roman" w:hAnsi="Calibri" w:cs="Calibri"/>
          <w:b/>
          <w:bCs/>
          <w:lang w:val="en-US"/>
        </w:rPr>
        <w:t>Delayed Filing Announcement</w:t>
      </w:r>
      <w:r w:rsidRPr="006845F3">
        <w:rPr>
          <w:rFonts w:ascii="Calibri" w:eastAsia="Times New Roman" w:hAnsi="Calibri" w:cs="Calibri"/>
          <w:lang w:val="en-US"/>
        </w:rPr>
        <w:t>”) that it had submitted an application to the OSC for a management cease trade order (the “</w:t>
      </w:r>
      <w:r w:rsidRPr="006845F3">
        <w:rPr>
          <w:rFonts w:ascii="Calibri" w:eastAsia="Times New Roman" w:hAnsi="Calibri" w:cs="Calibri"/>
          <w:b/>
          <w:bCs/>
          <w:lang w:val="en-US"/>
        </w:rPr>
        <w:t>MCTO</w:t>
      </w:r>
      <w:r w:rsidRPr="006845F3">
        <w:rPr>
          <w:rFonts w:ascii="Calibri" w:eastAsia="Times New Roman" w:hAnsi="Calibri" w:cs="Calibri"/>
          <w:lang w:val="en-US"/>
        </w:rPr>
        <w:t>”) pursuant to NP 12-203.  The application for the MCTO was made in connection with the delay in filing the Company’s audited annual financial statements for the year ended February 28, 2022, the related management's discussion and analysis and CEO and CFO certifications (such filings, collectively, the “</w:t>
      </w:r>
      <w:r w:rsidRPr="006845F3">
        <w:rPr>
          <w:rFonts w:ascii="Calibri" w:eastAsia="Times New Roman" w:hAnsi="Calibri" w:cs="Calibri"/>
          <w:b/>
          <w:bCs/>
          <w:lang w:val="en-US"/>
        </w:rPr>
        <w:t>Annual Filings</w:t>
      </w:r>
      <w:r w:rsidRPr="006845F3">
        <w:rPr>
          <w:rFonts w:ascii="Calibri" w:eastAsia="Times New Roman" w:hAnsi="Calibri" w:cs="Calibri"/>
          <w:lang w:val="en-US"/>
        </w:rPr>
        <w:t xml:space="preserve">”), which were required to be filed on or before June 28, 2022.  </w:t>
      </w:r>
    </w:p>
    <w:p w14:paraId="78FC66FC" w14:textId="77777777" w:rsidR="006845F3" w:rsidRPr="006845F3" w:rsidRDefault="006845F3" w:rsidP="006845F3">
      <w:pPr>
        <w:jc w:val="both"/>
        <w:rPr>
          <w:rFonts w:ascii="Calibri" w:eastAsia="Times New Roman" w:hAnsi="Calibri" w:cs="Calibri"/>
          <w:lang w:val="en-US"/>
        </w:rPr>
      </w:pPr>
    </w:p>
    <w:p w14:paraId="0607C76A"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MCTO was issued by the OSC on June 29, 2022 extending the deadline for filing the Annual Filings to August 29, 2022.  The MCTO prevented the Company’s Chief Executive Officer and Chief Financial Officer from trading in the Company’s securities but did not affect the ability of other shareholders, including the public, to trade in securities of the Company. </w:t>
      </w:r>
    </w:p>
    <w:p w14:paraId="7379D657" w14:textId="4BC192E4" w:rsidR="006845F3" w:rsidRPr="006845F3" w:rsidRDefault="006845F3" w:rsidP="006845F3">
      <w:pPr>
        <w:jc w:val="both"/>
        <w:rPr>
          <w:rFonts w:ascii="Calibri" w:eastAsia="Times New Roman" w:hAnsi="Calibri" w:cs="Calibri"/>
          <w:lang w:val="en-US"/>
        </w:rPr>
      </w:pPr>
    </w:p>
    <w:p w14:paraId="2420C796" w14:textId="70258852"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On July 28, 2022, the Company also announced that the filing of its unaudited interim financial statements, related management's discussion and analysis and CEO and CFO certifications for the three months ended May 31, 2022 together with the Annual Filings, would be delayed beyond the filing deadline of July 30, 2022 as a result of the delay in completing the Annual Filings.  </w:t>
      </w:r>
    </w:p>
    <w:p w14:paraId="18958243" w14:textId="77777777" w:rsidR="006845F3" w:rsidRPr="006845F3" w:rsidRDefault="006845F3" w:rsidP="006845F3">
      <w:pPr>
        <w:jc w:val="both"/>
        <w:rPr>
          <w:rFonts w:ascii="Calibri" w:eastAsia="Times New Roman" w:hAnsi="Calibri" w:cs="Calibri"/>
          <w:lang w:val="en-US"/>
        </w:rPr>
      </w:pPr>
    </w:p>
    <w:p w14:paraId="3B1FC0F1" w14:textId="19CB1E9A" w:rsidR="00A60F6C"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by press release dated August 25, 2022, indicated that it would be unable to complete and file the Required Documents by the extended filing deadline of August 29, 2022; and the OSC, accordingly, issued the FTFCTO. </w:t>
      </w:r>
    </w:p>
    <w:p w14:paraId="5B5D3E99" w14:textId="77777777" w:rsidR="00A60F6C" w:rsidRDefault="00A60F6C" w:rsidP="006845F3">
      <w:pPr>
        <w:jc w:val="both"/>
        <w:rPr>
          <w:rFonts w:ascii="Calibri" w:eastAsia="Times New Roman" w:hAnsi="Calibri" w:cs="Calibri"/>
          <w:lang w:val="en-US"/>
        </w:rPr>
      </w:pPr>
    </w:p>
    <w:p w14:paraId="508C8091" w14:textId="3C80C959" w:rsidR="00806029" w:rsidRPr="006845F3" w:rsidRDefault="00A60F6C" w:rsidP="00806029">
      <w:pPr>
        <w:jc w:val="both"/>
        <w:rPr>
          <w:rFonts w:ascii="Calibri" w:eastAsia="Times New Roman" w:hAnsi="Calibri" w:cs="Calibri"/>
          <w:lang w:val="en-US"/>
        </w:rPr>
      </w:pPr>
      <w:r>
        <w:rPr>
          <w:rFonts w:ascii="Calibri" w:eastAsia="Times New Roman" w:hAnsi="Calibri" w:cs="Calibri"/>
          <w:lang w:val="en-US"/>
        </w:rPr>
        <w:t>T</w:t>
      </w:r>
      <w:r w:rsidRPr="006845F3">
        <w:rPr>
          <w:rFonts w:ascii="Calibri" w:eastAsia="Times New Roman" w:hAnsi="Calibri" w:cs="Calibri"/>
          <w:lang w:val="en-US"/>
        </w:rPr>
        <w:t>he Company also announce</w:t>
      </w:r>
      <w:r>
        <w:rPr>
          <w:rFonts w:ascii="Calibri" w:eastAsia="Times New Roman" w:hAnsi="Calibri" w:cs="Calibri"/>
          <w:lang w:val="en-US"/>
        </w:rPr>
        <w:t>s</w:t>
      </w:r>
      <w:r w:rsidRPr="006845F3">
        <w:rPr>
          <w:rFonts w:ascii="Calibri" w:eastAsia="Times New Roman" w:hAnsi="Calibri" w:cs="Calibri"/>
          <w:lang w:val="en-US"/>
        </w:rPr>
        <w:t xml:space="preserve"> that the filing of its unaudited interim financial statements, related management's discussion and analysis and CEO and CFO certifications for the three months ended </w:t>
      </w:r>
      <w:r>
        <w:rPr>
          <w:rFonts w:ascii="Calibri" w:eastAsia="Times New Roman" w:hAnsi="Calibri" w:cs="Calibri"/>
          <w:lang w:val="en-US"/>
        </w:rPr>
        <w:t>August 31</w:t>
      </w:r>
      <w:r w:rsidRPr="006845F3">
        <w:rPr>
          <w:rFonts w:ascii="Calibri" w:eastAsia="Times New Roman" w:hAnsi="Calibri" w:cs="Calibri"/>
          <w:lang w:val="en-US"/>
        </w:rPr>
        <w:t xml:space="preserve">, 2022 would be delayed beyond the filing deadline of </w:t>
      </w:r>
      <w:r>
        <w:rPr>
          <w:rFonts w:ascii="Calibri" w:eastAsia="Times New Roman" w:hAnsi="Calibri" w:cs="Calibri"/>
          <w:lang w:val="en-US"/>
        </w:rPr>
        <w:t>October 30, 2022</w:t>
      </w:r>
      <w:r w:rsidRPr="006845F3">
        <w:rPr>
          <w:rFonts w:ascii="Calibri" w:eastAsia="Times New Roman" w:hAnsi="Calibri" w:cs="Calibri"/>
          <w:lang w:val="en-US"/>
        </w:rPr>
        <w:t xml:space="preserve"> as a result of the delay in completing the Annual Filings. The Company expects the</w:t>
      </w:r>
      <w:r>
        <w:rPr>
          <w:rFonts w:ascii="Calibri" w:eastAsia="Times New Roman" w:hAnsi="Calibri" w:cs="Calibri"/>
          <w:lang w:val="en-US"/>
        </w:rPr>
        <w:t xml:space="preserve"> Ma</w:t>
      </w:r>
      <w:r w:rsidR="00806029">
        <w:rPr>
          <w:rFonts w:ascii="Calibri" w:eastAsia="Times New Roman" w:hAnsi="Calibri" w:cs="Calibri"/>
          <w:lang w:val="en-US"/>
        </w:rPr>
        <w:t xml:space="preserve">y and August interim financial statements </w:t>
      </w:r>
      <w:r>
        <w:rPr>
          <w:rFonts w:ascii="Calibri" w:eastAsia="Times New Roman" w:hAnsi="Calibri" w:cs="Calibri"/>
          <w:lang w:val="en-US"/>
        </w:rPr>
        <w:t>(</w:t>
      </w:r>
      <w:r w:rsidR="00806029" w:rsidRPr="006845F3">
        <w:rPr>
          <w:rFonts w:ascii="Calibri" w:eastAsia="Times New Roman" w:hAnsi="Calibri" w:cs="Calibri"/>
          <w:lang w:val="en-US"/>
        </w:rPr>
        <w:t>the “</w:t>
      </w:r>
      <w:r w:rsidR="00806029" w:rsidRPr="006845F3">
        <w:rPr>
          <w:rFonts w:ascii="Calibri" w:eastAsia="Times New Roman" w:hAnsi="Calibri" w:cs="Calibri"/>
          <w:b/>
          <w:bCs/>
          <w:lang w:val="en-US"/>
        </w:rPr>
        <w:t>Interim Filings</w:t>
      </w:r>
      <w:r w:rsidR="00806029" w:rsidRPr="006845F3">
        <w:rPr>
          <w:rFonts w:ascii="Calibri" w:eastAsia="Times New Roman" w:hAnsi="Calibri" w:cs="Calibri"/>
          <w:lang w:val="en-US"/>
        </w:rPr>
        <w:t>”, and together with the Annual Filings, the “</w:t>
      </w:r>
      <w:r w:rsidR="00806029" w:rsidRPr="006845F3">
        <w:rPr>
          <w:rFonts w:ascii="Calibri" w:eastAsia="Times New Roman" w:hAnsi="Calibri" w:cs="Calibri"/>
          <w:b/>
          <w:bCs/>
          <w:lang w:val="en-US"/>
        </w:rPr>
        <w:t>Required Documents</w:t>
      </w:r>
      <w:r w:rsidR="00806029" w:rsidRPr="006845F3">
        <w:rPr>
          <w:rFonts w:ascii="Calibri" w:eastAsia="Times New Roman" w:hAnsi="Calibri" w:cs="Calibri"/>
          <w:lang w:val="en-US"/>
        </w:rPr>
        <w:t>”</w:t>
      </w:r>
      <w:r w:rsidR="00806029">
        <w:rPr>
          <w:rFonts w:ascii="Calibri" w:eastAsia="Times New Roman" w:hAnsi="Calibri" w:cs="Calibri"/>
          <w:lang w:val="en-US"/>
        </w:rPr>
        <w:t>)</w:t>
      </w:r>
      <w:r w:rsidR="00806029" w:rsidRPr="006845F3">
        <w:rPr>
          <w:rFonts w:ascii="Calibri" w:eastAsia="Times New Roman" w:hAnsi="Calibri" w:cs="Calibri"/>
          <w:lang w:val="en-US"/>
        </w:rPr>
        <w:t xml:space="preserve"> to be filed concurrently with the Annual Filings.  </w:t>
      </w:r>
    </w:p>
    <w:p w14:paraId="33B65EE0" w14:textId="76629974" w:rsidR="00806029" w:rsidRDefault="00806029" w:rsidP="006845F3">
      <w:pPr>
        <w:jc w:val="both"/>
        <w:rPr>
          <w:rFonts w:ascii="Calibri" w:eastAsia="Times New Roman" w:hAnsi="Calibri" w:cs="Calibri"/>
          <w:lang w:val="en-US"/>
        </w:rPr>
      </w:pPr>
    </w:p>
    <w:p w14:paraId="5BB8AC07" w14:textId="77777777" w:rsidR="00806029" w:rsidRDefault="00806029" w:rsidP="00806029">
      <w:pPr>
        <w:jc w:val="both"/>
        <w:rPr>
          <w:rFonts w:ascii="Calibri" w:eastAsia="Times New Roman" w:hAnsi="Calibri" w:cs="Calibri"/>
          <w:lang w:val="en-US"/>
        </w:rPr>
      </w:pPr>
      <w:r w:rsidRPr="006845F3">
        <w:rPr>
          <w:rFonts w:ascii="Calibri" w:eastAsia="Times New Roman" w:hAnsi="Calibri" w:cs="Calibri"/>
          <w:lang w:val="en-US"/>
        </w:rPr>
        <w:t xml:space="preserve">The FTFCTO will remain in effect until the receipt by the OSC of all filings the Company is required to make under Ontario securities law, including the Required Documents. </w:t>
      </w:r>
    </w:p>
    <w:p w14:paraId="00A2EA0A" w14:textId="77777777" w:rsidR="006845F3" w:rsidRPr="006845F3" w:rsidRDefault="006845F3" w:rsidP="006845F3">
      <w:pPr>
        <w:jc w:val="both"/>
        <w:rPr>
          <w:rFonts w:ascii="Calibri" w:eastAsia="Times New Roman" w:hAnsi="Calibri" w:cs="Calibri"/>
          <w:lang w:val="en-US"/>
        </w:rPr>
      </w:pPr>
    </w:p>
    <w:p w14:paraId="04F931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since the date of the Delayed Filing Announcement, other than as described above: (</w:t>
      </w:r>
      <w:proofErr w:type="spellStart"/>
      <w:r w:rsidRPr="006845F3">
        <w:rPr>
          <w:rFonts w:ascii="Calibri" w:eastAsia="Times New Roman" w:hAnsi="Calibri" w:cs="Calibri"/>
          <w:lang w:val="en-US"/>
        </w:rPr>
        <w:t>i</w:t>
      </w:r>
      <w:proofErr w:type="spellEnd"/>
      <w:r w:rsidRPr="006845F3">
        <w:rPr>
          <w:rFonts w:ascii="Calibri" w:eastAsia="Times New Roman" w:hAnsi="Calibri" w:cs="Calibri"/>
          <w:lang w:val="en-US"/>
        </w:rPr>
        <w:t>) there has been no material change to the information set out in the Delayed Filing Announcement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w:t>
      </w:r>
    </w:p>
    <w:p w14:paraId="66F02AEC" w14:textId="77777777" w:rsidR="006845F3" w:rsidRPr="006845F3" w:rsidRDefault="006845F3" w:rsidP="006845F3">
      <w:pPr>
        <w:jc w:val="both"/>
        <w:rPr>
          <w:rFonts w:ascii="Calibri" w:eastAsia="Times New Roman" w:hAnsi="Calibri" w:cs="Calibri"/>
          <w:lang w:val="en-US"/>
        </w:rPr>
      </w:pPr>
    </w:p>
    <w:p w14:paraId="26AB867F"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its business has not changed, there are no changes to its current business plans and that it does not expect any interruption of the operations of the Company during the FTFCTO.</w:t>
      </w:r>
    </w:p>
    <w:p w14:paraId="1D5379CD" w14:textId="77777777" w:rsidR="006845F3" w:rsidRPr="006845F3" w:rsidRDefault="006845F3" w:rsidP="006845F3">
      <w:pPr>
        <w:jc w:val="both"/>
        <w:rPr>
          <w:rFonts w:ascii="Calibri" w:eastAsia="Times New Roman" w:hAnsi="Calibri" w:cs="Calibri"/>
          <w:lang w:val="en-US"/>
        </w:rPr>
      </w:pPr>
    </w:p>
    <w:p w14:paraId="267461C6"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confirms that it will continue to satisfy the provisions of the alternative information guidelines under NP 12-203 by issuing bi-weekly default status reports in the form of news releases for so long as it remains delayed in filing the Required Documents. </w:t>
      </w:r>
    </w:p>
    <w:p w14:paraId="59D7BA86" w14:textId="77777777" w:rsidR="006845F3" w:rsidRPr="006845F3" w:rsidRDefault="006845F3" w:rsidP="006845F3">
      <w:pPr>
        <w:jc w:val="both"/>
        <w:rPr>
          <w:rFonts w:ascii="Calibri" w:eastAsia="Times New Roman" w:hAnsi="Calibri" w:cs="Calibri"/>
          <w:lang w:val="en-US"/>
        </w:rPr>
      </w:pPr>
    </w:p>
    <w:p w14:paraId="441B9F77" w14:textId="35CAC994"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anticipates that it will complete the Required Documents on or before </w:t>
      </w:r>
      <w:r w:rsidR="00626BF2">
        <w:rPr>
          <w:rFonts w:ascii="Calibri" w:eastAsia="Times New Roman" w:hAnsi="Calibri" w:cs="Calibri"/>
          <w:lang w:val="en-US"/>
        </w:rPr>
        <w:t>December</w:t>
      </w:r>
      <w:r w:rsidR="003F4D47">
        <w:rPr>
          <w:rFonts w:ascii="Calibri" w:eastAsia="Times New Roman" w:hAnsi="Calibri" w:cs="Calibri"/>
          <w:lang w:val="en-US"/>
        </w:rPr>
        <w:t xml:space="preserve"> </w:t>
      </w:r>
      <w:r w:rsidR="00626BF2">
        <w:rPr>
          <w:rFonts w:ascii="Calibri" w:eastAsia="Times New Roman" w:hAnsi="Calibri" w:cs="Calibri"/>
          <w:lang w:val="en-US"/>
        </w:rPr>
        <w:t>13</w:t>
      </w:r>
      <w:r w:rsidR="003F4D47">
        <w:rPr>
          <w:rFonts w:ascii="Calibri" w:eastAsia="Times New Roman" w:hAnsi="Calibri" w:cs="Calibri"/>
          <w:lang w:val="en-US"/>
        </w:rPr>
        <w:t>,</w:t>
      </w:r>
      <w:r w:rsidRPr="006845F3">
        <w:rPr>
          <w:rFonts w:ascii="Calibri" w:eastAsia="Times New Roman" w:hAnsi="Calibri" w:cs="Calibri"/>
          <w:lang w:val="en-US"/>
        </w:rPr>
        <w:t xml:space="preserve"> 2022.  Revocation of the FTFCTO is expected to occur within a few days after the Required Documents are filed.</w:t>
      </w:r>
    </w:p>
    <w:p w14:paraId="72C16A93" w14:textId="77777777" w:rsidR="006845F3" w:rsidRPr="006845F3" w:rsidRDefault="006845F3" w:rsidP="006845F3">
      <w:pPr>
        <w:jc w:val="both"/>
        <w:rPr>
          <w:rFonts w:ascii="Calibri" w:eastAsia="Times New Roman" w:hAnsi="Calibri" w:cs="Calibri"/>
          <w:lang w:val="en-US"/>
        </w:rPr>
      </w:pPr>
    </w:p>
    <w:p w14:paraId="5ECE2D8B" w14:textId="4A443218" w:rsidR="00E519A9" w:rsidRPr="00E519A9" w:rsidRDefault="00E519A9" w:rsidP="00C004A5">
      <w:pPr>
        <w:jc w:val="both"/>
        <w:rPr>
          <w:rFonts w:ascii="Calibri" w:eastAsia="Times New Roman" w:hAnsi="Calibri" w:cs="Calibri"/>
          <w:b/>
          <w:bCs/>
        </w:rPr>
      </w:pPr>
      <w:r w:rsidRPr="00E519A9">
        <w:rPr>
          <w:rFonts w:ascii="Calibri" w:eastAsia="Times New Roman" w:hAnsi="Calibri" w:cs="Calibri"/>
          <w:b/>
          <w:bCs/>
        </w:rPr>
        <w:t xml:space="preserve">About Rapid Dose Therapeutics Corp. </w:t>
      </w:r>
    </w:p>
    <w:p w14:paraId="26B61174" w14:textId="77777777" w:rsidR="00E519A9" w:rsidRPr="00E519A9" w:rsidRDefault="00E519A9" w:rsidP="00E519A9">
      <w:pPr>
        <w:jc w:val="both"/>
        <w:rPr>
          <w:rFonts w:ascii="Calibri" w:eastAsia="Times New Roman" w:hAnsi="Calibri" w:cs="Calibri"/>
        </w:rPr>
      </w:pPr>
      <w:r w:rsidRPr="00E519A9">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E519A9">
          <w:rPr>
            <w:rStyle w:val="Hyperlink"/>
            <w:rFonts w:ascii="Calibri" w:eastAsia="Times New Roman" w:hAnsi="Calibri" w:cs="Calibri"/>
          </w:rPr>
          <w:t>www.rapid-dose.com</w:t>
        </w:r>
      </w:hyperlink>
      <w:r w:rsidRPr="00E519A9">
        <w:rPr>
          <w:rFonts w:ascii="Calibri" w:eastAsia="Times New Roman" w:hAnsi="Calibri" w:cs="Calibri"/>
          <w:u w:val="single"/>
        </w:rPr>
        <w:t>.</w:t>
      </w:r>
      <w:r w:rsidRPr="00E519A9">
        <w:rPr>
          <w:rFonts w:ascii="Calibri" w:eastAsia="Times New Roman" w:hAnsi="Calibri" w:cs="Calibri"/>
        </w:rPr>
        <w:t xml:space="preserve"> </w:t>
      </w:r>
    </w:p>
    <w:p w14:paraId="3575C6C9" w14:textId="454FD5AE" w:rsidR="006A1A30" w:rsidRPr="006A1A30" w:rsidRDefault="00E519A9" w:rsidP="00E519A9">
      <w:pPr>
        <w:jc w:val="both"/>
        <w:rPr>
          <w:rFonts w:ascii="Calibri" w:eastAsia="Times New Roman" w:hAnsi="Calibri" w:cs="Calibri"/>
          <w:b/>
          <w:bCs/>
        </w:rPr>
      </w:pPr>
      <w:r>
        <w:rPr>
          <w:rFonts w:ascii="Calibri" w:eastAsia="Times New Roman" w:hAnsi="Calibri" w:cs="Calibri"/>
          <w:b/>
          <w:bCs/>
        </w:rPr>
        <w:lastRenderedPageBreak/>
        <w:br/>
        <w:t>C</w:t>
      </w:r>
      <w:r w:rsidR="006A1A30" w:rsidRPr="006A1A30">
        <w:rPr>
          <w:rFonts w:ascii="Calibri" w:eastAsia="Times New Roman" w:hAnsi="Calibri" w:cs="Calibri"/>
          <w:b/>
          <w:bCs/>
        </w:rPr>
        <w:t>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000000"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0904B813"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3AEC0A27" w14:textId="4F4CA550" w:rsidR="00A407EB" w:rsidRPr="00012596" w:rsidRDefault="0022369C" w:rsidP="0022369C">
      <w:pPr>
        <w:jc w:val="both"/>
        <w:rPr>
          <w:rFonts w:asciiTheme="minorHAnsi" w:eastAsia="Times New Roman" w:hAnsiTheme="minorHAnsi" w:cstheme="minorHAnsi"/>
          <w:shd w:val="clear" w:color="auto" w:fill="FFFFFF"/>
        </w:rPr>
      </w:pPr>
      <w:r w:rsidRPr="0022369C">
        <w:rPr>
          <w:rFonts w:ascii="Calibri" w:eastAsia="Times New Roman" w:hAnsi="Calibri" w:cs="Calibri"/>
          <w:i/>
          <w:iCs/>
        </w:rPr>
        <w:t>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22369C">
        <w:rPr>
          <w:rFonts w:ascii="Calibri" w:eastAsia="Times New Roman" w:hAnsi="Calibri" w:cs="Calibri"/>
          <w:i/>
          <w:iCs/>
          <w:lang w:val="en-US"/>
        </w:rPr>
        <w:t xml:space="preserve"> </w:t>
      </w:r>
      <w:r w:rsidRPr="0022369C">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4FCB" w14:textId="77777777" w:rsidR="00CF4461" w:rsidRDefault="00CF4461" w:rsidP="00781948">
      <w:r>
        <w:separator/>
      </w:r>
    </w:p>
  </w:endnote>
  <w:endnote w:type="continuationSeparator" w:id="0">
    <w:p w14:paraId="42A7F943" w14:textId="77777777" w:rsidR="00CF4461" w:rsidRDefault="00CF4461"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BB6E" w14:textId="77777777" w:rsidR="00CF4461" w:rsidRDefault="00CF4461" w:rsidP="00781948">
      <w:r>
        <w:separator/>
      </w:r>
    </w:p>
  </w:footnote>
  <w:footnote w:type="continuationSeparator" w:id="0">
    <w:p w14:paraId="36D0444C" w14:textId="77777777" w:rsidR="00CF4461" w:rsidRDefault="00CF4461"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0D73"/>
    <w:rsid w:val="00193A45"/>
    <w:rsid w:val="001962E1"/>
    <w:rsid w:val="001B1DFE"/>
    <w:rsid w:val="001B3D9F"/>
    <w:rsid w:val="001D50BD"/>
    <w:rsid w:val="001D6342"/>
    <w:rsid w:val="001F0175"/>
    <w:rsid w:val="001F7E26"/>
    <w:rsid w:val="0020278D"/>
    <w:rsid w:val="00203B2E"/>
    <w:rsid w:val="00204A60"/>
    <w:rsid w:val="00205062"/>
    <w:rsid w:val="00212B04"/>
    <w:rsid w:val="00216615"/>
    <w:rsid w:val="00221288"/>
    <w:rsid w:val="0022369C"/>
    <w:rsid w:val="00224AA8"/>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143B0"/>
    <w:rsid w:val="003230C5"/>
    <w:rsid w:val="00324557"/>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5258B"/>
    <w:rsid w:val="00452655"/>
    <w:rsid w:val="00456B90"/>
    <w:rsid w:val="00464024"/>
    <w:rsid w:val="004659D6"/>
    <w:rsid w:val="00484EA7"/>
    <w:rsid w:val="00490A60"/>
    <w:rsid w:val="004923B1"/>
    <w:rsid w:val="0049330D"/>
    <w:rsid w:val="004A0291"/>
    <w:rsid w:val="004A1387"/>
    <w:rsid w:val="004A3F80"/>
    <w:rsid w:val="004A64B2"/>
    <w:rsid w:val="004A6B2C"/>
    <w:rsid w:val="004B14FD"/>
    <w:rsid w:val="004D3549"/>
    <w:rsid w:val="004E5D80"/>
    <w:rsid w:val="004E7445"/>
    <w:rsid w:val="004F18BC"/>
    <w:rsid w:val="004F456A"/>
    <w:rsid w:val="004F5A1B"/>
    <w:rsid w:val="00501BC5"/>
    <w:rsid w:val="00505E39"/>
    <w:rsid w:val="00511486"/>
    <w:rsid w:val="00515DF6"/>
    <w:rsid w:val="0051772C"/>
    <w:rsid w:val="00523DA3"/>
    <w:rsid w:val="00525776"/>
    <w:rsid w:val="00525C98"/>
    <w:rsid w:val="00526AAD"/>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C106C"/>
    <w:rsid w:val="005C2E15"/>
    <w:rsid w:val="005D520C"/>
    <w:rsid w:val="005E05B8"/>
    <w:rsid w:val="00605AA8"/>
    <w:rsid w:val="00607F44"/>
    <w:rsid w:val="00610678"/>
    <w:rsid w:val="00626BF2"/>
    <w:rsid w:val="006306B4"/>
    <w:rsid w:val="00644D80"/>
    <w:rsid w:val="006534C6"/>
    <w:rsid w:val="00662189"/>
    <w:rsid w:val="00671083"/>
    <w:rsid w:val="006741AB"/>
    <w:rsid w:val="006845F3"/>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62A92"/>
    <w:rsid w:val="0086714C"/>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43F5D"/>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60F6C"/>
    <w:rsid w:val="00A626F9"/>
    <w:rsid w:val="00A65A12"/>
    <w:rsid w:val="00A66EBF"/>
    <w:rsid w:val="00A721B0"/>
    <w:rsid w:val="00A826B7"/>
    <w:rsid w:val="00A8303A"/>
    <w:rsid w:val="00A83F0F"/>
    <w:rsid w:val="00A84420"/>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05658"/>
    <w:rsid w:val="00B11F3E"/>
    <w:rsid w:val="00B208A2"/>
    <w:rsid w:val="00B25DC9"/>
    <w:rsid w:val="00B30ED7"/>
    <w:rsid w:val="00B3552E"/>
    <w:rsid w:val="00B37AB2"/>
    <w:rsid w:val="00B43B03"/>
    <w:rsid w:val="00B46D71"/>
    <w:rsid w:val="00B740A9"/>
    <w:rsid w:val="00B74417"/>
    <w:rsid w:val="00B75403"/>
    <w:rsid w:val="00B871DA"/>
    <w:rsid w:val="00B93D96"/>
    <w:rsid w:val="00B958DF"/>
    <w:rsid w:val="00B95A24"/>
    <w:rsid w:val="00BA47B1"/>
    <w:rsid w:val="00BA499F"/>
    <w:rsid w:val="00BB04C8"/>
    <w:rsid w:val="00BB51DB"/>
    <w:rsid w:val="00BB554C"/>
    <w:rsid w:val="00BC0376"/>
    <w:rsid w:val="00BC5600"/>
    <w:rsid w:val="00BE0027"/>
    <w:rsid w:val="00BF35ED"/>
    <w:rsid w:val="00C004A5"/>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C112D"/>
    <w:rsid w:val="00CC35DB"/>
    <w:rsid w:val="00CC4BE2"/>
    <w:rsid w:val="00CD0319"/>
    <w:rsid w:val="00CD089D"/>
    <w:rsid w:val="00CD0FA5"/>
    <w:rsid w:val="00CE3061"/>
    <w:rsid w:val="00CE3660"/>
    <w:rsid w:val="00CE67BA"/>
    <w:rsid w:val="00CF4461"/>
    <w:rsid w:val="00D005D3"/>
    <w:rsid w:val="00D02443"/>
    <w:rsid w:val="00D101FA"/>
    <w:rsid w:val="00D3357E"/>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24D9"/>
    <w:rsid w:val="00EC5D70"/>
    <w:rsid w:val="00EC71E4"/>
    <w:rsid w:val="00ED6E8D"/>
    <w:rsid w:val="00EE18D8"/>
    <w:rsid w:val="00EF397C"/>
    <w:rsid w:val="00EF5D52"/>
    <w:rsid w:val="00EF5E6A"/>
    <w:rsid w:val="00F112BC"/>
    <w:rsid w:val="00F12285"/>
    <w:rsid w:val="00F14056"/>
    <w:rsid w:val="00F17653"/>
    <w:rsid w:val="00F205C8"/>
    <w:rsid w:val="00F21C6A"/>
    <w:rsid w:val="00F22BAB"/>
    <w:rsid w:val="00F26EB3"/>
    <w:rsid w:val="00F32E00"/>
    <w:rsid w:val="00F359BA"/>
    <w:rsid w:val="00F41B49"/>
    <w:rsid w:val="00F4320C"/>
    <w:rsid w:val="00F5154C"/>
    <w:rsid w:val="00F60B6D"/>
    <w:rsid w:val="00F60D24"/>
    <w:rsid w:val="00F725C0"/>
    <w:rsid w:val="00F83288"/>
    <w:rsid w:val="00F84B79"/>
    <w:rsid w:val="00F8585B"/>
    <w:rsid w:val="00F93B63"/>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2022-04-28T11:54:00Z</cp:lastPrinted>
  <dcterms:created xsi:type="dcterms:W3CDTF">2022-11-29T20:48:00Z</dcterms:created>
  <dcterms:modified xsi:type="dcterms:W3CDTF">2022-11-29T20:48:00Z</dcterms:modified>
</cp:coreProperties>
</file>