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D2AE0" w:rsidRDefault="001514E1">
      <w:pPr>
        <w:jc w:val="center"/>
        <w:rPr>
          <w:rFonts w:ascii="Times New Roman" w:eastAsia="Times New Roman" w:hAnsi="Times New Roman" w:cs="Times New Roman"/>
          <w:b/>
          <w:color w:val="2F3435"/>
          <w:sz w:val="28"/>
          <w:szCs w:val="28"/>
        </w:rPr>
      </w:pPr>
      <w:bookmarkStart w:id="0" w:name="_GoBack"/>
      <w:bookmarkEnd w:id="0"/>
      <w:r>
        <w:rPr>
          <w:rFonts w:ascii="Times New Roman" w:eastAsia="Times New Roman" w:hAnsi="Times New Roman" w:cs="Times New Roman"/>
          <w:b/>
          <w:sz w:val="28"/>
          <w:szCs w:val="28"/>
        </w:rPr>
        <w:t xml:space="preserve">Revive Therapeutics Announces Submission of IRB Approval for </w:t>
      </w:r>
      <w:r>
        <w:rPr>
          <w:rFonts w:ascii="Times New Roman" w:eastAsia="Times New Roman" w:hAnsi="Times New Roman" w:cs="Times New Roman"/>
          <w:b/>
          <w:color w:val="2F3435"/>
          <w:sz w:val="28"/>
          <w:szCs w:val="28"/>
        </w:rPr>
        <w:t>Phase 3 Clinical Trial Protocol for Bucillamine in COVID-19</w:t>
      </w:r>
    </w:p>
    <w:p w14:paraId="00000002" w14:textId="77777777" w:rsidR="004D2AE0" w:rsidRDefault="004D2AE0">
      <w:pPr>
        <w:jc w:val="center"/>
        <w:rPr>
          <w:rFonts w:ascii="Times New Roman" w:eastAsia="Times New Roman" w:hAnsi="Times New Roman" w:cs="Times New Roman"/>
          <w:b/>
          <w:color w:val="2F3435"/>
          <w:sz w:val="28"/>
          <w:szCs w:val="28"/>
        </w:rPr>
      </w:pPr>
    </w:p>
    <w:p w14:paraId="00000003" w14:textId="77777777" w:rsidR="004D2AE0" w:rsidRPr="00A752E1" w:rsidRDefault="001514E1">
      <w:pPr>
        <w:jc w:val="center"/>
        <w:rPr>
          <w:rFonts w:ascii="Times New Roman" w:eastAsia="Times New Roman" w:hAnsi="Times New Roman" w:cs="Times New Roman"/>
          <w:b/>
          <w:bCs/>
          <w:color w:val="2F3435"/>
          <w:sz w:val="28"/>
          <w:szCs w:val="28"/>
        </w:rPr>
      </w:pPr>
      <w:r w:rsidRPr="00A752E1">
        <w:rPr>
          <w:rFonts w:ascii="Times New Roman" w:eastAsia="Times New Roman" w:hAnsi="Times New Roman" w:cs="Times New Roman"/>
          <w:b/>
          <w:bCs/>
          <w:i/>
          <w:color w:val="2F3435"/>
          <w:sz w:val="28"/>
          <w:szCs w:val="28"/>
        </w:rPr>
        <w:t>Revive to also explore FDA Expanded Access Program (Compassionate Use) for Bucillamine in COVID-19</w:t>
      </w:r>
    </w:p>
    <w:p w14:paraId="00000004" w14:textId="77777777" w:rsidR="004D2AE0" w:rsidRDefault="004D2AE0">
      <w:pPr>
        <w:pBdr>
          <w:bottom w:val="none" w:sz="0" w:space="11" w:color="auto"/>
        </w:pBdr>
        <w:shd w:val="clear" w:color="auto" w:fill="FFFFFF"/>
        <w:spacing w:line="432" w:lineRule="auto"/>
        <w:jc w:val="both"/>
        <w:rPr>
          <w:sz w:val="26"/>
          <w:szCs w:val="26"/>
          <w:highlight w:val="white"/>
        </w:rPr>
      </w:pPr>
    </w:p>
    <w:p w14:paraId="00000005" w14:textId="4F8A7281" w:rsidR="004D2AE0" w:rsidRDefault="001514E1">
      <w:pPr>
        <w:pBdr>
          <w:bottom w:val="none" w:sz="0" w:space="11" w:color="auto"/>
        </w:pBd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TORONTO, Aug</w:t>
      </w:r>
      <w:r w:rsidR="00B840F6">
        <w:rPr>
          <w:rFonts w:ascii="Times New Roman" w:eastAsia="Times New Roman" w:hAnsi="Times New Roman" w:cs="Times New Roman"/>
          <w:sz w:val="24"/>
          <w:szCs w:val="24"/>
          <w:highlight w:val="white"/>
        </w:rPr>
        <w:t>ust</w:t>
      </w:r>
      <w:r>
        <w:rPr>
          <w:rFonts w:ascii="Times New Roman" w:eastAsia="Times New Roman" w:hAnsi="Times New Roman" w:cs="Times New Roman"/>
          <w:sz w:val="24"/>
          <w:szCs w:val="24"/>
          <w:highlight w:val="white"/>
        </w:rPr>
        <w:t xml:space="preserve"> 26, 2020 – Revive Therapeutics Ltd. (“Revive” or the “Company”) (CSE: RVV, USA: RVVTF), a specialty life sciences company focused on the research and development of therapeutics for medical needs and rare disorders, is pleased to announce that following the U.S. Food &amp; Drug Administration (“U.S. FDA”) approval to proceed with the Company’s Phase 3 clinical trial to evaluate the safety and efficacy of Bucillamine in patients with mild-moderate COVID-19, the Company has submitted its clinical trial protocol for independent Institutional Review Board ("IRB") approval.  A</w:t>
      </w:r>
      <w:r w:rsidR="003D7133">
        <w:rPr>
          <w:rFonts w:ascii="Times New Roman" w:eastAsia="Times New Roman" w:hAnsi="Times New Roman" w:cs="Times New Roman"/>
          <w:sz w:val="24"/>
          <w:szCs w:val="24"/>
          <w:highlight w:val="white"/>
        </w:rPr>
        <w:t>dditionally,</w:t>
      </w:r>
      <w:r>
        <w:rPr>
          <w:rFonts w:ascii="Times New Roman" w:eastAsia="Times New Roman" w:hAnsi="Times New Roman" w:cs="Times New Roman"/>
          <w:sz w:val="24"/>
          <w:szCs w:val="24"/>
          <w:highlight w:val="white"/>
        </w:rPr>
        <w:t xml:space="preserve"> the Company is exploring the FDA </w:t>
      </w:r>
      <w:r w:rsidR="00A752E1">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xpanded </w:t>
      </w:r>
      <w:r w:rsidR="00A752E1">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 xml:space="preserve">ccess </w:t>
      </w:r>
      <w:r w:rsidR="00A752E1">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 xml:space="preserve">rogram, also referred to as </w:t>
      </w:r>
      <w:r w:rsidR="00A752E1">
        <w:rPr>
          <w:rFonts w:ascii="Times New Roman" w:eastAsia="Times New Roman" w:hAnsi="Times New Roman" w:cs="Times New Roman"/>
          <w:sz w:val="24"/>
          <w:szCs w:val="24"/>
          <w:highlight w:val="white"/>
        </w:rPr>
        <w:t>the C</w:t>
      </w:r>
      <w:r>
        <w:rPr>
          <w:rFonts w:ascii="Times New Roman" w:eastAsia="Times New Roman" w:hAnsi="Times New Roman" w:cs="Times New Roman"/>
          <w:sz w:val="24"/>
          <w:szCs w:val="24"/>
          <w:highlight w:val="white"/>
        </w:rPr>
        <w:t xml:space="preserve">ompassionate </w:t>
      </w:r>
      <w:r w:rsidR="00A752E1">
        <w:rPr>
          <w:rFonts w:ascii="Times New Roman" w:eastAsia="Times New Roman" w:hAnsi="Times New Roman" w:cs="Times New Roman"/>
          <w:sz w:val="24"/>
          <w:szCs w:val="24"/>
          <w:highlight w:val="white"/>
        </w:rPr>
        <w:t>U</w:t>
      </w:r>
      <w:r>
        <w:rPr>
          <w:rFonts w:ascii="Times New Roman" w:eastAsia="Times New Roman" w:hAnsi="Times New Roman" w:cs="Times New Roman"/>
          <w:sz w:val="24"/>
          <w:szCs w:val="24"/>
          <w:highlight w:val="white"/>
        </w:rPr>
        <w:t xml:space="preserve">se </w:t>
      </w:r>
      <w:r w:rsidR="00A752E1">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 xml:space="preserve">rogram, that </w:t>
      </w:r>
      <w:r w:rsidR="00A752E1">
        <w:rPr>
          <w:rFonts w:ascii="Times New Roman" w:eastAsia="Times New Roman" w:hAnsi="Times New Roman" w:cs="Times New Roman"/>
          <w:sz w:val="24"/>
          <w:szCs w:val="24"/>
          <w:highlight w:val="white"/>
        </w:rPr>
        <w:t>can</w:t>
      </w:r>
      <w:r>
        <w:rPr>
          <w:rFonts w:ascii="Times New Roman" w:eastAsia="Times New Roman" w:hAnsi="Times New Roman" w:cs="Times New Roman"/>
          <w:sz w:val="24"/>
          <w:szCs w:val="24"/>
          <w:highlight w:val="white"/>
        </w:rPr>
        <w:t xml:space="preserve"> provide access to the Company’s </w:t>
      </w:r>
      <w:r w:rsidRPr="00334E57">
        <w:rPr>
          <w:rFonts w:ascii="Times New Roman" w:hAnsi="Times New Roman" w:cs="Times New Roman"/>
          <w:color w:val="000000" w:themeColor="text1"/>
          <w:sz w:val="24"/>
          <w:szCs w:val="24"/>
          <w:shd w:val="clear" w:color="auto" w:fill="FEFEFE"/>
        </w:rPr>
        <w:t>investigational drug,</w:t>
      </w:r>
      <w:r w:rsidRPr="00334E57">
        <w:rPr>
          <w:rFonts w:ascii="Times New Roman" w:eastAsia="Times New Roman" w:hAnsi="Times New Roman" w:cs="Times New Roman"/>
          <w:color w:val="000000" w:themeColor="text1"/>
          <w:sz w:val="32"/>
          <w:szCs w:val="32"/>
          <w:highlight w:val="white"/>
        </w:rPr>
        <w:t xml:space="preserve"> </w:t>
      </w:r>
      <w:r>
        <w:rPr>
          <w:rFonts w:ascii="Times New Roman" w:eastAsia="Times New Roman" w:hAnsi="Times New Roman" w:cs="Times New Roman"/>
          <w:sz w:val="24"/>
          <w:szCs w:val="24"/>
          <w:highlight w:val="white"/>
        </w:rPr>
        <w:t>Bucillamine, for people who meet the protocol criteria of the COVID-19 study.</w:t>
      </w:r>
      <w:r w:rsidR="009D5475">
        <w:rPr>
          <w:rFonts w:ascii="Times New Roman" w:eastAsia="Times New Roman" w:hAnsi="Times New Roman" w:cs="Times New Roman"/>
          <w:sz w:val="24"/>
          <w:szCs w:val="24"/>
          <w:highlight w:val="white"/>
        </w:rPr>
        <w:t xml:space="preserve">  Revive expects to have patients enrolled in September 2020. </w:t>
      </w:r>
    </w:p>
    <w:p w14:paraId="00000006" w14:textId="77777777" w:rsidR="004D2AE0" w:rsidRDefault="004D2AE0">
      <w:pPr>
        <w:pBdr>
          <w:bottom w:val="none" w:sz="0" w:space="11" w:color="auto"/>
        </w:pBdr>
        <w:shd w:val="clear" w:color="auto" w:fill="FFFFFF"/>
        <w:jc w:val="both"/>
        <w:rPr>
          <w:rFonts w:ascii="Times New Roman" w:eastAsia="Times New Roman" w:hAnsi="Times New Roman" w:cs="Times New Roman"/>
          <w:sz w:val="24"/>
          <w:szCs w:val="24"/>
          <w:highlight w:val="white"/>
        </w:rPr>
      </w:pPr>
    </w:p>
    <w:p w14:paraId="00000007" w14:textId="540E4668" w:rsidR="004D2AE0" w:rsidRDefault="001514E1">
      <w:pPr>
        <w:pBdr>
          <w:bottom w:val="none" w:sz="0" w:space="11" w:color="auto"/>
        </w:pBd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are continuing to make </w:t>
      </w:r>
      <w:r w:rsidR="00C21049">
        <w:rPr>
          <w:rFonts w:ascii="Times New Roman" w:eastAsia="Times New Roman" w:hAnsi="Times New Roman" w:cs="Times New Roman"/>
          <w:sz w:val="24"/>
          <w:szCs w:val="24"/>
          <w:highlight w:val="white"/>
        </w:rPr>
        <w:t>strong</w:t>
      </w:r>
      <w:r>
        <w:rPr>
          <w:rFonts w:ascii="Times New Roman" w:eastAsia="Times New Roman" w:hAnsi="Times New Roman" w:cs="Times New Roman"/>
          <w:sz w:val="24"/>
          <w:szCs w:val="24"/>
          <w:highlight w:val="white"/>
        </w:rPr>
        <w:t xml:space="preserve"> progress </w:t>
      </w:r>
      <w:r w:rsidR="00A752E1">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rPr>
        <w:t xml:space="preserve"> our Phase 3 clinical trial in COVID-19 and with the submission of the Phase 3 study protocol to Advarra, a premier IRB services company in North America, for review and approval, it will enable us to select</w:t>
      </w:r>
      <w:r w:rsidR="00C21049">
        <w:rPr>
          <w:rFonts w:ascii="Times New Roman" w:eastAsia="Times New Roman" w:hAnsi="Times New Roman" w:cs="Times New Roman"/>
          <w:sz w:val="24"/>
          <w:szCs w:val="24"/>
          <w:highlight w:val="white"/>
        </w:rPr>
        <w:t xml:space="preserve"> key</w:t>
      </w:r>
      <w:r>
        <w:rPr>
          <w:rFonts w:ascii="Times New Roman" w:eastAsia="Times New Roman" w:hAnsi="Times New Roman" w:cs="Times New Roman"/>
          <w:sz w:val="24"/>
          <w:szCs w:val="24"/>
          <w:highlight w:val="white"/>
        </w:rPr>
        <w:t xml:space="preserve"> clinical sites in the U.S. and proceed with site initiation visits to allow for the selected U.S. clinical </w:t>
      </w:r>
      <w:r w:rsidR="00C21049">
        <w:rPr>
          <w:rFonts w:ascii="Times New Roman" w:eastAsia="Times New Roman" w:hAnsi="Times New Roman" w:cs="Times New Roman"/>
          <w:sz w:val="24"/>
          <w:szCs w:val="24"/>
          <w:highlight w:val="white"/>
        </w:rPr>
        <w:t>locations</w:t>
      </w:r>
      <w:r>
        <w:rPr>
          <w:rFonts w:ascii="Times New Roman" w:eastAsia="Times New Roman" w:hAnsi="Times New Roman" w:cs="Times New Roman"/>
          <w:sz w:val="24"/>
          <w:szCs w:val="24"/>
          <w:highlight w:val="white"/>
        </w:rPr>
        <w:t xml:space="preserve"> to enroll patients,” said Michael Frank, Revive’s Chief Executive Officer. “We are also exploring the </w:t>
      </w:r>
      <w:r w:rsidR="00A752E1">
        <w:rPr>
          <w:rFonts w:ascii="Times New Roman" w:eastAsia="Times New Roman" w:hAnsi="Times New Roman" w:cs="Times New Roman"/>
          <w:sz w:val="24"/>
          <w:szCs w:val="24"/>
          <w:highlight w:val="white"/>
        </w:rPr>
        <w:t>C</w:t>
      </w:r>
      <w:r>
        <w:rPr>
          <w:rFonts w:ascii="Times New Roman" w:eastAsia="Times New Roman" w:hAnsi="Times New Roman" w:cs="Times New Roman"/>
          <w:sz w:val="24"/>
          <w:szCs w:val="24"/>
          <w:highlight w:val="white"/>
        </w:rPr>
        <w:t xml:space="preserve">ompassionate </w:t>
      </w:r>
      <w:r w:rsidR="00A752E1">
        <w:rPr>
          <w:rFonts w:ascii="Times New Roman" w:eastAsia="Times New Roman" w:hAnsi="Times New Roman" w:cs="Times New Roman"/>
          <w:sz w:val="24"/>
          <w:szCs w:val="24"/>
          <w:highlight w:val="white"/>
        </w:rPr>
        <w:t>U</w:t>
      </w:r>
      <w:r>
        <w:rPr>
          <w:rFonts w:ascii="Times New Roman" w:eastAsia="Times New Roman" w:hAnsi="Times New Roman" w:cs="Times New Roman"/>
          <w:sz w:val="24"/>
          <w:szCs w:val="24"/>
          <w:highlight w:val="white"/>
        </w:rPr>
        <w:t xml:space="preserve">se </w:t>
      </w:r>
      <w:r w:rsidR="00A752E1">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rogram as an alternate option for U.S. licensed physicians to request Bucillamine for their patients who have been diagnosed with COVID-19.”</w:t>
      </w:r>
    </w:p>
    <w:p w14:paraId="00000008" w14:textId="77777777" w:rsidR="004D2AE0" w:rsidRDefault="004D2AE0">
      <w:pPr>
        <w:pBdr>
          <w:bottom w:val="none" w:sz="0" w:space="11" w:color="auto"/>
        </w:pBdr>
        <w:shd w:val="clear" w:color="auto" w:fill="FFFFFF"/>
        <w:jc w:val="both"/>
        <w:rPr>
          <w:rFonts w:ascii="Times New Roman" w:eastAsia="Times New Roman" w:hAnsi="Times New Roman" w:cs="Times New Roman"/>
          <w:sz w:val="24"/>
          <w:szCs w:val="24"/>
          <w:highlight w:val="white"/>
        </w:rPr>
      </w:pPr>
    </w:p>
    <w:p w14:paraId="7FA98AB7" w14:textId="0D5791D0" w:rsidR="009D5475" w:rsidRDefault="001514E1" w:rsidP="00334E57">
      <w:pPr>
        <w:pBdr>
          <w:bottom w:val="none" w:sz="0" w:space="11" w:color="auto"/>
        </w:pBdr>
        <w:shd w:val="clear" w:color="auto" w:fill="FEFEFE"/>
        <w:spacing w:after="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According to the FDA, expanded access programs provide a way for a patient to receive an investigational drug for a serious disease or condition. These investigational drugs are often made available when there are no comparable or satisfactory alternative therapies to treat the disease or conditio</w:t>
      </w:r>
      <w:r w:rsidR="00F31A93">
        <w:rPr>
          <w:rFonts w:ascii="Times New Roman" w:eastAsia="Times New Roman" w:hAnsi="Times New Roman" w:cs="Times New Roman"/>
          <w:sz w:val="24"/>
          <w:szCs w:val="24"/>
          <w:highlight w:val="white"/>
        </w:rPr>
        <w:t>n, where</w:t>
      </w:r>
      <w:r>
        <w:rPr>
          <w:rFonts w:ascii="Times New Roman" w:eastAsia="Times New Roman" w:hAnsi="Times New Roman" w:cs="Times New Roman"/>
          <w:sz w:val="24"/>
          <w:szCs w:val="24"/>
          <w:highlight w:val="white"/>
        </w:rPr>
        <w:t xml:space="preserve"> patient enrollment in clinical trials is not possible</w:t>
      </w:r>
      <w:r w:rsidR="00F31A9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F31A93">
        <w:rPr>
          <w:rFonts w:ascii="Times New Roman" w:eastAsia="Times New Roman" w:hAnsi="Times New Roman" w:cs="Times New Roman"/>
          <w:sz w:val="24"/>
          <w:szCs w:val="24"/>
          <w:highlight w:val="white"/>
        </w:rPr>
        <w:t xml:space="preserve">the </w:t>
      </w:r>
      <w:r>
        <w:rPr>
          <w:rFonts w:ascii="Times New Roman" w:eastAsia="Times New Roman" w:hAnsi="Times New Roman" w:cs="Times New Roman"/>
          <w:sz w:val="24"/>
          <w:szCs w:val="24"/>
          <w:highlight w:val="white"/>
        </w:rPr>
        <w:t xml:space="preserve">potential patient benefit justifies the potential risk of treatment and </w:t>
      </w:r>
      <w:r w:rsidR="00F31A93">
        <w:rPr>
          <w:rFonts w:ascii="Times New Roman" w:eastAsia="Times New Roman" w:hAnsi="Times New Roman" w:cs="Times New Roman"/>
          <w:sz w:val="24"/>
          <w:szCs w:val="24"/>
          <w:highlight w:val="white"/>
        </w:rPr>
        <w:t xml:space="preserve">when </w:t>
      </w:r>
      <w:r>
        <w:rPr>
          <w:rFonts w:ascii="Times New Roman" w:eastAsia="Times New Roman" w:hAnsi="Times New Roman" w:cs="Times New Roman"/>
          <w:sz w:val="24"/>
          <w:szCs w:val="24"/>
          <w:highlight w:val="white"/>
        </w:rPr>
        <w:t>providing the investigational drug will not interfere with clinical trials that could support the drug’s marketing approval for the treatment indication.</w:t>
      </w:r>
    </w:p>
    <w:p w14:paraId="0000000C" w14:textId="77777777" w:rsidR="004D2AE0" w:rsidRDefault="001514E1">
      <w:pPr>
        <w:pBdr>
          <w:bottom w:val="none" w:sz="0" w:space="11" w:color="auto"/>
        </w:pBdr>
        <w:shd w:val="clear" w:color="auto" w:fill="FFFFFF"/>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About the Phase 3 Confirmatory Clinical Study</w:t>
      </w:r>
    </w:p>
    <w:p w14:paraId="0000000D" w14:textId="77777777" w:rsidR="004D2AE0" w:rsidRDefault="004D2AE0">
      <w:pPr>
        <w:pBdr>
          <w:bottom w:val="none" w:sz="0" w:space="11" w:color="auto"/>
        </w:pBdr>
        <w:shd w:val="clear" w:color="auto" w:fill="FFFFFF"/>
        <w:jc w:val="both"/>
        <w:rPr>
          <w:rFonts w:ascii="Times New Roman" w:eastAsia="Times New Roman" w:hAnsi="Times New Roman" w:cs="Times New Roman"/>
          <w:i/>
          <w:sz w:val="24"/>
          <w:szCs w:val="24"/>
          <w:highlight w:val="white"/>
        </w:rPr>
      </w:pPr>
    </w:p>
    <w:p w14:paraId="0000000E" w14:textId="77777777" w:rsidR="004D2AE0" w:rsidRDefault="001514E1">
      <w:pPr>
        <w:pBdr>
          <w:bottom w:val="none" w:sz="0" w:space="11" w:color="auto"/>
        </w:pBd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Phase 3 confirmatory clinical study titled, “A Multi-Center, Randomized, Double-Blind, Placebo-Controlled Study of Bucillamine in Patients with Mild-Moderate COVID-19”, will enroll up to 1,000 patients that will be randomized 1:1:1 to receive Bucillamine 100 mg three times a day (“TID”), Bucillamine 200 mg TID or placebo TID for up to 14 days.  The primary objective is to </w:t>
      </w:r>
      <w:r>
        <w:rPr>
          <w:rFonts w:ascii="Times New Roman" w:eastAsia="Times New Roman" w:hAnsi="Times New Roman" w:cs="Times New Roman"/>
          <w:sz w:val="24"/>
          <w:szCs w:val="24"/>
          <w:highlight w:val="white"/>
        </w:rPr>
        <w:lastRenderedPageBreak/>
        <w:t>compare the frequency of hospitalization or death in patients with mild-moderate COVID-19 receiving Bucillamine therapy with those receiving placebo.  The primary endpoint is the proportion of patients meeting a composite endpoint of hospitalization or death from the time of the first dose through Day 28 following randomization.  Efficacy will be assessed by comparing clinical outcomes (death or hospitalization), disease severity using the 8-category NIAID COVID ordinal scale, supplemental oxygen use, and progression of COVID‑19 between patients receiving standard-of-care plus Bucillamine (high dose and/or low dose) and patients receiving standard-of-care plus placebo.  Safety will be assessed by reported pre-treatment adverse events and treatment-emergent adverse events (including serious adverse events and adverse events of special interest), laboratory values (hematology and serum chemistry), vital signs (heart rate, respiratory rate, and temperature), and peripheral oxygen saturation.</w:t>
      </w:r>
    </w:p>
    <w:p w14:paraId="0000000F" w14:textId="77777777" w:rsidR="004D2AE0" w:rsidRDefault="004D2AE0">
      <w:pPr>
        <w:pBdr>
          <w:bottom w:val="none" w:sz="0" w:space="11" w:color="auto"/>
        </w:pBdr>
        <w:shd w:val="clear" w:color="auto" w:fill="FFFFFF"/>
        <w:jc w:val="both"/>
        <w:rPr>
          <w:rFonts w:ascii="Times New Roman" w:eastAsia="Times New Roman" w:hAnsi="Times New Roman" w:cs="Times New Roman"/>
          <w:sz w:val="24"/>
          <w:szCs w:val="24"/>
          <w:highlight w:val="white"/>
        </w:rPr>
      </w:pPr>
    </w:p>
    <w:p w14:paraId="00000010" w14:textId="77777777" w:rsidR="004D2AE0" w:rsidRDefault="001514E1">
      <w:pPr>
        <w:pBdr>
          <w:bottom w:val="none" w:sz="0" w:space="11" w:color="auto"/>
        </w:pBd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 interim analysis will be performed by an Independent Data and Safety Monitoring Board (“DSMB”) after 210 patients have been treated and followed up for 28 days after randomization.  The better performing Bucillamine dose at the interim analysis will be selected and patients will then be randomized 2:1 to the selected Bucillamine dose or placebo. Additional interim analyses will be performed after 400, 600, and 800 patients have reached this same post-treatment timepoint.  The independent DSMB will actively monitor interim data for the ongoing safety of patients and will recommend continuation, stopping or changes to the conduct of the study based on the interim analysis reports.</w:t>
      </w:r>
    </w:p>
    <w:p w14:paraId="00000011" w14:textId="77777777" w:rsidR="004D2AE0" w:rsidRDefault="004D2AE0">
      <w:pPr>
        <w:pBdr>
          <w:bottom w:val="none" w:sz="0" w:space="11" w:color="auto"/>
        </w:pBdr>
        <w:shd w:val="clear" w:color="auto" w:fill="FFFFFF"/>
        <w:jc w:val="both"/>
        <w:rPr>
          <w:rFonts w:ascii="Times New Roman" w:eastAsia="Times New Roman" w:hAnsi="Times New Roman" w:cs="Times New Roman"/>
          <w:sz w:val="24"/>
          <w:szCs w:val="24"/>
          <w:highlight w:val="white"/>
        </w:rPr>
      </w:pPr>
    </w:p>
    <w:p w14:paraId="00000012" w14:textId="77777777" w:rsidR="004D2AE0" w:rsidRDefault="001514E1">
      <w:pPr>
        <w:pBdr>
          <w:bottom w:val="none" w:sz="0" w:space="11" w:color="auto"/>
        </w:pBd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Company is not making any express or implied claims that its product has the ability to eliminate or cure COVID-19 (SARS-2 Coronavirus) at this time.</w:t>
      </w:r>
    </w:p>
    <w:p w14:paraId="00000013" w14:textId="77777777" w:rsidR="004D2AE0" w:rsidRDefault="004D2AE0">
      <w:pPr>
        <w:pBdr>
          <w:bottom w:val="none" w:sz="0" w:space="11" w:color="auto"/>
        </w:pBdr>
        <w:shd w:val="clear" w:color="auto" w:fill="FFFFFF"/>
        <w:jc w:val="both"/>
        <w:rPr>
          <w:rFonts w:ascii="Times New Roman" w:eastAsia="Times New Roman" w:hAnsi="Times New Roman" w:cs="Times New Roman"/>
          <w:sz w:val="24"/>
          <w:szCs w:val="24"/>
          <w:highlight w:val="white"/>
        </w:rPr>
      </w:pPr>
    </w:p>
    <w:p w14:paraId="00000014" w14:textId="77777777" w:rsidR="004D2AE0" w:rsidRDefault="001514E1">
      <w:pPr>
        <w:pBdr>
          <w:bottom w:val="none" w:sz="0" w:space="11" w:color="auto"/>
        </w:pBdr>
        <w:shd w:val="clear" w:color="auto" w:fill="FFFFFF"/>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Scientific Rationale of Bucillamine for COVID-19</w:t>
      </w:r>
    </w:p>
    <w:p w14:paraId="00000015" w14:textId="77777777" w:rsidR="004D2AE0" w:rsidRDefault="004D2AE0">
      <w:pPr>
        <w:pBdr>
          <w:bottom w:val="none" w:sz="0" w:space="11" w:color="auto"/>
        </w:pBdr>
        <w:shd w:val="clear" w:color="auto" w:fill="FFFFFF"/>
        <w:jc w:val="both"/>
        <w:rPr>
          <w:rFonts w:ascii="Times New Roman" w:eastAsia="Times New Roman" w:hAnsi="Times New Roman" w:cs="Times New Roman"/>
          <w:i/>
          <w:sz w:val="24"/>
          <w:szCs w:val="24"/>
          <w:highlight w:val="white"/>
        </w:rPr>
      </w:pPr>
    </w:p>
    <w:p w14:paraId="00000016" w14:textId="77777777" w:rsidR="004D2AE0" w:rsidRDefault="001514E1">
      <w:pPr>
        <w:pBdr>
          <w:bottom w:val="none" w:sz="0" w:space="11" w:color="auto"/>
        </w:pBdr>
        <w:shd w:val="clear" w:color="auto" w:fill="FFFFFF"/>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Preclinical and clinical studies have demonstrated that reactive oxygen species contribute to the destruction and programmed cell death of pulmonary epithelial cells.1 N-acetyl-cysteine (NAC) has been shown to significantly attenuate clinical symptoms in respiratory viral infections in animals and humans, primarily via donation of thiols to increase antioxidant activity of cellular glutathione2,3,4,5. Bucillamine (N-(mercapto-2-methylpropionyl)-l-cysteine) has a well-known safety profile and is prescribed in the treatment of rheumatoid arthritis in Japan and South Korea for over 30 years. Bucillamine, a cysteine derivative with two thiol groups, has been shown to be 16 times more potent as a thiol donor in vivo than NAC 6. The drug is non-toxic with high cellular permeability. The basis of the clinical study will analyze if Bucillamine has the potential, via increasing glutathione activity and other anti-inflammatory activity, to lessen the destructive consequences of SARS-CoV2 infection in the lungs and attenuate the clinical course of COVID-19.</w:t>
      </w:r>
    </w:p>
    <w:p w14:paraId="00000017" w14:textId="77777777" w:rsidR="004D2AE0" w:rsidRDefault="001514E1" w:rsidP="00334E57">
      <w:pPr>
        <w:keepNext/>
        <w:shd w:val="clear" w:color="auto" w:fill="FFFFFF"/>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About Revive Therapeutics Ltd.</w:t>
      </w:r>
    </w:p>
    <w:p w14:paraId="00000018" w14:textId="77777777" w:rsidR="004D2AE0" w:rsidRDefault="001514E1">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Revive is a life sciences company focused on the research and development of therapeutics for infectious diseases and rare disorders, and it is prioritizing drug development efforts to take advantage of several regulatory incentives awarded by the FDA such as Orphan Drug, Fast Track, Breakthrough Therapy and Rare Pediatric Disease designations. Currently, the Company is exploring the use of Bucillamine for the potential treatment of infectious diseases, with an initial focus on severe influenza and COVID-19. With its recent acquisition of Psilocin Pharma Corp., Revive is advancing the development of Psilocybin-based therapeutics in various diseases and disorders. Revive’s cannabinoid pharmaceutical portfolio focuses on rare inflammatory diseases and the company was granted FDA orphan drug status designation for the use of Cannabidiol (CBD) to treat autoimmune hepatitis (liver disease) and to treat ischemia and reperfusion injury from organ transplantation. For more information, visit </w:t>
      </w:r>
      <w:hyperlink r:id="rId6">
        <w:r>
          <w:rPr>
            <w:rFonts w:ascii="Times New Roman" w:eastAsia="Times New Roman" w:hAnsi="Times New Roman" w:cs="Times New Roman"/>
            <w:b/>
            <w:sz w:val="24"/>
            <w:szCs w:val="24"/>
            <w:u w:val="single"/>
          </w:rPr>
          <w:t>www.ReviveThera.com</w:t>
        </w:r>
      </w:hyperlink>
      <w:r>
        <w:rPr>
          <w:rFonts w:ascii="Times New Roman" w:eastAsia="Times New Roman" w:hAnsi="Times New Roman" w:cs="Times New Roman"/>
          <w:sz w:val="24"/>
          <w:szCs w:val="24"/>
        </w:rPr>
        <w:t>.</w:t>
      </w:r>
    </w:p>
    <w:p w14:paraId="00000019" w14:textId="77777777" w:rsidR="004D2AE0" w:rsidRDefault="001514E1">
      <w:pPr>
        <w:shd w:val="clear" w:color="auto" w:fill="FEFEFE"/>
        <w:spacing w:after="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information, please contact:</w:t>
      </w:r>
    </w:p>
    <w:p w14:paraId="0000001A" w14:textId="77777777" w:rsidR="004D2AE0" w:rsidRDefault="001514E1" w:rsidP="00334E57">
      <w:pPr>
        <w:shd w:val="clear" w:color="auto" w:fill="FEFEFE"/>
        <w:spacing w:after="320"/>
        <w:rPr>
          <w:rFonts w:ascii="Times New Roman" w:eastAsia="Times New Roman" w:hAnsi="Times New Roman" w:cs="Times New Roman"/>
          <w:i/>
          <w:sz w:val="20"/>
          <w:szCs w:val="20"/>
        </w:rPr>
      </w:pPr>
      <w:r>
        <w:rPr>
          <w:rFonts w:ascii="Times New Roman" w:eastAsia="Times New Roman" w:hAnsi="Times New Roman" w:cs="Times New Roman"/>
          <w:sz w:val="24"/>
          <w:szCs w:val="24"/>
        </w:rPr>
        <w:t>Michael Frank</w:t>
      </w:r>
      <w:r>
        <w:rPr>
          <w:rFonts w:ascii="Times New Roman" w:eastAsia="Times New Roman" w:hAnsi="Times New Roman" w:cs="Times New Roman"/>
          <w:sz w:val="24"/>
          <w:szCs w:val="24"/>
        </w:rPr>
        <w:br/>
        <w:t>Chief Executive Officer</w:t>
      </w:r>
      <w:r>
        <w:rPr>
          <w:rFonts w:ascii="Times New Roman" w:eastAsia="Times New Roman" w:hAnsi="Times New Roman" w:cs="Times New Roman"/>
          <w:sz w:val="24"/>
          <w:szCs w:val="24"/>
        </w:rPr>
        <w:br/>
        <w:t>Revive Therapeutics Ltd.</w:t>
      </w:r>
      <w:r>
        <w:rPr>
          <w:rFonts w:ascii="Times New Roman" w:eastAsia="Times New Roman" w:hAnsi="Times New Roman" w:cs="Times New Roman"/>
          <w:sz w:val="24"/>
          <w:szCs w:val="24"/>
        </w:rPr>
        <w:br/>
        <w:t>Tel: 1 888 901 0036</w:t>
      </w:r>
      <w:r>
        <w:rPr>
          <w:rFonts w:ascii="Times New Roman" w:eastAsia="Times New Roman" w:hAnsi="Times New Roman" w:cs="Times New Roman"/>
          <w:sz w:val="24"/>
          <w:szCs w:val="24"/>
        </w:rPr>
        <w:br/>
        <w:t xml:space="preserve">Email: </w:t>
      </w:r>
      <w:hyperlink r:id="rId7">
        <w:r>
          <w:rPr>
            <w:rFonts w:ascii="Times New Roman" w:eastAsia="Times New Roman" w:hAnsi="Times New Roman" w:cs="Times New Roman"/>
            <w:b/>
            <w:sz w:val="24"/>
            <w:szCs w:val="24"/>
            <w:u w:val="single"/>
          </w:rPr>
          <w:t>mfrank@revivethera.com</w:t>
        </w:r>
      </w:hyperlink>
      <w:r>
        <w:rPr>
          <w:rFonts w:ascii="Times New Roman" w:eastAsia="Times New Roman" w:hAnsi="Times New Roman" w:cs="Times New Roman"/>
          <w:sz w:val="24"/>
          <w:szCs w:val="24"/>
        </w:rPr>
        <w:br/>
        <w:t xml:space="preserve">Website: </w:t>
      </w:r>
      <w:hyperlink r:id="rId8">
        <w:r>
          <w:rPr>
            <w:rFonts w:ascii="Times New Roman" w:eastAsia="Times New Roman" w:hAnsi="Times New Roman" w:cs="Times New Roman"/>
            <w:b/>
            <w:sz w:val="24"/>
            <w:szCs w:val="24"/>
            <w:u w:val="single"/>
          </w:rPr>
          <w:t>www.revivethera.com</w:t>
        </w:r>
      </w:hyperlink>
      <w:r>
        <w:rPr>
          <w:rFonts w:ascii="Roboto" w:eastAsia="Roboto" w:hAnsi="Roboto" w:cs="Roboto"/>
          <w:i/>
          <w:color w:val="535D60"/>
          <w:sz w:val="24"/>
          <w:szCs w:val="24"/>
        </w:rPr>
        <w:br/>
      </w:r>
      <w:r>
        <w:rPr>
          <w:rFonts w:ascii="Roboto" w:eastAsia="Roboto" w:hAnsi="Roboto" w:cs="Roboto"/>
          <w:i/>
          <w:color w:val="535D60"/>
          <w:sz w:val="24"/>
          <w:szCs w:val="24"/>
        </w:rPr>
        <w:br/>
      </w:r>
      <w:r>
        <w:rPr>
          <w:rFonts w:ascii="Times New Roman" w:eastAsia="Times New Roman" w:hAnsi="Times New Roman" w:cs="Times New Roman"/>
          <w:i/>
          <w:sz w:val="20"/>
          <w:szCs w:val="20"/>
        </w:rPr>
        <w:t>Neither the Canadian Securities Exchange nor its Regulation Services Provider have reviewed or accept responsibility for the adequacy or accuracy of this release.</w:t>
      </w:r>
    </w:p>
    <w:p w14:paraId="0000001B" w14:textId="77777777" w:rsidR="004D2AE0" w:rsidRDefault="001514E1">
      <w:pPr>
        <w:shd w:val="clear" w:color="auto" w:fill="FFFFFF"/>
        <w:spacing w:before="240" w:after="2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Cautionary Statement</w:t>
      </w:r>
    </w:p>
    <w:p w14:paraId="0000001C" w14:textId="77777777" w:rsidR="004D2AE0" w:rsidRDefault="001514E1">
      <w:pPr>
        <w:shd w:val="clear" w:color="auto" w:fill="FFFFFF"/>
        <w:spacing w:before="240" w:after="2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This press release contains ‘forward-looking information’ within the meaning of applicable Canadian securities legislation. These statements relate to future events or future performance. The use of any of the words “could”, “intend”, “expect”, “believe”, “will”, “projected”, “estimated” and similar expressions and statements relating to matters that are not historical facts are intended to identify forward-looking information and are based on Revive’s current belief or assumptions as to the outcome and timing of such future events. Forward looking information in this press release includes information with respect to the Offering, including the intended use of proceeds. Forward-looking information is based on reasonable assumptions that have been made by Revive at the date of the information and is subject to known and unknown risks, uncertainties, and other factors that may cause actual results or events to differ materially from those anticipated in the forward-looking information. Given these risks, uncertainties and assumptions, you should not unduly rely on these forward-looking statements. The forward-looking information contained in this press release is made as of the date hereof, and Revive is not obligated to update or revise any forward-looking information, whether as a result of new information, future events or otherwise, except as required by applicable securities laws. The foregoing statements expressly qualify any forward-looking information contained herein. Reference is made to the risk factors disclosed under the heading “Risk Factors” in the Company’s annual MD&amp;A for the fiscal year ended June 30, 2019, which has been filed on SEDAR and is available under the Company’s profile at </w:t>
      </w:r>
      <w:hyperlink r:id="rId9">
        <w:r>
          <w:rPr>
            <w:rFonts w:ascii="Times New Roman" w:eastAsia="Times New Roman" w:hAnsi="Times New Roman" w:cs="Times New Roman"/>
            <w:b/>
            <w:i/>
            <w:sz w:val="20"/>
            <w:szCs w:val="20"/>
            <w:u w:val="single"/>
          </w:rPr>
          <w:t>www.sedar.com</w:t>
        </w:r>
      </w:hyperlink>
      <w:r>
        <w:rPr>
          <w:rFonts w:ascii="Times New Roman" w:eastAsia="Times New Roman" w:hAnsi="Times New Roman" w:cs="Times New Roman"/>
          <w:i/>
          <w:sz w:val="20"/>
          <w:szCs w:val="20"/>
        </w:rPr>
        <w:t>.</w:t>
      </w:r>
    </w:p>
    <w:p w14:paraId="0000001D" w14:textId="77777777" w:rsidR="004D2AE0" w:rsidRDefault="001514E1" w:rsidP="00334E57">
      <w:pPr>
        <w:keepNext/>
        <w:pBdr>
          <w:bottom w:val="none" w:sz="0" w:space="11" w:color="auto"/>
        </w:pBdr>
        <w:shd w:val="clear" w:color="auto" w:fill="FFFFFF"/>
        <w:spacing w:after="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References</w:t>
      </w:r>
    </w:p>
    <w:p w14:paraId="0000001F" w14:textId="77777777" w:rsidR="004D2AE0" w:rsidRDefault="001514E1">
      <w:pPr>
        <w:pBdr>
          <w:bottom w:val="none" w:sz="0" w:space="11" w:color="auto"/>
        </w:pBdr>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 S Ye et al, Inhibition of Reactive Oxygen Species Production Ameliorates Inflammation Induced by Influenza A Viruses via Upregulation of SOCS1 and SOCS3., </w:t>
      </w:r>
      <w:r>
        <w:rPr>
          <w:rFonts w:ascii="Times New Roman" w:eastAsia="Times New Roman" w:hAnsi="Times New Roman" w:cs="Times New Roman"/>
          <w:i/>
          <w:sz w:val="24"/>
          <w:szCs w:val="24"/>
          <w:u w:val="single"/>
        </w:rPr>
        <w:t>American Society for Microbiology.</w:t>
      </w:r>
      <w:r>
        <w:rPr>
          <w:rFonts w:ascii="Times New Roman" w:eastAsia="Times New Roman" w:hAnsi="Times New Roman" w:cs="Times New Roman"/>
          <w:i/>
          <w:sz w:val="24"/>
          <w:szCs w:val="24"/>
        </w:rPr>
        <w:t xml:space="preserve"> 2015 Mar;89(5):2672-2683).</w:t>
      </w:r>
    </w:p>
    <w:p w14:paraId="00000020" w14:textId="77777777" w:rsidR="004D2AE0" w:rsidRDefault="004D2AE0">
      <w:pPr>
        <w:pBdr>
          <w:bottom w:val="none" w:sz="0" w:space="11" w:color="auto"/>
        </w:pBdr>
        <w:shd w:val="clear" w:color="auto" w:fill="FFFFFF"/>
        <w:jc w:val="both"/>
        <w:rPr>
          <w:rFonts w:ascii="Times New Roman" w:eastAsia="Times New Roman" w:hAnsi="Times New Roman" w:cs="Times New Roman"/>
          <w:i/>
          <w:sz w:val="24"/>
          <w:szCs w:val="24"/>
        </w:rPr>
      </w:pPr>
    </w:p>
    <w:p w14:paraId="00000021" w14:textId="77777777" w:rsidR="004D2AE0" w:rsidRDefault="001514E1">
      <w:pPr>
        <w:pBdr>
          <w:bottom w:val="none" w:sz="0" w:space="11" w:color="auto"/>
        </w:pBdr>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L. Carati et al, Attenuation of influenza-like symptomatology and improvement of cell-mediated immunity with long-term N-acetylcysteine treatment., </w:t>
      </w:r>
      <w:hyperlink r:id="rId10">
        <w:r>
          <w:rPr>
            <w:rFonts w:ascii="Times New Roman" w:eastAsia="Times New Roman" w:hAnsi="Times New Roman" w:cs="Times New Roman"/>
            <w:b/>
            <w:i/>
            <w:sz w:val="24"/>
            <w:szCs w:val="24"/>
          </w:rPr>
          <w:t>Eur Respir J.</w:t>
        </w:r>
      </w:hyperlink>
      <w:r>
        <w:rPr>
          <w:rFonts w:ascii="Times New Roman" w:eastAsia="Times New Roman" w:hAnsi="Times New Roman" w:cs="Times New Roman"/>
          <w:i/>
          <w:sz w:val="24"/>
          <w:szCs w:val="24"/>
        </w:rPr>
        <w:t xml:space="preserve"> 1997 Jul;10(7):1535-41).</w:t>
      </w:r>
    </w:p>
    <w:p w14:paraId="00000022" w14:textId="77777777" w:rsidR="004D2AE0" w:rsidRDefault="004D2AE0">
      <w:pPr>
        <w:pBdr>
          <w:bottom w:val="none" w:sz="0" w:space="11" w:color="auto"/>
        </w:pBdr>
        <w:shd w:val="clear" w:color="auto" w:fill="FFFFFF"/>
        <w:jc w:val="both"/>
        <w:rPr>
          <w:rFonts w:ascii="Times New Roman" w:eastAsia="Times New Roman" w:hAnsi="Times New Roman" w:cs="Times New Roman"/>
          <w:i/>
          <w:sz w:val="24"/>
          <w:szCs w:val="24"/>
        </w:rPr>
      </w:pPr>
    </w:p>
    <w:p w14:paraId="00000023" w14:textId="77777777" w:rsidR="004D2AE0" w:rsidRDefault="001514E1">
      <w:pPr>
        <w:pBdr>
          <w:bottom w:val="none" w:sz="0" w:space="11" w:color="auto"/>
        </w:pBdr>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3. M Mata et al, N-acetyl-L-cysteine (NAC) inhibit mucin synthesis and pro-inflammatory mediators in alveolar type II epithelial cells infected with influenza virus A and B and with respiratory syncytial virus (RSV)., </w:t>
      </w:r>
      <w:r>
        <w:rPr>
          <w:rFonts w:ascii="Times New Roman" w:eastAsia="Times New Roman" w:hAnsi="Times New Roman" w:cs="Times New Roman"/>
          <w:i/>
          <w:sz w:val="24"/>
          <w:szCs w:val="24"/>
          <w:u w:val="single"/>
        </w:rPr>
        <w:t>Biochem Pharmacol.</w:t>
      </w:r>
      <w:r>
        <w:rPr>
          <w:rFonts w:ascii="Times New Roman" w:eastAsia="Times New Roman" w:hAnsi="Times New Roman" w:cs="Times New Roman"/>
          <w:i/>
          <w:sz w:val="24"/>
          <w:szCs w:val="24"/>
        </w:rPr>
        <w:t xml:space="preserve"> 2011 Sep;82(5):548-55.</w:t>
      </w:r>
    </w:p>
    <w:p w14:paraId="00000024" w14:textId="77777777" w:rsidR="004D2AE0" w:rsidRDefault="004D2AE0">
      <w:pPr>
        <w:pBdr>
          <w:bottom w:val="none" w:sz="0" w:space="11" w:color="auto"/>
        </w:pBdr>
        <w:shd w:val="clear" w:color="auto" w:fill="FFFFFF"/>
        <w:jc w:val="both"/>
        <w:rPr>
          <w:rFonts w:ascii="Times New Roman" w:eastAsia="Times New Roman" w:hAnsi="Times New Roman" w:cs="Times New Roman"/>
          <w:i/>
          <w:sz w:val="24"/>
          <w:szCs w:val="24"/>
        </w:rPr>
      </w:pPr>
    </w:p>
    <w:p w14:paraId="00000025" w14:textId="77777777" w:rsidR="004D2AE0" w:rsidRDefault="001514E1">
      <w:pPr>
        <w:pBdr>
          <w:bottom w:val="none" w:sz="0" w:space="11" w:color="auto"/>
        </w:pBdr>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4. D Ungheri et al, Protective effect of n-acetylcysteine in a model of influenza infection in mice., </w:t>
      </w:r>
      <w:r>
        <w:rPr>
          <w:rFonts w:ascii="Times New Roman" w:eastAsia="Times New Roman" w:hAnsi="Times New Roman" w:cs="Times New Roman"/>
          <w:i/>
          <w:sz w:val="24"/>
          <w:szCs w:val="24"/>
          <w:u w:val="single"/>
        </w:rPr>
        <w:t>Int J Immunopathol Pharmacol.</w:t>
      </w:r>
      <w:r>
        <w:rPr>
          <w:rFonts w:ascii="Times New Roman" w:eastAsia="Times New Roman" w:hAnsi="Times New Roman" w:cs="Times New Roman"/>
          <w:i/>
          <w:sz w:val="24"/>
          <w:szCs w:val="24"/>
        </w:rPr>
        <w:t xml:space="preserve"> 2000 Sep-Dec;13(3):123-128.</w:t>
      </w:r>
    </w:p>
    <w:p w14:paraId="00000026" w14:textId="77777777" w:rsidR="004D2AE0" w:rsidRDefault="004D2AE0">
      <w:pPr>
        <w:pBdr>
          <w:bottom w:val="none" w:sz="0" w:space="11" w:color="auto"/>
        </w:pBdr>
        <w:shd w:val="clear" w:color="auto" w:fill="FFFFFF"/>
        <w:jc w:val="both"/>
        <w:rPr>
          <w:rFonts w:ascii="Times New Roman" w:eastAsia="Times New Roman" w:hAnsi="Times New Roman" w:cs="Times New Roman"/>
          <w:i/>
          <w:sz w:val="24"/>
          <w:szCs w:val="24"/>
        </w:rPr>
      </w:pPr>
    </w:p>
    <w:p w14:paraId="00000027" w14:textId="77777777" w:rsidR="004D2AE0" w:rsidRDefault="001514E1">
      <w:pPr>
        <w:pBdr>
          <w:bottom w:val="none" w:sz="0" w:space="11" w:color="auto"/>
        </w:pBdr>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5. RH Zhang et al, N-acetyl-l-cystine (NAC) protects against H9N2 swine influenza virus-induced acute lung injury., </w:t>
      </w:r>
      <w:r>
        <w:rPr>
          <w:rFonts w:ascii="Times New Roman" w:eastAsia="Times New Roman" w:hAnsi="Times New Roman" w:cs="Times New Roman"/>
          <w:i/>
          <w:sz w:val="24"/>
          <w:szCs w:val="24"/>
          <w:u w:val="single"/>
        </w:rPr>
        <w:t>Int Immunopharmacol.</w:t>
      </w:r>
      <w:r>
        <w:rPr>
          <w:rFonts w:ascii="Times New Roman" w:eastAsia="Times New Roman" w:hAnsi="Times New Roman" w:cs="Times New Roman"/>
          <w:i/>
          <w:sz w:val="24"/>
          <w:szCs w:val="24"/>
        </w:rPr>
        <w:t xml:space="preserve"> 2014 Sep;22(1):1-8).</w:t>
      </w:r>
    </w:p>
    <w:p w14:paraId="00000028" w14:textId="77777777" w:rsidR="004D2AE0" w:rsidRDefault="001514E1">
      <w:pPr>
        <w:shd w:val="clear" w:color="auto" w:fill="FFFFFF"/>
        <w:jc w:val="both"/>
      </w:pPr>
      <w:r>
        <w:rPr>
          <w:rFonts w:ascii="Times New Roman" w:eastAsia="Times New Roman" w:hAnsi="Times New Roman" w:cs="Times New Roman"/>
          <w:i/>
          <w:sz w:val="24"/>
          <w:szCs w:val="24"/>
        </w:rPr>
        <w:t xml:space="preserve">6. LD Horwitz, Bucillamine: a potent thiol donor with multiple clinical applications, </w:t>
      </w:r>
      <w:hyperlink r:id="rId11">
        <w:r>
          <w:rPr>
            <w:rFonts w:ascii="Times New Roman" w:eastAsia="Times New Roman" w:hAnsi="Times New Roman" w:cs="Times New Roman"/>
            <w:b/>
            <w:i/>
            <w:sz w:val="24"/>
            <w:szCs w:val="24"/>
          </w:rPr>
          <w:t>Cardiovasc Drug Rev.</w:t>
        </w:r>
      </w:hyperlink>
      <w:r>
        <w:rPr>
          <w:rFonts w:ascii="Times New Roman" w:eastAsia="Times New Roman" w:hAnsi="Times New Roman" w:cs="Times New Roman"/>
          <w:i/>
          <w:sz w:val="24"/>
          <w:szCs w:val="24"/>
        </w:rPr>
        <w:t xml:space="preserve"> 2003 Summer;21(2):77-90).</w:t>
      </w:r>
    </w:p>
    <w:sectPr w:rsidR="004D2AE0">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0AC6B" w14:textId="77777777" w:rsidR="00B47BDC" w:rsidRDefault="00B47BDC">
      <w:pPr>
        <w:spacing w:line="240" w:lineRule="auto"/>
      </w:pPr>
      <w:r>
        <w:separator/>
      </w:r>
    </w:p>
  </w:endnote>
  <w:endnote w:type="continuationSeparator" w:id="0">
    <w:p w14:paraId="190D0E68" w14:textId="77777777" w:rsidR="00B47BDC" w:rsidRDefault="00B47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86625" w14:textId="77777777" w:rsidR="00B47BDC" w:rsidRDefault="00B47BDC">
      <w:pPr>
        <w:spacing w:line="240" w:lineRule="auto"/>
      </w:pPr>
      <w:r>
        <w:separator/>
      </w:r>
    </w:p>
  </w:footnote>
  <w:footnote w:type="continuationSeparator" w:id="0">
    <w:p w14:paraId="3DEC8A55" w14:textId="77777777" w:rsidR="00B47BDC" w:rsidRDefault="00B47B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647DD98A" w:rsidR="004D2AE0" w:rsidRDefault="004D2A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AE0"/>
    <w:rsid w:val="00114279"/>
    <w:rsid w:val="001514E1"/>
    <w:rsid w:val="002A08D6"/>
    <w:rsid w:val="00334E57"/>
    <w:rsid w:val="003828E5"/>
    <w:rsid w:val="003D7133"/>
    <w:rsid w:val="004D2AE0"/>
    <w:rsid w:val="007532CE"/>
    <w:rsid w:val="00783CA1"/>
    <w:rsid w:val="008C1377"/>
    <w:rsid w:val="009D5475"/>
    <w:rsid w:val="00A752E1"/>
    <w:rsid w:val="00B47BDC"/>
    <w:rsid w:val="00B705FB"/>
    <w:rsid w:val="00B840F6"/>
    <w:rsid w:val="00C21049"/>
    <w:rsid w:val="00F31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5551"/>
  <w15:docId w15:val="{735B0E7F-E583-4ABE-AC2C-C680246F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31A9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1A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Vd1wcZueZfzdW7lO1AabOBp4J1QavgkOxJi9CKBqJf5-zy5Hz55YHB5CexhOin-XZbdnuZ4qWXQNxn1FvauRFCcDnGPH1E2Qku3sNXOpP7IO-PMjOmo3uuLNu0QwgUO05p7c_rgfn_au3oiq7Cof3Bq6yDn20a8vcaqG1NxRblC1JQeEljstQ_Zxh9MmnVk25FYRPf10i4Z9gUpWlekfODOGzu9jGLWggm67UtRuLw_AakmJbPT3YA-BX00buQ8QcRPZvCoDOMz86KrFhUzaeWaWrWd1uQeqDtjK12NqfWfSup7qOX0ZUiuk_sW_dd59EOkJZb5IpZ7UjVbeaoEArohynIfThNN77hpON6yIbAnSKI7ZA5X0rUit-Mx7tKKtDxN-4duLdwuYOsrscv_gdtrp3LH1-gED7woG_sJ7u3YqNGfHGbwVdKwBmwIdNpVJtlHnQrOJ1ZM1H2eluGLxaXQ7Iy5-KzzicVvoAkXlPq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lobenewswire.com/Tracker?data=NXxgp5Ju8j9lQT2yYTopGqea9zi2VCnGyFj4otygmD7jMpIaU3xyA6paoANQ8_mV8be5XjlxBVYtvF3oWyjR3bWe3Xcp3SUotK3KiP-NBK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enewswire.com/Tracker?data=OuDtXkKsLYz53EW9gQYxmtu1n3yVmzzbCxu4LEon0oP0tGbIKwGKMcD7vcUtHcbEHunxh9aigTmFryzUH26dwabuYNAQMV22RO6jrg-ioramOozF1p0Lfeuys9JAFULO8FUbNKM3JBePtQwZkQCWoT5eWTUV5OXvSFgfTBMazARQuEECy1OFShx1tJ6j4GHPPwLx-lKdst5dUVtoMlLlkXM2cPrHvuMP7N9uY2aYMymtUpzbIeRzcUS41HwHQ-wk" TargetMode="External"/><Relationship Id="rId11" Type="http://schemas.openxmlformats.org/officeDocument/2006/relationships/hyperlink" Target="https://www.globenewswire.com/Tracker?data=q76SDFZ4UdOvEUv4E-IWxFAit08kwgdZzK6lVaaXC7zULWVVGPMdX_jxxCe110gSZDtMLwH0nh-97zVi64HxXloPxXrp2WzT1RBR7YCTdO4Ims9-0Yu8iVL5WyA-X_rOYlXegHH224j0K_UD5FKd5oMW327aOzbMt4TyVpGqv8QDviGkEKl_PvS8QFBvmF7_y99mWyPBac_ZLnUZ8QYSQCq3eErMj2lUIfmvXJL4uQYa9lRSIqoHJzeWvvSuerFsHXZzhG7ogkmdTAUdH_lg_zVmQmUMhRy8nkRnIGtIblOiD008Prt02twO8WPT4-XWVug9Cuh-_VUqv1rViA0vbBi289zJ81ms65bO_Kfn8_FLyjhsf9Mx5lZWgkLcmfHWCDjBe_NZdJG3JVHvPlOuFDlrDWX2ByyP_W9GS-fl1RB07R6m4YaohT76y4vd9I4pxqgB_FYDqCa1ZjoLFB5uHZ47z4wZifxfHAGr4jk6TA3hFyRUom66lnwaKSt3sM9ZYhnUeE8zcJOoLFxhvSKpZuc60BVjRr6eUO1-mR6-Y4_81bwUSXuty1VzoqyCB17PcQBXw-6ZKSqnNu6zntP37XHtZo4W9fn_H6ew6LZ61rf5y0RUBa9XwmG-sxaF-h2VXY2UH8iSk8FD_alN7TMF1E30vop5KTuQEGqNjJPQgi3QxEf7mq2FbFTJzUrwDPJk9R2Yj9WVxD3cGXC2IliObWtytiz6-MYH9M3_R8q3HGuYSnFCHTcwNUCfl69UmogjLmoXZMHvQlro4hh-Cey6fpJkqc7s0ArRDkgdHl-gGZpFcm3pVDWKtObE_7Yc8o_w" TargetMode="External"/><Relationship Id="rId5" Type="http://schemas.openxmlformats.org/officeDocument/2006/relationships/endnotes" Target="endnotes.xml"/><Relationship Id="rId10" Type="http://schemas.openxmlformats.org/officeDocument/2006/relationships/hyperlink" Target="https://www.globenewswire.com/Tracker?data=VIS0Gf8QKYZ9YgGHkq60sVAJ26yhG3BdscwQt25H47dlZdONZsYvvYsz1BhkqQNEuaxRDk-LcT5bdE6_3eaSj1TAVBLKj24_Jr7VNpUB3bH3nkHp6ux6-T4IJo1EWChFEgExSbbM3_v0kWUp3DGyYdtMGoeLf6YiUftZ26I3yiM8nSxlKpFkqa028uIFHdc39xSARjSKU1XXd2e3ocHDJlqg0FgSfXS5PXtGab1IYpnKbL9ZFAcN25KdUpaDot_0rcDmv_klyUGSQn_8eZXXOvvkktLvg34RAWhKb5z6ugwyyc5R4JNeILNlhTRZRPLsQ3V3NPQMviC-hpE6w3wnyVmWczIFgDQ6_LtE_DnDOb2xD_u4yWvNEDT7VS_qcLr2mw2l3GDFzaq84bTySUEszeYZuD3XnUKxtS6eRjwgKpqIUExjaGN3NdV-YHepm68LObL9TQIE1OsO0QuSIqa4_EuR2ulFqsyzmyN_jC39okAhlUCH-YimnTxtxkH7pLxNKhL15sc7fRnP_zVrHAK8E7VrJfifAIwJRAkhxCYGiqJ6VedweYDA4QkQetjC5mkTVERh-ou9JnRdF9szM1zvvybkE2htmrOuhWwa3AzTN3xuCMHseCmXnjccZ4amFiZcIsAlxKCLbswNY0r7RzICCmsxCE61nP8Na6VbJZLlcRpBmP7N50QzVUbPexVBWgoL" TargetMode="External"/><Relationship Id="rId4" Type="http://schemas.openxmlformats.org/officeDocument/2006/relationships/footnotes" Target="footnotes.xml"/><Relationship Id="rId9" Type="http://schemas.openxmlformats.org/officeDocument/2006/relationships/hyperlink" Target="https://www.globenewswire.com/Tracker?data=-werbqosu3Zxb4PP2dhK3Ptf7t9AvioxnXWcGuoPRLEJG7msuQbL6L_d5aXC3hD3yJUVL1ng9dKhSjp6EfTNgHM4UZL4Brn_f4iFy96zraudjNknKk6_3vWSVtg_jNlyF8di2_BUfBhe_X4tSAzvYyHET93IWZKFyU-5P7n9dRGojw8ZV2OJ5BYdeaaqGDBs5H_MdlKBSV4s4RBCTDRfGe_q88AgMcTuyj4fmp0jUL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1950</Words>
  <Characters>11116</Characters>
  <Application>Microsoft Office Word</Application>
  <DocSecurity>4</DocSecurity>
  <Lines>92</Lines>
  <Paragraphs>26</Paragraphs>
  <ScaleCrop>false</ScaleCrop>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Frank</dc:creator>
  <cp:lastModifiedBy>Andrew Todd</cp:lastModifiedBy>
  <cp:revision>2</cp:revision>
  <dcterms:created xsi:type="dcterms:W3CDTF">2020-08-26T12:52:00Z</dcterms:created>
  <dcterms:modified xsi:type="dcterms:W3CDTF">2020-08-26T12:52:00Z</dcterms:modified>
</cp:coreProperties>
</file>