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3D5C55BE"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 (previously RMMI Corp.)</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17E564E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5C0725" w:rsidRPr="00E7670D">
        <w:rPr>
          <w:color w:val="000000"/>
          <w:u w:val="single"/>
        </w:rPr>
        <w:t>RMMI</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2ECBBE09"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1E6E91">
        <w:rPr>
          <w:rFonts w:ascii="Times New Roman" w:hAnsi="Times New Roman" w:cs="Times New Roman"/>
          <w:szCs w:val="20"/>
          <w:u w:val="single"/>
        </w:rPr>
        <w:t>52,942,036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1E6E91">
        <w:rPr>
          <w:rFonts w:ascii="Times New Roman" w:hAnsi="Times New Roman" w:cs="Times New Roman"/>
          <w:u w:val="single"/>
        </w:rPr>
        <w:t>December 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2020</w:t>
      </w:r>
      <w:r w:rsidR="00557DA9" w:rsidRPr="00E7670D">
        <w:rPr>
          <w:rFonts w:ascii="Times New Roman" w:hAnsi="Times New Roman" w:cs="Times New Roman"/>
          <w:u w:val="single"/>
        </w:rPr>
        <w:t>)</w:t>
      </w:r>
    </w:p>
    <w:p w14:paraId="2547F25A" w14:textId="6B2722B2"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1E6E91">
        <w:rPr>
          <w:color w:val="000000"/>
          <w:u w:val="single"/>
        </w:rPr>
        <w:t>January 4,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5AAB116F" w:rsidR="005C0725" w:rsidRDefault="001B6CFB" w:rsidP="00005F1D">
      <w:pPr>
        <w:pStyle w:val="List"/>
        <w:spacing w:before="120"/>
        <w:ind w:left="720" w:firstLine="0"/>
        <w:jc w:val="both"/>
        <w:rPr>
          <w:iCs/>
          <w:color w:val="202020"/>
          <w:szCs w:val="24"/>
        </w:rPr>
      </w:pPr>
      <w:r>
        <w:rPr>
          <w:iCs/>
          <w:color w:val="202020"/>
          <w:szCs w:val="24"/>
        </w:rPr>
        <w:t xml:space="preserve">The Issuer completed a private placement and took possession of hemp under its previously announced hemp purchase agreement.  See press releases from </w:t>
      </w:r>
      <w:r w:rsidR="00E445A7">
        <w:rPr>
          <w:iCs/>
          <w:color w:val="202020"/>
          <w:szCs w:val="24"/>
        </w:rPr>
        <w:t>December 14, 2020 and December 29, 2020.</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23D5B770" w:rsidR="00640E94" w:rsidRDefault="00074BF7" w:rsidP="00005F1D">
      <w:pPr>
        <w:pStyle w:val="List"/>
        <w:spacing w:before="120"/>
        <w:ind w:left="720" w:firstLine="0"/>
        <w:jc w:val="both"/>
        <w:rPr>
          <w:iCs/>
          <w:color w:val="202020"/>
          <w:szCs w:val="24"/>
        </w:rPr>
      </w:pPr>
      <w:r>
        <w:rPr>
          <w:iCs/>
          <w:color w:val="202020"/>
          <w:szCs w:val="24"/>
        </w:rPr>
        <w:lastRenderedPageBreak/>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353AA6F" w:rsidR="001E05D6" w:rsidRPr="00E7670D" w:rsidRDefault="006C2DDE"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674DAED" w:rsidR="005C0725" w:rsidRPr="00E7670D" w:rsidRDefault="00F30E87" w:rsidP="005C0725">
      <w:pPr>
        <w:pStyle w:val="List"/>
        <w:spacing w:before="120"/>
        <w:ind w:left="720" w:firstLine="0"/>
        <w:jc w:val="both"/>
        <w:rPr>
          <w:rFonts w:ascii="Arial" w:hAnsi="Arial"/>
        </w:rPr>
      </w:pPr>
      <w:r>
        <w:rPr>
          <w:iCs/>
          <w:color w:val="202020"/>
          <w:szCs w:val="24"/>
        </w:rPr>
        <w:t>The Issue took possession of hemp under its previously announced hemp purchase agreement.  See press release from December 29, 2020.</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6EE37732" w:rsidR="005C0725" w:rsidRPr="00E7670D" w:rsidRDefault="00163B88" w:rsidP="00931F40">
      <w:pPr>
        <w:pStyle w:val="List"/>
        <w:spacing w:before="120"/>
        <w:ind w:left="720" w:firstLine="0"/>
        <w:jc w:val="both"/>
        <w:rPr>
          <w:rFonts w:ascii="Arial" w:hAnsi="Arial"/>
        </w:rPr>
      </w:pPr>
      <w:r>
        <w:rPr>
          <w:iCs/>
          <w:color w:val="202020"/>
          <w:szCs w:val="24"/>
        </w:rPr>
        <w:t>None to report.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2CF0B336" w:rsidR="005C0725" w:rsidRPr="00E7670D" w:rsidRDefault="00F30E87" w:rsidP="005C0725">
      <w:pPr>
        <w:pStyle w:val="List"/>
        <w:spacing w:before="120"/>
        <w:ind w:left="720" w:firstLine="0"/>
        <w:jc w:val="both"/>
        <w:rPr>
          <w:rFonts w:ascii="Arial" w:hAnsi="Arial"/>
        </w:rPr>
      </w:pPr>
      <w:r>
        <w:rPr>
          <w:iCs/>
          <w:color w:val="202020"/>
          <w:szCs w:val="24"/>
        </w:rPr>
        <w:t xml:space="preserve">The Issuer engaged Manish Grigo as </w:t>
      </w:r>
      <w:r w:rsidR="00631A8B" w:rsidRPr="00631A8B">
        <w:rPr>
          <w:iCs/>
          <w:color w:val="202020"/>
          <w:szCs w:val="24"/>
        </w:rPr>
        <w:t>Chief Strategy Officer</w:t>
      </w:r>
      <w:r w:rsidR="00631A8B">
        <w:rPr>
          <w:iCs/>
          <w:color w:val="202020"/>
          <w:szCs w:val="24"/>
        </w:rPr>
        <w:t>.  See December 16, 2020 press release.</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lastRenderedPageBreak/>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6199353F" w:rsidR="0086779E" w:rsidRPr="0086779E" w:rsidRDefault="002023CB" w:rsidP="0086779E">
      <w:pPr>
        <w:pStyle w:val="List"/>
        <w:spacing w:before="120"/>
        <w:ind w:left="720" w:firstLine="0"/>
        <w:jc w:val="both"/>
        <w:rPr>
          <w:iCs/>
          <w:color w:val="202020"/>
          <w:szCs w:val="24"/>
        </w:rPr>
      </w:pPr>
      <w:r>
        <w:rPr>
          <w:iCs/>
          <w:color w:val="202020"/>
          <w:szCs w:val="24"/>
        </w:rPr>
        <w:t>The Issuer repaid 5% of its outstanding Secured Notes on December 18, 2020</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14EF8DB2" w:rsidR="00B1675A" w:rsidRPr="00E7670D" w:rsidRDefault="00BE05AD"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7C5504CC" w14:textId="79D9108D" w:rsidR="00B1675A" w:rsidRPr="00E7670D" w:rsidRDefault="00BE05AD" w:rsidP="00B1675A">
            <w:pPr>
              <w:pStyle w:val="List"/>
              <w:tabs>
                <w:tab w:val="left" w:pos="360"/>
              </w:tabs>
              <w:spacing w:before="0" w:line="280" w:lineRule="exact"/>
              <w:ind w:left="0" w:firstLine="0"/>
              <w:jc w:val="center"/>
            </w:pPr>
            <w:r>
              <w:t>13,655,139</w:t>
            </w:r>
          </w:p>
        </w:tc>
        <w:tc>
          <w:tcPr>
            <w:tcW w:w="2394" w:type="dxa"/>
          </w:tcPr>
          <w:p w14:paraId="64A60D94" w14:textId="451BB4B7" w:rsidR="00B1675A" w:rsidRPr="00E7670D" w:rsidRDefault="00BE05AD" w:rsidP="00B1675A">
            <w:pPr>
              <w:pStyle w:val="List"/>
              <w:tabs>
                <w:tab w:val="left" w:pos="360"/>
              </w:tabs>
              <w:spacing w:before="0" w:line="280" w:lineRule="exact"/>
              <w:ind w:left="0" w:firstLine="0"/>
              <w:jc w:val="center"/>
            </w:pPr>
            <w:r>
              <w:rPr>
                <w:lang w:val="en-CA"/>
              </w:rPr>
              <w:t>Private placement</w:t>
            </w:r>
          </w:p>
        </w:tc>
        <w:tc>
          <w:tcPr>
            <w:tcW w:w="2394" w:type="dxa"/>
          </w:tcPr>
          <w:p w14:paraId="5163D030" w14:textId="67E7099A" w:rsidR="00B1675A" w:rsidRPr="00E7670D" w:rsidRDefault="00227311" w:rsidP="00B1675A">
            <w:pPr>
              <w:pStyle w:val="List"/>
              <w:tabs>
                <w:tab w:val="left" w:pos="360"/>
              </w:tabs>
              <w:spacing w:before="0" w:line="280" w:lineRule="exact"/>
              <w:ind w:left="0" w:firstLine="0"/>
              <w:jc w:val="center"/>
            </w:pPr>
            <w:r>
              <w:t>$2,7</w:t>
            </w:r>
            <w:r w:rsidR="00195106">
              <w:t>31,028 gross proceeds to be used for c</w:t>
            </w:r>
            <w:r w:rsidR="00154B0F">
              <w:t>apital expenditures and working capital</w:t>
            </w:r>
            <w:r w:rsidR="002A055E">
              <w:t>.  See November 12, 2020 press release for more detailed use of proceeds.</w:t>
            </w:r>
          </w:p>
        </w:tc>
      </w:tr>
      <w:tr w:rsidR="00303BA2" w:rsidRPr="00E7670D" w14:paraId="21E99A84" w14:textId="77777777" w:rsidTr="00B1675A">
        <w:tc>
          <w:tcPr>
            <w:tcW w:w="2286" w:type="dxa"/>
          </w:tcPr>
          <w:p w14:paraId="78CC37B0" w14:textId="566D74B3" w:rsidR="00303BA2" w:rsidRDefault="00303BA2"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4D8151EC" w14:textId="07E61B51" w:rsidR="00303BA2" w:rsidRDefault="0009406D" w:rsidP="00B1675A">
            <w:pPr>
              <w:pStyle w:val="List"/>
              <w:tabs>
                <w:tab w:val="left" w:pos="360"/>
              </w:tabs>
              <w:spacing w:before="0" w:line="280" w:lineRule="exact"/>
              <w:ind w:left="0" w:firstLine="0"/>
              <w:jc w:val="center"/>
            </w:pPr>
            <w:r>
              <w:t>4</w:t>
            </w:r>
            <w:r w:rsidR="00074BF7">
              <w:t>5,000</w:t>
            </w:r>
          </w:p>
        </w:tc>
        <w:tc>
          <w:tcPr>
            <w:tcW w:w="2394" w:type="dxa"/>
          </w:tcPr>
          <w:p w14:paraId="7530B5A7" w14:textId="583CA32D" w:rsidR="00303BA2" w:rsidRDefault="009925B2" w:rsidP="00B1675A">
            <w:pPr>
              <w:pStyle w:val="List"/>
              <w:tabs>
                <w:tab w:val="left" w:pos="360"/>
              </w:tabs>
              <w:spacing w:before="0" w:line="280" w:lineRule="exact"/>
              <w:ind w:left="0" w:firstLine="0"/>
              <w:jc w:val="center"/>
            </w:pPr>
            <w:r>
              <w:t>Fee for services</w:t>
            </w:r>
          </w:p>
        </w:tc>
        <w:tc>
          <w:tcPr>
            <w:tcW w:w="2394" w:type="dxa"/>
          </w:tcPr>
          <w:p w14:paraId="68B5CF96" w14:textId="6DE478CB" w:rsidR="00303BA2" w:rsidRDefault="00303BA2" w:rsidP="00B1675A">
            <w:pPr>
              <w:pStyle w:val="List"/>
              <w:tabs>
                <w:tab w:val="left" w:pos="360"/>
              </w:tabs>
              <w:spacing w:before="0" w:line="280" w:lineRule="exact"/>
              <w:ind w:left="0" w:firstLine="0"/>
              <w:jc w:val="center"/>
            </w:pPr>
            <w:r>
              <w:t>N/A</w:t>
            </w:r>
          </w:p>
        </w:tc>
      </w:tr>
      <w:tr w:rsidR="00303BA2" w:rsidRPr="00E7670D" w14:paraId="340A551C" w14:textId="77777777" w:rsidTr="00B1675A">
        <w:tc>
          <w:tcPr>
            <w:tcW w:w="2286" w:type="dxa"/>
          </w:tcPr>
          <w:p w14:paraId="7647A2C1" w14:textId="7391C929" w:rsidR="00303BA2" w:rsidRDefault="00B3062A"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353BB1A3" w14:textId="12BE8C47" w:rsidR="00303BA2" w:rsidRDefault="00154B0F" w:rsidP="00B1675A">
            <w:pPr>
              <w:pStyle w:val="List"/>
              <w:tabs>
                <w:tab w:val="left" w:pos="360"/>
              </w:tabs>
              <w:spacing w:before="0" w:line="280" w:lineRule="exact"/>
              <w:ind w:left="0" w:firstLine="0"/>
              <w:jc w:val="center"/>
            </w:pPr>
            <w:r>
              <w:t>560,560</w:t>
            </w:r>
          </w:p>
        </w:tc>
        <w:tc>
          <w:tcPr>
            <w:tcW w:w="2394" w:type="dxa"/>
          </w:tcPr>
          <w:p w14:paraId="4E1A86DE" w14:textId="314A05A3" w:rsidR="00303BA2" w:rsidRDefault="007F1144" w:rsidP="00B1675A">
            <w:pPr>
              <w:pStyle w:val="List"/>
              <w:tabs>
                <w:tab w:val="left" w:pos="360"/>
              </w:tabs>
              <w:spacing w:before="0" w:line="280" w:lineRule="exact"/>
              <w:ind w:left="0" w:firstLine="0"/>
              <w:jc w:val="center"/>
            </w:pPr>
            <w:r>
              <w:t>Private placement finder’s fee</w:t>
            </w:r>
          </w:p>
        </w:tc>
        <w:tc>
          <w:tcPr>
            <w:tcW w:w="2394" w:type="dxa"/>
          </w:tcPr>
          <w:p w14:paraId="6AB4C584" w14:textId="4D3CC171" w:rsidR="00303BA2" w:rsidRDefault="007F1144" w:rsidP="00B1675A">
            <w:pPr>
              <w:pStyle w:val="List"/>
              <w:tabs>
                <w:tab w:val="left" w:pos="360"/>
              </w:tabs>
              <w:spacing w:before="0" w:line="280" w:lineRule="exact"/>
              <w:ind w:left="0" w:firstLine="0"/>
              <w:jc w:val="center"/>
            </w:pPr>
            <w:r>
              <w:t>N/A</w:t>
            </w:r>
          </w:p>
        </w:tc>
      </w:tr>
      <w:tr w:rsidR="00303BA2" w:rsidRPr="00E7670D" w14:paraId="3D20024B" w14:textId="77777777" w:rsidTr="00B1675A">
        <w:tc>
          <w:tcPr>
            <w:tcW w:w="2286" w:type="dxa"/>
          </w:tcPr>
          <w:p w14:paraId="45D4E287" w14:textId="3ADF0CE0" w:rsidR="00303BA2" w:rsidRDefault="00B3062A"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13033F38" w14:textId="5991A9AB" w:rsidR="00303BA2" w:rsidRDefault="007F1144" w:rsidP="00B1675A">
            <w:pPr>
              <w:pStyle w:val="List"/>
              <w:tabs>
                <w:tab w:val="left" w:pos="360"/>
              </w:tabs>
              <w:spacing w:before="0" w:line="280" w:lineRule="exact"/>
              <w:ind w:left="0" w:firstLine="0"/>
              <w:jc w:val="center"/>
            </w:pPr>
            <w:r>
              <w:t>19,734,</w:t>
            </w:r>
            <w:r w:rsidR="00B3062A">
              <w:t>000</w:t>
            </w:r>
          </w:p>
        </w:tc>
        <w:tc>
          <w:tcPr>
            <w:tcW w:w="2394" w:type="dxa"/>
          </w:tcPr>
          <w:p w14:paraId="7E9D0994" w14:textId="07548C5F" w:rsidR="00303BA2" w:rsidRDefault="00B3062A" w:rsidP="00B1675A">
            <w:pPr>
              <w:pStyle w:val="List"/>
              <w:tabs>
                <w:tab w:val="left" w:pos="360"/>
              </w:tabs>
              <w:spacing w:before="0" w:line="280" w:lineRule="exact"/>
              <w:ind w:left="0" w:firstLine="0"/>
              <w:jc w:val="center"/>
            </w:pPr>
            <w:r>
              <w:t xml:space="preserve">Shares issued </w:t>
            </w:r>
            <w:r w:rsidR="00025225">
              <w:t>on taking possession of a portion of the hemp from previously announced hemp purchase agreement</w:t>
            </w:r>
          </w:p>
        </w:tc>
        <w:tc>
          <w:tcPr>
            <w:tcW w:w="2394" w:type="dxa"/>
          </w:tcPr>
          <w:p w14:paraId="6985627B" w14:textId="729E7067" w:rsidR="00303BA2" w:rsidRDefault="00025225" w:rsidP="00B1675A">
            <w:pPr>
              <w:pStyle w:val="List"/>
              <w:tabs>
                <w:tab w:val="left" w:pos="360"/>
              </w:tabs>
              <w:spacing w:before="0" w:line="280" w:lineRule="exact"/>
              <w:ind w:left="0" w:firstLine="0"/>
              <w:jc w:val="center"/>
            </w:pPr>
            <w:r>
              <w:t>N/A</w:t>
            </w:r>
          </w:p>
        </w:tc>
      </w:tr>
      <w:tr w:rsidR="00303BA2" w:rsidRPr="00E7670D" w14:paraId="276C813E" w14:textId="77777777" w:rsidTr="00B1675A">
        <w:tc>
          <w:tcPr>
            <w:tcW w:w="2286" w:type="dxa"/>
          </w:tcPr>
          <w:p w14:paraId="0BE296BC" w14:textId="58A0F04A" w:rsidR="00303BA2" w:rsidRDefault="003139B0" w:rsidP="00B1675A">
            <w:pPr>
              <w:pStyle w:val="List"/>
              <w:tabs>
                <w:tab w:val="left" w:pos="360"/>
              </w:tabs>
              <w:spacing w:before="0" w:line="280" w:lineRule="exact"/>
              <w:ind w:left="0" w:firstLine="0"/>
              <w:jc w:val="center"/>
              <w:rPr>
                <w:lang w:val="en-CA"/>
              </w:rPr>
            </w:pPr>
            <w:r>
              <w:rPr>
                <w:lang w:val="en-CA"/>
              </w:rPr>
              <w:t>Options</w:t>
            </w:r>
          </w:p>
        </w:tc>
        <w:tc>
          <w:tcPr>
            <w:tcW w:w="2394" w:type="dxa"/>
          </w:tcPr>
          <w:p w14:paraId="0EBD523D" w14:textId="01951090" w:rsidR="00303BA2" w:rsidRDefault="003139B0" w:rsidP="00B1675A">
            <w:pPr>
              <w:pStyle w:val="List"/>
              <w:tabs>
                <w:tab w:val="left" w:pos="360"/>
              </w:tabs>
              <w:spacing w:before="0" w:line="280" w:lineRule="exact"/>
              <w:ind w:left="0" w:firstLine="0"/>
              <w:jc w:val="center"/>
            </w:pPr>
            <w:r>
              <w:t>200,000</w:t>
            </w:r>
          </w:p>
        </w:tc>
        <w:tc>
          <w:tcPr>
            <w:tcW w:w="2394" w:type="dxa"/>
          </w:tcPr>
          <w:p w14:paraId="10089A85" w14:textId="19221320" w:rsidR="00303BA2" w:rsidRDefault="003139B0" w:rsidP="00B1675A">
            <w:pPr>
              <w:pStyle w:val="List"/>
              <w:tabs>
                <w:tab w:val="left" w:pos="360"/>
              </w:tabs>
              <w:spacing w:before="0" w:line="280" w:lineRule="exact"/>
              <w:ind w:left="0" w:firstLine="0"/>
              <w:jc w:val="center"/>
            </w:pPr>
            <w:r>
              <w:t>Grant to consultant</w:t>
            </w:r>
          </w:p>
        </w:tc>
        <w:tc>
          <w:tcPr>
            <w:tcW w:w="2394" w:type="dxa"/>
          </w:tcPr>
          <w:p w14:paraId="351CA82C" w14:textId="097134E8" w:rsidR="00303BA2" w:rsidRDefault="003139B0" w:rsidP="00B1675A">
            <w:pPr>
              <w:pStyle w:val="List"/>
              <w:tabs>
                <w:tab w:val="left" w:pos="360"/>
              </w:tabs>
              <w:spacing w:before="0" w:line="280" w:lineRule="exact"/>
              <w:ind w:left="0" w:firstLine="0"/>
              <w:jc w:val="center"/>
            </w:pPr>
            <w:r>
              <w:t>N/A</w:t>
            </w:r>
          </w:p>
        </w:tc>
      </w:tr>
      <w:tr w:rsidR="004808AB" w:rsidRPr="00E7670D" w14:paraId="6EC961DC" w14:textId="77777777" w:rsidTr="00B1675A">
        <w:tc>
          <w:tcPr>
            <w:tcW w:w="2286" w:type="dxa"/>
          </w:tcPr>
          <w:p w14:paraId="7DDCD03F" w14:textId="726F535C" w:rsidR="004808AB" w:rsidRDefault="004808AB" w:rsidP="00B1675A">
            <w:pPr>
              <w:pStyle w:val="List"/>
              <w:tabs>
                <w:tab w:val="left" w:pos="360"/>
              </w:tabs>
              <w:spacing w:before="0" w:line="280" w:lineRule="exact"/>
              <w:ind w:left="0" w:firstLine="0"/>
              <w:jc w:val="center"/>
              <w:rPr>
                <w:lang w:val="en-CA"/>
              </w:rPr>
            </w:pPr>
            <w:r>
              <w:rPr>
                <w:lang w:val="en-CA"/>
              </w:rPr>
              <w:t>Warrants</w:t>
            </w:r>
          </w:p>
        </w:tc>
        <w:tc>
          <w:tcPr>
            <w:tcW w:w="2394" w:type="dxa"/>
          </w:tcPr>
          <w:p w14:paraId="1B2DF720" w14:textId="3304DFA8" w:rsidR="004808AB" w:rsidRDefault="004808AB" w:rsidP="00B1675A">
            <w:pPr>
              <w:pStyle w:val="List"/>
              <w:tabs>
                <w:tab w:val="left" w:pos="360"/>
              </w:tabs>
              <w:spacing w:before="0" w:line="280" w:lineRule="exact"/>
              <w:ind w:left="0" w:firstLine="0"/>
              <w:jc w:val="center"/>
            </w:pPr>
            <w:r>
              <w:t>680,560</w:t>
            </w:r>
          </w:p>
        </w:tc>
        <w:tc>
          <w:tcPr>
            <w:tcW w:w="2394" w:type="dxa"/>
          </w:tcPr>
          <w:p w14:paraId="4D6E5261" w14:textId="14FA8EB9" w:rsidR="004808AB" w:rsidRDefault="006C16D4" w:rsidP="00B1675A">
            <w:pPr>
              <w:pStyle w:val="List"/>
              <w:tabs>
                <w:tab w:val="left" w:pos="360"/>
              </w:tabs>
              <w:spacing w:before="0" w:line="280" w:lineRule="exact"/>
              <w:ind w:left="0" w:firstLine="0"/>
              <w:jc w:val="center"/>
            </w:pPr>
            <w:r>
              <w:t>Broker warrants as part of Private placement finders’ fee</w:t>
            </w:r>
          </w:p>
        </w:tc>
        <w:tc>
          <w:tcPr>
            <w:tcW w:w="2394" w:type="dxa"/>
          </w:tcPr>
          <w:p w14:paraId="1C5B1F38" w14:textId="1E3E4A3D" w:rsidR="004808AB" w:rsidRDefault="006C16D4" w:rsidP="00B1675A">
            <w:pPr>
              <w:pStyle w:val="List"/>
              <w:tabs>
                <w:tab w:val="left" w:pos="360"/>
              </w:tabs>
              <w:spacing w:before="0" w:line="280" w:lineRule="exact"/>
              <w:ind w:left="0" w:firstLine="0"/>
              <w:jc w:val="center"/>
            </w:pPr>
            <w:r>
              <w:t>N/A</w:t>
            </w: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59197952" w:rsidR="00EE516B" w:rsidRPr="00E7670D" w:rsidRDefault="008E416D" w:rsidP="00EE516B">
      <w:pPr>
        <w:pStyle w:val="List"/>
        <w:spacing w:before="120"/>
        <w:ind w:left="720" w:firstLine="0"/>
        <w:jc w:val="both"/>
        <w:rPr>
          <w:rFonts w:ascii="Arial" w:hAnsi="Arial"/>
        </w:rPr>
      </w:pPr>
      <w:r>
        <w:rPr>
          <w:iCs/>
          <w:color w:val="202020"/>
          <w:szCs w:val="24"/>
        </w:rPr>
        <w:t xml:space="preserve">Mr. Eason Chen was </w:t>
      </w:r>
      <w:r w:rsidR="00625543">
        <w:rPr>
          <w:iCs/>
          <w:color w:val="202020"/>
          <w:szCs w:val="24"/>
        </w:rPr>
        <w:t xml:space="preserve">appointed </w:t>
      </w:r>
      <w:r w:rsidR="00574C6D">
        <w:rPr>
          <w:iCs/>
          <w:color w:val="202020"/>
          <w:szCs w:val="24"/>
        </w:rPr>
        <w:t>as a director of the Issuer at the Issuer’s Annual General and Special Meeting on December 22, 2020</w:t>
      </w:r>
      <w:r w:rsidR="00EE516B" w:rsidRPr="00E7670D">
        <w:rPr>
          <w:iCs/>
          <w:color w:val="202020"/>
          <w:szCs w:val="24"/>
        </w:rPr>
        <w: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3B43E2C4"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9D507D">
        <w:rPr>
          <w:rFonts w:ascii="Arial" w:hAnsi="Arial"/>
          <w:u w:val="single"/>
        </w:rPr>
        <w:t>January 4,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2D72EB1E" w:rsidR="00EC4D42" w:rsidRPr="00E7670D" w:rsidRDefault="009D507D">
            <w:pPr>
              <w:pStyle w:val="BodyText"/>
              <w:spacing w:before="0"/>
            </w:pPr>
            <w:r>
              <w:t>December</w:t>
            </w:r>
            <w:r w:rsidR="00EE516B">
              <w:t xml:space="preserve"> </w:t>
            </w:r>
            <w:r w:rsidR="00004874">
              <w:t>2020</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630DBF52" w:rsidR="00EC4D42" w:rsidRPr="00E7670D" w:rsidRDefault="009D507D">
            <w:pPr>
              <w:pStyle w:val="BodyText"/>
              <w:spacing w:before="0"/>
            </w:pPr>
            <w:r>
              <w:t>21/01/04</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6C16D4">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6C16D4"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117D" w14:textId="77777777" w:rsidR="00217549" w:rsidRDefault="00217549">
      <w:r>
        <w:separator/>
      </w:r>
    </w:p>
  </w:endnote>
  <w:endnote w:type="continuationSeparator" w:id="0">
    <w:p w14:paraId="5095E5F8" w14:textId="77777777" w:rsidR="00217549" w:rsidRDefault="0021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AE2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785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8324" w14:textId="77777777" w:rsidR="00217549" w:rsidRDefault="00217549">
      <w:r>
        <w:separator/>
      </w:r>
    </w:p>
  </w:footnote>
  <w:footnote w:type="continuationSeparator" w:id="0">
    <w:p w14:paraId="6B875FB2" w14:textId="77777777" w:rsidR="00217549" w:rsidRDefault="0021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74"/>
    <w:rsid w:val="00005F1D"/>
    <w:rsid w:val="00006D4E"/>
    <w:rsid w:val="00025225"/>
    <w:rsid w:val="0003116A"/>
    <w:rsid w:val="00074BF7"/>
    <w:rsid w:val="0009406D"/>
    <w:rsid w:val="00097896"/>
    <w:rsid w:val="000A1AB1"/>
    <w:rsid w:val="000A690F"/>
    <w:rsid w:val="00154B0F"/>
    <w:rsid w:val="00163B88"/>
    <w:rsid w:val="00170D47"/>
    <w:rsid w:val="00195106"/>
    <w:rsid w:val="001A5765"/>
    <w:rsid w:val="001B34D2"/>
    <w:rsid w:val="001B6CFB"/>
    <w:rsid w:val="001C0300"/>
    <w:rsid w:val="001E05D6"/>
    <w:rsid w:val="001E6E91"/>
    <w:rsid w:val="001E721F"/>
    <w:rsid w:val="001F0C85"/>
    <w:rsid w:val="002023CB"/>
    <w:rsid w:val="00217549"/>
    <w:rsid w:val="00227311"/>
    <w:rsid w:val="002273CE"/>
    <w:rsid w:val="00267A57"/>
    <w:rsid w:val="002A055E"/>
    <w:rsid w:val="002C281E"/>
    <w:rsid w:val="002C43A2"/>
    <w:rsid w:val="002F00EB"/>
    <w:rsid w:val="002F0AD5"/>
    <w:rsid w:val="00303233"/>
    <w:rsid w:val="00303BA2"/>
    <w:rsid w:val="003139B0"/>
    <w:rsid w:val="003669A9"/>
    <w:rsid w:val="00371A64"/>
    <w:rsid w:val="00387FA8"/>
    <w:rsid w:val="003A38F2"/>
    <w:rsid w:val="003C3D2A"/>
    <w:rsid w:val="00416C9B"/>
    <w:rsid w:val="004270CE"/>
    <w:rsid w:val="00445630"/>
    <w:rsid w:val="00456794"/>
    <w:rsid w:val="004808AB"/>
    <w:rsid w:val="004A3067"/>
    <w:rsid w:val="004A3CD6"/>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31B15"/>
    <w:rsid w:val="007406B6"/>
    <w:rsid w:val="007778A8"/>
    <w:rsid w:val="007B140B"/>
    <w:rsid w:val="007D74BB"/>
    <w:rsid w:val="007F0EC1"/>
    <w:rsid w:val="007F1144"/>
    <w:rsid w:val="008040CE"/>
    <w:rsid w:val="0086779E"/>
    <w:rsid w:val="008903D0"/>
    <w:rsid w:val="008B47EC"/>
    <w:rsid w:val="008B7E92"/>
    <w:rsid w:val="008E416D"/>
    <w:rsid w:val="008F240A"/>
    <w:rsid w:val="00907DB2"/>
    <w:rsid w:val="00922A46"/>
    <w:rsid w:val="00931F40"/>
    <w:rsid w:val="009576AF"/>
    <w:rsid w:val="009714E8"/>
    <w:rsid w:val="009925B2"/>
    <w:rsid w:val="009B5EAD"/>
    <w:rsid w:val="009B6A33"/>
    <w:rsid w:val="009D0377"/>
    <w:rsid w:val="009D507D"/>
    <w:rsid w:val="009E1856"/>
    <w:rsid w:val="009E6E25"/>
    <w:rsid w:val="00A04B89"/>
    <w:rsid w:val="00A07D29"/>
    <w:rsid w:val="00A07F65"/>
    <w:rsid w:val="00A47914"/>
    <w:rsid w:val="00A55256"/>
    <w:rsid w:val="00A642F1"/>
    <w:rsid w:val="00B1675A"/>
    <w:rsid w:val="00B27C9E"/>
    <w:rsid w:val="00B3062A"/>
    <w:rsid w:val="00B314A7"/>
    <w:rsid w:val="00B36278"/>
    <w:rsid w:val="00B43423"/>
    <w:rsid w:val="00B46A87"/>
    <w:rsid w:val="00B52E08"/>
    <w:rsid w:val="00B814DB"/>
    <w:rsid w:val="00B93EBD"/>
    <w:rsid w:val="00BE05AD"/>
    <w:rsid w:val="00C04AFA"/>
    <w:rsid w:val="00C27A18"/>
    <w:rsid w:val="00C6383E"/>
    <w:rsid w:val="00C86F3D"/>
    <w:rsid w:val="00C942C7"/>
    <w:rsid w:val="00C975DD"/>
    <w:rsid w:val="00CA2B36"/>
    <w:rsid w:val="00CA4630"/>
    <w:rsid w:val="00CD0154"/>
    <w:rsid w:val="00D00A51"/>
    <w:rsid w:val="00D011C7"/>
    <w:rsid w:val="00D1374C"/>
    <w:rsid w:val="00D21BA5"/>
    <w:rsid w:val="00D4356E"/>
    <w:rsid w:val="00D73B8C"/>
    <w:rsid w:val="00DA2462"/>
    <w:rsid w:val="00DE4BF5"/>
    <w:rsid w:val="00E05729"/>
    <w:rsid w:val="00E223FA"/>
    <w:rsid w:val="00E23C75"/>
    <w:rsid w:val="00E36141"/>
    <w:rsid w:val="00E445A7"/>
    <w:rsid w:val="00E454F7"/>
    <w:rsid w:val="00E52C25"/>
    <w:rsid w:val="00E6641E"/>
    <w:rsid w:val="00E7670D"/>
    <w:rsid w:val="00E80BFB"/>
    <w:rsid w:val="00E83E58"/>
    <w:rsid w:val="00E97DAE"/>
    <w:rsid w:val="00EA3ABA"/>
    <w:rsid w:val="00EC4D42"/>
    <w:rsid w:val="00ED37EC"/>
    <w:rsid w:val="00EE516B"/>
    <w:rsid w:val="00EF5E04"/>
    <w:rsid w:val="00F1577E"/>
    <w:rsid w:val="00F16852"/>
    <w:rsid w:val="00F30E87"/>
    <w:rsid w:val="00F47782"/>
    <w:rsid w:val="00F75287"/>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1EF53-F069-4F7F-98CD-C699DE6A2FD9}">
  <ds:schemaRefs>
    <ds:schemaRef ds:uri="http://schemas.microsoft.com/sharepoint/v3/contenttype/forms"/>
  </ds:schemaRefs>
</ds:datastoreItem>
</file>

<file path=customXml/itemProps2.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1158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28</cp:revision>
  <cp:lastPrinted>2004-05-10T18:28:00Z</cp:lastPrinted>
  <dcterms:created xsi:type="dcterms:W3CDTF">2021-01-04T17:16:00Z</dcterms:created>
  <dcterms:modified xsi:type="dcterms:W3CDTF">2021-01-04T17:48:00Z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