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98EA" w14:textId="77777777" w:rsidR="00272EDF" w:rsidRDefault="003644FC">
      <w:pPr>
        <w:pStyle w:val="Title"/>
        <w:spacing w:before="0" w:after="0"/>
        <w:rPr>
          <w:color w:val="000000"/>
          <w:sz w:val="28"/>
          <w:szCs w:val="28"/>
          <w:u w:val="single"/>
        </w:rPr>
      </w:pPr>
      <w:bookmarkStart w:id="0" w:name="_heading=h.gjdgxs" w:colFirst="0" w:colLast="0"/>
      <w:bookmarkStart w:id="1" w:name="_Hlk95295523"/>
      <w:bookmarkEnd w:id="0"/>
      <w:bookmarkEnd w:id="1"/>
      <w:r>
        <w:rPr>
          <w:color w:val="000000"/>
          <w:sz w:val="28"/>
          <w:szCs w:val="28"/>
        </w:rPr>
        <w:t>FORM 7</w:t>
      </w:r>
      <w:r>
        <w:rPr>
          <w:color w:val="000000"/>
          <w:sz w:val="28"/>
          <w:szCs w:val="28"/>
        </w:rPr>
        <w:br/>
      </w:r>
      <w:r>
        <w:rPr>
          <w:color w:val="000000"/>
          <w:sz w:val="28"/>
          <w:szCs w:val="28"/>
        </w:rPr>
        <w:br/>
      </w:r>
      <w:r>
        <w:rPr>
          <w:color w:val="000000"/>
          <w:sz w:val="28"/>
          <w:szCs w:val="28"/>
          <w:u w:val="single"/>
        </w:rPr>
        <w:t>MONTHLY PROGRESS REPORT</w:t>
      </w:r>
    </w:p>
    <w:p w14:paraId="04B12CE4" w14:textId="77777777" w:rsidR="00272EDF" w:rsidRDefault="003644FC">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Pr>
          <w:rFonts w:ascii="Arial" w:eastAsia="Arial" w:hAnsi="Arial" w:cs="Arial"/>
          <w:color w:val="000000"/>
          <w:sz w:val="24"/>
          <w:szCs w:val="24"/>
          <w:u w:val="single"/>
        </w:rPr>
        <w:t xml:space="preserve">RIV Capital Inc. </w:t>
      </w:r>
      <w:r>
        <w:rPr>
          <w:rFonts w:ascii="Arial" w:eastAsia="Arial" w:hAnsi="Arial" w:cs="Arial"/>
          <w:color w:val="000000"/>
          <w:sz w:val="24"/>
          <w:szCs w:val="24"/>
        </w:rPr>
        <w:t>(the “Issuer”).</w:t>
      </w:r>
    </w:p>
    <w:p w14:paraId="1C13DF2D" w14:textId="77777777" w:rsidR="00272EDF" w:rsidRDefault="003644FC">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Pr>
          <w:rFonts w:ascii="Arial" w:eastAsia="Arial" w:hAnsi="Arial" w:cs="Arial"/>
          <w:color w:val="000000"/>
          <w:sz w:val="24"/>
          <w:szCs w:val="24"/>
          <w:u w:val="single"/>
        </w:rPr>
        <w:t xml:space="preserve">RIV           </w:t>
      </w:r>
    </w:p>
    <w:p w14:paraId="41658B9A" w14:textId="0D08FE47" w:rsidR="00272EDF" w:rsidRPr="00F42726" w:rsidRDefault="003644FC">
      <w:pPr>
        <w:pBdr>
          <w:top w:val="nil"/>
          <w:left w:val="nil"/>
          <w:bottom w:val="nil"/>
          <w:right w:val="nil"/>
          <w:between w:val="nil"/>
        </w:pBdr>
        <w:tabs>
          <w:tab w:val="left" w:pos="7920"/>
          <w:tab w:val="left" w:pos="9180"/>
        </w:tabs>
        <w:spacing w:before="240"/>
        <w:rPr>
          <w:rFonts w:ascii="Arial" w:eastAsia="Arial" w:hAnsi="Arial" w:cs="Arial"/>
          <w:b/>
          <w:bCs/>
          <w:color w:val="000000"/>
          <w:sz w:val="24"/>
          <w:szCs w:val="24"/>
        </w:rPr>
      </w:pPr>
      <w:bookmarkStart w:id="2" w:name="_Hlk92368510"/>
      <w:r>
        <w:rPr>
          <w:rFonts w:ascii="Arial" w:eastAsia="Arial" w:hAnsi="Arial" w:cs="Arial"/>
          <w:color w:val="000000"/>
          <w:sz w:val="24"/>
          <w:szCs w:val="24"/>
        </w:rPr>
        <w:t xml:space="preserve">Number of Outstanding Listed Securities: </w:t>
      </w:r>
      <w:r w:rsidR="008978FB" w:rsidRPr="008978FB">
        <w:rPr>
          <w:rFonts w:ascii="Arial" w:eastAsia="Arial" w:hAnsi="Arial" w:cs="Arial"/>
          <w:color w:val="000000"/>
          <w:sz w:val="24"/>
          <w:szCs w:val="24"/>
          <w:u w:val="single"/>
        </w:rPr>
        <w:t>163,8</w:t>
      </w:r>
      <w:r w:rsidR="00A97298">
        <w:rPr>
          <w:rFonts w:ascii="Arial" w:eastAsia="Arial" w:hAnsi="Arial" w:cs="Arial"/>
          <w:color w:val="000000"/>
          <w:sz w:val="24"/>
          <w:szCs w:val="24"/>
          <w:u w:val="single"/>
        </w:rPr>
        <w:t>54,626</w:t>
      </w:r>
      <w:r w:rsidR="00F42726">
        <w:rPr>
          <w:rFonts w:ascii="Arial" w:eastAsia="Arial" w:hAnsi="Arial" w:cs="Arial"/>
          <w:b/>
          <w:bCs/>
          <w:color w:val="000000"/>
          <w:sz w:val="24"/>
          <w:szCs w:val="24"/>
          <w:u w:val="single"/>
        </w:rPr>
        <w:t xml:space="preserve"> </w:t>
      </w:r>
      <w:r w:rsidR="00B04402">
        <w:rPr>
          <w:rFonts w:ascii="Arial" w:eastAsia="Arial" w:hAnsi="Arial" w:cs="Arial"/>
          <w:color w:val="000000"/>
          <w:sz w:val="24"/>
          <w:szCs w:val="24"/>
          <w:u w:val="single"/>
        </w:rPr>
        <w:t>(</w:t>
      </w:r>
      <w:r w:rsidR="00581C9A">
        <w:rPr>
          <w:rFonts w:ascii="Arial" w:eastAsia="Arial" w:hAnsi="Arial" w:cs="Arial"/>
          <w:color w:val="000000"/>
          <w:sz w:val="24"/>
          <w:szCs w:val="24"/>
          <w:u w:val="single"/>
        </w:rPr>
        <w:t>November 30</w:t>
      </w:r>
      <w:r w:rsidR="00B04402">
        <w:rPr>
          <w:rFonts w:ascii="Arial" w:eastAsia="Arial" w:hAnsi="Arial" w:cs="Arial"/>
          <w:color w:val="000000"/>
          <w:sz w:val="24"/>
          <w:szCs w:val="24"/>
          <w:u w:val="single"/>
        </w:rPr>
        <w:t>, 2022)</w:t>
      </w:r>
    </w:p>
    <w:bookmarkEnd w:id="2"/>
    <w:p w14:paraId="6FA96D02" w14:textId="74AF246B" w:rsidR="00272EDF" w:rsidRDefault="003644FC">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Date: </w:t>
      </w:r>
      <w:r w:rsidR="00B45809">
        <w:rPr>
          <w:rFonts w:ascii="Arial" w:eastAsia="Arial" w:hAnsi="Arial" w:cs="Arial"/>
          <w:sz w:val="24"/>
          <w:szCs w:val="24"/>
          <w:u w:val="single"/>
        </w:rPr>
        <w:t xml:space="preserve">December </w:t>
      </w:r>
      <w:r w:rsidR="00581C9A">
        <w:rPr>
          <w:rFonts w:ascii="Arial" w:eastAsia="Arial" w:hAnsi="Arial" w:cs="Arial"/>
          <w:sz w:val="24"/>
          <w:szCs w:val="24"/>
          <w:u w:val="single"/>
        </w:rPr>
        <w:t>7</w:t>
      </w:r>
      <w:r>
        <w:rPr>
          <w:rFonts w:ascii="Arial" w:eastAsia="Arial" w:hAnsi="Arial" w:cs="Arial"/>
          <w:sz w:val="24"/>
          <w:szCs w:val="24"/>
          <w:u w:val="single"/>
        </w:rPr>
        <w:t>, 202</w:t>
      </w:r>
      <w:r w:rsidR="009D5821">
        <w:rPr>
          <w:rFonts w:ascii="Arial" w:eastAsia="Arial" w:hAnsi="Arial" w:cs="Arial"/>
          <w:sz w:val="24"/>
          <w:szCs w:val="24"/>
          <w:u w:val="single"/>
        </w:rPr>
        <w:t>2</w:t>
      </w:r>
    </w:p>
    <w:p w14:paraId="51C7CC4D" w14:textId="22FD10A2" w:rsidR="00272EDF" w:rsidRDefault="003644FC">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This Monthly Progress Report must be posted before the opening of trading on the fifth trading day of each month.</w:t>
      </w:r>
      <w:r w:rsidR="006F5761">
        <w:rPr>
          <w:rFonts w:ascii="Arial" w:eastAsia="Arial" w:hAnsi="Arial" w:cs="Arial"/>
          <w:color w:val="000000"/>
          <w:sz w:val="24"/>
          <w:szCs w:val="24"/>
        </w:rPr>
        <w:t xml:space="preserve"> </w:t>
      </w:r>
      <w:r>
        <w:rPr>
          <w:rFonts w:ascii="Arial" w:eastAsia="Arial" w:hAnsi="Arial" w:cs="Arial"/>
          <w:color w:val="000000"/>
          <w:sz w:val="24"/>
          <w:szCs w:val="24"/>
        </w:rPr>
        <w:t xml:space="preserve">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rPr>
          <w:rFonts w:ascii="Arial" w:eastAsia="Arial" w:hAnsi="Arial" w:cs="Arial"/>
          <w:color w:val="000000"/>
          <w:sz w:val="24"/>
          <w:szCs w:val="24"/>
        </w:rPr>
        <w:t>date</w:t>
      </w:r>
      <w:proofErr w:type="gramEnd"/>
      <w:r>
        <w:rPr>
          <w:rFonts w:ascii="Arial" w:eastAsia="Arial" w:hAnsi="Arial" w:cs="Arial"/>
          <w:color w:val="000000"/>
          <w:sz w:val="24"/>
          <w:szCs w:val="24"/>
        </w:rPr>
        <w:t xml:space="preserve"> and the posting date on the Exchange website.</w:t>
      </w:r>
    </w:p>
    <w:p w14:paraId="78F5996F" w14:textId="77777777" w:rsidR="00272EDF" w:rsidRDefault="003644FC">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This report is intended to keep investors and the market informed of the Issuer’s ongoing business and management activities that occurred during the preceding month.  Do not discuss goals or </w:t>
      </w:r>
      <w:proofErr w:type="gramStart"/>
      <w:r>
        <w:rPr>
          <w:rFonts w:ascii="Arial" w:eastAsia="Arial" w:hAnsi="Arial" w:cs="Arial"/>
          <w:color w:val="000000"/>
          <w:sz w:val="24"/>
          <w:szCs w:val="24"/>
        </w:rPr>
        <w:t>future plans</w:t>
      </w:r>
      <w:proofErr w:type="gramEnd"/>
      <w:r>
        <w:rPr>
          <w:rFonts w:ascii="Arial" w:eastAsia="Arial" w:hAnsi="Arial" w:cs="Arial"/>
          <w:color w:val="000000"/>
          <w:sz w:val="24"/>
          <w:szCs w:val="24"/>
        </w:rPr>
        <w:t xml:space="preserve"> unless they have crystallized to the point that they are "material information" as defined in the Policies. The discussion in this report must be factual, </w:t>
      </w:r>
      <w:proofErr w:type="gramStart"/>
      <w:r>
        <w:rPr>
          <w:rFonts w:ascii="Arial" w:eastAsia="Arial" w:hAnsi="Arial" w:cs="Arial"/>
          <w:color w:val="000000"/>
          <w:sz w:val="24"/>
          <w:szCs w:val="24"/>
        </w:rPr>
        <w:t>balanced</w:t>
      </w:r>
      <w:proofErr w:type="gramEnd"/>
      <w:r>
        <w:rPr>
          <w:rFonts w:ascii="Arial" w:eastAsia="Arial" w:hAnsi="Arial" w:cs="Arial"/>
          <w:color w:val="000000"/>
          <w:sz w:val="24"/>
          <w:szCs w:val="24"/>
        </w:rPr>
        <w:t xml:space="preserve"> and non-promotional.</w:t>
      </w:r>
    </w:p>
    <w:p w14:paraId="010C3402" w14:textId="77777777" w:rsidR="00272EDF" w:rsidRDefault="003644FC">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b/>
          <w:color w:val="000000"/>
          <w:sz w:val="24"/>
          <w:szCs w:val="24"/>
        </w:rPr>
        <w:t>General Instructions</w:t>
      </w:r>
    </w:p>
    <w:p w14:paraId="4C33EDCB" w14:textId="77777777" w:rsidR="00272EDF" w:rsidRDefault="003644FC">
      <w:pPr>
        <w:numPr>
          <w:ilvl w:val="0"/>
          <w:numId w:val="3"/>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Prepare this Monthly Progress Report using the format set out below.  The sequence of questions must not be </w:t>
      </w:r>
      <w:proofErr w:type="gramStart"/>
      <w:r>
        <w:rPr>
          <w:rFonts w:ascii="Arial" w:eastAsia="Arial" w:hAnsi="Arial" w:cs="Arial"/>
          <w:color w:val="000000"/>
          <w:sz w:val="24"/>
          <w:szCs w:val="24"/>
        </w:rPr>
        <w:t>altered</w:t>
      </w:r>
      <w:proofErr w:type="gramEnd"/>
      <w:r>
        <w:rPr>
          <w:rFonts w:ascii="Arial" w:eastAsia="Arial" w:hAnsi="Arial" w:cs="Arial"/>
          <w:color w:val="000000"/>
          <w:sz w:val="24"/>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7F366002" w14:textId="77777777" w:rsidR="00272EDF" w:rsidRDefault="003644FC">
      <w:pPr>
        <w:numPr>
          <w:ilvl w:val="0"/>
          <w:numId w:val="3"/>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The term “Issuer” includes the Issuer and any of its subsidiaries.</w:t>
      </w:r>
    </w:p>
    <w:p w14:paraId="41F7CB5E" w14:textId="36D0412C" w:rsidR="00A9558E" w:rsidRPr="00A9558E" w:rsidRDefault="003644FC" w:rsidP="00A9558E">
      <w:pPr>
        <w:numPr>
          <w:ilvl w:val="0"/>
          <w:numId w:val="3"/>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Terms used and not defined in this form are defined or interpreted in Policy 1 – Interpretation and General Provisions.</w:t>
      </w:r>
    </w:p>
    <w:p w14:paraId="0C3536F0" w14:textId="77777777" w:rsidR="00272EDF" w:rsidRDefault="003644FC">
      <w:pPr>
        <w:keepLines/>
        <w:pBdr>
          <w:top w:val="nil"/>
          <w:left w:val="nil"/>
          <w:bottom w:val="nil"/>
          <w:right w:val="nil"/>
          <w:between w:val="nil"/>
        </w:pBdr>
        <w:spacing w:before="120"/>
        <w:rPr>
          <w:rFonts w:ascii="Arial" w:eastAsia="Arial" w:hAnsi="Arial" w:cs="Arial"/>
          <w:b/>
          <w:color w:val="000000"/>
          <w:sz w:val="24"/>
          <w:szCs w:val="24"/>
        </w:rPr>
      </w:pPr>
      <w:r>
        <w:rPr>
          <w:rFonts w:ascii="Arial" w:eastAsia="Arial" w:hAnsi="Arial" w:cs="Arial"/>
          <w:b/>
          <w:color w:val="000000"/>
          <w:sz w:val="24"/>
          <w:szCs w:val="24"/>
        </w:rPr>
        <w:t>Report on Business</w:t>
      </w:r>
    </w:p>
    <w:p w14:paraId="09E4A37D" w14:textId="430A2A77" w:rsidR="00EE719B" w:rsidRPr="00050BDD" w:rsidRDefault="003644FC" w:rsidP="00EE719B">
      <w:pPr>
        <w:numPr>
          <w:ilvl w:val="0"/>
          <w:numId w:val="4"/>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Provide a general overview and discussion of the development of the Issuer’s business and operations over the previous month.  Where the Issuer was inactive disclose this fact. </w:t>
      </w:r>
    </w:p>
    <w:p w14:paraId="46C2BF43" w14:textId="6015EA8B" w:rsidR="00EE719B" w:rsidRDefault="00EE719B" w:rsidP="00050BDD">
      <w:pPr>
        <w:pStyle w:val="ListParagraph"/>
        <w:numPr>
          <w:ilvl w:val="0"/>
          <w:numId w:val="17"/>
        </w:numPr>
        <w:pBdr>
          <w:top w:val="nil"/>
          <w:left w:val="nil"/>
          <w:bottom w:val="nil"/>
          <w:right w:val="nil"/>
          <w:between w:val="nil"/>
        </w:pBdr>
        <w:spacing w:before="120"/>
        <w:jc w:val="both"/>
        <w:rPr>
          <w:rFonts w:ascii="Arial" w:eastAsia="Arial" w:hAnsi="Arial" w:cs="Arial"/>
          <w:color w:val="000000"/>
          <w:sz w:val="24"/>
          <w:szCs w:val="24"/>
        </w:rPr>
      </w:pPr>
      <w:r w:rsidRPr="00EE719B">
        <w:rPr>
          <w:rFonts w:ascii="Arial" w:eastAsia="Arial" w:hAnsi="Arial" w:cs="Arial"/>
          <w:color w:val="000000"/>
          <w:sz w:val="24"/>
          <w:szCs w:val="24"/>
        </w:rPr>
        <w:t xml:space="preserve">The Issuer continued to execute on its previously announced strategy of developing and operating a leading </w:t>
      </w:r>
      <w:r w:rsidR="003E1DB2">
        <w:rPr>
          <w:rFonts w:ascii="Arial" w:eastAsia="Arial" w:hAnsi="Arial" w:cs="Arial"/>
          <w:color w:val="000000"/>
          <w:sz w:val="24"/>
          <w:szCs w:val="24"/>
        </w:rPr>
        <w:t>cannabis packaged goods company, with a focus on establishing one of</w:t>
      </w:r>
      <w:r w:rsidRPr="00EE719B">
        <w:rPr>
          <w:rFonts w:ascii="Arial" w:eastAsia="Arial" w:hAnsi="Arial" w:cs="Arial"/>
          <w:color w:val="000000"/>
          <w:sz w:val="24"/>
          <w:szCs w:val="24"/>
        </w:rPr>
        <w:t xml:space="preserve"> the strongest portfolios of brands in key strategic U.S. markets.</w:t>
      </w:r>
    </w:p>
    <w:p w14:paraId="70CEB565" w14:textId="7E9CFF18" w:rsidR="003F6661" w:rsidRDefault="003F6661" w:rsidP="00050BDD">
      <w:pPr>
        <w:pStyle w:val="ListParagraph"/>
        <w:numPr>
          <w:ilvl w:val="0"/>
          <w:numId w:val="17"/>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lastRenderedPageBreak/>
        <w:t>On November 21, 2022, the Issuer announced that the New York State Cannabis Control Board</w:t>
      </w:r>
      <w:r w:rsidR="00581C9A">
        <w:rPr>
          <w:rFonts w:ascii="Arial" w:eastAsia="Arial" w:hAnsi="Arial" w:cs="Arial"/>
          <w:color w:val="000000"/>
          <w:sz w:val="24"/>
          <w:szCs w:val="24"/>
        </w:rPr>
        <w:t xml:space="preserve"> (“</w:t>
      </w:r>
      <w:r w:rsidR="00581C9A">
        <w:rPr>
          <w:rFonts w:ascii="Arial" w:eastAsia="Arial" w:hAnsi="Arial" w:cs="Arial"/>
          <w:b/>
          <w:bCs/>
          <w:color w:val="000000"/>
          <w:sz w:val="24"/>
          <w:szCs w:val="24"/>
        </w:rPr>
        <w:t>CCB</w:t>
      </w:r>
      <w:r w:rsidR="00581C9A">
        <w:rPr>
          <w:rFonts w:ascii="Arial" w:eastAsia="Arial" w:hAnsi="Arial" w:cs="Arial"/>
          <w:color w:val="000000"/>
          <w:sz w:val="24"/>
          <w:szCs w:val="24"/>
        </w:rPr>
        <w:t>”)</w:t>
      </w:r>
      <w:r>
        <w:rPr>
          <w:rFonts w:ascii="Arial" w:eastAsia="Arial" w:hAnsi="Arial" w:cs="Arial"/>
          <w:color w:val="000000"/>
          <w:sz w:val="24"/>
          <w:szCs w:val="24"/>
        </w:rPr>
        <w:t xml:space="preserve"> and New York State Office of Cannabis Management approved Etain LLC’s change of control request, clearing the path for the Issuer to complete the final closing of the previously announced acquisition of ownership and control of Etain IP, LLC and Etain, LLC</w:t>
      </w:r>
      <w:r w:rsidR="003E1DB2">
        <w:rPr>
          <w:rFonts w:ascii="Arial" w:eastAsia="Arial" w:hAnsi="Arial" w:cs="Arial"/>
          <w:color w:val="000000"/>
          <w:sz w:val="24"/>
          <w:szCs w:val="24"/>
        </w:rPr>
        <w:t xml:space="preserve"> (the “</w:t>
      </w:r>
      <w:r w:rsidR="003E1DB2">
        <w:rPr>
          <w:rFonts w:ascii="Arial" w:eastAsia="Arial" w:hAnsi="Arial" w:cs="Arial"/>
          <w:b/>
          <w:bCs/>
          <w:color w:val="000000"/>
          <w:sz w:val="24"/>
          <w:szCs w:val="24"/>
        </w:rPr>
        <w:t>Transaction</w:t>
      </w:r>
      <w:r w:rsidR="003E1DB2">
        <w:rPr>
          <w:rFonts w:ascii="Arial" w:eastAsia="Arial" w:hAnsi="Arial" w:cs="Arial"/>
          <w:color w:val="000000"/>
          <w:sz w:val="24"/>
          <w:szCs w:val="24"/>
        </w:rPr>
        <w:t xml:space="preserve">”). The final closing of the Transaction remains subject to customary closing conditions and is expected to occur by the end of the fourth quarter of calendar year 2022. Please refer to the Issuer’s press release dated November 21, </w:t>
      </w:r>
      <w:proofErr w:type="gramStart"/>
      <w:r w:rsidR="003E1DB2">
        <w:rPr>
          <w:rFonts w:ascii="Arial" w:eastAsia="Arial" w:hAnsi="Arial" w:cs="Arial"/>
          <w:color w:val="000000"/>
          <w:sz w:val="24"/>
          <w:szCs w:val="24"/>
        </w:rPr>
        <w:t>2022</w:t>
      </w:r>
      <w:proofErr w:type="gramEnd"/>
      <w:r w:rsidR="003E1DB2">
        <w:rPr>
          <w:rFonts w:ascii="Arial" w:eastAsia="Arial" w:hAnsi="Arial" w:cs="Arial"/>
          <w:color w:val="000000"/>
          <w:sz w:val="24"/>
          <w:szCs w:val="24"/>
        </w:rPr>
        <w:t xml:space="preserve"> for more information. A copy of the press release has been filed on SEDAR.</w:t>
      </w:r>
    </w:p>
    <w:p w14:paraId="4D658B41" w14:textId="77777777" w:rsidR="003F6661" w:rsidRDefault="003F6661" w:rsidP="003F6661">
      <w:pPr>
        <w:pStyle w:val="ListParagraph"/>
        <w:pBdr>
          <w:top w:val="nil"/>
          <w:left w:val="nil"/>
          <w:bottom w:val="nil"/>
          <w:right w:val="nil"/>
          <w:between w:val="nil"/>
        </w:pBdr>
        <w:spacing w:before="120"/>
        <w:ind w:left="1440"/>
        <w:jc w:val="both"/>
        <w:rPr>
          <w:rFonts w:ascii="Arial" w:eastAsia="Arial" w:hAnsi="Arial" w:cs="Arial"/>
          <w:color w:val="000000"/>
          <w:sz w:val="24"/>
          <w:szCs w:val="24"/>
        </w:rPr>
      </w:pPr>
    </w:p>
    <w:p w14:paraId="0D14FC90" w14:textId="4CFB95D2" w:rsidR="003F6661" w:rsidRDefault="00581C9A" w:rsidP="00050BDD">
      <w:pPr>
        <w:pStyle w:val="ListParagraph"/>
        <w:numPr>
          <w:ilvl w:val="0"/>
          <w:numId w:val="17"/>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On November 29, 2022, t</w:t>
      </w:r>
      <w:r w:rsidR="003F6661">
        <w:rPr>
          <w:rFonts w:ascii="Arial" w:eastAsia="Arial" w:hAnsi="Arial" w:cs="Arial"/>
          <w:color w:val="000000"/>
          <w:sz w:val="24"/>
          <w:szCs w:val="24"/>
        </w:rPr>
        <w:t xml:space="preserve">he Issuer filed its interim financial results for </w:t>
      </w:r>
      <w:r w:rsidR="003E1DB2">
        <w:rPr>
          <w:rFonts w:ascii="Arial" w:eastAsia="Arial" w:hAnsi="Arial" w:cs="Arial"/>
          <w:color w:val="000000"/>
          <w:sz w:val="24"/>
          <w:szCs w:val="24"/>
        </w:rPr>
        <w:t xml:space="preserve">the second quarter of </w:t>
      </w:r>
      <w:r w:rsidR="003F6661">
        <w:rPr>
          <w:rFonts w:ascii="Arial" w:eastAsia="Arial" w:hAnsi="Arial" w:cs="Arial"/>
          <w:color w:val="000000"/>
          <w:sz w:val="24"/>
          <w:szCs w:val="24"/>
        </w:rPr>
        <w:t xml:space="preserve">fiscal year 2023. Please refer to the Issuer’s press release dated November 29, </w:t>
      </w:r>
      <w:proofErr w:type="gramStart"/>
      <w:r w:rsidR="003F6661">
        <w:rPr>
          <w:rFonts w:ascii="Arial" w:eastAsia="Arial" w:hAnsi="Arial" w:cs="Arial"/>
          <w:color w:val="000000"/>
          <w:sz w:val="24"/>
          <w:szCs w:val="24"/>
        </w:rPr>
        <w:t>2022</w:t>
      </w:r>
      <w:proofErr w:type="gramEnd"/>
      <w:r w:rsidR="003F6661">
        <w:rPr>
          <w:rFonts w:ascii="Arial" w:eastAsia="Arial" w:hAnsi="Arial" w:cs="Arial"/>
          <w:color w:val="000000"/>
          <w:sz w:val="24"/>
          <w:szCs w:val="24"/>
        </w:rPr>
        <w:t xml:space="preserve"> for more information. A copy of the press release has been filed on SEDAR.</w:t>
      </w:r>
    </w:p>
    <w:p w14:paraId="2B5EC863" w14:textId="77777777" w:rsidR="004F47F9" w:rsidRPr="00A97298" w:rsidRDefault="004F47F9" w:rsidP="00A97298">
      <w:pPr>
        <w:pBdr>
          <w:top w:val="nil"/>
          <w:left w:val="nil"/>
          <w:bottom w:val="nil"/>
          <w:right w:val="nil"/>
          <w:between w:val="nil"/>
        </w:pBdr>
        <w:spacing w:before="120"/>
        <w:jc w:val="both"/>
        <w:rPr>
          <w:rFonts w:ascii="Arial" w:eastAsia="Arial" w:hAnsi="Arial" w:cs="Arial"/>
          <w:color w:val="000000"/>
          <w:sz w:val="24"/>
          <w:szCs w:val="24"/>
        </w:rPr>
      </w:pPr>
    </w:p>
    <w:p w14:paraId="0239D697" w14:textId="791B0BC2" w:rsidR="00272EDF" w:rsidRDefault="003644FC">
      <w:pPr>
        <w:numPr>
          <w:ilvl w:val="0"/>
          <w:numId w:val="4"/>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2C6D00CF" w14:textId="1A2DC164" w:rsidR="00EE719B" w:rsidRPr="00050BDD" w:rsidRDefault="00EE719B" w:rsidP="00050BDD">
      <w:pPr>
        <w:pStyle w:val="ListParagraph"/>
        <w:numPr>
          <w:ilvl w:val="0"/>
          <w:numId w:val="16"/>
        </w:numPr>
        <w:pBdr>
          <w:top w:val="nil"/>
          <w:left w:val="nil"/>
          <w:bottom w:val="nil"/>
          <w:right w:val="nil"/>
          <w:between w:val="nil"/>
        </w:pBdr>
        <w:spacing w:before="120"/>
        <w:jc w:val="both"/>
        <w:rPr>
          <w:rFonts w:ascii="Arial" w:eastAsia="Arial" w:hAnsi="Arial" w:cs="Arial"/>
          <w:color w:val="000000"/>
          <w:sz w:val="24"/>
          <w:szCs w:val="24"/>
        </w:rPr>
      </w:pPr>
      <w:r w:rsidRPr="00050BDD">
        <w:rPr>
          <w:rFonts w:ascii="Arial" w:eastAsia="Arial" w:hAnsi="Arial" w:cs="Arial"/>
          <w:color w:val="000000"/>
          <w:sz w:val="24"/>
          <w:szCs w:val="24"/>
        </w:rPr>
        <w:t>Please see Item 1 above.</w:t>
      </w:r>
    </w:p>
    <w:p w14:paraId="56EF044F" w14:textId="77777777" w:rsidR="00050BDD" w:rsidRDefault="00050BDD" w:rsidP="00050BDD">
      <w:pPr>
        <w:pStyle w:val="ListParagraph"/>
        <w:pBdr>
          <w:top w:val="nil"/>
          <w:left w:val="nil"/>
          <w:bottom w:val="nil"/>
          <w:right w:val="nil"/>
          <w:between w:val="nil"/>
        </w:pBdr>
        <w:spacing w:before="120"/>
        <w:ind w:left="1440"/>
        <w:jc w:val="both"/>
        <w:rPr>
          <w:rFonts w:ascii="Arial" w:eastAsia="Arial" w:hAnsi="Arial" w:cs="Arial"/>
          <w:color w:val="000000"/>
          <w:sz w:val="24"/>
          <w:szCs w:val="24"/>
        </w:rPr>
      </w:pPr>
    </w:p>
    <w:p w14:paraId="0EB5A89C" w14:textId="3FBA98BA" w:rsidR="00050BDD" w:rsidRPr="00050BDD" w:rsidRDefault="00EE719B" w:rsidP="00050BDD">
      <w:pPr>
        <w:pStyle w:val="ListParagraph"/>
        <w:numPr>
          <w:ilvl w:val="0"/>
          <w:numId w:val="16"/>
        </w:numPr>
        <w:pBdr>
          <w:top w:val="nil"/>
          <w:left w:val="nil"/>
          <w:bottom w:val="nil"/>
          <w:right w:val="nil"/>
          <w:between w:val="nil"/>
        </w:pBdr>
        <w:spacing w:before="120"/>
        <w:jc w:val="both"/>
        <w:rPr>
          <w:rFonts w:ascii="Arial" w:eastAsia="Arial" w:hAnsi="Arial" w:cs="Arial"/>
          <w:color w:val="000000"/>
          <w:sz w:val="24"/>
          <w:szCs w:val="24"/>
        </w:rPr>
      </w:pPr>
      <w:r w:rsidRPr="00050BDD">
        <w:rPr>
          <w:rFonts w:ascii="Arial" w:eastAsia="Arial" w:hAnsi="Arial" w:cs="Arial"/>
          <w:color w:val="000000"/>
          <w:sz w:val="24"/>
          <w:szCs w:val="24"/>
        </w:rPr>
        <w:t xml:space="preserve">Further information on the activities of management is disclosed in the Issuer’s management’s discussion and analysis for the </w:t>
      </w:r>
      <w:r w:rsidR="003E1DB2">
        <w:rPr>
          <w:rFonts w:ascii="Arial" w:eastAsia="Arial" w:hAnsi="Arial" w:cs="Arial"/>
          <w:color w:val="000000"/>
          <w:sz w:val="24"/>
          <w:szCs w:val="24"/>
        </w:rPr>
        <w:t>three and six months</w:t>
      </w:r>
      <w:r w:rsidRPr="00050BDD">
        <w:rPr>
          <w:rFonts w:ascii="Arial" w:eastAsia="Arial" w:hAnsi="Arial" w:cs="Arial"/>
          <w:color w:val="000000"/>
          <w:sz w:val="24"/>
          <w:szCs w:val="24"/>
        </w:rPr>
        <w:t xml:space="preserve"> ended </w:t>
      </w:r>
      <w:r w:rsidR="003E1DB2">
        <w:rPr>
          <w:rFonts w:ascii="Arial" w:eastAsia="Arial" w:hAnsi="Arial" w:cs="Arial"/>
          <w:color w:val="000000"/>
          <w:sz w:val="24"/>
          <w:szCs w:val="24"/>
        </w:rPr>
        <w:t>September 30</w:t>
      </w:r>
      <w:r w:rsidRPr="00050BDD">
        <w:rPr>
          <w:rFonts w:ascii="Arial" w:eastAsia="Arial" w:hAnsi="Arial" w:cs="Arial"/>
          <w:color w:val="000000"/>
          <w:sz w:val="24"/>
          <w:szCs w:val="24"/>
        </w:rPr>
        <w:t xml:space="preserve">, </w:t>
      </w:r>
      <w:proofErr w:type="gramStart"/>
      <w:r w:rsidRPr="00050BDD">
        <w:rPr>
          <w:rFonts w:ascii="Arial" w:eastAsia="Arial" w:hAnsi="Arial" w:cs="Arial"/>
          <w:color w:val="000000"/>
          <w:sz w:val="24"/>
          <w:szCs w:val="24"/>
        </w:rPr>
        <w:t>2022</w:t>
      </w:r>
      <w:proofErr w:type="gramEnd"/>
      <w:r w:rsidRPr="00050BDD">
        <w:rPr>
          <w:rFonts w:ascii="Arial" w:eastAsia="Arial" w:hAnsi="Arial" w:cs="Arial"/>
          <w:color w:val="000000"/>
          <w:sz w:val="24"/>
          <w:szCs w:val="24"/>
        </w:rPr>
        <w:t xml:space="preserve"> and the Issuer’s annual information form for the year ended March 31, 2022.</w:t>
      </w:r>
    </w:p>
    <w:p w14:paraId="261F0D67" w14:textId="2E550536" w:rsidR="00272EDF" w:rsidRDefault="003644FC">
      <w:pPr>
        <w:numPr>
          <w:ilvl w:val="0"/>
          <w:numId w:val="4"/>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47D104" w14:textId="77777777" w:rsidR="00272EDF" w:rsidRPr="00050BDD" w:rsidRDefault="003644FC" w:rsidP="00050BDD">
      <w:pPr>
        <w:pStyle w:val="ListParagraph"/>
        <w:numPr>
          <w:ilvl w:val="0"/>
          <w:numId w:val="15"/>
        </w:numPr>
        <w:pBdr>
          <w:top w:val="nil"/>
          <w:left w:val="nil"/>
          <w:bottom w:val="nil"/>
          <w:right w:val="nil"/>
          <w:between w:val="nil"/>
        </w:pBdr>
        <w:spacing w:before="120"/>
        <w:jc w:val="both"/>
        <w:rPr>
          <w:rFonts w:ascii="Arial" w:eastAsia="Arial" w:hAnsi="Arial" w:cs="Arial"/>
          <w:color w:val="000000"/>
          <w:sz w:val="24"/>
          <w:szCs w:val="24"/>
        </w:rPr>
      </w:pPr>
      <w:r w:rsidRPr="00050BDD">
        <w:rPr>
          <w:rFonts w:ascii="Arial" w:eastAsia="Arial" w:hAnsi="Arial" w:cs="Arial"/>
          <w:color w:val="000000"/>
          <w:sz w:val="24"/>
          <w:szCs w:val="24"/>
        </w:rPr>
        <w:t>N/A</w:t>
      </w:r>
    </w:p>
    <w:p w14:paraId="082A54E8" w14:textId="77777777" w:rsidR="00272EDF" w:rsidRDefault="00272EDF">
      <w:pPr>
        <w:pBdr>
          <w:top w:val="nil"/>
          <w:left w:val="nil"/>
          <w:bottom w:val="nil"/>
          <w:right w:val="nil"/>
          <w:between w:val="nil"/>
        </w:pBdr>
        <w:spacing w:before="120"/>
        <w:ind w:left="1080" w:hanging="1080"/>
        <w:jc w:val="both"/>
        <w:rPr>
          <w:rFonts w:ascii="Arial" w:eastAsia="Arial" w:hAnsi="Arial" w:cs="Arial"/>
          <w:color w:val="000000"/>
          <w:sz w:val="24"/>
          <w:szCs w:val="24"/>
        </w:rPr>
      </w:pPr>
    </w:p>
    <w:p w14:paraId="5B080293" w14:textId="77777777" w:rsidR="00272EDF" w:rsidRDefault="003644FC">
      <w:pPr>
        <w:numPr>
          <w:ilvl w:val="0"/>
          <w:numId w:val="4"/>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06BD1640" w14:textId="77777777" w:rsidR="00272EDF" w:rsidRPr="00050BDD" w:rsidRDefault="003644FC" w:rsidP="00050BDD">
      <w:pPr>
        <w:pStyle w:val="ListParagraph"/>
        <w:numPr>
          <w:ilvl w:val="0"/>
          <w:numId w:val="14"/>
        </w:numPr>
        <w:pBdr>
          <w:top w:val="nil"/>
          <w:left w:val="nil"/>
          <w:bottom w:val="nil"/>
          <w:right w:val="nil"/>
          <w:between w:val="nil"/>
        </w:pBdr>
        <w:spacing w:before="120"/>
        <w:jc w:val="both"/>
        <w:rPr>
          <w:rFonts w:ascii="Arial" w:eastAsia="Arial" w:hAnsi="Arial" w:cs="Arial"/>
          <w:color w:val="000000"/>
          <w:sz w:val="24"/>
          <w:szCs w:val="24"/>
        </w:rPr>
      </w:pPr>
      <w:r w:rsidRPr="00050BDD">
        <w:rPr>
          <w:rFonts w:ascii="Arial" w:eastAsia="Arial" w:hAnsi="Arial" w:cs="Arial"/>
          <w:color w:val="000000"/>
          <w:sz w:val="24"/>
          <w:szCs w:val="24"/>
        </w:rPr>
        <w:t>N/A</w:t>
      </w:r>
    </w:p>
    <w:p w14:paraId="1F0B38D8" w14:textId="77777777" w:rsidR="00272EDF" w:rsidRDefault="00272EDF">
      <w:pPr>
        <w:pBdr>
          <w:top w:val="nil"/>
          <w:left w:val="nil"/>
          <w:bottom w:val="nil"/>
          <w:right w:val="nil"/>
          <w:between w:val="nil"/>
        </w:pBdr>
        <w:spacing w:before="120"/>
        <w:ind w:left="1080" w:hanging="1080"/>
        <w:jc w:val="both"/>
        <w:rPr>
          <w:rFonts w:ascii="Arial" w:eastAsia="Arial" w:hAnsi="Arial" w:cs="Arial"/>
          <w:color w:val="000000"/>
          <w:sz w:val="24"/>
          <w:szCs w:val="24"/>
        </w:rPr>
      </w:pPr>
    </w:p>
    <w:p w14:paraId="0C9074AA" w14:textId="37DAEA89" w:rsidR="00272EDF" w:rsidRDefault="003644FC">
      <w:pPr>
        <w:numPr>
          <w:ilvl w:val="0"/>
          <w:numId w:val="4"/>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Describe any new business relationships </w:t>
      </w:r>
      <w:proofErr w:type="gramStart"/>
      <w:r>
        <w:rPr>
          <w:rFonts w:ascii="Arial" w:eastAsia="Arial" w:hAnsi="Arial" w:cs="Arial"/>
          <w:color w:val="000000"/>
          <w:sz w:val="24"/>
          <w:szCs w:val="24"/>
        </w:rPr>
        <w:t>entered into</w:t>
      </w:r>
      <w:proofErr w:type="gramEnd"/>
      <w:r>
        <w:rPr>
          <w:rFonts w:ascii="Arial" w:eastAsia="Arial" w:hAnsi="Arial" w:cs="Arial"/>
          <w:color w:val="000000"/>
          <w:sz w:val="24"/>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8CFFAA3" w14:textId="08CF58BB" w:rsidR="00EA1B35" w:rsidRPr="00050BDD" w:rsidRDefault="00903DB4" w:rsidP="00050BDD">
      <w:pPr>
        <w:pStyle w:val="ListParagraph"/>
        <w:numPr>
          <w:ilvl w:val="0"/>
          <w:numId w:val="13"/>
        </w:numPr>
        <w:pBdr>
          <w:top w:val="nil"/>
          <w:left w:val="nil"/>
          <w:bottom w:val="nil"/>
          <w:right w:val="nil"/>
          <w:between w:val="nil"/>
        </w:pBdr>
        <w:spacing w:before="120"/>
        <w:jc w:val="both"/>
        <w:rPr>
          <w:rFonts w:ascii="Arial" w:eastAsia="Arial" w:hAnsi="Arial" w:cs="Arial"/>
          <w:b/>
          <w:bCs/>
          <w:color w:val="000000"/>
          <w:sz w:val="24"/>
          <w:szCs w:val="24"/>
        </w:rPr>
      </w:pPr>
      <w:r w:rsidRPr="00050BDD">
        <w:rPr>
          <w:rFonts w:ascii="Arial" w:eastAsia="Arial" w:hAnsi="Arial" w:cs="Arial"/>
          <w:color w:val="000000"/>
          <w:sz w:val="24"/>
          <w:szCs w:val="24"/>
        </w:rPr>
        <w:t xml:space="preserve">N/A </w:t>
      </w:r>
    </w:p>
    <w:p w14:paraId="69DB2A52" w14:textId="77777777" w:rsidR="00272EDF" w:rsidRDefault="00272EDF" w:rsidP="00A95957">
      <w:pPr>
        <w:pBdr>
          <w:top w:val="nil"/>
          <w:left w:val="nil"/>
          <w:bottom w:val="nil"/>
          <w:right w:val="nil"/>
          <w:between w:val="nil"/>
        </w:pBdr>
        <w:spacing w:before="120"/>
        <w:jc w:val="both"/>
        <w:rPr>
          <w:rFonts w:ascii="Arial" w:eastAsia="Arial" w:hAnsi="Arial" w:cs="Arial"/>
          <w:color w:val="000000"/>
          <w:sz w:val="24"/>
          <w:szCs w:val="24"/>
        </w:rPr>
      </w:pPr>
    </w:p>
    <w:p w14:paraId="17F3790A" w14:textId="77777777" w:rsidR="00272EDF" w:rsidRDefault="003644FC">
      <w:pPr>
        <w:numPr>
          <w:ilvl w:val="0"/>
          <w:numId w:val="4"/>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lastRenderedPageBreak/>
        <w:t>Describe the expiry or termination of any contracts or agreements between the Issuer, the Issuer’s affiliates or third parties or cancellation of any financing arrangements that have been previously announced.</w:t>
      </w:r>
    </w:p>
    <w:p w14:paraId="5F5356F7" w14:textId="77777777" w:rsidR="00272EDF" w:rsidRPr="00050BDD" w:rsidRDefault="003644FC" w:rsidP="00050BDD">
      <w:pPr>
        <w:pStyle w:val="ListParagraph"/>
        <w:numPr>
          <w:ilvl w:val="0"/>
          <w:numId w:val="12"/>
        </w:numPr>
        <w:pBdr>
          <w:top w:val="nil"/>
          <w:left w:val="nil"/>
          <w:bottom w:val="nil"/>
          <w:right w:val="nil"/>
          <w:between w:val="nil"/>
        </w:pBdr>
        <w:spacing w:before="120"/>
        <w:jc w:val="both"/>
        <w:rPr>
          <w:rFonts w:ascii="Arial" w:eastAsia="Arial" w:hAnsi="Arial" w:cs="Arial"/>
          <w:color w:val="000000"/>
          <w:sz w:val="24"/>
          <w:szCs w:val="24"/>
        </w:rPr>
      </w:pPr>
      <w:r w:rsidRPr="00050BDD">
        <w:rPr>
          <w:rFonts w:ascii="Arial" w:eastAsia="Arial" w:hAnsi="Arial" w:cs="Arial"/>
          <w:color w:val="000000"/>
          <w:sz w:val="24"/>
          <w:szCs w:val="24"/>
        </w:rPr>
        <w:t>N/A</w:t>
      </w:r>
    </w:p>
    <w:p w14:paraId="1B3C2444" w14:textId="77777777" w:rsidR="00272EDF" w:rsidRDefault="00272EDF">
      <w:pPr>
        <w:pBdr>
          <w:top w:val="nil"/>
          <w:left w:val="nil"/>
          <w:bottom w:val="nil"/>
          <w:right w:val="nil"/>
          <w:between w:val="nil"/>
        </w:pBdr>
        <w:spacing w:before="120"/>
        <w:ind w:left="1080" w:hanging="1080"/>
        <w:jc w:val="both"/>
        <w:rPr>
          <w:rFonts w:ascii="Arial" w:eastAsia="Arial" w:hAnsi="Arial" w:cs="Arial"/>
          <w:color w:val="000000"/>
          <w:sz w:val="24"/>
          <w:szCs w:val="24"/>
        </w:rPr>
      </w:pPr>
    </w:p>
    <w:p w14:paraId="6D47F2B5" w14:textId="77777777" w:rsidR="00272EDF" w:rsidRDefault="003644FC">
      <w:pPr>
        <w:numPr>
          <w:ilvl w:val="0"/>
          <w:numId w:val="4"/>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rFonts w:ascii="Arial" w:eastAsia="Arial" w:hAnsi="Arial" w:cs="Arial"/>
          <w:color w:val="000000"/>
          <w:sz w:val="24"/>
          <w:szCs w:val="24"/>
        </w:rPr>
        <w:t>from</w:t>
      </w:r>
      <w:proofErr w:type="gramEnd"/>
      <w:r>
        <w:rPr>
          <w:rFonts w:ascii="Arial" w:eastAsia="Arial" w:hAnsi="Arial" w:cs="Arial"/>
          <w:color w:val="000000"/>
          <w:sz w:val="24"/>
          <w:szCs w:val="24"/>
        </w:rPr>
        <w:t xml:space="preserve"> or the disposition was to a Related Person of the Issuer and provide details of the relationship.</w:t>
      </w:r>
    </w:p>
    <w:p w14:paraId="7C36F7D2" w14:textId="77777777" w:rsidR="00272EDF" w:rsidRDefault="00272EDF">
      <w:pPr>
        <w:pBdr>
          <w:top w:val="nil"/>
          <w:left w:val="nil"/>
          <w:bottom w:val="nil"/>
          <w:right w:val="nil"/>
          <w:between w:val="nil"/>
        </w:pBdr>
        <w:spacing w:before="120"/>
        <w:ind w:left="720"/>
        <w:jc w:val="both"/>
        <w:rPr>
          <w:rFonts w:ascii="Arial" w:eastAsia="Arial" w:hAnsi="Arial" w:cs="Arial"/>
          <w:color w:val="000000"/>
          <w:sz w:val="24"/>
          <w:szCs w:val="24"/>
        </w:rPr>
      </w:pPr>
    </w:p>
    <w:p w14:paraId="63CE2D0C" w14:textId="77777777" w:rsidR="00272EDF" w:rsidRPr="00050BDD" w:rsidRDefault="003644FC" w:rsidP="00050BDD">
      <w:pPr>
        <w:pStyle w:val="ListParagraph"/>
        <w:numPr>
          <w:ilvl w:val="0"/>
          <w:numId w:val="11"/>
        </w:numPr>
        <w:pBdr>
          <w:top w:val="nil"/>
          <w:left w:val="nil"/>
          <w:bottom w:val="nil"/>
          <w:right w:val="nil"/>
          <w:between w:val="nil"/>
        </w:pBdr>
        <w:spacing w:before="120"/>
        <w:jc w:val="both"/>
        <w:rPr>
          <w:rFonts w:ascii="Arial" w:eastAsia="Arial" w:hAnsi="Arial" w:cs="Arial"/>
          <w:color w:val="000000"/>
          <w:sz w:val="24"/>
          <w:szCs w:val="24"/>
        </w:rPr>
      </w:pPr>
      <w:r w:rsidRPr="00050BDD">
        <w:rPr>
          <w:rFonts w:ascii="Arial" w:eastAsia="Arial" w:hAnsi="Arial" w:cs="Arial"/>
          <w:color w:val="000000"/>
          <w:sz w:val="24"/>
          <w:szCs w:val="24"/>
        </w:rPr>
        <w:t>N/A</w:t>
      </w:r>
    </w:p>
    <w:p w14:paraId="77A305A4" w14:textId="77777777" w:rsidR="00272EDF" w:rsidRDefault="00272EDF">
      <w:pPr>
        <w:pBdr>
          <w:top w:val="nil"/>
          <w:left w:val="nil"/>
          <w:bottom w:val="nil"/>
          <w:right w:val="nil"/>
          <w:between w:val="nil"/>
        </w:pBdr>
        <w:spacing w:before="120"/>
        <w:ind w:left="1080" w:hanging="1080"/>
        <w:jc w:val="both"/>
        <w:rPr>
          <w:rFonts w:ascii="Arial" w:eastAsia="Arial" w:hAnsi="Arial" w:cs="Arial"/>
          <w:color w:val="000000"/>
          <w:sz w:val="24"/>
          <w:szCs w:val="24"/>
        </w:rPr>
      </w:pPr>
    </w:p>
    <w:p w14:paraId="441C4E14" w14:textId="77777777" w:rsidR="00272EDF" w:rsidRDefault="003644FC">
      <w:pPr>
        <w:numPr>
          <w:ilvl w:val="0"/>
          <w:numId w:val="4"/>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the acquisition of new customers or loss of customers.</w:t>
      </w:r>
    </w:p>
    <w:p w14:paraId="0CEC2584" w14:textId="77777777" w:rsidR="00272EDF" w:rsidRDefault="00272EDF">
      <w:pPr>
        <w:pBdr>
          <w:top w:val="nil"/>
          <w:left w:val="nil"/>
          <w:bottom w:val="nil"/>
          <w:right w:val="nil"/>
          <w:between w:val="nil"/>
        </w:pBdr>
        <w:spacing w:before="120"/>
        <w:ind w:left="720"/>
        <w:jc w:val="both"/>
        <w:rPr>
          <w:rFonts w:ascii="Arial" w:eastAsia="Arial" w:hAnsi="Arial" w:cs="Arial"/>
          <w:color w:val="000000"/>
          <w:sz w:val="24"/>
          <w:szCs w:val="24"/>
        </w:rPr>
      </w:pPr>
    </w:p>
    <w:p w14:paraId="5A680108" w14:textId="77777777" w:rsidR="00272EDF" w:rsidRPr="00050BDD" w:rsidRDefault="003644FC" w:rsidP="00050BDD">
      <w:pPr>
        <w:pStyle w:val="ListParagraph"/>
        <w:numPr>
          <w:ilvl w:val="0"/>
          <w:numId w:val="10"/>
        </w:numPr>
        <w:pBdr>
          <w:top w:val="nil"/>
          <w:left w:val="nil"/>
          <w:bottom w:val="nil"/>
          <w:right w:val="nil"/>
          <w:between w:val="nil"/>
        </w:pBdr>
        <w:spacing w:before="120"/>
        <w:jc w:val="both"/>
        <w:rPr>
          <w:rFonts w:ascii="Arial" w:eastAsia="Arial" w:hAnsi="Arial" w:cs="Arial"/>
          <w:color w:val="000000"/>
          <w:sz w:val="24"/>
          <w:szCs w:val="24"/>
        </w:rPr>
      </w:pPr>
      <w:r w:rsidRPr="00050BDD">
        <w:rPr>
          <w:rFonts w:ascii="Arial" w:eastAsia="Arial" w:hAnsi="Arial" w:cs="Arial"/>
          <w:color w:val="000000"/>
          <w:sz w:val="24"/>
          <w:szCs w:val="24"/>
        </w:rPr>
        <w:t>N/A</w:t>
      </w:r>
    </w:p>
    <w:p w14:paraId="62FC8611" w14:textId="77777777" w:rsidR="00272EDF" w:rsidRDefault="00272EDF">
      <w:pPr>
        <w:pBdr>
          <w:top w:val="nil"/>
          <w:left w:val="nil"/>
          <w:bottom w:val="nil"/>
          <w:right w:val="nil"/>
          <w:between w:val="nil"/>
        </w:pBdr>
        <w:spacing w:before="120"/>
        <w:ind w:left="1080" w:hanging="1080"/>
        <w:jc w:val="both"/>
        <w:rPr>
          <w:rFonts w:ascii="Arial" w:eastAsia="Arial" w:hAnsi="Arial" w:cs="Arial"/>
          <w:color w:val="000000"/>
          <w:sz w:val="24"/>
          <w:szCs w:val="24"/>
        </w:rPr>
      </w:pPr>
    </w:p>
    <w:p w14:paraId="0CB0252D" w14:textId="77777777" w:rsidR="00272EDF" w:rsidRDefault="003644FC">
      <w:pPr>
        <w:numPr>
          <w:ilvl w:val="0"/>
          <w:numId w:val="4"/>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Describe any new developments or effects on intangible products such as brand names, circulation lists, copyrights, franchises, licenses, patents, software, subscription lists and </w:t>
      </w:r>
      <w:proofErr w:type="gramStart"/>
      <w:r>
        <w:rPr>
          <w:rFonts w:ascii="Arial" w:eastAsia="Arial" w:hAnsi="Arial" w:cs="Arial"/>
          <w:color w:val="000000"/>
          <w:sz w:val="24"/>
          <w:szCs w:val="24"/>
        </w:rPr>
        <w:t>trade-marks</w:t>
      </w:r>
      <w:proofErr w:type="gramEnd"/>
      <w:r>
        <w:rPr>
          <w:rFonts w:ascii="Arial" w:eastAsia="Arial" w:hAnsi="Arial" w:cs="Arial"/>
          <w:color w:val="000000"/>
          <w:sz w:val="24"/>
          <w:szCs w:val="24"/>
        </w:rPr>
        <w:t>.</w:t>
      </w:r>
    </w:p>
    <w:p w14:paraId="5C8EF182" w14:textId="77777777" w:rsidR="00272EDF" w:rsidRDefault="00272EDF">
      <w:pPr>
        <w:pBdr>
          <w:top w:val="nil"/>
          <w:left w:val="nil"/>
          <w:bottom w:val="nil"/>
          <w:right w:val="nil"/>
          <w:between w:val="nil"/>
        </w:pBdr>
        <w:spacing w:before="120"/>
        <w:ind w:left="720"/>
        <w:jc w:val="both"/>
        <w:rPr>
          <w:rFonts w:ascii="Arial" w:eastAsia="Arial" w:hAnsi="Arial" w:cs="Arial"/>
          <w:color w:val="000000"/>
          <w:sz w:val="24"/>
          <w:szCs w:val="24"/>
        </w:rPr>
      </w:pPr>
    </w:p>
    <w:p w14:paraId="72D3F0F9" w14:textId="77777777" w:rsidR="00272EDF" w:rsidRPr="00050BDD" w:rsidRDefault="003644FC" w:rsidP="00050BDD">
      <w:pPr>
        <w:pStyle w:val="ListParagraph"/>
        <w:numPr>
          <w:ilvl w:val="0"/>
          <w:numId w:val="9"/>
        </w:numPr>
        <w:pBdr>
          <w:top w:val="nil"/>
          <w:left w:val="nil"/>
          <w:bottom w:val="nil"/>
          <w:right w:val="nil"/>
          <w:between w:val="nil"/>
        </w:pBdr>
        <w:spacing w:before="120"/>
        <w:jc w:val="both"/>
        <w:rPr>
          <w:rFonts w:ascii="Arial" w:eastAsia="Arial" w:hAnsi="Arial" w:cs="Arial"/>
          <w:color w:val="000000"/>
          <w:sz w:val="24"/>
          <w:szCs w:val="24"/>
        </w:rPr>
      </w:pPr>
      <w:r w:rsidRPr="00050BDD">
        <w:rPr>
          <w:rFonts w:ascii="Arial" w:eastAsia="Arial" w:hAnsi="Arial" w:cs="Arial"/>
          <w:color w:val="000000"/>
          <w:sz w:val="24"/>
          <w:szCs w:val="24"/>
        </w:rPr>
        <w:t>N/A</w:t>
      </w:r>
    </w:p>
    <w:p w14:paraId="47D07E1D" w14:textId="77777777" w:rsidR="00272EDF" w:rsidRDefault="00272EDF">
      <w:pPr>
        <w:pBdr>
          <w:top w:val="nil"/>
          <w:left w:val="nil"/>
          <w:bottom w:val="nil"/>
          <w:right w:val="nil"/>
          <w:between w:val="nil"/>
        </w:pBdr>
        <w:spacing w:before="120"/>
        <w:ind w:left="1080" w:hanging="1080"/>
        <w:jc w:val="both"/>
        <w:rPr>
          <w:rFonts w:ascii="Arial" w:eastAsia="Arial" w:hAnsi="Arial" w:cs="Arial"/>
          <w:color w:val="000000"/>
          <w:sz w:val="24"/>
          <w:szCs w:val="24"/>
        </w:rPr>
      </w:pPr>
    </w:p>
    <w:p w14:paraId="2482E98A" w14:textId="77777777" w:rsidR="00272EDF" w:rsidRDefault="003644FC">
      <w:pPr>
        <w:numPr>
          <w:ilvl w:val="0"/>
          <w:numId w:val="4"/>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Report on any employee hirings, terminations or lay-offs with details of anticipated length of lay-offs.</w:t>
      </w:r>
    </w:p>
    <w:p w14:paraId="51FE499F" w14:textId="15AF9123" w:rsidR="007D32BE" w:rsidRDefault="007D32BE" w:rsidP="007D32BE">
      <w:pPr>
        <w:pStyle w:val="ListParagraph"/>
        <w:pBdr>
          <w:top w:val="nil"/>
          <w:left w:val="nil"/>
          <w:bottom w:val="nil"/>
          <w:right w:val="nil"/>
          <w:between w:val="nil"/>
        </w:pBdr>
        <w:spacing w:before="120"/>
        <w:jc w:val="both"/>
        <w:rPr>
          <w:rFonts w:ascii="Arial" w:eastAsia="Arial" w:hAnsi="Arial" w:cs="Arial"/>
          <w:color w:val="000000"/>
          <w:sz w:val="24"/>
          <w:szCs w:val="24"/>
        </w:rPr>
      </w:pPr>
    </w:p>
    <w:p w14:paraId="0B5FA3EA" w14:textId="21606F2C" w:rsidR="004F47F9" w:rsidRPr="00903DB4" w:rsidRDefault="003F6661" w:rsidP="00050BDD">
      <w:pPr>
        <w:pStyle w:val="ListParagraph"/>
        <w:numPr>
          <w:ilvl w:val="0"/>
          <w:numId w:val="8"/>
        </w:numPr>
        <w:pBdr>
          <w:top w:val="nil"/>
          <w:left w:val="nil"/>
          <w:bottom w:val="nil"/>
          <w:right w:val="nil"/>
          <w:between w:val="nil"/>
        </w:pBdr>
        <w:spacing w:before="120"/>
        <w:jc w:val="both"/>
        <w:rPr>
          <w:rFonts w:ascii="Arial" w:eastAsia="Arial" w:hAnsi="Arial" w:cs="Arial"/>
          <w:b/>
          <w:bCs/>
          <w:color w:val="000000"/>
          <w:sz w:val="24"/>
          <w:szCs w:val="24"/>
        </w:rPr>
      </w:pPr>
      <w:r>
        <w:rPr>
          <w:rFonts w:ascii="Arial" w:eastAsia="Arial" w:hAnsi="Arial" w:cs="Arial"/>
          <w:color w:val="000000"/>
          <w:sz w:val="24"/>
          <w:szCs w:val="24"/>
        </w:rPr>
        <w:t>N/A</w:t>
      </w:r>
    </w:p>
    <w:p w14:paraId="08E10D55" w14:textId="77777777" w:rsidR="00272EDF" w:rsidRDefault="00272EDF">
      <w:pPr>
        <w:pBdr>
          <w:top w:val="nil"/>
          <w:left w:val="nil"/>
          <w:bottom w:val="nil"/>
          <w:right w:val="nil"/>
          <w:between w:val="nil"/>
        </w:pBdr>
        <w:spacing w:before="120"/>
        <w:ind w:left="1080" w:hanging="1080"/>
        <w:jc w:val="both"/>
        <w:rPr>
          <w:rFonts w:ascii="Arial" w:eastAsia="Arial" w:hAnsi="Arial" w:cs="Arial"/>
          <w:color w:val="000000"/>
          <w:sz w:val="24"/>
          <w:szCs w:val="24"/>
        </w:rPr>
      </w:pPr>
    </w:p>
    <w:p w14:paraId="3CC92203" w14:textId="77777777" w:rsidR="00272EDF" w:rsidRDefault="003644FC">
      <w:pPr>
        <w:numPr>
          <w:ilvl w:val="0"/>
          <w:numId w:val="4"/>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Report on any labour disputes and resolutions of those disputes if applicable.</w:t>
      </w:r>
    </w:p>
    <w:p w14:paraId="7E3EAB09" w14:textId="77777777" w:rsidR="00272EDF" w:rsidRPr="00050BDD" w:rsidRDefault="003644FC" w:rsidP="00050BDD">
      <w:pPr>
        <w:pStyle w:val="ListParagraph"/>
        <w:numPr>
          <w:ilvl w:val="0"/>
          <w:numId w:val="7"/>
        </w:numPr>
        <w:pBdr>
          <w:top w:val="nil"/>
          <w:left w:val="nil"/>
          <w:bottom w:val="nil"/>
          <w:right w:val="nil"/>
          <w:between w:val="nil"/>
        </w:pBdr>
        <w:spacing w:before="120"/>
        <w:jc w:val="both"/>
        <w:rPr>
          <w:rFonts w:ascii="Arial" w:eastAsia="Arial" w:hAnsi="Arial" w:cs="Arial"/>
          <w:color w:val="000000"/>
          <w:sz w:val="24"/>
          <w:szCs w:val="24"/>
        </w:rPr>
      </w:pPr>
      <w:r w:rsidRPr="00050BDD">
        <w:rPr>
          <w:rFonts w:ascii="Arial" w:eastAsia="Arial" w:hAnsi="Arial" w:cs="Arial"/>
          <w:color w:val="000000"/>
          <w:sz w:val="24"/>
          <w:szCs w:val="24"/>
        </w:rPr>
        <w:t>N/A</w:t>
      </w:r>
    </w:p>
    <w:p w14:paraId="45346E82" w14:textId="77777777" w:rsidR="00272EDF" w:rsidRDefault="00272EDF">
      <w:pPr>
        <w:pBdr>
          <w:top w:val="nil"/>
          <w:left w:val="nil"/>
          <w:bottom w:val="nil"/>
          <w:right w:val="nil"/>
          <w:between w:val="nil"/>
        </w:pBdr>
        <w:spacing w:before="120"/>
        <w:ind w:left="1080" w:hanging="1080"/>
        <w:jc w:val="both"/>
        <w:rPr>
          <w:rFonts w:ascii="Arial" w:eastAsia="Arial" w:hAnsi="Arial" w:cs="Arial"/>
          <w:color w:val="000000"/>
          <w:sz w:val="24"/>
          <w:szCs w:val="24"/>
        </w:rPr>
      </w:pPr>
    </w:p>
    <w:p w14:paraId="07803CFC" w14:textId="77777777" w:rsidR="00272EDF" w:rsidRDefault="003644FC">
      <w:pPr>
        <w:numPr>
          <w:ilvl w:val="0"/>
          <w:numId w:val="4"/>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D4BB51A" w14:textId="77777777" w:rsidR="00F42726" w:rsidRDefault="00F42726" w:rsidP="00F42726">
      <w:pPr>
        <w:pBdr>
          <w:top w:val="nil"/>
          <w:left w:val="nil"/>
          <w:bottom w:val="nil"/>
          <w:right w:val="nil"/>
          <w:between w:val="nil"/>
        </w:pBdr>
        <w:spacing w:before="120"/>
        <w:ind w:left="709"/>
        <w:jc w:val="both"/>
        <w:rPr>
          <w:rFonts w:ascii="Arial" w:eastAsia="Arial" w:hAnsi="Arial" w:cs="Arial"/>
          <w:color w:val="000000"/>
          <w:sz w:val="24"/>
          <w:szCs w:val="24"/>
        </w:rPr>
      </w:pPr>
    </w:p>
    <w:p w14:paraId="549FB3B0" w14:textId="51C80550" w:rsidR="0079703E" w:rsidRDefault="007B278F" w:rsidP="00050BDD">
      <w:pPr>
        <w:pStyle w:val="ListParagraph"/>
        <w:numPr>
          <w:ilvl w:val="0"/>
          <w:numId w:val="6"/>
        </w:numPr>
        <w:pBdr>
          <w:top w:val="nil"/>
          <w:left w:val="nil"/>
          <w:bottom w:val="nil"/>
          <w:right w:val="nil"/>
          <w:between w:val="nil"/>
        </w:pBdr>
        <w:spacing w:before="120"/>
        <w:jc w:val="both"/>
        <w:rPr>
          <w:rFonts w:ascii="Arial" w:eastAsia="Arial" w:hAnsi="Arial" w:cs="Arial"/>
          <w:color w:val="000000"/>
          <w:sz w:val="24"/>
          <w:szCs w:val="24"/>
        </w:rPr>
      </w:pPr>
      <w:r w:rsidRPr="00050BDD">
        <w:rPr>
          <w:rFonts w:ascii="Arial" w:eastAsia="Arial" w:hAnsi="Arial" w:cs="Arial"/>
          <w:color w:val="000000"/>
          <w:sz w:val="24"/>
          <w:szCs w:val="24"/>
        </w:rPr>
        <w:t>There have been no material updates to the previously announced litigation with</w:t>
      </w:r>
      <w:r w:rsidR="00F42726" w:rsidRPr="00050BDD">
        <w:rPr>
          <w:rFonts w:ascii="Arial" w:eastAsia="Arial" w:hAnsi="Arial" w:cs="Arial"/>
          <w:color w:val="000000"/>
          <w:sz w:val="24"/>
          <w:szCs w:val="24"/>
        </w:rPr>
        <w:t xml:space="preserve"> </w:t>
      </w:r>
      <w:r w:rsidRPr="00050BDD">
        <w:rPr>
          <w:rFonts w:ascii="Arial" w:eastAsia="Arial" w:hAnsi="Arial" w:cs="Arial"/>
          <w:color w:val="000000"/>
          <w:sz w:val="24"/>
          <w:szCs w:val="24"/>
        </w:rPr>
        <w:t>JW Asset Management since the matter was last reported on the Form 7 filed with the CSE on July 8, 2022, with the hearing of the application heard on September 1, 2022.</w:t>
      </w:r>
    </w:p>
    <w:p w14:paraId="0180B82A" w14:textId="77777777" w:rsidR="00050BDD" w:rsidRPr="00050BDD" w:rsidRDefault="00050BDD" w:rsidP="00050BDD">
      <w:pPr>
        <w:pStyle w:val="ListParagraph"/>
        <w:pBdr>
          <w:top w:val="nil"/>
          <w:left w:val="nil"/>
          <w:bottom w:val="nil"/>
          <w:right w:val="nil"/>
          <w:between w:val="nil"/>
        </w:pBdr>
        <w:spacing w:before="120"/>
        <w:ind w:left="1429"/>
        <w:jc w:val="both"/>
        <w:rPr>
          <w:rFonts w:ascii="Arial" w:eastAsia="Arial" w:hAnsi="Arial" w:cs="Arial"/>
          <w:color w:val="000000"/>
          <w:sz w:val="24"/>
          <w:szCs w:val="24"/>
        </w:rPr>
      </w:pPr>
    </w:p>
    <w:p w14:paraId="367FFA7D" w14:textId="0EBFF1E2" w:rsidR="002702F6" w:rsidRPr="00050BDD" w:rsidRDefault="002702F6" w:rsidP="00050BDD">
      <w:pPr>
        <w:pStyle w:val="ListParagraph"/>
        <w:numPr>
          <w:ilvl w:val="0"/>
          <w:numId w:val="6"/>
        </w:numPr>
        <w:pBdr>
          <w:top w:val="nil"/>
          <w:left w:val="nil"/>
          <w:bottom w:val="nil"/>
          <w:right w:val="nil"/>
          <w:between w:val="nil"/>
        </w:pBdr>
        <w:spacing w:before="120"/>
        <w:jc w:val="both"/>
        <w:rPr>
          <w:rFonts w:ascii="Arial" w:eastAsia="Arial" w:hAnsi="Arial" w:cs="Arial"/>
          <w:color w:val="000000"/>
          <w:sz w:val="24"/>
          <w:szCs w:val="24"/>
        </w:rPr>
      </w:pPr>
      <w:r w:rsidRPr="00050BDD">
        <w:rPr>
          <w:rFonts w:ascii="Arial" w:eastAsia="Arial" w:hAnsi="Arial" w:cs="Arial"/>
          <w:color w:val="000000"/>
          <w:sz w:val="24"/>
          <w:szCs w:val="24"/>
        </w:rPr>
        <w:t>On September 12, 2022, the Issuer’s wholly owned subsidiary RIV Capital US Services LLC (“</w:t>
      </w:r>
      <w:r w:rsidRPr="00050BDD">
        <w:rPr>
          <w:rFonts w:ascii="Arial" w:eastAsia="Arial" w:hAnsi="Arial" w:cs="Arial"/>
          <w:b/>
          <w:bCs/>
          <w:color w:val="000000"/>
          <w:sz w:val="24"/>
          <w:szCs w:val="24"/>
        </w:rPr>
        <w:t>RIV Services</w:t>
      </w:r>
      <w:r w:rsidRPr="00050BDD">
        <w:rPr>
          <w:rFonts w:ascii="Arial" w:eastAsia="Arial" w:hAnsi="Arial" w:cs="Arial"/>
          <w:color w:val="000000"/>
          <w:sz w:val="24"/>
          <w:szCs w:val="24"/>
        </w:rPr>
        <w:t>”), as assignee of Etain IP, LLC, filed a complaint against Green Mill Supercritical Inc. (“</w:t>
      </w:r>
      <w:r w:rsidRPr="00050BDD">
        <w:rPr>
          <w:rFonts w:ascii="Arial" w:eastAsia="Arial" w:hAnsi="Arial" w:cs="Arial"/>
          <w:b/>
          <w:bCs/>
          <w:color w:val="000000"/>
          <w:sz w:val="24"/>
          <w:szCs w:val="24"/>
        </w:rPr>
        <w:t>Green Mill</w:t>
      </w:r>
      <w:r w:rsidRPr="00050BDD">
        <w:rPr>
          <w:rFonts w:ascii="Arial" w:eastAsia="Arial" w:hAnsi="Arial" w:cs="Arial"/>
          <w:color w:val="000000"/>
          <w:sz w:val="24"/>
          <w:szCs w:val="24"/>
        </w:rPr>
        <w:t>”) in the Court of Common Pleas of Allegheny County, Pennsylvania for breach of contract in connection with Green Mill’s failure to deliver extractor equipment that Etain IP, LLC purchased for $525,000. RIV Services is seeking damages of $525,000 plus interest. On October 17, 2022, Green Mill filed preliminary objections to the complaint</w:t>
      </w:r>
      <w:r w:rsidR="00A826C9">
        <w:rPr>
          <w:rFonts w:ascii="Arial" w:eastAsia="Arial" w:hAnsi="Arial" w:cs="Arial"/>
          <w:color w:val="000000"/>
          <w:sz w:val="24"/>
          <w:szCs w:val="24"/>
        </w:rPr>
        <w:t xml:space="preserve">. </w:t>
      </w:r>
      <w:r w:rsidR="003F6661">
        <w:rPr>
          <w:rFonts w:ascii="Arial" w:eastAsia="Arial" w:hAnsi="Arial" w:cs="Arial"/>
          <w:color w:val="000000"/>
          <w:sz w:val="24"/>
          <w:szCs w:val="24"/>
        </w:rPr>
        <w:t>On November 28, 2022, t</w:t>
      </w:r>
      <w:r w:rsidR="00A826C9">
        <w:rPr>
          <w:rFonts w:ascii="Arial" w:eastAsia="Arial" w:hAnsi="Arial" w:cs="Arial"/>
          <w:color w:val="000000"/>
          <w:sz w:val="24"/>
          <w:szCs w:val="24"/>
        </w:rPr>
        <w:t>he Issuer filed a brief in opposition</w:t>
      </w:r>
      <w:r w:rsidR="00581C9A">
        <w:rPr>
          <w:rFonts w:ascii="Arial" w:eastAsia="Arial" w:hAnsi="Arial" w:cs="Arial"/>
          <w:color w:val="000000"/>
          <w:sz w:val="24"/>
          <w:szCs w:val="24"/>
        </w:rPr>
        <w:t xml:space="preserve"> requesting the Court to overrule </w:t>
      </w:r>
      <w:proofErr w:type="gramStart"/>
      <w:r w:rsidR="00581C9A">
        <w:rPr>
          <w:rFonts w:ascii="Arial" w:eastAsia="Arial" w:hAnsi="Arial" w:cs="Arial"/>
          <w:color w:val="000000"/>
          <w:sz w:val="24"/>
          <w:szCs w:val="24"/>
        </w:rPr>
        <w:t>all of</w:t>
      </w:r>
      <w:proofErr w:type="gramEnd"/>
      <w:r w:rsidR="003F6661">
        <w:rPr>
          <w:rFonts w:ascii="Arial" w:eastAsia="Arial" w:hAnsi="Arial" w:cs="Arial"/>
          <w:color w:val="000000"/>
          <w:sz w:val="24"/>
          <w:szCs w:val="24"/>
        </w:rPr>
        <w:t xml:space="preserve"> Green Mill’s preliminary objection</w:t>
      </w:r>
      <w:r w:rsidR="003F6661">
        <w:rPr>
          <w:rFonts w:ascii="Arial" w:eastAsia="Arial" w:hAnsi="Arial" w:cs="Arial"/>
          <w:color w:val="000000"/>
          <w:sz w:val="24"/>
          <w:szCs w:val="24"/>
        </w:rPr>
        <w:t>s</w:t>
      </w:r>
      <w:r w:rsidR="00581C9A">
        <w:rPr>
          <w:rFonts w:ascii="Arial" w:eastAsia="Arial" w:hAnsi="Arial" w:cs="Arial"/>
          <w:color w:val="000000"/>
          <w:sz w:val="24"/>
          <w:szCs w:val="24"/>
        </w:rPr>
        <w:t xml:space="preserve">, which were </w:t>
      </w:r>
      <w:r w:rsidR="003F6661">
        <w:rPr>
          <w:rFonts w:ascii="Arial" w:eastAsia="Arial" w:hAnsi="Arial" w:cs="Arial"/>
          <w:color w:val="000000"/>
          <w:sz w:val="24"/>
          <w:szCs w:val="24"/>
        </w:rPr>
        <w:t>sc</w:t>
      </w:r>
      <w:r w:rsidR="002E1A4E" w:rsidRPr="00050BDD">
        <w:rPr>
          <w:rFonts w:ascii="Arial" w:eastAsia="Arial" w:hAnsi="Arial" w:cs="Arial"/>
          <w:color w:val="000000"/>
          <w:sz w:val="24"/>
          <w:szCs w:val="24"/>
        </w:rPr>
        <w:t>heduled to be heard by the Court on December 5, 2022.</w:t>
      </w:r>
    </w:p>
    <w:p w14:paraId="646C702F" w14:textId="77777777" w:rsidR="00C528F9" w:rsidRDefault="00C528F9" w:rsidP="00F42726">
      <w:pPr>
        <w:pBdr>
          <w:top w:val="nil"/>
          <w:left w:val="nil"/>
          <w:bottom w:val="nil"/>
          <w:right w:val="nil"/>
          <w:between w:val="nil"/>
        </w:pBdr>
        <w:spacing w:before="120"/>
        <w:ind w:left="709"/>
        <w:jc w:val="both"/>
        <w:rPr>
          <w:rFonts w:ascii="Arial" w:eastAsia="Arial" w:hAnsi="Arial" w:cs="Arial"/>
          <w:color w:val="000000"/>
          <w:sz w:val="24"/>
          <w:szCs w:val="24"/>
        </w:rPr>
      </w:pPr>
    </w:p>
    <w:p w14:paraId="02C74536" w14:textId="77777777" w:rsidR="00272EDF" w:rsidRDefault="003644FC">
      <w:pPr>
        <w:numPr>
          <w:ilvl w:val="0"/>
          <w:numId w:val="4"/>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4CF2EFBE" w14:textId="39A924BA" w:rsidR="00272EDF" w:rsidRPr="00050BDD" w:rsidRDefault="003644FC" w:rsidP="00050BDD">
      <w:pPr>
        <w:pStyle w:val="ListParagraph"/>
        <w:numPr>
          <w:ilvl w:val="0"/>
          <w:numId w:val="19"/>
        </w:numPr>
        <w:pBdr>
          <w:top w:val="nil"/>
          <w:left w:val="nil"/>
          <w:bottom w:val="nil"/>
          <w:right w:val="nil"/>
          <w:between w:val="nil"/>
        </w:pBdr>
        <w:spacing w:before="120"/>
        <w:jc w:val="both"/>
        <w:rPr>
          <w:rFonts w:ascii="Arial" w:eastAsia="Arial" w:hAnsi="Arial" w:cs="Arial"/>
          <w:color w:val="000000"/>
          <w:sz w:val="24"/>
          <w:szCs w:val="24"/>
        </w:rPr>
      </w:pPr>
      <w:r w:rsidRPr="00050BDD">
        <w:rPr>
          <w:rFonts w:ascii="Arial" w:eastAsia="Arial" w:hAnsi="Arial" w:cs="Arial"/>
          <w:color w:val="000000"/>
          <w:sz w:val="24"/>
          <w:szCs w:val="24"/>
        </w:rPr>
        <w:t>N/A</w:t>
      </w:r>
    </w:p>
    <w:p w14:paraId="1EE41827" w14:textId="77777777" w:rsidR="00272EDF" w:rsidRDefault="00272EDF" w:rsidP="00EE719B">
      <w:pPr>
        <w:pBdr>
          <w:top w:val="nil"/>
          <w:left w:val="nil"/>
          <w:bottom w:val="nil"/>
          <w:right w:val="nil"/>
          <w:between w:val="nil"/>
        </w:pBdr>
        <w:spacing w:before="120"/>
        <w:jc w:val="both"/>
        <w:rPr>
          <w:rFonts w:ascii="Arial" w:eastAsia="Arial" w:hAnsi="Arial" w:cs="Arial"/>
          <w:color w:val="000000"/>
          <w:sz w:val="24"/>
          <w:szCs w:val="24"/>
        </w:rPr>
      </w:pPr>
    </w:p>
    <w:p w14:paraId="63D04BCF" w14:textId="4BAEF9EE" w:rsidR="00272EDF" w:rsidRPr="00A95957" w:rsidRDefault="003644FC" w:rsidP="00CA21DB">
      <w:pPr>
        <w:numPr>
          <w:ilvl w:val="0"/>
          <w:numId w:val="4"/>
        </w:numPr>
        <w:pBdr>
          <w:top w:val="nil"/>
          <w:left w:val="nil"/>
          <w:bottom w:val="nil"/>
          <w:right w:val="nil"/>
          <w:between w:val="nil"/>
        </w:pBdr>
        <w:spacing w:before="120"/>
        <w:jc w:val="both"/>
        <w:rPr>
          <w:rFonts w:ascii="Arial" w:eastAsia="Arial" w:hAnsi="Arial" w:cs="Arial"/>
          <w:color w:val="000000"/>
          <w:sz w:val="24"/>
          <w:szCs w:val="24"/>
        </w:rPr>
      </w:pPr>
      <w:bookmarkStart w:id="3" w:name="_Hlk94799222"/>
      <w:bookmarkStart w:id="4" w:name="_Hlk92728160"/>
      <w:r w:rsidRPr="00A95957">
        <w:rPr>
          <w:rFonts w:ascii="Arial" w:eastAsia="Arial" w:hAnsi="Arial" w:cs="Arial"/>
          <w:color w:val="000000"/>
          <w:sz w:val="24"/>
          <w:szCs w:val="24"/>
        </w:rPr>
        <w:t>Provide details of any securities issued and options or warrants granted</w:t>
      </w:r>
      <w:r w:rsidR="008978FB">
        <w:rPr>
          <w:rFonts w:ascii="Arial" w:eastAsia="Arial" w:hAnsi="Arial" w:cs="Arial"/>
          <w:color w:val="000000"/>
          <w:sz w:val="24"/>
          <w:szCs w:val="24"/>
        </w:rPr>
        <w:t>.</w:t>
      </w:r>
    </w:p>
    <w:p w14:paraId="4BACA382" w14:textId="0318A557" w:rsidR="00050BDD" w:rsidRPr="00050BDD" w:rsidRDefault="00050BDD" w:rsidP="00050BDD">
      <w:pPr>
        <w:pStyle w:val="ListParagraph"/>
        <w:numPr>
          <w:ilvl w:val="0"/>
          <w:numId w:val="18"/>
        </w:numPr>
        <w:pBdr>
          <w:top w:val="nil"/>
          <w:left w:val="nil"/>
          <w:bottom w:val="nil"/>
          <w:right w:val="nil"/>
          <w:between w:val="nil"/>
        </w:pBdr>
        <w:spacing w:before="120"/>
        <w:jc w:val="both"/>
        <w:rPr>
          <w:rFonts w:ascii="Arial" w:eastAsia="Arial" w:hAnsi="Arial" w:cs="Arial"/>
          <w:color w:val="000000"/>
          <w:sz w:val="24"/>
          <w:szCs w:val="24"/>
        </w:rPr>
      </w:pPr>
      <w:r w:rsidRPr="00050BDD">
        <w:rPr>
          <w:rFonts w:ascii="Arial" w:eastAsia="Arial" w:hAnsi="Arial" w:cs="Arial"/>
          <w:color w:val="000000"/>
          <w:sz w:val="24"/>
          <w:szCs w:val="24"/>
        </w:rPr>
        <w:t>The Issuer did not issue any securities or grant any options or warrants in the month of October.</w:t>
      </w:r>
    </w:p>
    <w:p w14:paraId="543AC5B0" w14:textId="77777777" w:rsidR="00050BDD" w:rsidRDefault="00050BDD">
      <w:pPr>
        <w:pBdr>
          <w:top w:val="nil"/>
          <w:left w:val="nil"/>
          <w:bottom w:val="nil"/>
          <w:right w:val="nil"/>
          <w:between w:val="nil"/>
        </w:pBdr>
        <w:spacing w:before="120"/>
        <w:ind w:left="1080" w:hanging="1080"/>
        <w:jc w:val="both"/>
        <w:rPr>
          <w:rFonts w:ascii="Arial" w:eastAsia="Arial" w:hAnsi="Arial" w:cs="Arial"/>
          <w:color w:val="000000"/>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276"/>
        <w:gridCol w:w="4033"/>
        <w:gridCol w:w="2345"/>
      </w:tblGrid>
      <w:tr w:rsidR="00272EDF" w14:paraId="531FDE96" w14:textId="77777777" w:rsidTr="008978FB">
        <w:tc>
          <w:tcPr>
            <w:tcW w:w="1696" w:type="dxa"/>
          </w:tcPr>
          <w:p w14:paraId="1A7D7ABA" w14:textId="77777777" w:rsidR="00272EDF" w:rsidRDefault="003644FC">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r>
              <w:rPr>
                <w:rFonts w:ascii="Arial" w:eastAsia="Arial" w:hAnsi="Arial" w:cs="Arial"/>
                <w:b/>
                <w:color w:val="000000"/>
                <w:sz w:val="24"/>
                <w:szCs w:val="24"/>
              </w:rPr>
              <w:t>Security</w:t>
            </w:r>
          </w:p>
        </w:tc>
        <w:tc>
          <w:tcPr>
            <w:tcW w:w="1276" w:type="dxa"/>
          </w:tcPr>
          <w:p w14:paraId="5AD9EE90" w14:textId="77777777" w:rsidR="00272EDF" w:rsidRDefault="003644FC">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r>
              <w:rPr>
                <w:rFonts w:ascii="Arial" w:eastAsia="Arial" w:hAnsi="Arial" w:cs="Arial"/>
                <w:b/>
                <w:color w:val="000000"/>
                <w:sz w:val="24"/>
                <w:szCs w:val="24"/>
              </w:rPr>
              <w:t>Number Issued</w:t>
            </w:r>
          </w:p>
        </w:tc>
        <w:tc>
          <w:tcPr>
            <w:tcW w:w="4033" w:type="dxa"/>
          </w:tcPr>
          <w:p w14:paraId="75A1DE9B" w14:textId="77777777" w:rsidR="00272EDF" w:rsidRDefault="003644FC">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r>
              <w:rPr>
                <w:rFonts w:ascii="Arial" w:eastAsia="Arial" w:hAnsi="Arial" w:cs="Arial"/>
                <w:b/>
                <w:color w:val="000000"/>
                <w:sz w:val="24"/>
                <w:szCs w:val="24"/>
              </w:rPr>
              <w:t>Details of Issuance</w:t>
            </w:r>
          </w:p>
        </w:tc>
        <w:tc>
          <w:tcPr>
            <w:tcW w:w="2345" w:type="dxa"/>
          </w:tcPr>
          <w:p w14:paraId="5DE5C769" w14:textId="77777777" w:rsidR="00272EDF" w:rsidRDefault="003644FC">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Use of </w:t>
            </w:r>
            <w:proofErr w:type="gramStart"/>
            <w:r>
              <w:rPr>
                <w:rFonts w:ascii="Arial" w:eastAsia="Arial" w:hAnsi="Arial" w:cs="Arial"/>
                <w:b/>
                <w:color w:val="000000"/>
                <w:sz w:val="24"/>
                <w:szCs w:val="24"/>
              </w:rPr>
              <w:t>Proceeds</w:t>
            </w:r>
            <w:r>
              <w:rPr>
                <w:rFonts w:ascii="Arial" w:eastAsia="Arial" w:hAnsi="Arial" w:cs="Arial"/>
                <w:b/>
                <w:color w:val="000000"/>
                <w:sz w:val="24"/>
                <w:szCs w:val="24"/>
                <w:vertAlign w:val="superscript"/>
              </w:rPr>
              <w:t>(</w:t>
            </w:r>
            <w:proofErr w:type="gramEnd"/>
            <w:r>
              <w:rPr>
                <w:rFonts w:ascii="Arial" w:eastAsia="Arial" w:hAnsi="Arial" w:cs="Arial"/>
                <w:b/>
                <w:color w:val="000000"/>
                <w:sz w:val="24"/>
                <w:szCs w:val="24"/>
                <w:vertAlign w:val="superscript"/>
              </w:rPr>
              <w:t>1)</w:t>
            </w:r>
          </w:p>
        </w:tc>
      </w:tr>
      <w:tr w:rsidR="00272EDF" w14:paraId="1597F14C" w14:textId="77777777" w:rsidTr="008978FB">
        <w:tc>
          <w:tcPr>
            <w:tcW w:w="1696" w:type="dxa"/>
          </w:tcPr>
          <w:p w14:paraId="08AAF95C" w14:textId="0330C1DE" w:rsidR="00272EDF" w:rsidRDefault="00A72FE9" w:rsidP="008978FB">
            <w:pPr>
              <w:pBdr>
                <w:top w:val="nil"/>
                <w:left w:val="nil"/>
                <w:bottom w:val="nil"/>
                <w:right w:val="nil"/>
                <w:between w:val="nil"/>
              </w:pBdr>
              <w:tabs>
                <w:tab w:val="left" w:pos="360"/>
              </w:tabs>
              <w:spacing w:line="280" w:lineRule="auto"/>
              <w:rPr>
                <w:rFonts w:ascii="Arial" w:eastAsia="Arial" w:hAnsi="Arial" w:cs="Arial"/>
                <w:color w:val="000000"/>
                <w:sz w:val="24"/>
                <w:szCs w:val="24"/>
              </w:rPr>
            </w:pPr>
            <w:r>
              <w:rPr>
                <w:rFonts w:ascii="Arial" w:eastAsia="Arial" w:hAnsi="Arial" w:cs="Arial"/>
                <w:color w:val="000000"/>
                <w:sz w:val="24"/>
                <w:szCs w:val="24"/>
              </w:rPr>
              <w:t>RSUs</w:t>
            </w:r>
          </w:p>
        </w:tc>
        <w:tc>
          <w:tcPr>
            <w:tcW w:w="1276" w:type="dxa"/>
          </w:tcPr>
          <w:p w14:paraId="222D023C" w14:textId="201E42F4" w:rsidR="00272EDF" w:rsidRDefault="00A72FE9">
            <w:pPr>
              <w:pBdr>
                <w:top w:val="nil"/>
                <w:left w:val="nil"/>
                <w:bottom w:val="nil"/>
                <w:right w:val="nil"/>
                <w:between w:val="nil"/>
              </w:pBdr>
              <w:tabs>
                <w:tab w:val="left" w:pos="360"/>
              </w:tabs>
              <w:spacing w:line="280" w:lineRule="auto"/>
              <w:jc w:val="both"/>
              <w:rPr>
                <w:rFonts w:ascii="Arial" w:eastAsia="Arial" w:hAnsi="Arial" w:cs="Arial"/>
                <w:color w:val="000000"/>
                <w:sz w:val="24"/>
                <w:szCs w:val="24"/>
              </w:rPr>
            </w:pPr>
            <w:r>
              <w:rPr>
                <w:rFonts w:ascii="Arial" w:eastAsia="Arial" w:hAnsi="Arial" w:cs="Arial"/>
                <w:color w:val="000000"/>
                <w:sz w:val="24"/>
                <w:szCs w:val="24"/>
              </w:rPr>
              <w:t>399,448</w:t>
            </w:r>
          </w:p>
        </w:tc>
        <w:tc>
          <w:tcPr>
            <w:tcW w:w="4033" w:type="dxa"/>
          </w:tcPr>
          <w:p w14:paraId="33BB7A09" w14:textId="435FBFFF" w:rsidR="00272EDF" w:rsidRDefault="00A72FE9">
            <w:pPr>
              <w:pBdr>
                <w:top w:val="nil"/>
                <w:left w:val="nil"/>
                <w:bottom w:val="nil"/>
                <w:right w:val="nil"/>
                <w:between w:val="nil"/>
              </w:pBdr>
              <w:tabs>
                <w:tab w:val="left" w:pos="360"/>
              </w:tabs>
              <w:spacing w:line="280" w:lineRule="auto"/>
              <w:jc w:val="both"/>
              <w:rPr>
                <w:rFonts w:ascii="Arial" w:eastAsia="Arial" w:hAnsi="Arial" w:cs="Arial"/>
                <w:color w:val="000000"/>
                <w:sz w:val="24"/>
                <w:szCs w:val="24"/>
              </w:rPr>
            </w:pPr>
            <w:r>
              <w:rPr>
                <w:rFonts w:ascii="Arial" w:eastAsia="Arial" w:hAnsi="Arial" w:cs="Arial"/>
                <w:color w:val="000000"/>
                <w:sz w:val="24"/>
                <w:szCs w:val="24"/>
              </w:rPr>
              <w:t xml:space="preserve">RSUs issued on November 1, </w:t>
            </w:r>
            <w:proofErr w:type="gramStart"/>
            <w:r>
              <w:rPr>
                <w:rFonts w:ascii="Arial" w:eastAsia="Arial" w:hAnsi="Arial" w:cs="Arial"/>
                <w:color w:val="000000"/>
                <w:sz w:val="24"/>
                <w:szCs w:val="24"/>
              </w:rPr>
              <w:t>2022</w:t>
            </w:r>
            <w:proofErr w:type="gramEnd"/>
            <w:r>
              <w:rPr>
                <w:rFonts w:ascii="Arial" w:eastAsia="Arial" w:hAnsi="Arial" w:cs="Arial"/>
                <w:color w:val="000000"/>
                <w:sz w:val="24"/>
                <w:szCs w:val="24"/>
              </w:rPr>
              <w:t xml:space="preserve"> with an aggregate grant date fair value of C$168,288 </w:t>
            </w:r>
          </w:p>
        </w:tc>
        <w:tc>
          <w:tcPr>
            <w:tcW w:w="2345" w:type="dxa"/>
          </w:tcPr>
          <w:p w14:paraId="3A4574A0" w14:textId="037AC0AE" w:rsidR="00272EDF" w:rsidRDefault="00050BDD">
            <w:pPr>
              <w:pBdr>
                <w:top w:val="nil"/>
                <w:left w:val="nil"/>
                <w:bottom w:val="nil"/>
                <w:right w:val="nil"/>
                <w:between w:val="nil"/>
              </w:pBdr>
              <w:tabs>
                <w:tab w:val="left" w:pos="360"/>
              </w:tabs>
              <w:spacing w:line="280" w:lineRule="auto"/>
              <w:jc w:val="both"/>
              <w:rPr>
                <w:rFonts w:ascii="Arial" w:eastAsia="Arial" w:hAnsi="Arial" w:cs="Arial"/>
                <w:color w:val="000000"/>
                <w:sz w:val="24"/>
                <w:szCs w:val="24"/>
              </w:rPr>
            </w:pPr>
            <w:r>
              <w:rPr>
                <w:rFonts w:ascii="Arial" w:eastAsia="Arial" w:hAnsi="Arial" w:cs="Arial"/>
                <w:color w:val="000000"/>
                <w:sz w:val="24"/>
                <w:szCs w:val="24"/>
              </w:rPr>
              <w:t>N/A</w:t>
            </w:r>
          </w:p>
        </w:tc>
      </w:tr>
      <w:tr w:rsidR="008978FB" w14:paraId="0E1C4CEA" w14:textId="77777777" w:rsidTr="008978FB">
        <w:tc>
          <w:tcPr>
            <w:tcW w:w="1696" w:type="dxa"/>
          </w:tcPr>
          <w:p w14:paraId="281A144B" w14:textId="723596EA" w:rsidR="008978FB" w:rsidRDefault="00A72FE9">
            <w:pPr>
              <w:pBdr>
                <w:top w:val="nil"/>
                <w:left w:val="nil"/>
                <w:bottom w:val="nil"/>
                <w:right w:val="nil"/>
                <w:between w:val="nil"/>
              </w:pBdr>
              <w:tabs>
                <w:tab w:val="left" w:pos="360"/>
              </w:tabs>
              <w:spacing w:line="280" w:lineRule="auto"/>
              <w:jc w:val="both"/>
              <w:rPr>
                <w:rFonts w:ascii="Arial" w:eastAsia="Arial" w:hAnsi="Arial" w:cs="Arial"/>
                <w:color w:val="000000"/>
                <w:sz w:val="24"/>
                <w:szCs w:val="24"/>
              </w:rPr>
            </w:pPr>
            <w:r>
              <w:rPr>
                <w:rFonts w:ascii="Arial" w:eastAsia="Arial" w:hAnsi="Arial" w:cs="Arial"/>
                <w:color w:val="000000"/>
                <w:sz w:val="24"/>
                <w:szCs w:val="24"/>
              </w:rPr>
              <w:t>Options</w:t>
            </w:r>
          </w:p>
        </w:tc>
        <w:tc>
          <w:tcPr>
            <w:tcW w:w="1276" w:type="dxa"/>
          </w:tcPr>
          <w:p w14:paraId="0B894D01" w14:textId="1A63B551" w:rsidR="008978FB" w:rsidRDefault="00A72FE9">
            <w:pPr>
              <w:pBdr>
                <w:top w:val="nil"/>
                <w:left w:val="nil"/>
                <w:bottom w:val="nil"/>
                <w:right w:val="nil"/>
                <w:between w:val="nil"/>
              </w:pBdr>
              <w:tabs>
                <w:tab w:val="left" w:pos="360"/>
              </w:tabs>
              <w:spacing w:line="280" w:lineRule="auto"/>
              <w:jc w:val="both"/>
              <w:rPr>
                <w:rFonts w:ascii="Arial" w:eastAsia="Arial" w:hAnsi="Arial" w:cs="Arial"/>
                <w:color w:val="000000"/>
                <w:sz w:val="24"/>
                <w:szCs w:val="24"/>
              </w:rPr>
            </w:pPr>
            <w:r>
              <w:rPr>
                <w:rFonts w:ascii="Arial" w:eastAsia="Arial" w:hAnsi="Arial" w:cs="Arial"/>
                <w:color w:val="000000"/>
                <w:sz w:val="24"/>
                <w:szCs w:val="24"/>
              </w:rPr>
              <w:t>300,000</w:t>
            </w:r>
          </w:p>
        </w:tc>
        <w:tc>
          <w:tcPr>
            <w:tcW w:w="4033" w:type="dxa"/>
          </w:tcPr>
          <w:p w14:paraId="2D5BC4FB" w14:textId="7FFE7F76" w:rsidR="008978FB" w:rsidRDefault="00A72FE9">
            <w:pPr>
              <w:pBdr>
                <w:top w:val="nil"/>
                <w:left w:val="nil"/>
                <w:bottom w:val="nil"/>
                <w:right w:val="nil"/>
                <w:between w:val="nil"/>
              </w:pBdr>
              <w:tabs>
                <w:tab w:val="left" w:pos="360"/>
              </w:tabs>
              <w:spacing w:line="280" w:lineRule="auto"/>
              <w:jc w:val="both"/>
              <w:rPr>
                <w:rFonts w:ascii="Arial" w:eastAsia="Arial" w:hAnsi="Arial" w:cs="Arial"/>
                <w:color w:val="000000"/>
                <w:sz w:val="24"/>
                <w:szCs w:val="24"/>
              </w:rPr>
            </w:pPr>
            <w:r>
              <w:rPr>
                <w:rFonts w:ascii="Arial" w:eastAsia="Arial" w:hAnsi="Arial" w:cs="Arial"/>
                <w:color w:val="000000"/>
                <w:sz w:val="24"/>
                <w:szCs w:val="24"/>
              </w:rPr>
              <w:t xml:space="preserve">Employee option issuance on November 1, </w:t>
            </w:r>
            <w:proofErr w:type="gramStart"/>
            <w:r>
              <w:rPr>
                <w:rFonts w:ascii="Arial" w:eastAsia="Arial" w:hAnsi="Arial" w:cs="Arial"/>
                <w:color w:val="000000"/>
                <w:sz w:val="24"/>
                <w:szCs w:val="24"/>
              </w:rPr>
              <w:t>2022</w:t>
            </w:r>
            <w:proofErr w:type="gramEnd"/>
            <w:r>
              <w:rPr>
                <w:rFonts w:ascii="Arial" w:eastAsia="Arial" w:hAnsi="Arial" w:cs="Arial"/>
                <w:color w:val="000000"/>
                <w:sz w:val="24"/>
                <w:szCs w:val="24"/>
              </w:rPr>
              <w:t xml:space="preserve"> with exercise price of $0.43 per share</w:t>
            </w:r>
          </w:p>
        </w:tc>
        <w:tc>
          <w:tcPr>
            <w:tcW w:w="2345" w:type="dxa"/>
          </w:tcPr>
          <w:p w14:paraId="34A08BB4" w14:textId="7C4FAB5B" w:rsidR="008978FB" w:rsidRDefault="00A72FE9">
            <w:pPr>
              <w:pBdr>
                <w:top w:val="nil"/>
                <w:left w:val="nil"/>
                <w:bottom w:val="nil"/>
                <w:right w:val="nil"/>
                <w:between w:val="nil"/>
              </w:pBdr>
              <w:tabs>
                <w:tab w:val="left" w:pos="360"/>
              </w:tabs>
              <w:spacing w:line="280" w:lineRule="auto"/>
              <w:jc w:val="both"/>
              <w:rPr>
                <w:rFonts w:ascii="Arial" w:eastAsia="Arial" w:hAnsi="Arial" w:cs="Arial"/>
                <w:color w:val="000000"/>
                <w:sz w:val="24"/>
                <w:szCs w:val="24"/>
              </w:rPr>
            </w:pPr>
            <w:r>
              <w:rPr>
                <w:rFonts w:ascii="Arial" w:eastAsia="Arial" w:hAnsi="Arial" w:cs="Arial"/>
                <w:color w:val="000000"/>
                <w:sz w:val="24"/>
                <w:szCs w:val="24"/>
              </w:rPr>
              <w:t>N/A</w:t>
            </w:r>
          </w:p>
        </w:tc>
      </w:tr>
    </w:tbl>
    <w:p w14:paraId="0110BBEB" w14:textId="77777777" w:rsidR="00272EDF" w:rsidRDefault="003644FC">
      <w:pPr>
        <w:numPr>
          <w:ilvl w:val="0"/>
          <w:numId w:val="1"/>
        </w:numPr>
        <w:pBdr>
          <w:top w:val="nil"/>
          <w:left w:val="nil"/>
          <w:bottom w:val="nil"/>
          <w:right w:val="nil"/>
          <w:between w:val="nil"/>
        </w:pBdr>
        <w:tabs>
          <w:tab w:val="left" w:pos="360"/>
        </w:tabs>
        <w:spacing w:before="120"/>
        <w:jc w:val="both"/>
        <w:rPr>
          <w:rFonts w:ascii="Arial" w:eastAsia="Arial" w:hAnsi="Arial" w:cs="Arial"/>
          <w:i/>
          <w:color w:val="000000"/>
          <w:sz w:val="24"/>
          <w:szCs w:val="24"/>
        </w:rPr>
      </w:pPr>
      <w:r>
        <w:rPr>
          <w:rFonts w:ascii="Arial" w:eastAsia="Arial" w:hAnsi="Arial" w:cs="Arial"/>
          <w:i/>
          <w:color w:val="000000"/>
          <w:sz w:val="24"/>
          <w:szCs w:val="24"/>
        </w:rPr>
        <w:t>State aggregate proceeds and intended allocation of proceeds</w:t>
      </w:r>
      <w:bookmarkEnd w:id="3"/>
      <w:r>
        <w:rPr>
          <w:rFonts w:ascii="Arial" w:eastAsia="Arial" w:hAnsi="Arial" w:cs="Arial"/>
          <w:i/>
          <w:color w:val="000000"/>
          <w:sz w:val="24"/>
          <w:szCs w:val="24"/>
        </w:rPr>
        <w:t>.</w:t>
      </w:r>
    </w:p>
    <w:bookmarkEnd w:id="4"/>
    <w:p w14:paraId="7A05C889" w14:textId="77777777" w:rsidR="00272EDF" w:rsidRDefault="00272EDF">
      <w:pPr>
        <w:pBdr>
          <w:top w:val="nil"/>
          <w:left w:val="nil"/>
          <w:bottom w:val="nil"/>
          <w:right w:val="nil"/>
          <w:between w:val="nil"/>
        </w:pBdr>
        <w:tabs>
          <w:tab w:val="left" w:pos="360"/>
        </w:tabs>
        <w:spacing w:before="120"/>
        <w:ind w:left="720"/>
        <w:jc w:val="both"/>
        <w:rPr>
          <w:rFonts w:ascii="Arial" w:eastAsia="Arial" w:hAnsi="Arial" w:cs="Arial"/>
          <w:i/>
          <w:color w:val="000000"/>
          <w:sz w:val="24"/>
          <w:szCs w:val="24"/>
        </w:rPr>
      </w:pPr>
    </w:p>
    <w:p w14:paraId="4AEB2961" w14:textId="77777777" w:rsidR="00272EDF" w:rsidRDefault="003644FC">
      <w:pPr>
        <w:keepNext/>
        <w:keepLines/>
        <w:numPr>
          <w:ilvl w:val="0"/>
          <w:numId w:val="4"/>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lastRenderedPageBreak/>
        <w:t>Provide details of any loans to or by Related Persons.</w:t>
      </w:r>
    </w:p>
    <w:p w14:paraId="3A9F4C20" w14:textId="77777777" w:rsidR="00272EDF" w:rsidRDefault="00272EDF">
      <w:pPr>
        <w:keepNext/>
        <w:keepLines/>
        <w:pBdr>
          <w:top w:val="nil"/>
          <w:left w:val="nil"/>
          <w:bottom w:val="nil"/>
          <w:right w:val="nil"/>
          <w:between w:val="nil"/>
        </w:pBdr>
        <w:spacing w:before="120"/>
        <w:ind w:left="1080" w:hanging="1080"/>
        <w:jc w:val="both"/>
        <w:rPr>
          <w:rFonts w:ascii="Arial" w:eastAsia="Arial" w:hAnsi="Arial" w:cs="Arial"/>
          <w:color w:val="000000"/>
          <w:sz w:val="24"/>
          <w:szCs w:val="24"/>
        </w:rPr>
      </w:pPr>
    </w:p>
    <w:p w14:paraId="0C3831F5" w14:textId="77777777" w:rsidR="00272EDF" w:rsidRPr="00050BDD" w:rsidRDefault="003644FC" w:rsidP="00050BDD">
      <w:pPr>
        <w:pStyle w:val="ListParagraph"/>
        <w:keepNext/>
        <w:keepLines/>
        <w:numPr>
          <w:ilvl w:val="0"/>
          <w:numId w:val="18"/>
        </w:numPr>
        <w:pBdr>
          <w:top w:val="nil"/>
          <w:left w:val="nil"/>
          <w:bottom w:val="nil"/>
          <w:right w:val="nil"/>
          <w:between w:val="nil"/>
        </w:pBdr>
        <w:spacing w:before="120"/>
        <w:jc w:val="both"/>
        <w:rPr>
          <w:rFonts w:ascii="Arial" w:eastAsia="Arial" w:hAnsi="Arial" w:cs="Arial"/>
          <w:color w:val="000000"/>
          <w:sz w:val="24"/>
          <w:szCs w:val="24"/>
        </w:rPr>
      </w:pPr>
      <w:r w:rsidRPr="00050BDD">
        <w:rPr>
          <w:rFonts w:ascii="Arial" w:eastAsia="Arial" w:hAnsi="Arial" w:cs="Arial"/>
          <w:color w:val="000000"/>
          <w:sz w:val="24"/>
          <w:szCs w:val="24"/>
        </w:rPr>
        <w:t>N/A</w:t>
      </w:r>
    </w:p>
    <w:p w14:paraId="62E13EAC" w14:textId="77777777" w:rsidR="00272EDF" w:rsidRDefault="00272EDF" w:rsidP="00292B7D">
      <w:pPr>
        <w:keepNext/>
        <w:keepLines/>
        <w:pBdr>
          <w:top w:val="nil"/>
          <w:left w:val="nil"/>
          <w:bottom w:val="nil"/>
          <w:right w:val="nil"/>
          <w:between w:val="nil"/>
        </w:pBdr>
        <w:spacing w:before="120"/>
        <w:jc w:val="both"/>
        <w:rPr>
          <w:rFonts w:ascii="Arial" w:eastAsia="Arial" w:hAnsi="Arial" w:cs="Arial"/>
          <w:color w:val="000000"/>
          <w:sz w:val="24"/>
          <w:szCs w:val="24"/>
        </w:rPr>
      </w:pPr>
    </w:p>
    <w:p w14:paraId="762E2EF0" w14:textId="77777777" w:rsidR="00272EDF" w:rsidRDefault="003644FC">
      <w:pPr>
        <w:keepNext/>
        <w:keepLines/>
        <w:numPr>
          <w:ilvl w:val="0"/>
          <w:numId w:val="4"/>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Provide details of any changes in directors, </w:t>
      </w:r>
      <w:proofErr w:type="gramStart"/>
      <w:r>
        <w:rPr>
          <w:rFonts w:ascii="Arial" w:eastAsia="Arial" w:hAnsi="Arial" w:cs="Arial"/>
          <w:color w:val="000000"/>
          <w:sz w:val="24"/>
          <w:szCs w:val="24"/>
        </w:rPr>
        <w:t>officers</w:t>
      </w:r>
      <w:proofErr w:type="gramEnd"/>
      <w:r>
        <w:rPr>
          <w:rFonts w:ascii="Arial" w:eastAsia="Arial" w:hAnsi="Arial" w:cs="Arial"/>
          <w:color w:val="000000"/>
          <w:sz w:val="24"/>
          <w:szCs w:val="24"/>
        </w:rPr>
        <w:t xml:space="preserve"> or committee members.</w:t>
      </w:r>
    </w:p>
    <w:p w14:paraId="64CBA0F3" w14:textId="77777777" w:rsidR="00272EDF" w:rsidRDefault="00272EDF">
      <w:pPr>
        <w:keepNext/>
        <w:keepLines/>
        <w:pBdr>
          <w:top w:val="nil"/>
          <w:left w:val="nil"/>
          <w:bottom w:val="nil"/>
          <w:right w:val="nil"/>
          <w:between w:val="nil"/>
        </w:pBdr>
        <w:spacing w:before="120"/>
        <w:ind w:left="1080" w:hanging="1080"/>
        <w:jc w:val="both"/>
        <w:rPr>
          <w:rFonts w:ascii="Arial" w:eastAsia="Arial" w:hAnsi="Arial" w:cs="Arial"/>
          <w:color w:val="000000"/>
          <w:sz w:val="24"/>
          <w:szCs w:val="24"/>
        </w:rPr>
      </w:pPr>
    </w:p>
    <w:p w14:paraId="2E0972E9" w14:textId="329BB530" w:rsidR="007B278F" w:rsidRPr="00050BDD" w:rsidRDefault="003F6661" w:rsidP="00050BDD">
      <w:pPr>
        <w:pStyle w:val="ListParagraph"/>
        <w:numPr>
          <w:ilvl w:val="0"/>
          <w:numId w:val="18"/>
        </w:numPr>
        <w:pBdr>
          <w:top w:val="nil"/>
          <w:left w:val="nil"/>
          <w:bottom w:val="nil"/>
          <w:right w:val="nil"/>
          <w:between w:val="nil"/>
        </w:pBdr>
        <w:spacing w:before="120"/>
        <w:rPr>
          <w:rFonts w:ascii="Arial" w:eastAsia="Arial" w:hAnsi="Arial" w:cs="Arial"/>
          <w:color w:val="000000"/>
          <w:sz w:val="24"/>
          <w:szCs w:val="24"/>
        </w:rPr>
      </w:pPr>
      <w:r>
        <w:rPr>
          <w:rFonts w:ascii="Arial" w:eastAsia="Arial" w:hAnsi="Arial" w:cs="Arial"/>
          <w:color w:val="000000"/>
          <w:sz w:val="24"/>
          <w:szCs w:val="24"/>
        </w:rPr>
        <w:t>N/A</w:t>
      </w:r>
    </w:p>
    <w:p w14:paraId="59DA4B16" w14:textId="77777777" w:rsidR="00A97298" w:rsidRPr="00A97298" w:rsidRDefault="00A97298" w:rsidP="00A97298">
      <w:pPr>
        <w:pBdr>
          <w:top w:val="nil"/>
          <w:left w:val="nil"/>
          <w:bottom w:val="nil"/>
          <w:right w:val="nil"/>
          <w:between w:val="nil"/>
        </w:pBdr>
        <w:spacing w:before="120"/>
        <w:ind w:left="720"/>
        <w:rPr>
          <w:rFonts w:ascii="Arial" w:eastAsia="Arial" w:hAnsi="Arial" w:cs="Arial"/>
          <w:color w:val="000000"/>
          <w:sz w:val="24"/>
          <w:szCs w:val="24"/>
        </w:rPr>
      </w:pPr>
    </w:p>
    <w:p w14:paraId="51D426C9" w14:textId="63816647" w:rsidR="00272EDF" w:rsidRDefault="003644FC">
      <w:pPr>
        <w:numPr>
          <w:ilvl w:val="0"/>
          <w:numId w:val="4"/>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763D9110" w14:textId="32F2FE1C" w:rsidR="002D3BAE" w:rsidRDefault="002D3BAE" w:rsidP="002D3BAE">
      <w:pPr>
        <w:pBdr>
          <w:top w:val="nil"/>
          <w:left w:val="nil"/>
          <w:bottom w:val="nil"/>
          <w:right w:val="nil"/>
          <w:between w:val="nil"/>
        </w:pBdr>
        <w:spacing w:before="120"/>
        <w:ind w:left="720"/>
        <w:jc w:val="both"/>
        <w:rPr>
          <w:rFonts w:ascii="Arial" w:eastAsia="Arial" w:hAnsi="Arial" w:cs="Arial"/>
          <w:color w:val="000000"/>
          <w:sz w:val="24"/>
          <w:szCs w:val="24"/>
        </w:rPr>
      </w:pPr>
    </w:p>
    <w:p w14:paraId="2F0B5635" w14:textId="76F8250B" w:rsidR="002D3BAE" w:rsidRDefault="00581C9A" w:rsidP="00382C97">
      <w:pPr>
        <w:pStyle w:val="ListParagraph"/>
        <w:numPr>
          <w:ilvl w:val="0"/>
          <w:numId w:val="18"/>
        </w:numPr>
        <w:pBdr>
          <w:top w:val="nil"/>
          <w:left w:val="nil"/>
          <w:bottom w:val="nil"/>
          <w:right w:val="nil"/>
          <w:between w:val="nil"/>
        </w:pBdr>
        <w:spacing w:before="120"/>
        <w:jc w:val="both"/>
        <w:rPr>
          <w:rFonts w:ascii="Arial" w:eastAsia="Arial" w:hAnsi="Arial" w:cs="Arial"/>
          <w:color w:val="000000"/>
          <w:sz w:val="24"/>
          <w:szCs w:val="24"/>
        </w:rPr>
      </w:pPr>
      <w:r w:rsidRPr="00581C9A">
        <w:rPr>
          <w:rFonts w:ascii="Arial" w:eastAsia="Arial" w:hAnsi="Arial" w:cs="Arial"/>
          <w:color w:val="000000"/>
          <w:sz w:val="24"/>
          <w:szCs w:val="24"/>
        </w:rPr>
        <w:t xml:space="preserve">On November 21, 2022, the </w:t>
      </w:r>
      <w:r>
        <w:rPr>
          <w:rFonts w:ascii="Arial" w:eastAsia="Arial" w:hAnsi="Arial" w:cs="Arial"/>
          <w:color w:val="000000"/>
          <w:sz w:val="24"/>
          <w:szCs w:val="24"/>
        </w:rPr>
        <w:t>CCB</w:t>
      </w:r>
      <w:r w:rsidRPr="00581C9A">
        <w:rPr>
          <w:rFonts w:ascii="Arial" w:eastAsia="Arial" w:hAnsi="Arial" w:cs="Arial"/>
          <w:color w:val="000000"/>
          <w:sz w:val="24"/>
          <w:szCs w:val="24"/>
        </w:rPr>
        <w:t xml:space="preserve"> approved provisional regulations for the New York adult-use</w:t>
      </w:r>
      <w:r w:rsidRPr="00581C9A">
        <w:rPr>
          <w:rFonts w:ascii="Arial" w:eastAsia="Arial" w:hAnsi="Arial" w:cs="Arial"/>
          <w:color w:val="000000"/>
          <w:sz w:val="24"/>
          <w:szCs w:val="24"/>
        </w:rPr>
        <w:t xml:space="preserve"> </w:t>
      </w:r>
      <w:r w:rsidRPr="00581C9A">
        <w:rPr>
          <w:rFonts w:ascii="Arial" w:eastAsia="Arial" w:hAnsi="Arial" w:cs="Arial"/>
          <w:color w:val="000000"/>
          <w:sz w:val="24"/>
          <w:szCs w:val="24"/>
        </w:rPr>
        <w:t>cannabis market. The regulations are subject to a 60-day public comment period (and potentially additional comment</w:t>
      </w:r>
      <w:r w:rsidRPr="00581C9A">
        <w:rPr>
          <w:rFonts w:ascii="Arial" w:eastAsia="Arial" w:hAnsi="Arial" w:cs="Arial"/>
          <w:color w:val="000000"/>
          <w:sz w:val="24"/>
          <w:szCs w:val="24"/>
        </w:rPr>
        <w:t xml:space="preserve"> </w:t>
      </w:r>
      <w:r w:rsidRPr="00581C9A">
        <w:rPr>
          <w:rFonts w:ascii="Arial" w:eastAsia="Arial" w:hAnsi="Arial" w:cs="Arial"/>
          <w:color w:val="000000"/>
          <w:sz w:val="24"/>
          <w:szCs w:val="24"/>
        </w:rPr>
        <w:t xml:space="preserve">periods prior to finalization), following which it is expected that the </w:t>
      </w:r>
      <w:r>
        <w:rPr>
          <w:rFonts w:ascii="Arial" w:eastAsia="Arial" w:hAnsi="Arial" w:cs="Arial"/>
          <w:color w:val="000000"/>
          <w:sz w:val="24"/>
          <w:szCs w:val="24"/>
        </w:rPr>
        <w:t>CCB</w:t>
      </w:r>
      <w:r w:rsidRPr="00581C9A">
        <w:rPr>
          <w:rFonts w:ascii="Arial" w:eastAsia="Arial" w:hAnsi="Arial" w:cs="Arial"/>
          <w:color w:val="000000"/>
          <w:sz w:val="24"/>
          <w:szCs w:val="24"/>
        </w:rPr>
        <w:t xml:space="preserve"> will formally finalize the</w:t>
      </w:r>
      <w:r w:rsidRPr="00581C9A">
        <w:rPr>
          <w:rFonts w:ascii="Arial" w:eastAsia="Arial" w:hAnsi="Arial" w:cs="Arial"/>
          <w:color w:val="000000"/>
          <w:sz w:val="24"/>
          <w:szCs w:val="24"/>
        </w:rPr>
        <w:t xml:space="preserve"> </w:t>
      </w:r>
      <w:r w:rsidRPr="00581C9A">
        <w:rPr>
          <w:rFonts w:ascii="Arial" w:eastAsia="Arial" w:hAnsi="Arial" w:cs="Arial"/>
          <w:color w:val="000000"/>
          <w:sz w:val="24"/>
          <w:szCs w:val="24"/>
        </w:rPr>
        <w:t xml:space="preserve">adult-use parameters applicable to </w:t>
      </w:r>
      <w:r w:rsidRPr="00581C9A">
        <w:rPr>
          <w:rFonts w:ascii="Arial" w:eastAsia="Arial" w:hAnsi="Arial" w:cs="Arial"/>
          <w:color w:val="000000"/>
          <w:sz w:val="24"/>
          <w:szCs w:val="24"/>
        </w:rPr>
        <w:t>Registered Organizations</w:t>
      </w:r>
      <w:r w:rsidR="00162851">
        <w:rPr>
          <w:rFonts w:ascii="Arial" w:eastAsia="Arial" w:hAnsi="Arial" w:cs="Arial"/>
          <w:color w:val="000000"/>
          <w:sz w:val="24"/>
          <w:szCs w:val="24"/>
        </w:rPr>
        <w:t xml:space="preserve"> such as</w:t>
      </w:r>
      <w:r w:rsidRPr="00581C9A">
        <w:rPr>
          <w:rFonts w:ascii="Arial" w:eastAsia="Arial" w:hAnsi="Arial" w:cs="Arial"/>
          <w:color w:val="000000"/>
          <w:sz w:val="24"/>
          <w:szCs w:val="24"/>
        </w:rPr>
        <w:t xml:space="preserve"> Etain, LLC</w:t>
      </w:r>
      <w:r w:rsidRPr="00581C9A">
        <w:rPr>
          <w:rFonts w:ascii="Arial" w:eastAsia="Arial" w:hAnsi="Arial" w:cs="Arial"/>
          <w:color w:val="000000"/>
          <w:sz w:val="24"/>
          <w:szCs w:val="24"/>
        </w:rPr>
        <w:t xml:space="preserve">. </w:t>
      </w:r>
    </w:p>
    <w:p w14:paraId="28B2066B" w14:textId="50ACEE3E" w:rsidR="00162851" w:rsidRDefault="00162851" w:rsidP="00162851">
      <w:pPr>
        <w:pStyle w:val="ListParagraph"/>
        <w:pBdr>
          <w:top w:val="nil"/>
          <w:left w:val="nil"/>
          <w:bottom w:val="nil"/>
          <w:right w:val="nil"/>
          <w:between w:val="nil"/>
        </w:pBdr>
        <w:spacing w:before="120"/>
        <w:ind w:left="1429"/>
        <w:jc w:val="both"/>
        <w:rPr>
          <w:rFonts w:ascii="Arial" w:eastAsia="Arial" w:hAnsi="Arial" w:cs="Arial"/>
          <w:color w:val="000000"/>
          <w:sz w:val="24"/>
          <w:szCs w:val="24"/>
        </w:rPr>
      </w:pPr>
    </w:p>
    <w:p w14:paraId="153CA348" w14:textId="7F7EA1E1" w:rsidR="00162851" w:rsidRDefault="00162851" w:rsidP="00162851">
      <w:pPr>
        <w:pStyle w:val="ListParagraph"/>
        <w:pBdr>
          <w:top w:val="nil"/>
          <w:left w:val="nil"/>
          <w:bottom w:val="nil"/>
          <w:right w:val="nil"/>
          <w:between w:val="nil"/>
        </w:pBdr>
        <w:spacing w:before="120"/>
        <w:ind w:left="1429"/>
        <w:jc w:val="both"/>
        <w:rPr>
          <w:rFonts w:ascii="Arial" w:eastAsia="Arial" w:hAnsi="Arial" w:cs="Arial"/>
          <w:color w:val="000000"/>
          <w:sz w:val="24"/>
          <w:szCs w:val="24"/>
        </w:rPr>
      </w:pPr>
      <w:r>
        <w:rPr>
          <w:rFonts w:ascii="Arial" w:eastAsia="Arial" w:hAnsi="Arial" w:cs="Arial"/>
          <w:color w:val="000000"/>
          <w:sz w:val="24"/>
          <w:szCs w:val="24"/>
        </w:rPr>
        <w:br w:type="page"/>
      </w:r>
    </w:p>
    <w:p w14:paraId="18CF180B" w14:textId="77777777" w:rsidR="00581C9A" w:rsidRPr="00581C9A" w:rsidRDefault="00581C9A" w:rsidP="00581C9A">
      <w:pPr>
        <w:pStyle w:val="ListParagraph"/>
        <w:pBdr>
          <w:top w:val="nil"/>
          <w:left w:val="nil"/>
          <w:bottom w:val="nil"/>
          <w:right w:val="nil"/>
          <w:between w:val="nil"/>
        </w:pBdr>
        <w:spacing w:before="120"/>
        <w:ind w:left="1429"/>
        <w:jc w:val="both"/>
        <w:rPr>
          <w:rFonts w:ascii="Arial" w:eastAsia="Arial" w:hAnsi="Arial" w:cs="Arial"/>
          <w:color w:val="000000"/>
          <w:sz w:val="24"/>
          <w:szCs w:val="24"/>
        </w:rPr>
      </w:pPr>
    </w:p>
    <w:p w14:paraId="138A5F7C" w14:textId="27F76AB3" w:rsidR="00272EDF" w:rsidRDefault="003644FC">
      <w:pPr>
        <w:keepNext/>
        <w:pBdr>
          <w:top w:val="nil"/>
          <w:left w:val="nil"/>
          <w:bottom w:val="nil"/>
          <w:right w:val="nil"/>
          <w:between w:val="nil"/>
        </w:pBdr>
        <w:spacing w:before="120"/>
        <w:rPr>
          <w:rFonts w:ascii="Arial" w:eastAsia="Arial" w:hAnsi="Arial" w:cs="Arial"/>
          <w:b/>
          <w:color w:val="000000"/>
          <w:sz w:val="24"/>
          <w:szCs w:val="24"/>
        </w:rPr>
      </w:pPr>
      <w:r>
        <w:rPr>
          <w:rFonts w:ascii="Arial" w:eastAsia="Arial" w:hAnsi="Arial" w:cs="Arial"/>
          <w:b/>
          <w:color w:val="000000"/>
          <w:sz w:val="24"/>
          <w:szCs w:val="24"/>
        </w:rPr>
        <w:t>Certificate Of Compliance</w:t>
      </w:r>
    </w:p>
    <w:p w14:paraId="3E7DE047" w14:textId="77777777" w:rsidR="00272EDF" w:rsidRDefault="003644FC">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7E11E186" w14:textId="77777777" w:rsidR="00272EDF" w:rsidRDefault="003644FC">
      <w:pPr>
        <w:keepNext/>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0F05DACD" w14:textId="1724C29A" w:rsidR="00272EDF" w:rsidRDefault="003644FC">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is no material information concerning the Issuer which has not been publicly disclosed.</w:t>
      </w:r>
    </w:p>
    <w:p w14:paraId="6EA7AD88" w14:textId="77777777" w:rsidR="00272EDF" w:rsidRDefault="003644FC">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The undersigned hereby certifies to the Exchange that the Issuer </w:t>
      </w:r>
      <w:proofErr w:type="gramStart"/>
      <w:r>
        <w:rPr>
          <w:rFonts w:ascii="Arial" w:eastAsia="Arial" w:hAnsi="Arial" w:cs="Arial"/>
          <w:color w:val="000000"/>
          <w:sz w:val="24"/>
          <w:szCs w:val="24"/>
        </w:rPr>
        <w:t>is in compliance with</w:t>
      </w:r>
      <w:proofErr w:type="gramEnd"/>
      <w:r>
        <w:rPr>
          <w:rFonts w:ascii="Arial" w:eastAsia="Arial" w:hAnsi="Arial" w:cs="Arial"/>
          <w:color w:val="000000"/>
          <w:sz w:val="24"/>
          <w:szCs w:val="24"/>
        </w:rPr>
        <w:t xml:space="preserve"> the requirements of applicable securities legislation (as such term is defined in National Instrument 14-101) and all Exchange Requirements (as defined in CNSX Policy 1).</w:t>
      </w:r>
    </w:p>
    <w:p w14:paraId="31B92A0D" w14:textId="77777777" w:rsidR="00272EDF" w:rsidRDefault="003644FC">
      <w:pPr>
        <w:numPr>
          <w:ilvl w:val="0"/>
          <w:numId w:val="2"/>
        </w:numPr>
        <w:pBdr>
          <w:top w:val="nil"/>
          <w:left w:val="nil"/>
          <w:bottom w:val="nil"/>
          <w:right w:val="nil"/>
          <w:between w:val="nil"/>
        </w:pBdr>
        <w:spacing w:before="240"/>
        <w:jc w:val="both"/>
        <w:rPr>
          <w:rFonts w:ascii="Arial" w:eastAsia="Arial" w:hAnsi="Arial" w:cs="Arial"/>
          <w:color w:val="000000"/>
          <w:sz w:val="24"/>
          <w:szCs w:val="24"/>
        </w:rPr>
      </w:pPr>
      <w:proofErr w:type="gramStart"/>
      <w:r>
        <w:rPr>
          <w:rFonts w:ascii="Arial" w:eastAsia="Arial" w:hAnsi="Arial" w:cs="Arial"/>
          <w:color w:val="000000"/>
          <w:sz w:val="24"/>
          <w:szCs w:val="24"/>
        </w:rPr>
        <w:t>All of</w:t>
      </w:r>
      <w:proofErr w:type="gramEnd"/>
      <w:r>
        <w:rPr>
          <w:rFonts w:ascii="Arial" w:eastAsia="Arial" w:hAnsi="Arial" w:cs="Arial"/>
          <w:color w:val="000000"/>
          <w:sz w:val="24"/>
          <w:szCs w:val="24"/>
        </w:rPr>
        <w:t xml:space="preserve"> the information in this Form 7 Monthly Progress Report is true.</w:t>
      </w:r>
    </w:p>
    <w:p w14:paraId="278F0114" w14:textId="5F75F3FE" w:rsidR="00272EDF" w:rsidRDefault="003644FC">
      <w:pPr>
        <w:pBdr>
          <w:top w:val="nil"/>
          <w:left w:val="nil"/>
          <w:bottom w:val="nil"/>
          <w:right w:val="nil"/>
          <w:between w:val="nil"/>
        </w:pBdr>
        <w:tabs>
          <w:tab w:val="left" w:pos="4680"/>
          <w:tab w:val="left" w:pos="7200"/>
        </w:tabs>
        <w:spacing w:before="48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3F6661">
        <w:rPr>
          <w:rFonts w:ascii="Arial" w:eastAsia="Arial" w:hAnsi="Arial" w:cs="Arial"/>
          <w:sz w:val="24"/>
          <w:szCs w:val="24"/>
          <w:u w:val="single"/>
        </w:rPr>
        <w:t>December 7</w:t>
      </w:r>
      <w:r>
        <w:rPr>
          <w:rFonts w:ascii="Arial" w:eastAsia="Arial" w:hAnsi="Arial" w:cs="Arial"/>
          <w:sz w:val="24"/>
          <w:szCs w:val="24"/>
          <w:u w:val="single"/>
        </w:rPr>
        <w:t>, 202</w:t>
      </w:r>
      <w:r w:rsidR="000C00C1">
        <w:rPr>
          <w:rFonts w:ascii="Arial" w:eastAsia="Arial" w:hAnsi="Arial" w:cs="Arial"/>
          <w:sz w:val="24"/>
          <w:szCs w:val="24"/>
          <w:u w:val="single"/>
        </w:rPr>
        <w:t>2</w:t>
      </w:r>
    </w:p>
    <w:p w14:paraId="34291344" w14:textId="77777777" w:rsidR="00272EDF" w:rsidRDefault="003644FC" w:rsidP="00292B7D">
      <w:pPr>
        <w:pBdr>
          <w:top w:val="nil"/>
          <w:left w:val="nil"/>
          <w:bottom w:val="nil"/>
          <w:right w:val="nil"/>
          <w:between w:val="nil"/>
        </w:pBdr>
        <w:tabs>
          <w:tab w:val="left" w:pos="9180"/>
        </w:tabs>
        <w:spacing w:before="240"/>
        <w:ind w:left="5103" w:hanging="5103"/>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Matthew Mundy</w:t>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26D4D79E" w14:textId="237DF95E" w:rsidR="00272EDF" w:rsidRDefault="003644FC" w:rsidP="00292B7D">
      <w:pPr>
        <w:pBdr>
          <w:top w:val="nil"/>
          <w:left w:val="nil"/>
          <w:bottom w:val="nil"/>
          <w:right w:val="nil"/>
          <w:between w:val="nil"/>
        </w:pBdr>
        <w:tabs>
          <w:tab w:val="left" w:pos="9180"/>
          <w:tab w:val="left" w:pos="9360"/>
        </w:tabs>
        <w:spacing w:before="240"/>
        <w:ind w:left="5103" w:hanging="5103"/>
        <w:rPr>
          <w:rFonts w:ascii="Arial" w:eastAsia="Arial" w:hAnsi="Arial" w:cs="Arial"/>
          <w:color w:val="000000"/>
          <w:sz w:val="24"/>
          <w:szCs w:val="24"/>
        </w:rPr>
      </w:pPr>
      <w:r>
        <w:rPr>
          <w:rFonts w:ascii="Arial" w:eastAsia="Arial" w:hAnsi="Arial" w:cs="Arial"/>
          <w:color w:val="000000"/>
          <w:sz w:val="24"/>
          <w:szCs w:val="24"/>
        </w:rPr>
        <w:tab/>
      </w:r>
      <w:r w:rsidR="00292B7D" w:rsidRPr="00292B7D">
        <w:rPr>
          <w:rFonts w:ascii="Arial" w:eastAsia="Arial" w:hAnsi="Arial" w:cs="Arial"/>
          <w:color w:val="000000"/>
          <w:sz w:val="24"/>
          <w:szCs w:val="24"/>
          <w:u w:val="single"/>
        </w:rPr>
        <w:t xml:space="preserve">(signed) </w:t>
      </w:r>
      <w:r w:rsidR="00292B7D">
        <w:rPr>
          <w:rFonts w:ascii="Arial" w:eastAsia="Arial" w:hAnsi="Arial" w:cs="Arial"/>
          <w:color w:val="000000"/>
          <w:sz w:val="24"/>
          <w:szCs w:val="24"/>
          <w:u w:val="single"/>
        </w:rPr>
        <w:t>“</w:t>
      </w:r>
      <w:r w:rsidR="00292B7D" w:rsidRPr="00292B7D">
        <w:rPr>
          <w:rFonts w:ascii="Arial" w:eastAsia="Arial" w:hAnsi="Arial" w:cs="Arial"/>
          <w:i/>
          <w:iCs/>
          <w:color w:val="000000"/>
          <w:sz w:val="24"/>
          <w:szCs w:val="24"/>
          <w:u w:val="single"/>
        </w:rPr>
        <w:t>Matthew Mundy</w:t>
      </w:r>
      <w:r w:rsidR="00292B7D">
        <w:rPr>
          <w:rFonts w:ascii="Arial" w:eastAsia="Arial" w:hAnsi="Arial" w:cs="Arial"/>
          <w:i/>
          <w:iCs/>
          <w:color w:val="000000"/>
          <w:sz w:val="24"/>
          <w:szCs w:val="24"/>
          <w:u w:val="single"/>
        </w:rPr>
        <w:t>”</w:t>
      </w:r>
      <w:r>
        <w:rPr>
          <w:rFonts w:ascii="Arial" w:eastAsia="Arial" w:hAnsi="Arial" w:cs="Arial"/>
          <w:color w:val="000000"/>
          <w:sz w:val="24"/>
          <w:szCs w:val="24"/>
          <w:u w:val="single"/>
        </w:rPr>
        <w:tab/>
      </w:r>
      <w:r>
        <w:rPr>
          <w:rFonts w:ascii="Arial" w:eastAsia="Arial" w:hAnsi="Arial" w:cs="Arial"/>
          <w:color w:val="000000"/>
          <w:sz w:val="24"/>
          <w:szCs w:val="24"/>
        </w:rPr>
        <w:br/>
        <w:t>Signature</w:t>
      </w:r>
    </w:p>
    <w:p w14:paraId="2FC10504" w14:textId="77777777" w:rsidR="00292B7D" w:rsidRDefault="00292B7D" w:rsidP="00292B7D">
      <w:pPr>
        <w:pBdr>
          <w:top w:val="nil"/>
          <w:left w:val="nil"/>
          <w:bottom w:val="nil"/>
          <w:right w:val="nil"/>
          <w:between w:val="nil"/>
        </w:pBdr>
        <w:tabs>
          <w:tab w:val="left" w:pos="9180"/>
          <w:tab w:val="left" w:pos="9360"/>
        </w:tabs>
        <w:ind w:left="5103" w:hanging="5103"/>
        <w:rPr>
          <w:rFonts w:ascii="Arial" w:eastAsia="Arial" w:hAnsi="Arial" w:cs="Arial"/>
          <w:color w:val="000000"/>
          <w:sz w:val="24"/>
          <w:szCs w:val="24"/>
        </w:rPr>
      </w:pPr>
    </w:p>
    <w:p w14:paraId="4E609FEA" w14:textId="77777777" w:rsidR="00272EDF" w:rsidRDefault="003644FC" w:rsidP="00292B7D">
      <w:pPr>
        <w:pBdr>
          <w:top w:val="nil"/>
          <w:left w:val="nil"/>
          <w:bottom w:val="nil"/>
          <w:right w:val="nil"/>
          <w:between w:val="nil"/>
        </w:pBdr>
        <w:tabs>
          <w:tab w:val="left" w:pos="9180"/>
        </w:tabs>
        <w:ind w:left="5103"/>
        <w:rPr>
          <w:rFonts w:ascii="Arial" w:eastAsia="Arial" w:hAnsi="Arial" w:cs="Arial"/>
          <w:color w:val="000000"/>
          <w:sz w:val="24"/>
          <w:szCs w:val="24"/>
        </w:rPr>
      </w:pPr>
      <w:r>
        <w:rPr>
          <w:rFonts w:ascii="Arial" w:eastAsia="Arial" w:hAnsi="Arial" w:cs="Arial"/>
          <w:color w:val="000000"/>
          <w:sz w:val="24"/>
          <w:szCs w:val="24"/>
          <w:u w:val="single"/>
        </w:rPr>
        <w:t>General Counsel and Chief Strategy Officer</w:t>
      </w:r>
      <w:r>
        <w:rPr>
          <w:rFonts w:ascii="Arial" w:eastAsia="Arial" w:hAnsi="Arial" w:cs="Arial"/>
          <w:color w:val="000000"/>
          <w:sz w:val="24"/>
          <w:szCs w:val="24"/>
        </w:rPr>
        <w:br/>
        <w:t>Official Capacity</w:t>
      </w:r>
    </w:p>
    <w:p w14:paraId="6BE3B3D7" w14:textId="77777777" w:rsidR="00272EDF" w:rsidRDefault="00272EDF">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0"/>
        <w:tblW w:w="957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805"/>
        <w:gridCol w:w="2873"/>
        <w:gridCol w:w="2898"/>
      </w:tblGrid>
      <w:tr w:rsidR="00272EDF" w14:paraId="6CDC2174" w14:textId="77777777" w:rsidTr="00162851">
        <w:tc>
          <w:tcPr>
            <w:tcW w:w="3805" w:type="dxa"/>
            <w:tcBorders>
              <w:top w:val="single" w:sz="18" w:space="0" w:color="000000"/>
              <w:bottom w:val="nil"/>
              <w:right w:val="single" w:sz="18" w:space="0" w:color="000000"/>
            </w:tcBorders>
          </w:tcPr>
          <w:p w14:paraId="0AD958A9" w14:textId="363D4CA3" w:rsidR="00272EDF" w:rsidRPr="00162851" w:rsidRDefault="003644FC">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r w:rsidR="00162851">
              <w:rPr>
                <w:rFonts w:ascii="Arial" w:eastAsia="Arial" w:hAnsi="Arial" w:cs="Arial"/>
                <w:b/>
                <w:i/>
                <w:color w:val="000000"/>
                <w:sz w:val="24"/>
                <w:szCs w:val="24"/>
              </w:rPr>
              <w:t xml:space="preserve"> - </w:t>
            </w:r>
            <w:r>
              <w:rPr>
                <w:rFonts w:ascii="Arial" w:eastAsia="Arial" w:hAnsi="Arial" w:cs="Arial"/>
                <w:color w:val="000000"/>
                <w:sz w:val="24"/>
                <w:szCs w:val="24"/>
              </w:rPr>
              <w:t>Name of Issuer</w:t>
            </w:r>
          </w:p>
          <w:p w14:paraId="4F2AF8CD" w14:textId="77777777" w:rsidR="00272EDF" w:rsidRDefault="003644FC">
            <w:pPr>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RIV Capital Inc.</w:t>
            </w:r>
          </w:p>
        </w:tc>
        <w:tc>
          <w:tcPr>
            <w:tcW w:w="2873" w:type="dxa"/>
            <w:tcBorders>
              <w:top w:val="single" w:sz="18" w:space="0" w:color="000000"/>
              <w:left w:val="single" w:sz="18" w:space="0" w:color="000000"/>
              <w:bottom w:val="nil"/>
              <w:right w:val="single" w:sz="18" w:space="0" w:color="000000"/>
            </w:tcBorders>
          </w:tcPr>
          <w:p w14:paraId="3E97AD29" w14:textId="1C9BFCAE" w:rsidR="00272EDF" w:rsidRDefault="003644F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For Month End</w:t>
            </w:r>
          </w:p>
          <w:p w14:paraId="02EEDAA5" w14:textId="77777777" w:rsidR="00A97298" w:rsidRDefault="00A97298">
            <w:pPr>
              <w:pBdr>
                <w:top w:val="nil"/>
                <w:left w:val="nil"/>
                <w:bottom w:val="nil"/>
                <w:right w:val="nil"/>
                <w:between w:val="nil"/>
              </w:pBdr>
              <w:rPr>
                <w:rFonts w:ascii="Arial" w:eastAsia="Arial" w:hAnsi="Arial" w:cs="Arial"/>
                <w:color w:val="000000"/>
                <w:sz w:val="24"/>
                <w:szCs w:val="24"/>
              </w:rPr>
            </w:pPr>
          </w:p>
          <w:p w14:paraId="73CA0D87" w14:textId="521988B7" w:rsidR="00B6043F" w:rsidRDefault="00162851">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November</w:t>
            </w:r>
            <w:r w:rsidR="009C3B4C">
              <w:rPr>
                <w:rFonts w:ascii="Arial" w:eastAsia="Arial" w:hAnsi="Arial" w:cs="Arial"/>
                <w:sz w:val="24"/>
                <w:szCs w:val="24"/>
              </w:rPr>
              <w:t xml:space="preserve"> 2022</w:t>
            </w:r>
          </w:p>
        </w:tc>
        <w:tc>
          <w:tcPr>
            <w:tcW w:w="2898" w:type="dxa"/>
            <w:tcBorders>
              <w:top w:val="single" w:sz="18" w:space="0" w:color="000000"/>
              <w:left w:val="single" w:sz="18" w:space="0" w:color="000000"/>
              <w:bottom w:val="nil"/>
            </w:tcBorders>
          </w:tcPr>
          <w:p w14:paraId="2D8C822F" w14:textId="2CF613CF" w:rsidR="00272EDF" w:rsidRDefault="003644F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Report</w:t>
            </w:r>
            <w:r w:rsidR="00162851">
              <w:rPr>
                <w:rFonts w:ascii="Arial" w:eastAsia="Arial" w:hAnsi="Arial" w:cs="Arial"/>
                <w:color w:val="000000"/>
                <w:sz w:val="24"/>
                <w:szCs w:val="24"/>
              </w:rPr>
              <w:t xml:space="preserve"> </w:t>
            </w:r>
            <w:r>
              <w:rPr>
                <w:rFonts w:ascii="Arial" w:eastAsia="Arial" w:hAnsi="Arial" w:cs="Arial"/>
                <w:color w:val="000000"/>
                <w:sz w:val="24"/>
                <w:szCs w:val="24"/>
              </w:rPr>
              <w:t>YY/MM/D</w:t>
            </w:r>
          </w:p>
          <w:p w14:paraId="026B0F42" w14:textId="77777777" w:rsidR="00272EDF" w:rsidRDefault="00272EDF">
            <w:pPr>
              <w:pBdr>
                <w:top w:val="nil"/>
                <w:left w:val="nil"/>
                <w:bottom w:val="nil"/>
                <w:right w:val="nil"/>
                <w:between w:val="nil"/>
              </w:pBdr>
              <w:rPr>
                <w:rFonts w:ascii="Arial" w:eastAsia="Arial" w:hAnsi="Arial" w:cs="Arial"/>
                <w:color w:val="000000"/>
                <w:sz w:val="24"/>
                <w:szCs w:val="24"/>
              </w:rPr>
            </w:pPr>
          </w:p>
          <w:p w14:paraId="603503B5" w14:textId="382CE9BE" w:rsidR="00272EDF" w:rsidRDefault="003644F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202</w:t>
            </w:r>
            <w:r w:rsidR="000C00C1">
              <w:rPr>
                <w:rFonts w:ascii="Arial" w:eastAsia="Arial" w:hAnsi="Arial" w:cs="Arial"/>
                <w:color w:val="000000"/>
                <w:sz w:val="24"/>
                <w:szCs w:val="24"/>
              </w:rPr>
              <w:t>2</w:t>
            </w:r>
            <w:r>
              <w:rPr>
                <w:rFonts w:ascii="Arial" w:eastAsia="Arial" w:hAnsi="Arial" w:cs="Arial"/>
                <w:color w:val="000000"/>
                <w:sz w:val="24"/>
                <w:szCs w:val="24"/>
              </w:rPr>
              <w:t>/</w:t>
            </w:r>
            <w:r w:rsidR="00A97298">
              <w:rPr>
                <w:rFonts w:ascii="Arial" w:eastAsia="Arial" w:hAnsi="Arial" w:cs="Arial"/>
                <w:color w:val="000000"/>
                <w:sz w:val="24"/>
                <w:szCs w:val="24"/>
              </w:rPr>
              <w:t>1</w:t>
            </w:r>
            <w:r w:rsidR="00581C9A">
              <w:rPr>
                <w:rFonts w:ascii="Arial" w:eastAsia="Arial" w:hAnsi="Arial" w:cs="Arial"/>
                <w:color w:val="000000"/>
                <w:sz w:val="24"/>
                <w:szCs w:val="24"/>
              </w:rPr>
              <w:t>2/07</w:t>
            </w:r>
          </w:p>
        </w:tc>
      </w:tr>
      <w:tr w:rsidR="00272EDF" w14:paraId="4E194ED8" w14:textId="77777777">
        <w:tc>
          <w:tcPr>
            <w:tcW w:w="9576" w:type="dxa"/>
            <w:gridSpan w:val="3"/>
            <w:tcBorders>
              <w:top w:val="single" w:sz="18" w:space="0" w:color="000000"/>
              <w:bottom w:val="single" w:sz="18" w:space="0" w:color="000000"/>
            </w:tcBorders>
          </w:tcPr>
          <w:p w14:paraId="69AEAC06" w14:textId="77777777" w:rsidR="00272EDF" w:rsidRDefault="003644F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r w:rsidR="00162851">
              <w:rPr>
                <w:rFonts w:ascii="Arial" w:eastAsia="Arial" w:hAnsi="Arial" w:cs="Arial"/>
                <w:color w:val="000000"/>
                <w:sz w:val="24"/>
                <w:szCs w:val="24"/>
              </w:rPr>
              <w:t xml:space="preserve"> - </w:t>
            </w:r>
            <w:r>
              <w:rPr>
                <w:rFonts w:ascii="Arial" w:eastAsia="Arial" w:hAnsi="Arial" w:cs="Arial"/>
                <w:color w:val="000000"/>
                <w:sz w:val="24"/>
                <w:szCs w:val="24"/>
              </w:rPr>
              <w:t>2504-40 King St. West</w:t>
            </w:r>
          </w:p>
          <w:p w14:paraId="5541885E" w14:textId="4C12009F" w:rsidR="00162851" w:rsidRDefault="00162851">
            <w:pPr>
              <w:pBdr>
                <w:top w:val="nil"/>
                <w:left w:val="nil"/>
                <w:bottom w:val="nil"/>
                <w:right w:val="nil"/>
                <w:between w:val="nil"/>
              </w:pBdr>
              <w:rPr>
                <w:rFonts w:ascii="Arial" w:eastAsia="Arial" w:hAnsi="Arial" w:cs="Arial"/>
                <w:color w:val="000000"/>
                <w:sz w:val="24"/>
                <w:szCs w:val="24"/>
              </w:rPr>
            </w:pPr>
          </w:p>
        </w:tc>
      </w:tr>
      <w:tr w:rsidR="00272EDF" w14:paraId="0F345F69" w14:textId="77777777" w:rsidTr="00162851">
        <w:tc>
          <w:tcPr>
            <w:tcW w:w="3805" w:type="dxa"/>
            <w:tcBorders>
              <w:top w:val="single" w:sz="18" w:space="0" w:color="000000"/>
              <w:bottom w:val="single" w:sz="18" w:space="0" w:color="000000"/>
              <w:right w:val="single" w:sz="18" w:space="0" w:color="000000"/>
            </w:tcBorders>
          </w:tcPr>
          <w:p w14:paraId="3BF2A65C" w14:textId="77777777" w:rsidR="00272EDF" w:rsidRDefault="003644F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66E4F4DB" w14:textId="77777777" w:rsidR="00272EDF" w:rsidRDefault="00272EDF">
            <w:pPr>
              <w:pBdr>
                <w:top w:val="nil"/>
                <w:left w:val="nil"/>
                <w:bottom w:val="nil"/>
                <w:right w:val="nil"/>
                <w:between w:val="nil"/>
              </w:pBdr>
              <w:rPr>
                <w:rFonts w:ascii="Arial" w:eastAsia="Arial" w:hAnsi="Arial" w:cs="Arial"/>
                <w:color w:val="000000"/>
                <w:sz w:val="24"/>
                <w:szCs w:val="24"/>
              </w:rPr>
            </w:pPr>
          </w:p>
          <w:p w14:paraId="789262CD" w14:textId="77777777" w:rsidR="00272EDF" w:rsidRDefault="003644F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Toronto, </w:t>
            </w:r>
            <w:proofErr w:type="gramStart"/>
            <w:r>
              <w:rPr>
                <w:rFonts w:ascii="Arial" w:eastAsia="Arial" w:hAnsi="Arial" w:cs="Arial"/>
                <w:color w:val="000000"/>
                <w:sz w:val="24"/>
                <w:szCs w:val="24"/>
              </w:rPr>
              <w:t>ON  M</w:t>
            </w:r>
            <w:proofErr w:type="gramEnd"/>
            <w:r>
              <w:rPr>
                <w:rFonts w:ascii="Arial" w:eastAsia="Arial" w:hAnsi="Arial" w:cs="Arial"/>
                <w:color w:val="000000"/>
                <w:sz w:val="24"/>
                <w:szCs w:val="24"/>
              </w:rPr>
              <w:t>5H 3Y2</w:t>
            </w:r>
          </w:p>
        </w:tc>
        <w:tc>
          <w:tcPr>
            <w:tcW w:w="2873" w:type="dxa"/>
            <w:tcBorders>
              <w:top w:val="single" w:sz="18" w:space="0" w:color="000000"/>
              <w:left w:val="single" w:sz="18" w:space="0" w:color="000000"/>
              <w:bottom w:val="single" w:sz="18" w:space="0" w:color="000000"/>
              <w:right w:val="single" w:sz="18" w:space="0" w:color="000000"/>
            </w:tcBorders>
          </w:tcPr>
          <w:p w14:paraId="22E54C3C" w14:textId="77777777" w:rsidR="00272EDF" w:rsidRDefault="003644F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51AA53B7" w14:textId="77777777" w:rsidR="00272EDF" w:rsidRDefault="003644F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w:t>
            </w:r>
          </w:p>
        </w:tc>
        <w:tc>
          <w:tcPr>
            <w:tcW w:w="2898" w:type="dxa"/>
            <w:tcBorders>
              <w:top w:val="single" w:sz="18" w:space="0" w:color="000000"/>
              <w:left w:val="single" w:sz="18" w:space="0" w:color="000000"/>
              <w:bottom w:val="single" w:sz="18" w:space="0" w:color="000000"/>
            </w:tcBorders>
          </w:tcPr>
          <w:p w14:paraId="0E5A7CFC" w14:textId="77777777" w:rsidR="00272EDF" w:rsidRDefault="003644F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4079796F" w14:textId="77777777" w:rsidR="00272EDF" w:rsidRDefault="003644FC">
            <w:pPr>
              <w:pBdr>
                <w:top w:val="nil"/>
                <w:left w:val="nil"/>
                <w:bottom w:val="nil"/>
                <w:right w:val="nil"/>
                <w:between w:val="nil"/>
              </w:pBdr>
              <w:rPr>
                <w:rFonts w:ascii="Arial" w:eastAsia="Arial" w:hAnsi="Arial" w:cs="Arial"/>
                <w:color w:val="000000"/>
                <w:sz w:val="24"/>
                <w:szCs w:val="24"/>
              </w:rPr>
            </w:pPr>
            <w:proofErr w:type="gramStart"/>
            <w:r>
              <w:rPr>
                <w:rFonts w:ascii="Arial" w:eastAsia="Arial" w:hAnsi="Arial" w:cs="Arial"/>
                <w:color w:val="000000"/>
                <w:sz w:val="24"/>
                <w:szCs w:val="24"/>
              </w:rPr>
              <w:t>(  855</w:t>
            </w:r>
            <w:proofErr w:type="gramEnd"/>
            <w:r>
              <w:rPr>
                <w:rFonts w:ascii="Arial" w:eastAsia="Arial" w:hAnsi="Arial" w:cs="Arial"/>
                <w:color w:val="000000"/>
                <w:sz w:val="24"/>
                <w:szCs w:val="24"/>
              </w:rPr>
              <w:t xml:space="preserve">   ) 227-8639</w:t>
            </w:r>
          </w:p>
        </w:tc>
      </w:tr>
      <w:tr w:rsidR="00272EDF" w14:paraId="0B68290B" w14:textId="77777777" w:rsidTr="00162851">
        <w:tc>
          <w:tcPr>
            <w:tcW w:w="3805" w:type="dxa"/>
            <w:tcBorders>
              <w:top w:val="single" w:sz="18" w:space="0" w:color="000000"/>
              <w:bottom w:val="single" w:sz="18" w:space="0" w:color="000000"/>
              <w:right w:val="single" w:sz="18" w:space="0" w:color="000000"/>
            </w:tcBorders>
          </w:tcPr>
          <w:p w14:paraId="673CE894" w14:textId="77777777" w:rsidR="00272EDF" w:rsidRDefault="003644F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26B360C4" w14:textId="77777777" w:rsidR="00272EDF" w:rsidRDefault="00272EDF">
            <w:pPr>
              <w:pBdr>
                <w:top w:val="nil"/>
                <w:left w:val="nil"/>
                <w:bottom w:val="nil"/>
                <w:right w:val="nil"/>
                <w:between w:val="nil"/>
              </w:pBdr>
              <w:rPr>
                <w:rFonts w:ascii="Arial" w:eastAsia="Arial" w:hAnsi="Arial" w:cs="Arial"/>
                <w:color w:val="000000"/>
                <w:sz w:val="24"/>
                <w:szCs w:val="24"/>
              </w:rPr>
            </w:pPr>
          </w:p>
          <w:p w14:paraId="4A94015D" w14:textId="635325E4" w:rsidR="00272EDF" w:rsidRDefault="000C00C1">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John Webster</w:t>
            </w:r>
          </w:p>
        </w:tc>
        <w:tc>
          <w:tcPr>
            <w:tcW w:w="2873" w:type="dxa"/>
            <w:tcBorders>
              <w:top w:val="single" w:sz="18" w:space="0" w:color="000000"/>
              <w:left w:val="single" w:sz="18" w:space="0" w:color="000000"/>
              <w:bottom w:val="single" w:sz="18" w:space="0" w:color="000000"/>
              <w:right w:val="single" w:sz="18" w:space="0" w:color="000000"/>
            </w:tcBorders>
          </w:tcPr>
          <w:p w14:paraId="2B053589" w14:textId="77777777" w:rsidR="00272EDF" w:rsidRDefault="003644F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01E3A011" w14:textId="77777777" w:rsidR="00272EDF" w:rsidRDefault="00272EDF">
            <w:pPr>
              <w:pBdr>
                <w:top w:val="nil"/>
                <w:left w:val="nil"/>
                <w:bottom w:val="nil"/>
                <w:right w:val="nil"/>
                <w:between w:val="nil"/>
              </w:pBdr>
              <w:rPr>
                <w:rFonts w:ascii="Arial" w:eastAsia="Arial" w:hAnsi="Arial" w:cs="Arial"/>
                <w:color w:val="000000"/>
                <w:sz w:val="24"/>
                <w:szCs w:val="24"/>
              </w:rPr>
            </w:pPr>
          </w:p>
          <w:p w14:paraId="148050BE" w14:textId="6779DA28" w:rsidR="00272EDF" w:rsidRDefault="000C00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Director, Legal</w:t>
            </w:r>
          </w:p>
        </w:tc>
        <w:tc>
          <w:tcPr>
            <w:tcW w:w="2898" w:type="dxa"/>
            <w:tcBorders>
              <w:top w:val="single" w:sz="18" w:space="0" w:color="000000"/>
              <w:left w:val="single" w:sz="18" w:space="0" w:color="000000"/>
              <w:bottom w:val="single" w:sz="18" w:space="0" w:color="000000"/>
            </w:tcBorders>
          </w:tcPr>
          <w:p w14:paraId="19A65515" w14:textId="77777777" w:rsidR="00272EDF" w:rsidRDefault="003644F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658669D1" w14:textId="70967015" w:rsidR="000C00C1" w:rsidRDefault="000C00C1">
            <w:pPr>
              <w:pBdr>
                <w:top w:val="nil"/>
                <w:left w:val="nil"/>
                <w:bottom w:val="nil"/>
                <w:right w:val="nil"/>
                <w:between w:val="nil"/>
              </w:pBdr>
              <w:rPr>
                <w:rFonts w:ascii="Arial" w:eastAsia="Arial" w:hAnsi="Arial" w:cs="Arial"/>
                <w:color w:val="000000"/>
                <w:sz w:val="24"/>
                <w:szCs w:val="24"/>
              </w:rPr>
            </w:pPr>
          </w:p>
          <w:p w14:paraId="252EB1CF" w14:textId="1FCDDC9C" w:rsidR="000C00C1" w:rsidRDefault="000C00C1">
            <w:pPr>
              <w:pBdr>
                <w:top w:val="nil"/>
                <w:left w:val="nil"/>
                <w:bottom w:val="nil"/>
                <w:right w:val="nil"/>
                <w:between w:val="nil"/>
              </w:pBdr>
              <w:rPr>
                <w:rFonts w:ascii="Arial" w:eastAsia="Arial" w:hAnsi="Arial" w:cs="Arial"/>
                <w:color w:val="000000"/>
                <w:sz w:val="24"/>
                <w:szCs w:val="24"/>
              </w:rPr>
            </w:pPr>
            <w:r w:rsidRPr="000C00C1">
              <w:rPr>
                <w:rFonts w:ascii="Arial" w:hAnsi="Arial" w:cs="Arial"/>
                <w:sz w:val="24"/>
                <w:szCs w:val="24"/>
                <w:lang w:eastAsia="en-US"/>
              </w:rPr>
              <w:t>416</w:t>
            </w:r>
            <w:r>
              <w:rPr>
                <w:rFonts w:ascii="Arial" w:hAnsi="Arial" w:cs="Arial"/>
                <w:sz w:val="24"/>
                <w:szCs w:val="24"/>
                <w:lang w:eastAsia="en-US"/>
              </w:rPr>
              <w:t>-</w:t>
            </w:r>
            <w:r w:rsidRPr="000C00C1">
              <w:rPr>
                <w:rFonts w:ascii="Arial" w:hAnsi="Arial" w:cs="Arial"/>
                <w:sz w:val="24"/>
                <w:szCs w:val="24"/>
                <w:lang w:eastAsia="en-US"/>
              </w:rPr>
              <w:t>917</w:t>
            </w:r>
            <w:r>
              <w:rPr>
                <w:rFonts w:ascii="Arial" w:hAnsi="Arial" w:cs="Arial"/>
                <w:sz w:val="24"/>
                <w:szCs w:val="24"/>
                <w:lang w:eastAsia="en-US"/>
              </w:rPr>
              <w:t>-</w:t>
            </w:r>
            <w:r w:rsidRPr="000C00C1">
              <w:rPr>
                <w:rFonts w:ascii="Arial" w:hAnsi="Arial" w:cs="Arial"/>
                <w:sz w:val="24"/>
                <w:szCs w:val="24"/>
                <w:lang w:eastAsia="en-US"/>
              </w:rPr>
              <w:t>9877</w:t>
            </w:r>
          </w:p>
        </w:tc>
      </w:tr>
      <w:tr w:rsidR="00272EDF" w14:paraId="36ACFECD" w14:textId="77777777" w:rsidTr="00162851">
        <w:tc>
          <w:tcPr>
            <w:tcW w:w="3805" w:type="dxa"/>
            <w:tcBorders>
              <w:top w:val="single" w:sz="18" w:space="0" w:color="000000"/>
              <w:bottom w:val="single" w:sz="18" w:space="0" w:color="000000"/>
              <w:right w:val="single" w:sz="18" w:space="0" w:color="000000"/>
            </w:tcBorders>
          </w:tcPr>
          <w:p w14:paraId="35FB527B" w14:textId="0CC2F99B" w:rsidR="00272EDF" w:rsidRDefault="003644F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2EEE76F1" w14:textId="77777777" w:rsidR="000C00C1" w:rsidRDefault="000C00C1">
            <w:pPr>
              <w:pBdr>
                <w:top w:val="nil"/>
                <w:left w:val="nil"/>
                <w:bottom w:val="nil"/>
                <w:right w:val="nil"/>
                <w:between w:val="nil"/>
              </w:pBdr>
              <w:rPr>
                <w:rFonts w:ascii="Arial" w:eastAsia="Arial" w:hAnsi="Arial" w:cs="Arial"/>
                <w:color w:val="000000"/>
                <w:sz w:val="24"/>
                <w:szCs w:val="24"/>
              </w:rPr>
            </w:pPr>
          </w:p>
          <w:p w14:paraId="4736A21A" w14:textId="6D0A6155" w:rsidR="00272EDF" w:rsidRDefault="000C00C1" w:rsidP="0016285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john@rivcapital.com</w:t>
            </w:r>
          </w:p>
        </w:tc>
        <w:tc>
          <w:tcPr>
            <w:tcW w:w="5771" w:type="dxa"/>
            <w:gridSpan w:val="2"/>
            <w:tcBorders>
              <w:top w:val="single" w:sz="18" w:space="0" w:color="000000"/>
              <w:left w:val="single" w:sz="18" w:space="0" w:color="000000"/>
              <w:bottom w:val="single" w:sz="18" w:space="0" w:color="000000"/>
            </w:tcBorders>
          </w:tcPr>
          <w:p w14:paraId="15F59E02" w14:textId="77777777" w:rsidR="00272EDF" w:rsidRDefault="003644F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0ABB6F0C" w14:textId="77777777" w:rsidR="00272EDF" w:rsidRDefault="00272EDF">
            <w:pPr>
              <w:pBdr>
                <w:top w:val="nil"/>
                <w:left w:val="nil"/>
                <w:bottom w:val="nil"/>
                <w:right w:val="nil"/>
                <w:between w:val="nil"/>
              </w:pBdr>
              <w:rPr>
                <w:rFonts w:ascii="Arial" w:eastAsia="Arial" w:hAnsi="Arial" w:cs="Arial"/>
                <w:color w:val="000000"/>
                <w:sz w:val="24"/>
                <w:szCs w:val="24"/>
              </w:rPr>
            </w:pPr>
          </w:p>
          <w:p w14:paraId="539FDB4D" w14:textId="77777777" w:rsidR="00272EDF" w:rsidRDefault="00000000">
            <w:pPr>
              <w:pBdr>
                <w:top w:val="nil"/>
                <w:left w:val="nil"/>
                <w:bottom w:val="nil"/>
                <w:right w:val="nil"/>
                <w:between w:val="nil"/>
              </w:pBdr>
              <w:rPr>
                <w:rFonts w:ascii="Arial" w:eastAsia="Arial" w:hAnsi="Arial" w:cs="Arial"/>
                <w:color w:val="000000"/>
                <w:sz w:val="24"/>
                <w:szCs w:val="24"/>
              </w:rPr>
            </w:pPr>
            <w:hyperlink r:id="rId9">
              <w:r w:rsidR="003644FC">
                <w:rPr>
                  <w:rFonts w:ascii="Arial" w:eastAsia="Arial" w:hAnsi="Arial" w:cs="Arial"/>
                  <w:color w:val="0000FF"/>
                  <w:sz w:val="24"/>
                  <w:szCs w:val="24"/>
                  <w:u w:val="single"/>
                </w:rPr>
                <w:t>www.rivcapital.com</w:t>
              </w:r>
            </w:hyperlink>
            <w:r w:rsidR="003644FC">
              <w:rPr>
                <w:rFonts w:ascii="Arial" w:eastAsia="Arial" w:hAnsi="Arial" w:cs="Arial"/>
                <w:color w:val="000000"/>
                <w:sz w:val="24"/>
                <w:szCs w:val="24"/>
              </w:rPr>
              <w:t xml:space="preserve"> </w:t>
            </w:r>
          </w:p>
        </w:tc>
      </w:tr>
    </w:tbl>
    <w:p w14:paraId="25B7D28B" w14:textId="77777777" w:rsidR="00272EDF" w:rsidRDefault="00272EDF">
      <w:pPr>
        <w:pBdr>
          <w:top w:val="nil"/>
          <w:left w:val="nil"/>
          <w:bottom w:val="nil"/>
          <w:right w:val="nil"/>
          <w:between w:val="nil"/>
        </w:pBdr>
        <w:spacing w:before="240"/>
        <w:rPr>
          <w:color w:val="000000"/>
          <w:sz w:val="24"/>
          <w:szCs w:val="24"/>
        </w:rPr>
      </w:pPr>
    </w:p>
    <w:sectPr w:rsidR="00272EDF">
      <w:headerReference w:type="even" r:id="rId10"/>
      <w:headerReference w:type="default" r:id="rId11"/>
      <w:footerReference w:type="default" r:id="rId12"/>
      <w:footerReference w:type="first" r:id="rId13"/>
      <w:pgSz w:w="12240" w:h="15840"/>
      <w:pgMar w:top="864" w:right="1440" w:bottom="864"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E1C54" w14:textId="77777777" w:rsidR="00FF6E66" w:rsidRDefault="00FF6E66">
      <w:r>
        <w:separator/>
      </w:r>
    </w:p>
  </w:endnote>
  <w:endnote w:type="continuationSeparator" w:id="0">
    <w:p w14:paraId="7630E5B3" w14:textId="77777777" w:rsidR="00FF6E66" w:rsidRDefault="00FF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6478" w14:textId="0E97298A" w:rsidR="00272EDF" w:rsidRDefault="00272EDF">
    <w:pPr>
      <w:pBdr>
        <w:top w:val="nil"/>
        <w:left w:val="nil"/>
        <w:bottom w:val="nil"/>
        <w:right w:val="nil"/>
        <w:between w:val="nil"/>
      </w:pBdr>
      <w:tabs>
        <w:tab w:val="center" w:pos="4320"/>
        <w:tab w:val="right" w:pos="8640"/>
        <w:tab w:val="center" w:pos="4680"/>
        <w:tab w:val="right" w:pos="9360"/>
      </w:tabs>
      <w:rPr>
        <w:b/>
        <w:color w:val="000000"/>
      </w:rPr>
    </w:pPr>
  </w:p>
  <w:p w14:paraId="4EED0970" w14:textId="77777777" w:rsidR="00272EDF" w:rsidRDefault="003644FC">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rPr>
      <mc:AlternateContent>
        <mc:Choice Requires="wps">
          <w:drawing>
            <wp:anchor distT="0" distB="0" distL="114300" distR="114300" simplePos="0" relativeHeight="251658240" behindDoc="0" locked="0" layoutInCell="1" hidden="0" allowOverlap="1" wp14:anchorId="03976664" wp14:editId="623FBA82">
              <wp:simplePos x="0" y="0"/>
              <wp:positionH relativeFrom="column">
                <wp:posOffset>76201</wp:posOffset>
              </wp:positionH>
              <wp:positionV relativeFrom="paragraph">
                <wp:posOffset>-152399</wp:posOffset>
              </wp:positionV>
              <wp:extent cx="5863590" cy="12700"/>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104404D9" id="_x0000_t32" coordsize="21600,21600" o:spt="32" o:oned="t" path="m,l21600,21600e" filled="f">
              <v:path arrowok="t" fillok="f" o:connecttype="none"/>
              <o:lock v:ext="edit" shapetype="t"/>
            </v:shapetype>
            <v:shape id="Straight Arrow Connector 3" o:spid="_x0000_s1026" type="#_x0000_t32" style="position:absolute;margin-left:6pt;margin-top:-12pt;width:461.7pt;height:1pt;rotation:18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"/>
          </w:pict>
        </mc:Fallback>
      </mc:AlternateContent>
    </w:r>
  </w:p>
  <w:p w14:paraId="768FF037" w14:textId="5355C765" w:rsidR="00272EDF" w:rsidRDefault="003644FC">
    <w:pPr>
      <w:pBdr>
        <w:top w:val="nil"/>
        <w:left w:val="nil"/>
        <w:bottom w:val="nil"/>
        <w:right w:val="nil"/>
        <w:between w:val="nil"/>
      </w:pBdr>
      <w:tabs>
        <w:tab w:val="center" w:pos="4320"/>
        <w:tab w:val="right" w:pos="8640"/>
        <w:tab w:val="center" w:pos="4860"/>
        <w:tab w:val="right" w:pos="9360"/>
      </w:tabs>
      <w:rPr>
        <w:rFonts w:ascii="Arial" w:eastAsia="Arial" w:hAnsi="Arial" w:cs="Arial"/>
        <w:color w:val="000000"/>
        <w:sz w:val="16"/>
        <w:szCs w:val="16"/>
      </w:rPr>
    </w:pPr>
    <w:r>
      <w:rPr>
        <w:rFonts w:ascii="Arial" w:eastAsia="Arial" w:hAnsi="Arial" w:cs="Arial"/>
        <w:color w:val="000000"/>
        <w:sz w:val="16"/>
        <w:szCs w:val="16"/>
      </w:rPr>
      <w:tab/>
    </w:r>
  </w:p>
  <w:p w14:paraId="0AFF68B7" w14:textId="77777777" w:rsidR="00272EDF" w:rsidRDefault="003644FC">
    <w:pPr>
      <w:pBdr>
        <w:top w:val="nil"/>
        <w:left w:val="nil"/>
        <w:bottom w:val="nil"/>
        <w:right w:val="nil"/>
        <w:between w:val="nil"/>
      </w:pBdr>
      <w:tabs>
        <w:tab w:val="center" w:pos="4320"/>
        <w:tab w:val="right" w:pos="8640"/>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9D5821">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0360FC57" w14:textId="0067A3A7" w:rsidR="00272EDF" w:rsidRDefault="00272EDF">
    <w:pPr>
      <w:pBdr>
        <w:top w:val="nil"/>
        <w:left w:val="nil"/>
        <w:bottom w:val="nil"/>
        <w:right w:val="nil"/>
        <w:between w:val="nil"/>
      </w:pBdr>
      <w:tabs>
        <w:tab w:val="center" w:pos="4320"/>
        <w:tab w:val="right" w:pos="8640"/>
        <w:tab w:val="left" w:pos="6930"/>
        <w:tab w:val="right" w:pos="9360"/>
      </w:tabs>
      <w:rPr>
        <w:rFonts w:ascii="Arial" w:eastAsia="Arial" w:hAnsi="Arial" w:cs="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0F80" w14:textId="77777777" w:rsidR="00272EDF" w:rsidRDefault="00272EDF">
    <w:pPr>
      <w:pBdr>
        <w:top w:val="nil"/>
        <w:left w:val="nil"/>
        <w:bottom w:val="nil"/>
        <w:right w:val="nil"/>
        <w:between w:val="nil"/>
      </w:pBdr>
      <w:tabs>
        <w:tab w:val="center" w:pos="4320"/>
        <w:tab w:val="right" w:pos="8640"/>
        <w:tab w:val="center" w:pos="4680"/>
        <w:tab w:val="right" w:pos="9360"/>
      </w:tabs>
      <w:rPr>
        <w:b/>
        <w:color w:val="000000"/>
      </w:rPr>
    </w:pPr>
  </w:p>
  <w:p w14:paraId="484D628A" w14:textId="77777777" w:rsidR="00272EDF" w:rsidRDefault="003644FC">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rPr>
      <mc:AlternateContent>
        <mc:Choice Requires="wps">
          <w:drawing>
            <wp:anchor distT="0" distB="0" distL="114300" distR="114300" simplePos="0" relativeHeight="251659264" behindDoc="0" locked="0" layoutInCell="1" hidden="0" allowOverlap="1" wp14:anchorId="41E2EAB2" wp14:editId="3952849C">
              <wp:simplePos x="0" y="0"/>
              <wp:positionH relativeFrom="column">
                <wp:posOffset>76201</wp:posOffset>
              </wp:positionH>
              <wp:positionV relativeFrom="paragraph">
                <wp:posOffset>-152399</wp:posOffset>
              </wp:positionV>
              <wp:extent cx="5863590" cy="12700"/>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01E3AE6" id="_x0000_t32" coordsize="21600,21600" o:spt="32" o:oned="t" path="m,l21600,21600e" filled="f">
              <v:path arrowok="t" fillok="f" o:connecttype="none"/>
              <o:lock v:ext="edit" shapetype="t"/>
            </v:shapetype>
            <v:shape id="Straight Arrow Connector 4" o:spid="_x0000_s1026" type="#_x0000_t32" style="position:absolute;margin-left:6pt;margin-top:-12pt;width:461.7pt;height:1pt;rotation:18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"/>
          </w:pict>
        </mc:Fallback>
      </mc:AlternateContent>
    </w:r>
  </w:p>
  <w:p w14:paraId="5BCA1515" w14:textId="77777777" w:rsidR="00272EDF" w:rsidRDefault="003644FC">
    <w:pPr>
      <w:pBdr>
        <w:top w:val="nil"/>
        <w:left w:val="nil"/>
        <w:bottom w:val="nil"/>
        <w:right w:val="nil"/>
        <w:between w:val="nil"/>
      </w:pBdr>
      <w:tabs>
        <w:tab w:val="center" w:pos="4320"/>
        <w:tab w:val="right" w:pos="8640"/>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7297B55F" w14:textId="77777777" w:rsidR="00272EDF" w:rsidRDefault="003644FC">
    <w:pPr>
      <w:pBdr>
        <w:top w:val="nil"/>
        <w:left w:val="nil"/>
        <w:bottom w:val="nil"/>
        <w:right w:val="nil"/>
        <w:between w:val="nil"/>
      </w:pBdr>
      <w:tabs>
        <w:tab w:val="center" w:pos="4320"/>
        <w:tab w:val="right" w:pos="8640"/>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000000">
      <w:rPr>
        <w:rFonts w:ascii="Arial" w:eastAsia="Arial" w:hAnsi="Arial" w:cs="Arial"/>
        <w:color w:val="000000"/>
        <w:sz w:val="16"/>
        <w:szCs w:val="16"/>
      </w:rPr>
      <w:fldChar w:fldCharType="separate"/>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40F9D" w14:textId="77777777" w:rsidR="00FF6E66" w:rsidRDefault="00FF6E66">
      <w:r>
        <w:separator/>
      </w:r>
    </w:p>
  </w:footnote>
  <w:footnote w:type="continuationSeparator" w:id="0">
    <w:p w14:paraId="744A3DC6" w14:textId="77777777" w:rsidR="00FF6E66" w:rsidRDefault="00FF6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360A" w14:textId="77777777" w:rsidR="00272EDF" w:rsidRDefault="003644F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2781EE55" w14:textId="77777777" w:rsidR="00272EDF" w:rsidRDefault="00272ED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B938" w14:textId="77777777" w:rsidR="00272EDF" w:rsidRDefault="00272EDF">
    <w:pPr>
      <w:pBdr>
        <w:top w:val="nil"/>
        <w:left w:val="nil"/>
        <w:bottom w:val="nil"/>
        <w:right w:val="nil"/>
        <w:between w:val="nil"/>
      </w:pBdr>
      <w:tabs>
        <w:tab w:val="center" w:pos="4320"/>
        <w:tab w:val="right" w:pos="8640"/>
        <w:tab w:val="right" w:pos="7830"/>
      </w:tabs>
      <w:jc w:val="right"/>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501"/>
    <w:multiLevelType w:val="multilevel"/>
    <w:tmpl w:val="42DEC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E41ED3"/>
    <w:multiLevelType w:val="hybridMultilevel"/>
    <w:tmpl w:val="74765A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3F010FC"/>
    <w:multiLevelType w:val="hybridMultilevel"/>
    <w:tmpl w:val="A8AA31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FF22CAF"/>
    <w:multiLevelType w:val="multilevel"/>
    <w:tmpl w:val="E5C40E72"/>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06B647E"/>
    <w:multiLevelType w:val="hybridMultilevel"/>
    <w:tmpl w:val="F02C4A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10A3B4C"/>
    <w:multiLevelType w:val="hybridMultilevel"/>
    <w:tmpl w:val="2B1C4D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A327F2A"/>
    <w:multiLevelType w:val="multilevel"/>
    <w:tmpl w:val="A5BED738"/>
    <w:lvl w:ilvl="0">
      <w:start w:val="1"/>
      <w:numFmt w:val="low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AE2552C"/>
    <w:multiLevelType w:val="hybridMultilevel"/>
    <w:tmpl w:val="A3E885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B3B3EF4"/>
    <w:multiLevelType w:val="hybridMultilevel"/>
    <w:tmpl w:val="CDEC76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89A39BA"/>
    <w:multiLevelType w:val="hybridMultilevel"/>
    <w:tmpl w:val="3CBC469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0" w15:restartNumberingAfterBreak="0">
    <w:nsid w:val="38FD022B"/>
    <w:multiLevelType w:val="hybridMultilevel"/>
    <w:tmpl w:val="07BAC388"/>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1" w15:restartNumberingAfterBreak="0">
    <w:nsid w:val="3A970028"/>
    <w:multiLevelType w:val="hybridMultilevel"/>
    <w:tmpl w:val="4B9E5B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1142D4E"/>
    <w:multiLevelType w:val="multilevel"/>
    <w:tmpl w:val="8F6CA2AE"/>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5EF80B20"/>
    <w:multiLevelType w:val="hybridMultilevel"/>
    <w:tmpl w:val="06600E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62A7661F"/>
    <w:multiLevelType w:val="hybridMultilevel"/>
    <w:tmpl w:val="10AE1E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641B35F8"/>
    <w:multiLevelType w:val="hybridMultilevel"/>
    <w:tmpl w:val="51021A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69B50956"/>
    <w:multiLevelType w:val="hybridMultilevel"/>
    <w:tmpl w:val="98CEB9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6EBD2ABE"/>
    <w:multiLevelType w:val="hybridMultilevel"/>
    <w:tmpl w:val="041613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7A9C06C5"/>
    <w:multiLevelType w:val="hybridMultilevel"/>
    <w:tmpl w:val="A79690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71458876">
    <w:abstractNumId w:val="0"/>
  </w:num>
  <w:num w:numId="2" w16cid:durableId="2142065774">
    <w:abstractNumId w:val="12"/>
  </w:num>
  <w:num w:numId="3" w16cid:durableId="1353530606">
    <w:abstractNumId w:val="6"/>
  </w:num>
  <w:num w:numId="4" w16cid:durableId="1243024182">
    <w:abstractNumId w:val="3"/>
  </w:num>
  <w:num w:numId="5" w16cid:durableId="1465000827">
    <w:abstractNumId w:val="14"/>
  </w:num>
  <w:num w:numId="6" w16cid:durableId="1073743156">
    <w:abstractNumId w:val="9"/>
  </w:num>
  <w:num w:numId="7" w16cid:durableId="153960716">
    <w:abstractNumId w:val="7"/>
  </w:num>
  <w:num w:numId="8" w16cid:durableId="1030300469">
    <w:abstractNumId w:val="15"/>
  </w:num>
  <w:num w:numId="9" w16cid:durableId="1262107794">
    <w:abstractNumId w:val="13"/>
  </w:num>
  <w:num w:numId="10" w16cid:durableId="936672129">
    <w:abstractNumId w:val="16"/>
  </w:num>
  <w:num w:numId="11" w16cid:durableId="411631875">
    <w:abstractNumId w:val="1"/>
  </w:num>
  <w:num w:numId="12" w16cid:durableId="1153719568">
    <w:abstractNumId w:val="17"/>
  </w:num>
  <w:num w:numId="13" w16cid:durableId="937324004">
    <w:abstractNumId w:val="4"/>
  </w:num>
  <w:num w:numId="14" w16cid:durableId="399838415">
    <w:abstractNumId w:val="2"/>
  </w:num>
  <w:num w:numId="15" w16cid:durableId="682440596">
    <w:abstractNumId w:val="18"/>
  </w:num>
  <w:num w:numId="16" w16cid:durableId="1210455542">
    <w:abstractNumId w:val="11"/>
  </w:num>
  <w:num w:numId="17" w16cid:durableId="1438063601">
    <w:abstractNumId w:val="8"/>
  </w:num>
  <w:num w:numId="18" w16cid:durableId="664894073">
    <w:abstractNumId w:val="10"/>
  </w:num>
  <w:num w:numId="19" w16cid:durableId="10555479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EDF"/>
    <w:rsid w:val="00050BDD"/>
    <w:rsid w:val="000623F4"/>
    <w:rsid w:val="00064DD8"/>
    <w:rsid w:val="000668A3"/>
    <w:rsid w:val="000C00C1"/>
    <w:rsid w:val="000D1C2B"/>
    <w:rsid w:val="00107690"/>
    <w:rsid w:val="00130B25"/>
    <w:rsid w:val="00162851"/>
    <w:rsid w:val="001678C1"/>
    <w:rsid w:val="00173809"/>
    <w:rsid w:val="00186031"/>
    <w:rsid w:val="00191CAD"/>
    <w:rsid w:val="001B0820"/>
    <w:rsid w:val="001B471D"/>
    <w:rsid w:val="001E337F"/>
    <w:rsid w:val="0020517B"/>
    <w:rsid w:val="00241104"/>
    <w:rsid w:val="002702F6"/>
    <w:rsid w:val="00272EDF"/>
    <w:rsid w:val="00292B7D"/>
    <w:rsid w:val="002C0558"/>
    <w:rsid w:val="002D3BAE"/>
    <w:rsid w:val="002E09CE"/>
    <w:rsid w:val="002E1A4E"/>
    <w:rsid w:val="002E2E93"/>
    <w:rsid w:val="002F5FF1"/>
    <w:rsid w:val="00322435"/>
    <w:rsid w:val="00337FC4"/>
    <w:rsid w:val="003644FC"/>
    <w:rsid w:val="003E1DB2"/>
    <w:rsid w:val="003F6661"/>
    <w:rsid w:val="004048D9"/>
    <w:rsid w:val="00476767"/>
    <w:rsid w:val="004F07C3"/>
    <w:rsid w:val="004F41C4"/>
    <w:rsid w:val="004F47F9"/>
    <w:rsid w:val="00542016"/>
    <w:rsid w:val="00557FF4"/>
    <w:rsid w:val="005629E3"/>
    <w:rsid w:val="00567C40"/>
    <w:rsid w:val="00581C9A"/>
    <w:rsid w:val="0058472A"/>
    <w:rsid w:val="0059491A"/>
    <w:rsid w:val="005A6925"/>
    <w:rsid w:val="005C1ED4"/>
    <w:rsid w:val="005D5D3E"/>
    <w:rsid w:val="00603456"/>
    <w:rsid w:val="00605CAE"/>
    <w:rsid w:val="00613975"/>
    <w:rsid w:val="00670242"/>
    <w:rsid w:val="00671CE2"/>
    <w:rsid w:val="006C02F4"/>
    <w:rsid w:val="006C78F6"/>
    <w:rsid w:val="006F3A7A"/>
    <w:rsid w:val="006F5761"/>
    <w:rsid w:val="007006F9"/>
    <w:rsid w:val="00792206"/>
    <w:rsid w:val="0079703E"/>
    <w:rsid w:val="007B278F"/>
    <w:rsid w:val="007D32BE"/>
    <w:rsid w:val="007D531A"/>
    <w:rsid w:val="007D60F3"/>
    <w:rsid w:val="007F42A5"/>
    <w:rsid w:val="007F5B47"/>
    <w:rsid w:val="008933D6"/>
    <w:rsid w:val="008978FB"/>
    <w:rsid w:val="008979CE"/>
    <w:rsid w:val="008B5A9D"/>
    <w:rsid w:val="008B7778"/>
    <w:rsid w:val="00903DB4"/>
    <w:rsid w:val="0092418C"/>
    <w:rsid w:val="009A2C0C"/>
    <w:rsid w:val="009B34E5"/>
    <w:rsid w:val="009C3B4C"/>
    <w:rsid w:val="009D5821"/>
    <w:rsid w:val="00A613DB"/>
    <w:rsid w:val="00A63540"/>
    <w:rsid w:val="00A72FE9"/>
    <w:rsid w:val="00A82140"/>
    <w:rsid w:val="00A826C9"/>
    <w:rsid w:val="00A9558E"/>
    <w:rsid w:val="00A95957"/>
    <w:rsid w:val="00A97298"/>
    <w:rsid w:val="00AB1ABE"/>
    <w:rsid w:val="00AC63F1"/>
    <w:rsid w:val="00AE7638"/>
    <w:rsid w:val="00AF2592"/>
    <w:rsid w:val="00B04402"/>
    <w:rsid w:val="00B373BB"/>
    <w:rsid w:val="00B45809"/>
    <w:rsid w:val="00B6043F"/>
    <w:rsid w:val="00BB2EF3"/>
    <w:rsid w:val="00BB3F28"/>
    <w:rsid w:val="00BE2AFC"/>
    <w:rsid w:val="00C528F9"/>
    <w:rsid w:val="00C52A90"/>
    <w:rsid w:val="00D05A66"/>
    <w:rsid w:val="00D8623F"/>
    <w:rsid w:val="00D86AC8"/>
    <w:rsid w:val="00DC5149"/>
    <w:rsid w:val="00E217E3"/>
    <w:rsid w:val="00E23DD9"/>
    <w:rsid w:val="00E2586E"/>
    <w:rsid w:val="00E26CC1"/>
    <w:rsid w:val="00E36D3E"/>
    <w:rsid w:val="00EA1B35"/>
    <w:rsid w:val="00EA5D9F"/>
    <w:rsid w:val="00EB1492"/>
    <w:rsid w:val="00EE3C5B"/>
    <w:rsid w:val="00EE719B"/>
    <w:rsid w:val="00EF13A2"/>
    <w:rsid w:val="00F208D3"/>
    <w:rsid w:val="00F42726"/>
    <w:rsid w:val="00F45254"/>
    <w:rsid w:val="00F55F46"/>
    <w:rsid w:val="00F84B0A"/>
    <w:rsid w:val="00FB7CB6"/>
    <w:rsid w:val="00FC6DDA"/>
    <w:rsid w:val="00FF6E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A74D8"/>
  <w15:docId w15:val="{31642A5A-7AF3-432D-91C8-E0D7239B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BodyText"/>
    <w:next w:val="BodyText"/>
    <w:uiPriority w:val="9"/>
    <w:semiHidden/>
    <w:unhideWhenUsed/>
    <w:qFormat/>
    <w:pPr>
      <w:keepNext/>
      <w:ind w:left="1080" w:hanging="1080"/>
      <w:outlineLvl w:val="1"/>
    </w:pPr>
    <w:rPr>
      <w:rFonts w:ascii="Arial" w:hAnsi="Arial"/>
      <w:b/>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
    <w:uiPriority w:val="10"/>
    <w:qFormat/>
    <w:pPr>
      <w:spacing w:after="240"/>
      <w:jc w:val="center"/>
    </w:pPr>
    <w:rPr>
      <w:rFonts w:ascii="Arial" w:hAnsi="Arial"/>
      <w:b/>
      <w:sz w:val="40"/>
    </w:rPr>
  </w:style>
  <w:style w:type="paragraph" w:styleId="BodyText">
    <w:name w:val="Body Text"/>
    <w:basedOn w:val="Normal"/>
    <w:pPr>
      <w:spacing w:before="240"/>
    </w:pPr>
    <w:rPr>
      <w:sz w:val="24"/>
    </w:rPr>
  </w:style>
  <w:style w:type="paragraph" w:styleId="List">
    <w:name w:val="List"/>
    <w:basedOn w:val="BodyText"/>
    <w:pPr>
      <w:ind w:left="1080" w:hanging="1080"/>
    </w:pPr>
  </w:style>
  <w:style w:type="paragraph" w:customStyle="1" w:styleId="amend">
    <w:name w:val="amend"/>
    <w:basedOn w:val="Normal"/>
    <w:pPr>
      <w:tabs>
        <w:tab w:val="left" w:pos="1080"/>
      </w:tabs>
      <w:spacing w:before="40" w:after="40"/>
      <w:jc w:val="right"/>
    </w:pPr>
    <w:rPr>
      <w:rFonts w:ascii="Arial" w:hAnsi="Arial"/>
      <w:b/>
      <w:sz w:val="24"/>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C73CD"/>
    <w:pPr>
      <w:ind w:left="720"/>
      <w:contextualSpacing/>
    </w:pPr>
  </w:style>
  <w:style w:type="character" w:styleId="Hyperlink">
    <w:name w:val="Hyperlink"/>
    <w:basedOn w:val="DefaultParagraphFont"/>
    <w:uiPriority w:val="99"/>
    <w:unhideWhenUsed/>
    <w:rsid w:val="009C73CD"/>
    <w:rPr>
      <w:color w:val="0000FF" w:themeColor="hyperlink"/>
      <w:u w:val="single"/>
    </w:rPr>
  </w:style>
  <w:style w:type="character" w:customStyle="1" w:styleId="UnresolvedMention1">
    <w:name w:val="Unresolved Mention1"/>
    <w:basedOn w:val="DefaultParagraphFont"/>
    <w:uiPriority w:val="99"/>
    <w:semiHidden/>
    <w:unhideWhenUsed/>
    <w:rsid w:val="009C73CD"/>
    <w:rPr>
      <w:color w:val="605E5C"/>
      <w:shd w:val="clear" w:color="auto" w:fill="E1DFDD"/>
    </w:rPr>
  </w:style>
  <w:style w:type="character" w:styleId="CommentReference">
    <w:name w:val="annotation reference"/>
    <w:basedOn w:val="DefaultParagraphFont"/>
    <w:uiPriority w:val="99"/>
    <w:semiHidden/>
    <w:unhideWhenUsed/>
    <w:rsid w:val="003050F7"/>
    <w:rPr>
      <w:sz w:val="16"/>
      <w:szCs w:val="16"/>
    </w:rPr>
  </w:style>
  <w:style w:type="paragraph" w:styleId="CommentText">
    <w:name w:val="annotation text"/>
    <w:basedOn w:val="Normal"/>
    <w:link w:val="CommentTextChar"/>
    <w:uiPriority w:val="99"/>
    <w:unhideWhenUsed/>
    <w:rsid w:val="003050F7"/>
  </w:style>
  <w:style w:type="character" w:customStyle="1" w:styleId="CommentTextChar">
    <w:name w:val="Comment Text Char"/>
    <w:basedOn w:val="DefaultParagraphFont"/>
    <w:link w:val="CommentText"/>
    <w:uiPriority w:val="99"/>
    <w:rsid w:val="003050F7"/>
  </w:style>
  <w:style w:type="paragraph" w:styleId="CommentSubject">
    <w:name w:val="annotation subject"/>
    <w:basedOn w:val="CommentText"/>
    <w:next w:val="CommentText"/>
    <w:link w:val="CommentSubjectChar"/>
    <w:uiPriority w:val="99"/>
    <w:semiHidden/>
    <w:unhideWhenUsed/>
    <w:rsid w:val="003050F7"/>
    <w:rPr>
      <w:b/>
      <w:bCs/>
    </w:rPr>
  </w:style>
  <w:style w:type="character" w:customStyle="1" w:styleId="CommentSubjectChar">
    <w:name w:val="Comment Subject Char"/>
    <w:basedOn w:val="CommentTextChar"/>
    <w:link w:val="CommentSubject"/>
    <w:uiPriority w:val="99"/>
    <w:semiHidden/>
    <w:rsid w:val="003050F7"/>
    <w:rPr>
      <w:b/>
      <w:bCs/>
    </w:rPr>
  </w:style>
  <w:style w:type="paragraph" w:styleId="Revision">
    <w:name w:val="Revision"/>
    <w:hidden/>
    <w:uiPriority w:val="99"/>
    <w:semiHidden/>
    <w:rsid w:val="00CF4224"/>
  </w:style>
  <w:style w:type="paragraph" w:customStyle="1" w:styleId="TableTextLeft">
    <w:name w:val="TableText Left"/>
    <w:basedOn w:val="Normal"/>
    <w:next w:val="Normal"/>
    <w:qFormat/>
    <w:rsid w:val="00CF4224"/>
    <w:pPr>
      <w:spacing w:before="60" w:after="60"/>
    </w:pPr>
    <w:rPr>
      <w:rFonts w:ascii="Arial" w:hAnsi="Arial"/>
      <w:sz w:val="22"/>
      <w:szCs w:val="22"/>
      <w:lang w:val="en-CA"/>
    </w:rPr>
  </w:style>
  <w:style w:type="table" w:customStyle="1" w:styleId="Davies-None">
    <w:name w:val="*Davies - None"/>
    <w:basedOn w:val="TableNormal"/>
    <w:uiPriority w:val="99"/>
    <w:rsid w:val="00CF4224"/>
    <w:rPr>
      <w:rFonts w:ascii="Arial" w:hAnsi="Arial"/>
      <w:sz w:val="22"/>
      <w:szCs w:val="22"/>
      <w:lang w:val="en-CA"/>
    </w:rPr>
    <w:tblPr>
      <w:tblCellMar>
        <w:left w:w="72" w:type="dxa"/>
        <w:right w:w="72" w:type="dxa"/>
      </w:tblCellMar>
    </w:tblPr>
  </w:style>
  <w:style w:type="paragraph" w:styleId="NormalWeb">
    <w:name w:val="Normal (Web)"/>
    <w:basedOn w:val="Normal"/>
    <w:uiPriority w:val="99"/>
    <w:semiHidden/>
    <w:unhideWhenUsed/>
    <w:rsid w:val="008A42E9"/>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7335">
      <w:bodyDiv w:val="1"/>
      <w:marLeft w:val="0"/>
      <w:marRight w:val="0"/>
      <w:marTop w:val="0"/>
      <w:marBottom w:val="0"/>
      <w:divBdr>
        <w:top w:val="none" w:sz="0" w:space="0" w:color="auto"/>
        <w:left w:val="none" w:sz="0" w:space="0" w:color="auto"/>
        <w:bottom w:val="none" w:sz="0" w:space="0" w:color="auto"/>
        <w:right w:val="none" w:sz="0" w:space="0" w:color="auto"/>
      </w:divBdr>
    </w:div>
    <w:div w:id="1615360307">
      <w:bodyDiv w:val="1"/>
      <w:marLeft w:val="0"/>
      <w:marRight w:val="0"/>
      <w:marTop w:val="0"/>
      <w:marBottom w:val="0"/>
      <w:divBdr>
        <w:top w:val="none" w:sz="0" w:space="0" w:color="auto"/>
        <w:left w:val="none" w:sz="0" w:space="0" w:color="auto"/>
        <w:bottom w:val="none" w:sz="0" w:space="0" w:color="auto"/>
        <w:right w:val="none" w:sz="0" w:space="0" w:color="auto"/>
      </w:divBdr>
    </w:div>
    <w:div w:id="1709524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ivcapita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GqQhEJEThVinT+SSIrFl8FNCwA==">AMUW2mULx6//MOi1ZBBxImBysJtTvTZmKjod67vzEYz2WUlBqBO7O764Ns8/PBuSe/FATiOrSNEbiSGUEcO90p+A89AbjdwhEYai+7WwhLuCkf+Ir8l1CpEu4Jg5Dqmkro4PPtWV08o4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57FDC5-C285-4FFE-A4D0-A951BC09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Small</dc:creator>
  <cp:lastModifiedBy>John Webster</cp:lastModifiedBy>
  <cp:revision>5</cp:revision>
  <cp:lastPrinted>2022-10-07T03:40:00Z</cp:lastPrinted>
  <dcterms:created xsi:type="dcterms:W3CDTF">2022-12-09T21:37:00Z</dcterms:created>
  <dcterms:modified xsi:type="dcterms:W3CDTF">2022-12-10T00:31:00Z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SWDocID">
    <vt:lpwstr>Tor#: 10322995.2</vt:lpwstr>
  </property>
</Properties>
</file>