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E1C9" w14:textId="77777777" w:rsidR="00061EB1" w:rsidRDefault="00061EB1">
      <w:pPr>
        <w:pStyle w:val="BodyA"/>
        <w:spacing w:after="240"/>
        <w:jc w:val="center"/>
        <w:rPr>
          <w:rStyle w:val="None"/>
          <w:rFonts w:ascii="Calibri" w:hAnsi="Calibri"/>
          <w:b/>
          <w:bCs/>
          <w:sz w:val="28"/>
          <w:szCs w:val="28"/>
          <w:lang w:val="en-US"/>
        </w:rPr>
      </w:pPr>
    </w:p>
    <w:p w14:paraId="34E1C681"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after="225" w:line="360" w:lineRule="atLeast"/>
        <w:jc w:val="center"/>
        <w:outlineLvl w:val="0"/>
        <w:rPr>
          <w:rFonts w:ascii="sofia-pro" w:eastAsia="Times New Roman" w:hAnsi="sofia-pro"/>
          <w:b/>
          <w:bCs/>
          <w:color w:val="222222"/>
          <w:kern w:val="36"/>
          <w:sz w:val="51"/>
          <w:szCs w:val="51"/>
          <w:bdr w:val="none" w:sz="0" w:space="0" w:color="auto"/>
          <w:lang w:val="en-CA" w:eastAsia="en-CA"/>
        </w:rPr>
      </w:pPr>
      <w:r w:rsidRPr="003E0543">
        <w:rPr>
          <w:rFonts w:ascii="sofia-pro" w:eastAsia="Times New Roman" w:hAnsi="sofia-pro"/>
          <w:b/>
          <w:bCs/>
          <w:color w:val="222222"/>
          <w:kern w:val="36"/>
          <w:sz w:val="51"/>
          <w:szCs w:val="51"/>
          <w:bdr w:val="none" w:sz="0" w:space="0" w:color="auto"/>
          <w:lang w:val="en-CA" w:eastAsia="en-CA"/>
        </w:rPr>
        <w:t>Relay Medical Announces Closing of Private Placement for Gross Proceeds of Over $1,800,000</w:t>
      </w:r>
    </w:p>
    <w:p w14:paraId="0228C05A"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Toronto, ON – September 17, 2020 – Relay Medical Corp. (“Relay” or the “Company”) (CSE: RELA, OTC: RYMDF, Frankfurt: EIY2), is pleased to announce the closing of a non-brokered private placement financing (the “Offering”) of gross proceeds of $1,833,316.02 through the issuance of 10,185,089 units (each, a “Unit”) at a price of $0.18 per Unit. Each Unit is comprised of: (</w:t>
      </w:r>
      <w:proofErr w:type="spellStart"/>
      <w:r w:rsidRPr="003E0543">
        <w:rPr>
          <w:rFonts w:ascii="Alice" w:eastAsia="Times New Roman" w:hAnsi="Alice"/>
          <w:color w:val="222222"/>
          <w:bdr w:val="none" w:sz="0" w:space="0" w:color="auto"/>
          <w:lang w:val="en-CA" w:eastAsia="en-CA"/>
        </w:rPr>
        <w:t>i</w:t>
      </w:r>
      <w:proofErr w:type="spellEnd"/>
      <w:r w:rsidRPr="003E0543">
        <w:rPr>
          <w:rFonts w:ascii="Alice" w:eastAsia="Times New Roman" w:hAnsi="Alice"/>
          <w:color w:val="222222"/>
          <w:bdr w:val="none" w:sz="0" w:space="0" w:color="auto"/>
          <w:lang w:val="en-CA" w:eastAsia="en-CA"/>
        </w:rPr>
        <w:t xml:space="preserve">) one common share in the capital of the Company (each a “Common Share”); (ii) one Common Share purchase warrant (each, a </w:t>
      </w:r>
      <w:proofErr w:type="gramStart"/>
      <w:r w:rsidRPr="003E0543">
        <w:rPr>
          <w:rFonts w:ascii="Alice" w:eastAsia="Times New Roman" w:hAnsi="Alice"/>
          <w:color w:val="222222"/>
          <w:bdr w:val="none" w:sz="0" w:space="0" w:color="auto"/>
          <w:lang w:val="en-CA" w:eastAsia="en-CA"/>
        </w:rPr>
        <w:t>“ Warrant</w:t>
      </w:r>
      <w:proofErr w:type="gramEnd"/>
      <w:r w:rsidRPr="003E0543">
        <w:rPr>
          <w:rFonts w:ascii="Alice" w:eastAsia="Times New Roman" w:hAnsi="Alice"/>
          <w:color w:val="222222"/>
          <w:bdr w:val="none" w:sz="0" w:space="0" w:color="auto"/>
          <w:lang w:val="en-CA" w:eastAsia="en-CA"/>
        </w:rPr>
        <w:t xml:space="preserve">”). </w:t>
      </w:r>
    </w:p>
    <w:p w14:paraId="7067FDE1"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Each Warrant entitles the holder to purchase one additional Common Share at an exercise price of $0.20 on or before September 17, 2022. </w:t>
      </w:r>
    </w:p>
    <w:p w14:paraId="6083A1FE"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Gross proceeds raised from the Offering will be used for working capital and general corporate purposes. The securities issued upon closing of the Offering are subject to a hold period until January 18, 2021, pursuant to applicable securities laws. </w:t>
      </w:r>
    </w:p>
    <w:p w14:paraId="34EA646B"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Certain eligible persons (the “Finders”) were paid a cash commission equal to 8% of the proceeds raised from subscribers introduced to the Company by such Finder and also issued an aggregate of 129,644 finder warrants (the “Finder Warrants”) to the Finders. Each Finder Warrant entitling the holder to acquire one Common Share at a price of $0.20 for a period of twenty-four (24) months from the date of issuance. </w:t>
      </w:r>
    </w:p>
    <w:p w14:paraId="1F1B19DD"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In addition, the Company announces that it has entered into debt conversion agreements with arm’s length and non-arm’s length creditors, pursuant to which the Company has settled an aggregate of $101,500 of indebtedness through the issuance of 441,300 Common Shares at a price of $0.23 per Common Share (the “Debt Settlement”). The Common Shares issued pursuant to the debt settlement are subject to a four-month hold period and completion of the transaction remains subject to final acceptance of the Canadian Securities Exchange. </w:t>
      </w:r>
    </w:p>
    <w:p w14:paraId="6DBC0794"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The Debt Settlement constituted a “related party transaction” as defined in Multilateral Instrument 61-101 – Protection of Minority Securityholders in Special Transactions (“MI 61-101”), as insiders of the Company acquired 126,090 Common Shares. The Company is </w:t>
      </w:r>
      <w:r w:rsidRPr="003E0543">
        <w:rPr>
          <w:rFonts w:ascii="Alice" w:eastAsia="Times New Roman" w:hAnsi="Alice"/>
          <w:color w:val="222222"/>
          <w:bdr w:val="none" w:sz="0" w:space="0" w:color="auto"/>
          <w:lang w:val="en-CA" w:eastAsia="en-CA"/>
        </w:rPr>
        <w:lastRenderedPageBreak/>
        <w:t xml:space="preserve">relying on the exemptions from the valuation and minority shareholder approval requirements of MI 61-101 contained in sections 5.5(a) and 5.7(1)(a) of MI 61-101, as the fair market value of the participation in the Offering by insiders does not exceed 25% of the market capitalization of the Company, as determined in accordance with MI 61-101. The Company did not file a material change report in respect of the related party transaction at least 21 days before the closing of the Offering, which the Company deems reasonable in the circumstances so as to be able to avail itself of the proceeds of the Offering in an expeditious manner. </w:t>
      </w:r>
    </w:p>
    <w:p w14:paraId="617B9FDE"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About Relay Medical Corp. </w:t>
      </w:r>
    </w:p>
    <w:p w14:paraId="5EB0DF17"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Relay Medical is an evolving "Integrated MedTech Accelerator" headquartered in Toronto, Canada, acquiring early-stage technologies and inventions, </w:t>
      </w:r>
      <w:proofErr w:type="gramStart"/>
      <w:r w:rsidRPr="003E0543">
        <w:rPr>
          <w:rFonts w:ascii="Alice" w:eastAsia="Times New Roman" w:hAnsi="Alice"/>
          <w:color w:val="222222"/>
          <w:bdr w:val="none" w:sz="0" w:space="0" w:color="auto"/>
          <w:lang w:val="en-CA" w:eastAsia="en-CA"/>
        </w:rPr>
        <w:t>advancing</w:t>
      </w:r>
      <w:proofErr w:type="gramEnd"/>
      <w:r w:rsidRPr="003E0543">
        <w:rPr>
          <w:rFonts w:ascii="Alice" w:eastAsia="Times New Roman" w:hAnsi="Alice"/>
          <w:color w:val="222222"/>
          <w:bdr w:val="none" w:sz="0" w:space="0" w:color="auto"/>
          <w:lang w:val="en-CA" w:eastAsia="en-CA"/>
        </w:rPr>
        <w:t xml:space="preserve"> and preparing them for pre-commercial acquisitions in the </w:t>
      </w:r>
      <w:proofErr w:type="spellStart"/>
      <w:r w:rsidRPr="003E0543">
        <w:rPr>
          <w:rFonts w:ascii="Alice" w:eastAsia="Times New Roman" w:hAnsi="Alice"/>
          <w:color w:val="222222"/>
          <w:bdr w:val="none" w:sz="0" w:space="0" w:color="auto"/>
          <w:lang w:val="en-CA" w:eastAsia="en-CA"/>
        </w:rPr>
        <w:t>HealthTech</w:t>
      </w:r>
      <w:proofErr w:type="spellEnd"/>
      <w:r w:rsidRPr="003E0543">
        <w:rPr>
          <w:rFonts w:ascii="Alice" w:eastAsia="Times New Roman" w:hAnsi="Alice"/>
          <w:color w:val="222222"/>
          <w:bdr w:val="none" w:sz="0" w:space="0" w:color="auto"/>
          <w:lang w:val="en-CA" w:eastAsia="en-CA"/>
        </w:rPr>
        <w:t xml:space="preserve"> marketplace. By integrating the funding, development and exit process into one organization led and managed by one expert team, Relay Medical is building the capacity to accelerate and transact technologies with high efficiency and grow into a leading engine for MedTech innovation in the global </w:t>
      </w:r>
      <w:proofErr w:type="spellStart"/>
      <w:r w:rsidRPr="003E0543">
        <w:rPr>
          <w:rFonts w:ascii="Alice" w:eastAsia="Times New Roman" w:hAnsi="Alice"/>
          <w:color w:val="222222"/>
          <w:bdr w:val="none" w:sz="0" w:space="0" w:color="auto"/>
          <w:lang w:val="en-CA" w:eastAsia="en-CA"/>
        </w:rPr>
        <w:t>HealthTech</w:t>
      </w:r>
      <w:proofErr w:type="spellEnd"/>
      <w:r w:rsidRPr="003E0543">
        <w:rPr>
          <w:rFonts w:ascii="Alice" w:eastAsia="Times New Roman" w:hAnsi="Alice"/>
          <w:color w:val="222222"/>
          <w:bdr w:val="none" w:sz="0" w:space="0" w:color="auto"/>
          <w:lang w:val="en-CA" w:eastAsia="en-CA"/>
        </w:rPr>
        <w:t xml:space="preserve"> marketplace. </w:t>
      </w:r>
    </w:p>
    <w:p w14:paraId="426B4E38"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Website: www.relaymedical.com </w:t>
      </w:r>
    </w:p>
    <w:p w14:paraId="29A4A485"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Contact: </w:t>
      </w:r>
      <w:r w:rsidRPr="003E0543">
        <w:rPr>
          <w:rFonts w:ascii="Alice" w:eastAsia="Times New Roman" w:hAnsi="Alice"/>
          <w:color w:val="222222"/>
          <w:bdr w:val="none" w:sz="0" w:space="0" w:color="auto"/>
          <w:lang w:val="en-CA" w:eastAsia="en-CA"/>
        </w:rPr>
        <w:br/>
        <w:t xml:space="preserve">W. Clark Kent </w:t>
      </w:r>
      <w:r w:rsidRPr="003E0543">
        <w:rPr>
          <w:rFonts w:ascii="Alice" w:eastAsia="Times New Roman" w:hAnsi="Alice"/>
          <w:color w:val="222222"/>
          <w:bdr w:val="none" w:sz="0" w:space="0" w:color="auto"/>
          <w:lang w:val="en-CA" w:eastAsia="en-CA"/>
        </w:rPr>
        <w:br/>
        <w:t xml:space="preserve">President </w:t>
      </w:r>
      <w:r w:rsidRPr="003E0543">
        <w:rPr>
          <w:rFonts w:ascii="Alice" w:eastAsia="Times New Roman" w:hAnsi="Alice"/>
          <w:color w:val="222222"/>
          <w:bdr w:val="none" w:sz="0" w:space="0" w:color="auto"/>
          <w:lang w:val="en-CA" w:eastAsia="en-CA"/>
        </w:rPr>
        <w:br/>
        <w:t xml:space="preserve">Relay Medical Corp. </w:t>
      </w:r>
      <w:r w:rsidRPr="003E0543">
        <w:rPr>
          <w:rFonts w:ascii="Alice" w:eastAsia="Times New Roman" w:hAnsi="Alice"/>
          <w:color w:val="222222"/>
          <w:bdr w:val="none" w:sz="0" w:space="0" w:color="auto"/>
          <w:lang w:val="en-CA" w:eastAsia="en-CA"/>
        </w:rPr>
        <w:br/>
        <w:t xml:space="preserve">Office. 647-872-9982 ext. 2 </w:t>
      </w:r>
      <w:r w:rsidRPr="003E0543">
        <w:rPr>
          <w:rFonts w:ascii="Alice" w:eastAsia="Times New Roman" w:hAnsi="Alice"/>
          <w:color w:val="222222"/>
          <w:bdr w:val="none" w:sz="0" w:space="0" w:color="auto"/>
          <w:lang w:val="en-CA" w:eastAsia="en-CA"/>
        </w:rPr>
        <w:br/>
        <w:t xml:space="preserve">TF. 1-844-247-6633 ext. 2 </w:t>
      </w:r>
      <w:r w:rsidRPr="003E0543">
        <w:rPr>
          <w:rFonts w:ascii="Alice" w:eastAsia="Times New Roman" w:hAnsi="Alice"/>
          <w:color w:val="222222"/>
          <w:bdr w:val="none" w:sz="0" w:space="0" w:color="auto"/>
          <w:lang w:val="en-CA" w:eastAsia="en-CA"/>
        </w:rPr>
        <w:br/>
        <w:t xml:space="preserve">investor.relations@relaymedical.com </w:t>
      </w:r>
    </w:p>
    <w:p w14:paraId="2C48448E"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Bernhard Langer </w:t>
      </w:r>
      <w:r w:rsidRPr="003E0543">
        <w:rPr>
          <w:rFonts w:ascii="Alice" w:eastAsia="Times New Roman" w:hAnsi="Alice"/>
          <w:color w:val="222222"/>
          <w:bdr w:val="none" w:sz="0" w:space="0" w:color="auto"/>
          <w:lang w:val="en-CA" w:eastAsia="en-CA"/>
        </w:rPr>
        <w:br/>
        <w:t xml:space="preserve">EU Investor Relations </w:t>
      </w:r>
      <w:r w:rsidRPr="003E0543">
        <w:rPr>
          <w:rFonts w:ascii="Alice" w:eastAsia="Times New Roman" w:hAnsi="Alice"/>
          <w:color w:val="222222"/>
          <w:bdr w:val="none" w:sz="0" w:space="0" w:color="auto"/>
          <w:lang w:val="en-CA" w:eastAsia="en-CA"/>
        </w:rPr>
        <w:br/>
        <w:t xml:space="preserve">Office. +49 (0) 177 774 2314 </w:t>
      </w:r>
      <w:r w:rsidRPr="003E0543">
        <w:rPr>
          <w:rFonts w:ascii="Alice" w:eastAsia="Times New Roman" w:hAnsi="Alice"/>
          <w:color w:val="222222"/>
          <w:bdr w:val="none" w:sz="0" w:space="0" w:color="auto"/>
          <w:lang w:val="en-CA" w:eastAsia="en-CA"/>
        </w:rPr>
        <w:br/>
        <w:t xml:space="preserve">Email: blanger@relaymedical.com </w:t>
      </w:r>
    </w:p>
    <w:p w14:paraId="6B7AC4F0"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after="100" w:after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Forward-looking Information Cautionary Statement </w:t>
      </w:r>
    </w:p>
    <w:p w14:paraId="5FE224B8" w14:textId="77777777" w:rsidR="003E0543" w:rsidRPr="003E0543" w:rsidRDefault="003E0543" w:rsidP="003E0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DEDED"/>
        <w:spacing w:before="100" w:beforeAutospacing="1"/>
        <w:rPr>
          <w:rFonts w:ascii="Alice" w:eastAsia="Times New Roman" w:hAnsi="Alice"/>
          <w:color w:val="222222"/>
          <w:bdr w:val="none" w:sz="0" w:space="0" w:color="auto"/>
          <w:lang w:val="en-CA" w:eastAsia="en-CA"/>
        </w:rPr>
      </w:pPr>
      <w:r w:rsidRPr="003E0543">
        <w:rPr>
          <w:rFonts w:ascii="Alice" w:eastAsia="Times New Roman" w:hAnsi="Alice"/>
          <w:color w:val="222222"/>
          <w:bdr w:val="none" w:sz="0" w:space="0" w:color="auto"/>
          <w:lang w:val="en-CA" w:eastAsia="en-CA"/>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commercialization plans for UXD </w:t>
      </w:r>
      <w:r w:rsidRPr="003E0543">
        <w:rPr>
          <w:rFonts w:ascii="Alice" w:eastAsia="Times New Roman" w:hAnsi="Alice"/>
          <w:color w:val="222222"/>
          <w:bdr w:val="none" w:sz="0" w:space="0" w:color="auto"/>
          <w:lang w:val="en-CA" w:eastAsia="en-CA"/>
        </w:rPr>
        <w:lastRenderedPageBreak/>
        <w:t>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filings are available at www.sedar.com</w:t>
      </w:r>
    </w:p>
    <w:p w14:paraId="50E91BAF" w14:textId="1DCAA500" w:rsidR="00B2718D" w:rsidRDefault="00B2718D" w:rsidP="003E0543"/>
    <w:sectPr w:rsidR="00B2718D">
      <w:headerReference w:type="default" r:id="rId8"/>
      <w:footerReference w:type="default" r:id="rId9"/>
      <w:headerReference w:type="first" r:id="rId10"/>
      <w:pgSz w:w="12240" w:h="15840"/>
      <w:pgMar w:top="1440" w:right="1440" w:bottom="763"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A6AC" w14:textId="77777777" w:rsidR="00743080" w:rsidRDefault="00743080">
      <w:r>
        <w:separator/>
      </w:r>
    </w:p>
  </w:endnote>
  <w:endnote w:type="continuationSeparator" w:id="0">
    <w:p w14:paraId="17403E7F" w14:textId="77777777" w:rsidR="00743080" w:rsidRDefault="0074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ofia-pro">
    <w:altName w:val="Cambria"/>
    <w:panose1 w:val="00000000000000000000"/>
    <w:charset w:val="00"/>
    <w:family w:val="roman"/>
    <w:notTrueType/>
    <w:pitch w:val="default"/>
  </w:font>
  <w:font w:name="Alic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F3EB" w14:textId="77777777" w:rsidR="00B2718D" w:rsidRDefault="00A14DD4">
    <w:pPr>
      <w:pStyle w:val="Footer"/>
    </w:pPr>
    <w:r>
      <w:rPr>
        <w:rStyle w:val="None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E295" w14:textId="77777777" w:rsidR="00743080" w:rsidRDefault="00743080">
      <w:r>
        <w:separator/>
      </w:r>
    </w:p>
  </w:footnote>
  <w:footnote w:type="continuationSeparator" w:id="0">
    <w:p w14:paraId="3CE2AEEA" w14:textId="77777777" w:rsidR="00743080" w:rsidRDefault="0074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2193" w14:textId="77777777" w:rsidR="00B2718D" w:rsidRDefault="00A14DD4">
    <w:pPr>
      <w:pStyle w:val="Header"/>
      <w:jc w:val="center"/>
    </w:pPr>
    <w:r>
      <w:rPr>
        <w:rStyle w:val="NoneA"/>
      </w:rPr>
      <w:fldChar w:fldCharType="begin"/>
    </w:r>
    <w:r>
      <w:rPr>
        <w:rStyle w:val="NoneA"/>
      </w:rPr>
      <w:instrText xml:space="preserve"> PAGE </w:instrText>
    </w:r>
    <w:r>
      <w:rPr>
        <w:rStyle w:val="NoneA"/>
      </w:rPr>
      <w:fldChar w:fldCharType="separate"/>
    </w:r>
    <w:r w:rsidR="000E0153">
      <w:rPr>
        <w:rStyle w:val="NoneA"/>
        <w:noProof/>
      </w:rPr>
      <w:t>2</w:t>
    </w:r>
    <w:r>
      <w:rPr>
        <w:rStyle w:val="None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86C4" w14:textId="77777777" w:rsidR="00B2718D" w:rsidRDefault="00A14DD4">
    <w:pPr>
      <w:pStyle w:val="Header"/>
      <w:tabs>
        <w:tab w:val="left" w:pos="3105"/>
        <w:tab w:val="left" w:pos="3135"/>
      </w:tabs>
      <w:rPr>
        <w:rFonts w:ascii="Calibri" w:eastAsia="Calibri" w:hAnsi="Calibri" w:cs="Calibri"/>
        <w:b/>
        <w:bCs/>
        <w:color w:val="808080"/>
        <w:u w:color="808080"/>
      </w:rPr>
    </w:pPr>
    <w:r>
      <w:rPr>
        <w:noProof/>
      </w:rPr>
      <w:drawing>
        <wp:inline distT="0" distB="0" distL="0" distR="0" wp14:anchorId="099ACBDA" wp14:editId="128B11C3">
          <wp:extent cx="1674724" cy="57785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674724" cy="577850"/>
                  </a:xfrm>
                  <a:prstGeom prst="rect">
                    <a:avLst/>
                  </a:prstGeom>
                  <a:ln w="12700" cap="flat">
                    <a:noFill/>
                    <a:miter lim="400000"/>
                  </a:ln>
                  <a:effectLst/>
                </pic:spPr>
              </pic:pic>
            </a:graphicData>
          </a:graphic>
        </wp:inline>
      </w:drawing>
    </w:r>
  </w:p>
  <w:p w14:paraId="0F4465D1" w14:textId="77777777" w:rsidR="006C08E0" w:rsidRDefault="00A14DD4">
    <w:pPr>
      <w:pStyle w:val="Header"/>
      <w:rPr>
        <w:rStyle w:val="NoneA"/>
      </w:rPr>
    </w:pPr>
    <w:r>
      <w:rPr>
        <w:rStyle w:val="NoneA"/>
      </w:rPr>
      <w:tab/>
    </w:r>
  </w:p>
  <w:p w14:paraId="0E95E685" w14:textId="5C0D7D34" w:rsidR="00B2718D" w:rsidRDefault="00A14DD4">
    <w:pPr>
      <w:pStyle w:val="Header"/>
    </w:pPr>
    <w:r>
      <w:rPr>
        <w:rFonts w:ascii="Calibri" w:hAnsi="Calibri"/>
        <w:b/>
        <w:bCs/>
        <w:sz w:val="22"/>
        <w:szCs w:val="22"/>
      </w:rPr>
      <w:t>Office: 647-872-9982</w:t>
    </w:r>
    <w:r>
      <w:rPr>
        <w:rFonts w:ascii="Calibri" w:eastAsia="Calibri" w:hAnsi="Calibri" w:cs="Calibri"/>
        <w:b/>
        <w:bCs/>
        <w:sz w:val="22"/>
        <w:szCs w:val="22"/>
      </w:rPr>
      <w:br/>
    </w:r>
    <w:r>
      <w:rPr>
        <w:rFonts w:ascii="Calibri" w:hAnsi="Calibri"/>
        <w:b/>
        <w:bCs/>
        <w:sz w:val="22"/>
        <w:szCs w:val="22"/>
      </w:rPr>
      <w:t>Toll-free/Fax: 1-844-247-6633</w:t>
    </w:r>
    <w:r>
      <w:rPr>
        <w:rFonts w:ascii="Calibri" w:eastAsia="Calibri" w:hAnsi="Calibri" w:cs="Calibri"/>
        <w:b/>
        <w:bCs/>
        <w:color w:val="7F7F7F"/>
        <w:sz w:val="20"/>
        <w:szCs w:val="20"/>
        <w:u w:color="7F7F7F"/>
      </w:rPr>
      <w:br/>
    </w:r>
    <w:r>
      <w:rPr>
        <w:rFonts w:ascii="Calibri" w:eastAsia="Calibri" w:hAnsi="Calibri" w:cs="Calibri"/>
        <w:sz w:val="22"/>
        <w:szCs w:val="22"/>
      </w:rPr>
      <w:br/>
    </w:r>
    <w:r>
      <w:rPr>
        <w:rFonts w:ascii="Calibri" w:hAnsi="Calibri"/>
        <w:sz w:val="20"/>
        <w:szCs w:val="20"/>
      </w:rPr>
      <w:t xml:space="preserve">Email: </w:t>
    </w:r>
    <w:hyperlink r:id="rId2" w:history="1">
      <w:r>
        <w:rPr>
          <w:rStyle w:val="Hyperlink0"/>
        </w:rPr>
        <w:t>info@relaymedical.com</w:t>
      </w:r>
    </w:hyperlink>
    <w:r>
      <w:rPr>
        <w:rStyle w:val="None"/>
        <w:rFonts w:ascii="Calibri" w:eastAsia="Calibri" w:hAnsi="Calibri" w:cs="Calibri"/>
        <w:sz w:val="20"/>
        <w:szCs w:val="20"/>
      </w:rPr>
      <w:br/>
    </w:r>
    <w:r>
      <w:rPr>
        <w:rStyle w:val="None"/>
        <w:rFonts w:ascii="Calibri" w:hAnsi="Calibri"/>
        <w:sz w:val="20"/>
        <w:szCs w:val="20"/>
      </w:rPr>
      <w:t>Suite 1600-401 Bay St.</w:t>
    </w:r>
    <w:r>
      <w:rPr>
        <w:rStyle w:val="None"/>
        <w:rFonts w:ascii="Calibri" w:eastAsia="Calibri" w:hAnsi="Calibri" w:cs="Calibri"/>
        <w:sz w:val="20"/>
        <w:szCs w:val="20"/>
      </w:rPr>
      <w:br/>
    </w:r>
    <w:r>
      <w:rPr>
        <w:rStyle w:val="None"/>
        <w:rFonts w:ascii="Calibri" w:hAnsi="Calibri"/>
        <w:sz w:val="20"/>
        <w:szCs w:val="20"/>
      </w:rPr>
      <w:t>Toronto, Ontario M5H 2Y4</w:t>
    </w:r>
    <w:r>
      <w:rPr>
        <w:rStyle w:val="None"/>
        <w:rFonts w:ascii="Calibri" w:hAnsi="Calibri"/>
        <w:b/>
        <w:bCs/>
        <w:color w:val="808080"/>
        <w:u w:color="808080"/>
      </w:rPr>
      <w:t xml:space="preserve">     </w:t>
    </w:r>
    <w:r>
      <w:rPr>
        <w:rStyle w:val="None"/>
        <w:rFonts w:ascii="Calibri" w:hAnsi="Calibri"/>
        <w:b/>
        <w:bCs/>
        <w:color w:val="808080"/>
        <w:u w:color="80808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7EBA"/>
    <w:multiLevelType w:val="hybridMultilevel"/>
    <w:tmpl w:val="F81000D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C4126"/>
    <w:multiLevelType w:val="hybridMultilevel"/>
    <w:tmpl w:val="F4225DF2"/>
    <w:numStyleLink w:val="ImportedStyle1"/>
  </w:abstractNum>
  <w:abstractNum w:abstractNumId="2" w15:restartNumberingAfterBreak="0">
    <w:nsid w:val="2E68069E"/>
    <w:multiLevelType w:val="hybridMultilevel"/>
    <w:tmpl w:val="F4225DF2"/>
    <w:styleLink w:val="ImportedStyle1"/>
    <w:lvl w:ilvl="0" w:tplc="63787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26C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8CA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A14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52A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6E1B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A3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AA3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9A63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0F2F7E"/>
    <w:multiLevelType w:val="hybridMultilevel"/>
    <w:tmpl w:val="74FA309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8D"/>
    <w:rsid w:val="00061EB1"/>
    <w:rsid w:val="000864D2"/>
    <w:rsid w:val="00091AFD"/>
    <w:rsid w:val="000C586A"/>
    <w:rsid w:val="000E0153"/>
    <w:rsid w:val="00107F6C"/>
    <w:rsid w:val="00204A57"/>
    <w:rsid w:val="002274BD"/>
    <w:rsid w:val="00251B70"/>
    <w:rsid w:val="002A5F2E"/>
    <w:rsid w:val="002B2694"/>
    <w:rsid w:val="00335205"/>
    <w:rsid w:val="00346B17"/>
    <w:rsid w:val="00365A73"/>
    <w:rsid w:val="003668F8"/>
    <w:rsid w:val="00382AEC"/>
    <w:rsid w:val="003E0543"/>
    <w:rsid w:val="003F6890"/>
    <w:rsid w:val="004622BA"/>
    <w:rsid w:val="00492C39"/>
    <w:rsid w:val="004E7087"/>
    <w:rsid w:val="00526B46"/>
    <w:rsid w:val="005D2D11"/>
    <w:rsid w:val="006176C8"/>
    <w:rsid w:val="006933EC"/>
    <w:rsid w:val="006C08E0"/>
    <w:rsid w:val="006C2FD6"/>
    <w:rsid w:val="006F152D"/>
    <w:rsid w:val="007014E3"/>
    <w:rsid w:val="00705C70"/>
    <w:rsid w:val="007260E3"/>
    <w:rsid w:val="00741D37"/>
    <w:rsid w:val="00743080"/>
    <w:rsid w:val="007C10A8"/>
    <w:rsid w:val="008B7BEA"/>
    <w:rsid w:val="008E6855"/>
    <w:rsid w:val="00904086"/>
    <w:rsid w:val="00904F2B"/>
    <w:rsid w:val="009C3DD5"/>
    <w:rsid w:val="00A14DD4"/>
    <w:rsid w:val="00A31BA9"/>
    <w:rsid w:val="00AA7A3F"/>
    <w:rsid w:val="00AC2F8E"/>
    <w:rsid w:val="00AE7EE5"/>
    <w:rsid w:val="00B03060"/>
    <w:rsid w:val="00B2718D"/>
    <w:rsid w:val="00B31934"/>
    <w:rsid w:val="00BA76B3"/>
    <w:rsid w:val="00BB2DB2"/>
    <w:rsid w:val="00BB42F9"/>
    <w:rsid w:val="00BE6280"/>
    <w:rsid w:val="00C15FC7"/>
    <w:rsid w:val="00C2218A"/>
    <w:rsid w:val="00C22211"/>
    <w:rsid w:val="00C877A3"/>
    <w:rsid w:val="00D13BF1"/>
    <w:rsid w:val="00D74397"/>
    <w:rsid w:val="00D87141"/>
    <w:rsid w:val="00DB4CEB"/>
    <w:rsid w:val="00E05EE5"/>
    <w:rsid w:val="00E72B38"/>
    <w:rsid w:val="00E8594B"/>
    <w:rsid w:val="00EF5793"/>
    <w:rsid w:val="00F15BDF"/>
    <w:rsid w:val="00F816E7"/>
    <w:rsid w:val="00FD0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104F"/>
  <w15:docId w15:val="{4E53C2E5-81D1-3E4A-9874-FB257AE6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3E05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character" w:customStyle="1" w:styleId="NoneA">
    <w:name w:val="None A"/>
  </w:style>
  <w:style w:type="paragraph" w:styleId="Footer">
    <w:name w:val="footer"/>
    <w:pPr>
      <w:tabs>
        <w:tab w:val="center" w:pos="4320"/>
        <w:tab w:val="right" w:pos="8640"/>
      </w:tabs>
    </w:pPr>
    <w:rPr>
      <w:rFonts w:cs="Arial Unicode MS"/>
      <w:color w:val="000000"/>
      <w:sz w:val="24"/>
      <w:szCs w:val="24"/>
      <w:u w:color="000000"/>
      <w:lang w:val="en-US"/>
    </w:rPr>
  </w:style>
  <w:style w:type="character" w:customStyle="1" w:styleId="None">
    <w:name w:val="None"/>
    <w:qFormat/>
  </w:style>
  <w:style w:type="character" w:customStyle="1" w:styleId="Hyperlink0">
    <w:name w:val="Hyperlink.0"/>
    <w:basedOn w:val="None"/>
    <w:rPr>
      <w:rFonts w:ascii="Calibri" w:eastAsia="Calibri" w:hAnsi="Calibri" w:cs="Calibri"/>
      <w:sz w:val="20"/>
      <w:szCs w:val="20"/>
      <w:u w:val="singl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link w:val="BodyTextChar"/>
    <w:pPr>
      <w:spacing w:after="120"/>
    </w:pPr>
    <w:rPr>
      <w:rFonts w:ascii="Cambria" w:hAnsi="Cambria" w:cs="Arial Unicode MS"/>
      <w:color w:val="000000"/>
      <w:sz w:val="24"/>
      <w:szCs w:val="24"/>
      <w:u w:color="000000"/>
      <w:lang w:val="en-US"/>
    </w:rPr>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styleId="NormalWeb">
    <w:name w:val="Normal (Web)"/>
    <w:rPr>
      <w:rFonts w:cs="Arial Unicode MS"/>
      <w:color w:val="000000"/>
      <w:sz w:val="24"/>
      <w:szCs w:val="24"/>
      <w:u w:color="000000"/>
      <w:lang w:val="en-US"/>
    </w:rPr>
  </w:style>
  <w:style w:type="character" w:customStyle="1" w:styleId="Hyperlink2">
    <w:name w:val="Hyperlink.2"/>
    <w:basedOn w:val="None"/>
    <w:rPr>
      <w:rFonts w:ascii="Calibri" w:eastAsia="Calibri" w:hAnsi="Calibri" w:cs="Calibri"/>
      <w:outline w:val="0"/>
      <w:color w:val="0000FF"/>
      <w:sz w:val="20"/>
      <w:szCs w:val="20"/>
      <w:u w:val="single" w:color="0000FF"/>
    </w:rPr>
  </w:style>
  <w:style w:type="paragraph" w:styleId="BalloonText">
    <w:name w:val="Balloon Text"/>
    <w:basedOn w:val="Normal"/>
    <w:link w:val="BalloonTextChar"/>
    <w:uiPriority w:val="99"/>
    <w:semiHidden/>
    <w:unhideWhenUsed/>
    <w:rsid w:val="000E0153"/>
    <w:rPr>
      <w:sz w:val="18"/>
      <w:szCs w:val="18"/>
    </w:rPr>
  </w:style>
  <w:style w:type="character" w:customStyle="1" w:styleId="BalloonTextChar">
    <w:name w:val="Balloon Text Char"/>
    <w:basedOn w:val="DefaultParagraphFont"/>
    <w:link w:val="BalloonText"/>
    <w:uiPriority w:val="99"/>
    <w:semiHidden/>
    <w:rsid w:val="000E0153"/>
    <w:rPr>
      <w:sz w:val="18"/>
      <w:szCs w:val="18"/>
      <w:lang w:val="en-US"/>
    </w:rPr>
  </w:style>
  <w:style w:type="character" w:styleId="FollowedHyperlink">
    <w:name w:val="FollowedHyperlink"/>
    <w:basedOn w:val="DefaultParagraphFont"/>
    <w:uiPriority w:val="99"/>
    <w:semiHidden/>
    <w:unhideWhenUsed/>
    <w:rsid w:val="006176C8"/>
    <w:rPr>
      <w:color w:val="FF00FF" w:themeColor="followedHyperlink"/>
      <w:u w:val="single"/>
    </w:rPr>
  </w:style>
  <w:style w:type="character" w:styleId="UnresolvedMention">
    <w:name w:val="Unresolved Mention"/>
    <w:basedOn w:val="DefaultParagraphFont"/>
    <w:uiPriority w:val="99"/>
    <w:semiHidden/>
    <w:unhideWhenUsed/>
    <w:rsid w:val="006C2FD6"/>
    <w:rPr>
      <w:color w:val="605E5C"/>
      <w:shd w:val="clear" w:color="auto" w:fill="E1DFDD"/>
    </w:rPr>
  </w:style>
  <w:style w:type="character" w:customStyle="1" w:styleId="m8276310266218983084none">
    <w:name w:val="m_8276310266218983084none"/>
    <w:basedOn w:val="DefaultParagraphFont"/>
    <w:rsid w:val="00AC2F8E"/>
  </w:style>
  <w:style w:type="character" w:customStyle="1" w:styleId="BodyTextChar">
    <w:name w:val="Body Text Char"/>
    <w:basedOn w:val="DefaultParagraphFont"/>
    <w:link w:val="BodyText"/>
    <w:rsid w:val="007C10A8"/>
    <w:rPr>
      <w:rFonts w:ascii="Cambria" w:hAnsi="Cambria" w:cs="Arial Unicode MS"/>
      <w:color w:val="000000"/>
      <w:sz w:val="24"/>
      <w:szCs w:val="24"/>
      <w:u w:color="000000"/>
      <w:lang w:val="en-US"/>
    </w:rPr>
  </w:style>
  <w:style w:type="character" w:customStyle="1" w:styleId="Heading1Char">
    <w:name w:val="Heading 1 Char"/>
    <w:basedOn w:val="DefaultParagraphFont"/>
    <w:link w:val="Heading1"/>
    <w:uiPriority w:val="9"/>
    <w:rsid w:val="003E0543"/>
    <w:rPr>
      <w:rFonts w:eastAsia="Times New Roman"/>
      <w:b/>
      <w:bCs/>
      <w:kern w:val="36"/>
      <w:sz w:val="48"/>
      <w:szCs w:val="48"/>
      <w:bdr w:val="none" w:sz="0" w:space="0" w:color="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3953">
      <w:bodyDiv w:val="1"/>
      <w:marLeft w:val="0"/>
      <w:marRight w:val="0"/>
      <w:marTop w:val="0"/>
      <w:marBottom w:val="0"/>
      <w:divBdr>
        <w:top w:val="none" w:sz="0" w:space="0" w:color="auto"/>
        <w:left w:val="none" w:sz="0" w:space="0" w:color="auto"/>
        <w:bottom w:val="none" w:sz="0" w:space="0" w:color="auto"/>
        <w:right w:val="none" w:sz="0" w:space="0" w:color="auto"/>
      </w:divBdr>
    </w:div>
    <w:div w:id="580287932">
      <w:bodyDiv w:val="1"/>
      <w:marLeft w:val="0"/>
      <w:marRight w:val="0"/>
      <w:marTop w:val="0"/>
      <w:marBottom w:val="0"/>
      <w:divBdr>
        <w:top w:val="none" w:sz="0" w:space="0" w:color="auto"/>
        <w:left w:val="none" w:sz="0" w:space="0" w:color="auto"/>
        <w:bottom w:val="none" w:sz="0" w:space="0" w:color="auto"/>
        <w:right w:val="none" w:sz="0" w:space="0" w:color="auto"/>
      </w:divBdr>
    </w:div>
    <w:div w:id="139612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info@relaymedic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DE4F-3CDD-48EF-AE3F-F5EA2FB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Calie Lamb</cp:lastModifiedBy>
  <cp:revision>2</cp:revision>
  <cp:lastPrinted>2020-09-04T19:45:00Z</cp:lastPrinted>
  <dcterms:created xsi:type="dcterms:W3CDTF">2020-09-21T15:46:00Z</dcterms:created>
  <dcterms:modified xsi:type="dcterms:W3CDTF">2020-09-21T15:46:00Z</dcterms:modified>
</cp:coreProperties>
</file>