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Arial"/>
          <w:color w:val="5B9BD5" w:themeColor="accent1"/>
          <w:sz w:val="20"/>
          <w:szCs w:val="20"/>
          <w:lang w:val="en-CA"/>
        </w:rPr>
        <w:id w:val="-1043671901"/>
        <w:docPartObj>
          <w:docPartGallery w:val="Cover Pages"/>
          <w:docPartUnique/>
        </w:docPartObj>
      </w:sdtPr>
      <w:sdtEndPr>
        <w:rPr>
          <w:color w:val="auto"/>
          <w:sz w:val="28"/>
          <w:szCs w:val="28"/>
        </w:rPr>
      </w:sdtEndPr>
      <w:sdtContent>
        <w:p w14:paraId="123E9667" w14:textId="0F17598A" w:rsidR="00677595" w:rsidRPr="00A603CE" w:rsidRDefault="00677595" w:rsidP="00677595">
          <w:pPr>
            <w:pStyle w:val="NoSpacing"/>
            <w:spacing w:before="1540" w:after="240"/>
            <w:jc w:val="center"/>
            <w:rPr>
              <w:rFonts w:cs="Arial"/>
              <w:sz w:val="28"/>
              <w:szCs w:val="28"/>
            </w:rPr>
          </w:pPr>
        </w:p>
        <w:p w14:paraId="7F856EA0" w14:textId="73D38179" w:rsidR="00077D98" w:rsidRPr="00A603CE" w:rsidRDefault="008F5565" w:rsidP="00077D98">
          <w:pPr>
            <w:rPr>
              <w:rFonts w:ascii="Arial" w:hAnsi="Arial" w:cs="Arial"/>
              <w:b/>
              <w:sz w:val="28"/>
              <w:szCs w:val="28"/>
            </w:rPr>
          </w:pPr>
          <w:r w:rsidRPr="00A603CE">
            <w:rPr>
              <w:rFonts w:ascii="Arial" w:hAnsi="Arial" w:cs="Arial"/>
              <w:b/>
              <w:sz w:val="28"/>
              <w:szCs w:val="28"/>
            </w:rPr>
            <w:t xml:space="preserve">DELIC HOLDINGS INC. </w:t>
          </w:r>
        </w:p>
        <w:p w14:paraId="3CF1EA42" w14:textId="77777777" w:rsidR="00077D98" w:rsidRPr="00A603CE" w:rsidRDefault="00077D98" w:rsidP="00077D98">
          <w:pPr>
            <w:rPr>
              <w:rFonts w:ascii="Arial" w:hAnsi="Arial" w:cs="Arial"/>
              <w:b/>
              <w:sz w:val="28"/>
              <w:szCs w:val="28"/>
            </w:rPr>
          </w:pPr>
        </w:p>
        <w:p w14:paraId="27B4C2D1" w14:textId="77777777" w:rsidR="00077D98" w:rsidRPr="00534ADC" w:rsidRDefault="00077D98" w:rsidP="00077D98">
          <w:pPr>
            <w:rPr>
              <w:rFonts w:ascii="Arial" w:hAnsi="Arial" w:cs="Arial"/>
              <w:b/>
              <w:sz w:val="28"/>
              <w:szCs w:val="28"/>
            </w:rPr>
          </w:pPr>
        </w:p>
        <w:p w14:paraId="5CA2816C" w14:textId="7BB002D6" w:rsidR="00077D98" w:rsidRPr="00534ADC" w:rsidRDefault="00077D98" w:rsidP="00077D98">
          <w:pPr>
            <w:rPr>
              <w:rFonts w:ascii="Arial" w:hAnsi="Arial" w:cs="Arial"/>
              <w:b/>
              <w:sz w:val="28"/>
              <w:szCs w:val="28"/>
            </w:rPr>
          </w:pPr>
          <w:r w:rsidRPr="00534ADC">
            <w:rPr>
              <w:rFonts w:ascii="Arial" w:hAnsi="Arial" w:cs="Arial"/>
              <w:b/>
              <w:sz w:val="28"/>
              <w:szCs w:val="28"/>
            </w:rPr>
            <w:t>Management’s Discussion and Analysis</w:t>
          </w:r>
        </w:p>
        <w:p w14:paraId="614C0099" w14:textId="77777777" w:rsidR="00077D98" w:rsidRPr="00534ADC" w:rsidRDefault="00077D98" w:rsidP="00077D98">
          <w:pPr>
            <w:rPr>
              <w:rFonts w:ascii="Arial" w:hAnsi="Arial" w:cs="Arial"/>
              <w:b/>
              <w:sz w:val="28"/>
              <w:szCs w:val="28"/>
            </w:rPr>
          </w:pPr>
        </w:p>
        <w:p w14:paraId="722A6CB8" w14:textId="7E2DECC1" w:rsidR="00677595" w:rsidRPr="00534ADC" w:rsidRDefault="005410BB" w:rsidP="00662391">
          <w:pPr>
            <w:rPr>
              <w:rFonts w:ascii="Arial" w:hAnsi="Arial" w:cs="Arial"/>
              <w:b/>
              <w:caps/>
              <w:sz w:val="28"/>
              <w:szCs w:val="28"/>
            </w:rPr>
          </w:pPr>
          <w:r w:rsidRPr="00534ADC">
            <w:rPr>
              <w:rFonts w:ascii="Arial" w:hAnsi="Arial" w:cs="Arial"/>
              <w:b/>
              <w:sz w:val="28"/>
              <w:szCs w:val="28"/>
            </w:rPr>
            <w:t xml:space="preserve">For the </w:t>
          </w:r>
          <w:r w:rsidR="0047307E">
            <w:rPr>
              <w:rFonts w:ascii="Arial" w:hAnsi="Arial" w:cs="Arial"/>
              <w:b/>
              <w:sz w:val="28"/>
              <w:szCs w:val="28"/>
            </w:rPr>
            <w:t>six</w:t>
          </w:r>
          <w:r w:rsidR="00FE1B4C">
            <w:rPr>
              <w:rFonts w:ascii="Arial" w:hAnsi="Arial" w:cs="Arial"/>
              <w:b/>
              <w:sz w:val="28"/>
              <w:szCs w:val="28"/>
            </w:rPr>
            <w:t xml:space="preserve"> months</w:t>
          </w:r>
          <w:r w:rsidR="00607DF5">
            <w:rPr>
              <w:rFonts w:ascii="Arial" w:hAnsi="Arial" w:cs="Arial"/>
              <w:b/>
              <w:sz w:val="28"/>
              <w:szCs w:val="28"/>
            </w:rPr>
            <w:t xml:space="preserve"> ended </w:t>
          </w:r>
          <w:r w:rsidR="0047307E">
            <w:rPr>
              <w:rFonts w:ascii="Arial" w:hAnsi="Arial" w:cs="Arial"/>
              <w:b/>
              <w:sz w:val="28"/>
              <w:szCs w:val="28"/>
            </w:rPr>
            <w:t>June 30</w:t>
          </w:r>
          <w:r w:rsidR="00607DF5">
            <w:rPr>
              <w:rFonts w:ascii="Arial" w:hAnsi="Arial" w:cs="Arial"/>
              <w:b/>
              <w:sz w:val="28"/>
              <w:szCs w:val="28"/>
            </w:rPr>
            <w:t>, 2021</w:t>
          </w:r>
        </w:p>
      </w:sdtContent>
    </w:sdt>
    <w:p w14:paraId="0D442578" w14:textId="4F378AC6" w:rsidR="00677595" w:rsidRPr="00534ADC" w:rsidRDefault="00677595">
      <w:pPr>
        <w:rPr>
          <w:rFonts w:ascii="Arial" w:hAnsi="Arial" w:cs="Arial"/>
          <w:sz w:val="28"/>
          <w:szCs w:val="28"/>
        </w:rPr>
      </w:pPr>
    </w:p>
    <w:p w14:paraId="20D39B7C" w14:textId="71009772" w:rsidR="00677595" w:rsidRPr="00534ADC" w:rsidRDefault="00677595">
      <w:pPr>
        <w:rPr>
          <w:rFonts w:ascii="Arial" w:hAnsi="Arial" w:cs="Arial"/>
          <w:szCs w:val="20"/>
        </w:rPr>
      </w:pPr>
    </w:p>
    <w:p w14:paraId="3EBEE17B" w14:textId="3BDD0945" w:rsidR="00677595" w:rsidRPr="00534ADC" w:rsidRDefault="00677595">
      <w:pPr>
        <w:rPr>
          <w:rFonts w:ascii="Arial" w:hAnsi="Arial" w:cs="Arial"/>
          <w:szCs w:val="20"/>
        </w:rPr>
      </w:pPr>
    </w:p>
    <w:p w14:paraId="29B970E3" w14:textId="4A2C7F9E" w:rsidR="00677595" w:rsidRPr="00534ADC" w:rsidRDefault="00677595">
      <w:pPr>
        <w:rPr>
          <w:rFonts w:ascii="Arial" w:hAnsi="Arial" w:cs="Arial"/>
          <w:szCs w:val="20"/>
        </w:rPr>
      </w:pPr>
    </w:p>
    <w:p w14:paraId="2828B15C" w14:textId="3C28CB8C" w:rsidR="00677595" w:rsidRPr="00534ADC" w:rsidRDefault="00677595">
      <w:pPr>
        <w:rPr>
          <w:rFonts w:ascii="Arial" w:hAnsi="Arial" w:cs="Arial"/>
          <w:szCs w:val="20"/>
        </w:rPr>
      </w:pPr>
    </w:p>
    <w:p w14:paraId="04158B63" w14:textId="4990FA0E" w:rsidR="00677595" w:rsidRPr="00534ADC" w:rsidRDefault="00677595">
      <w:pPr>
        <w:rPr>
          <w:rFonts w:ascii="Arial" w:hAnsi="Arial" w:cs="Arial"/>
          <w:szCs w:val="20"/>
        </w:rPr>
      </w:pPr>
    </w:p>
    <w:p w14:paraId="59D5C18D" w14:textId="786F2F96" w:rsidR="00677595" w:rsidRPr="00534ADC" w:rsidRDefault="00677595">
      <w:pPr>
        <w:rPr>
          <w:rFonts w:ascii="Arial" w:hAnsi="Arial" w:cs="Arial"/>
          <w:szCs w:val="20"/>
        </w:rPr>
      </w:pPr>
    </w:p>
    <w:p w14:paraId="5C8186E0" w14:textId="7020231A" w:rsidR="00677595" w:rsidRPr="00534ADC" w:rsidRDefault="00677595">
      <w:pPr>
        <w:rPr>
          <w:rFonts w:ascii="Arial" w:hAnsi="Arial" w:cs="Arial"/>
          <w:szCs w:val="20"/>
        </w:rPr>
      </w:pPr>
    </w:p>
    <w:p w14:paraId="1BEF9395" w14:textId="50FD8DC6" w:rsidR="00677595" w:rsidRPr="00534ADC" w:rsidRDefault="00677595">
      <w:pPr>
        <w:rPr>
          <w:rFonts w:ascii="Arial" w:hAnsi="Arial" w:cs="Arial"/>
          <w:szCs w:val="20"/>
        </w:rPr>
      </w:pPr>
    </w:p>
    <w:p w14:paraId="2A34CC2F" w14:textId="4689E617" w:rsidR="00677595" w:rsidRPr="00534ADC" w:rsidRDefault="00677595">
      <w:pPr>
        <w:rPr>
          <w:rFonts w:ascii="Arial" w:hAnsi="Arial" w:cs="Arial"/>
          <w:szCs w:val="20"/>
        </w:rPr>
      </w:pPr>
    </w:p>
    <w:p w14:paraId="334CD0FB" w14:textId="24F9F1BF" w:rsidR="00677595" w:rsidRPr="00534ADC" w:rsidRDefault="00677595">
      <w:pPr>
        <w:rPr>
          <w:rFonts w:ascii="Arial" w:hAnsi="Arial" w:cs="Arial"/>
          <w:szCs w:val="20"/>
        </w:rPr>
      </w:pPr>
    </w:p>
    <w:p w14:paraId="23BBE795" w14:textId="7AB005A2" w:rsidR="00677595" w:rsidRPr="00534ADC" w:rsidRDefault="00677595">
      <w:pPr>
        <w:rPr>
          <w:rFonts w:ascii="Arial" w:hAnsi="Arial" w:cs="Arial"/>
          <w:szCs w:val="20"/>
        </w:rPr>
      </w:pPr>
    </w:p>
    <w:p w14:paraId="4DD51522" w14:textId="029887CE" w:rsidR="00677595" w:rsidRPr="00534ADC" w:rsidRDefault="00677595">
      <w:pPr>
        <w:rPr>
          <w:rFonts w:ascii="Arial" w:hAnsi="Arial" w:cs="Arial"/>
          <w:szCs w:val="20"/>
        </w:rPr>
      </w:pPr>
    </w:p>
    <w:p w14:paraId="309EA422" w14:textId="510B6BF8" w:rsidR="00677595" w:rsidRPr="00534ADC" w:rsidRDefault="00677595">
      <w:pPr>
        <w:rPr>
          <w:rFonts w:ascii="Arial" w:hAnsi="Arial" w:cs="Arial"/>
          <w:szCs w:val="20"/>
        </w:rPr>
      </w:pPr>
    </w:p>
    <w:p w14:paraId="3E39DBBD" w14:textId="4CAFC8E9" w:rsidR="00677595" w:rsidRPr="00534ADC" w:rsidRDefault="00677595">
      <w:pPr>
        <w:rPr>
          <w:rFonts w:ascii="Arial" w:hAnsi="Arial" w:cs="Arial"/>
          <w:szCs w:val="20"/>
        </w:rPr>
      </w:pPr>
    </w:p>
    <w:p w14:paraId="0EBB7807" w14:textId="48F84ECD" w:rsidR="00677595" w:rsidRPr="00534ADC" w:rsidRDefault="00677595">
      <w:pPr>
        <w:rPr>
          <w:rFonts w:ascii="Arial" w:hAnsi="Arial" w:cs="Arial"/>
          <w:szCs w:val="20"/>
        </w:rPr>
      </w:pPr>
    </w:p>
    <w:p w14:paraId="78F3F964" w14:textId="42B37940" w:rsidR="00677595" w:rsidRPr="00534ADC" w:rsidRDefault="00677595">
      <w:pPr>
        <w:rPr>
          <w:rFonts w:ascii="Arial" w:hAnsi="Arial" w:cs="Arial"/>
          <w:szCs w:val="20"/>
        </w:rPr>
      </w:pPr>
    </w:p>
    <w:p w14:paraId="7A3F52E7" w14:textId="6A5C7322" w:rsidR="00677595" w:rsidRPr="00534ADC" w:rsidRDefault="00677595">
      <w:pPr>
        <w:rPr>
          <w:rFonts w:ascii="Arial" w:hAnsi="Arial" w:cs="Arial"/>
          <w:szCs w:val="20"/>
        </w:rPr>
      </w:pPr>
    </w:p>
    <w:p w14:paraId="77B9CC12" w14:textId="2DD6BDE2" w:rsidR="00677595" w:rsidRPr="00534ADC" w:rsidRDefault="00677595">
      <w:pPr>
        <w:rPr>
          <w:rFonts w:ascii="Arial" w:hAnsi="Arial" w:cs="Arial"/>
          <w:szCs w:val="20"/>
        </w:rPr>
      </w:pPr>
    </w:p>
    <w:p w14:paraId="223F5DF2" w14:textId="7403D465" w:rsidR="00677595" w:rsidRPr="00534ADC" w:rsidRDefault="00677595">
      <w:pPr>
        <w:rPr>
          <w:rFonts w:ascii="Arial" w:hAnsi="Arial" w:cs="Arial"/>
          <w:szCs w:val="20"/>
        </w:rPr>
      </w:pPr>
    </w:p>
    <w:p w14:paraId="51F80B78" w14:textId="33DCE046" w:rsidR="00677595" w:rsidRPr="00534ADC" w:rsidRDefault="00677595">
      <w:pPr>
        <w:rPr>
          <w:rFonts w:ascii="Arial" w:hAnsi="Arial" w:cs="Arial"/>
          <w:szCs w:val="20"/>
        </w:rPr>
      </w:pPr>
    </w:p>
    <w:p w14:paraId="3B94A390" w14:textId="5053A5C0" w:rsidR="00677595" w:rsidRPr="00534ADC" w:rsidRDefault="00677595">
      <w:pPr>
        <w:rPr>
          <w:rFonts w:ascii="Arial" w:hAnsi="Arial" w:cs="Arial"/>
          <w:szCs w:val="20"/>
        </w:rPr>
      </w:pPr>
    </w:p>
    <w:p w14:paraId="340A99CE" w14:textId="15BB52A0" w:rsidR="00677595" w:rsidRPr="00534ADC" w:rsidRDefault="00677595">
      <w:pPr>
        <w:rPr>
          <w:rFonts w:ascii="Arial" w:hAnsi="Arial" w:cs="Arial"/>
          <w:szCs w:val="20"/>
        </w:rPr>
      </w:pPr>
    </w:p>
    <w:p w14:paraId="4E5D6EFC" w14:textId="71778F7D" w:rsidR="00677595" w:rsidRPr="00534ADC" w:rsidRDefault="00677595">
      <w:pPr>
        <w:rPr>
          <w:rFonts w:ascii="Arial" w:hAnsi="Arial" w:cs="Arial"/>
          <w:szCs w:val="20"/>
        </w:rPr>
      </w:pPr>
    </w:p>
    <w:p w14:paraId="12C8955D" w14:textId="3416DA71" w:rsidR="00677595" w:rsidRPr="00534ADC" w:rsidRDefault="00677595">
      <w:pPr>
        <w:rPr>
          <w:rFonts w:ascii="Arial" w:hAnsi="Arial" w:cs="Arial"/>
          <w:szCs w:val="20"/>
        </w:rPr>
      </w:pPr>
    </w:p>
    <w:p w14:paraId="6BC6E9BB" w14:textId="49018C1E" w:rsidR="00677595" w:rsidRPr="00534ADC" w:rsidRDefault="00677595">
      <w:pPr>
        <w:rPr>
          <w:rFonts w:ascii="Arial" w:hAnsi="Arial" w:cs="Arial"/>
          <w:szCs w:val="20"/>
        </w:rPr>
      </w:pPr>
    </w:p>
    <w:p w14:paraId="5B692500" w14:textId="6BBD637D" w:rsidR="00677595" w:rsidRPr="00534ADC" w:rsidRDefault="00677595">
      <w:pPr>
        <w:rPr>
          <w:rFonts w:ascii="Arial" w:hAnsi="Arial" w:cs="Arial"/>
          <w:szCs w:val="20"/>
        </w:rPr>
      </w:pPr>
    </w:p>
    <w:p w14:paraId="5B9EA13A" w14:textId="6F9C20C8" w:rsidR="00677595" w:rsidRPr="00534ADC" w:rsidRDefault="00677595">
      <w:pPr>
        <w:rPr>
          <w:rFonts w:ascii="Arial" w:hAnsi="Arial" w:cs="Arial"/>
          <w:szCs w:val="20"/>
        </w:rPr>
      </w:pPr>
    </w:p>
    <w:p w14:paraId="53A29C61" w14:textId="20561BAB" w:rsidR="00677595" w:rsidRPr="00534ADC" w:rsidRDefault="00677595">
      <w:pPr>
        <w:rPr>
          <w:rFonts w:ascii="Arial" w:hAnsi="Arial" w:cs="Arial"/>
          <w:szCs w:val="20"/>
        </w:rPr>
      </w:pPr>
    </w:p>
    <w:p w14:paraId="22702E36" w14:textId="44A9A535" w:rsidR="00677595" w:rsidRPr="00534ADC" w:rsidRDefault="00677595">
      <w:pPr>
        <w:rPr>
          <w:rFonts w:ascii="Arial" w:hAnsi="Arial" w:cs="Arial"/>
          <w:szCs w:val="20"/>
        </w:rPr>
      </w:pPr>
    </w:p>
    <w:p w14:paraId="3B33C90E" w14:textId="4CB50004" w:rsidR="00677595" w:rsidRPr="00534ADC" w:rsidRDefault="00677595">
      <w:pPr>
        <w:rPr>
          <w:rFonts w:ascii="Arial" w:hAnsi="Arial" w:cs="Arial"/>
          <w:szCs w:val="20"/>
        </w:rPr>
      </w:pPr>
    </w:p>
    <w:p w14:paraId="56CE82CD" w14:textId="4B7CDB26" w:rsidR="00677595" w:rsidRPr="00534ADC" w:rsidRDefault="00677595">
      <w:pPr>
        <w:rPr>
          <w:rFonts w:ascii="Arial" w:hAnsi="Arial" w:cs="Arial"/>
          <w:szCs w:val="20"/>
        </w:rPr>
      </w:pPr>
    </w:p>
    <w:p w14:paraId="0FF01122" w14:textId="07CDEE0B" w:rsidR="00677595" w:rsidRPr="00534ADC" w:rsidRDefault="00677595">
      <w:pPr>
        <w:rPr>
          <w:rFonts w:ascii="Arial" w:hAnsi="Arial" w:cs="Arial"/>
          <w:szCs w:val="20"/>
        </w:rPr>
      </w:pPr>
    </w:p>
    <w:p w14:paraId="0231C151" w14:textId="49D1DF12" w:rsidR="00677595" w:rsidRPr="00534ADC" w:rsidRDefault="00677595">
      <w:pPr>
        <w:rPr>
          <w:rFonts w:ascii="Arial" w:hAnsi="Arial" w:cs="Arial"/>
          <w:szCs w:val="20"/>
        </w:rPr>
      </w:pPr>
    </w:p>
    <w:p w14:paraId="13679A8C" w14:textId="4EF5C7E1" w:rsidR="00677595" w:rsidRPr="00534ADC" w:rsidRDefault="00677595">
      <w:pPr>
        <w:rPr>
          <w:rFonts w:ascii="Arial" w:hAnsi="Arial" w:cs="Arial"/>
          <w:szCs w:val="20"/>
        </w:rPr>
      </w:pPr>
    </w:p>
    <w:p w14:paraId="4601F514" w14:textId="5423E126" w:rsidR="000E1CF4" w:rsidRPr="00534ADC" w:rsidRDefault="000E1CF4">
      <w:pPr>
        <w:rPr>
          <w:rFonts w:ascii="Arial" w:hAnsi="Arial" w:cs="Arial"/>
          <w:szCs w:val="20"/>
        </w:rPr>
      </w:pPr>
    </w:p>
    <w:p w14:paraId="7F814352" w14:textId="1D009CCC" w:rsidR="000E1CF4" w:rsidRPr="00534ADC" w:rsidRDefault="000E1CF4">
      <w:pPr>
        <w:rPr>
          <w:rFonts w:ascii="Arial" w:hAnsi="Arial" w:cs="Arial"/>
          <w:szCs w:val="20"/>
        </w:rPr>
      </w:pPr>
    </w:p>
    <w:p w14:paraId="3B8C0943" w14:textId="064C304D" w:rsidR="000E1CF4" w:rsidRPr="00534ADC" w:rsidRDefault="000E1CF4">
      <w:pPr>
        <w:rPr>
          <w:rFonts w:ascii="Arial" w:hAnsi="Arial" w:cs="Arial"/>
          <w:szCs w:val="20"/>
        </w:rPr>
      </w:pPr>
    </w:p>
    <w:p w14:paraId="33E5AF19" w14:textId="77777777" w:rsidR="000E1CF4" w:rsidRPr="00534ADC" w:rsidRDefault="000E1CF4">
      <w:pPr>
        <w:rPr>
          <w:rFonts w:ascii="Arial" w:hAnsi="Arial" w:cs="Arial"/>
          <w:szCs w:val="20"/>
        </w:rPr>
      </w:pPr>
    </w:p>
    <w:p w14:paraId="7003FCC9" w14:textId="56F091C9" w:rsidR="008B3260" w:rsidRPr="00534ADC" w:rsidRDefault="00AC59BB" w:rsidP="00E32828">
      <w:pPr>
        <w:pStyle w:val="BodyText"/>
        <w:rPr>
          <w:rFonts w:ascii="Arial" w:hAnsi="Arial" w:cs="Arial"/>
          <w:szCs w:val="20"/>
        </w:rPr>
      </w:pPr>
      <w:r w:rsidRPr="00534ADC">
        <w:rPr>
          <w:rFonts w:ascii="Arial" w:hAnsi="Arial" w:cs="Arial"/>
          <w:szCs w:val="20"/>
        </w:rPr>
        <w:lastRenderedPageBreak/>
        <w:t xml:space="preserve">This Management’s Discussion and Analysis (“MD&amp;A”) </w:t>
      </w:r>
      <w:r w:rsidR="002214E2">
        <w:rPr>
          <w:rFonts w:ascii="Arial" w:hAnsi="Arial" w:cs="Arial"/>
          <w:szCs w:val="20"/>
        </w:rPr>
        <w:t xml:space="preserve">of Delic Holdings Inc. (the “Company”) </w:t>
      </w:r>
      <w:r w:rsidRPr="00534ADC">
        <w:rPr>
          <w:rFonts w:ascii="Arial" w:hAnsi="Arial" w:cs="Arial"/>
          <w:szCs w:val="20"/>
        </w:rPr>
        <w:t>should be read in conjunction with the</w:t>
      </w:r>
      <w:r w:rsidR="000E1CF4" w:rsidRPr="00534ADC">
        <w:rPr>
          <w:rFonts w:ascii="Arial" w:hAnsi="Arial" w:cs="Arial"/>
          <w:szCs w:val="20"/>
        </w:rPr>
        <w:t xml:space="preserve"> </w:t>
      </w:r>
      <w:r w:rsidR="005938CF">
        <w:rPr>
          <w:rFonts w:ascii="Arial" w:hAnsi="Arial" w:cs="Arial"/>
          <w:szCs w:val="20"/>
        </w:rPr>
        <w:t xml:space="preserve">condensed </w:t>
      </w:r>
      <w:r w:rsidR="00AB52E5">
        <w:rPr>
          <w:rFonts w:ascii="Arial" w:hAnsi="Arial" w:cs="Arial"/>
          <w:szCs w:val="20"/>
        </w:rPr>
        <w:t xml:space="preserve">consolidated </w:t>
      </w:r>
      <w:r w:rsidR="005938CF">
        <w:rPr>
          <w:rFonts w:ascii="Arial" w:hAnsi="Arial" w:cs="Arial"/>
          <w:szCs w:val="20"/>
        </w:rPr>
        <w:t xml:space="preserve">interim </w:t>
      </w:r>
      <w:r w:rsidRPr="00534ADC">
        <w:rPr>
          <w:rFonts w:ascii="Arial" w:hAnsi="Arial" w:cs="Arial"/>
          <w:szCs w:val="20"/>
        </w:rPr>
        <w:t>financial statements and notes thereto for the</w:t>
      </w:r>
      <w:r w:rsidR="00097211" w:rsidRPr="00534ADC">
        <w:rPr>
          <w:rFonts w:ascii="Arial" w:hAnsi="Arial" w:cs="Arial"/>
          <w:szCs w:val="20"/>
        </w:rPr>
        <w:t xml:space="preserve"> </w:t>
      </w:r>
      <w:r w:rsidR="00F36391">
        <w:rPr>
          <w:rFonts w:ascii="Arial" w:hAnsi="Arial" w:cs="Arial"/>
          <w:szCs w:val="20"/>
        </w:rPr>
        <w:t>six</w:t>
      </w:r>
      <w:r w:rsidR="005938CF">
        <w:rPr>
          <w:rFonts w:ascii="Arial" w:hAnsi="Arial" w:cs="Arial"/>
          <w:szCs w:val="20"/>
        </w:rPr>
        <w:t xml:space="preserve"> months</w:t>
      </w:r>
      <w:r w:rsidR="00097211" w:rsidRPr="00534ADC">
        <w:rPr>
          <w:rFonts w:ascii="Arial" w:hAnsi="Arial" w:cs="Arial"/>
          <w:szCs w:val="20"/>
        </w:rPr>
        <w:t xml:space="preserve"> ending </w:t>
      </w:r>
      <w:r w:rsidR="00F36391">
        <w:rPr>
          <w:rFonts w:ascii="Arial" w:hAnsi="Arial" w:cs="Arial"/>
          <w:szCs w:val="20"/>
        </w:rPr>
        <w:t>June 30</w:t>
      </w:r>
      <w:r w:rsidR="005938CF">
        <w:rPr>
          <w:rFonts w:ascii="Arial" w:hAnsi="Arial" w:cs="Arial"/>
          <w:szCs w:val="20"/>
        </w:rPr>
        <w:t>, 2021</w:t>
      </w:r>
      <w:r w:rsidR="002214E2">
        <w:rPr>
          <w:rFonts w:ascii="Arial" w:hAnsi="Arial" w:cs="Arial"/>
          <w:szCs w:val="20"/>
        </w:rPr>
        <w:t xml:space="preserve">, and the Company’s annual audited consolidated financial statements for the year ended December 31, 2020.  </w:t>
      </w:r>
      <w:r w:rsidRPr="00534ADC">
        <w:rPr>
          <w:rFonts w:ascii="Arial" w:hAnsi="Arial" w:cs="Arial"/>
          <w:szCs w:val="20"/>
        </w:rPr>
        <w:t>Such</w:t>
      </w:r>
      <w:r w:rsidR="000E1CF4" w:rsidRPr="00534ADC">
        <w:rPr>
          <w:rFonts w:ascii="Arial" w:hAnsi="Arial" w:cs="Arial"/>
          <w:szCs w:val="20"/>
        </w:rPr>
        <w:t xml:space="preserve"> </w:t>
      </w:r>
      <w:r w:rsidRPr="00534ADC">
        <w:rPr>
          <w:rFonts w:ascii="Arial" w:hAnsi="Arial" w:cs="Arial"/>
          <w:szCs w:val="20"/>
        </w:rPr>
        <w:t xml:space="preserve">financial statements have been prepared in accordance with </w:t>
      </w:r>
      <w:r w:rsidR="008B3260" w:rsidRPr="00534ADC">
        <w:rPr>
          <w:rFonts w:ascii="Arial" w:hAnsi="Arial" w:cs="Arial"/>
          <w:szCs w:val="20"/>
        </w:rPr>
        <w:t>International Financial Reporting Standards (“IFRS”).</w:t>
      </w:r>
    </w:p>
    <w:p w14:paraId="6405A321" w14:textId="6110D05E" w:rsidR="00AC59BB" w:rsidRPr="00534ADC" w:rsidRDefault="00AC59BB" w:rsidP="00E32828">
      <w:pPr>
        <w:pStyle w:val="BodyText"/>
        <w:rPr>
          <w:rFonts w:ascii="Arial" w:hAnsi="Arial" w:cs="Arial"/>
          <w:szCs w:val="20"/>
        </w:rPr>
      </w:pPr>
      <w:r w:rsidRPr="00534ADC">
        <w:rPr>
          <w:rFonts w:ascii="Arial" w:hAnsi="Arial" w:cs="Arial"/>
          <w:szCs w:val="20"/>
        </w:rPr>
        <w:t xml:space="preserve">All dollar amounts are expressed in </w:t>
      </w:r>
      <w:r w:rsidR="00097211" w:rsidRPr="00534ADC">
        <w:rPr>
          <w:rFonts w:ascii="Arial" w:hAnsi="Arial" w:cs="Arial"/>
          <w:szCs w:val="20"/>
        </w:rPr>
        <w:t>US</w:t>
      </w:r>
      <w:r w:rsidRPr="00534ADC">
        <w:rPr>
          <w:rFonts w:ascii="Arial" w:hAnsi="Arial" w:cs="Arial"/>
          <w:szCs w:val="20"/>
        </w:rPr>
        <w:t xml:space="preserve"> dollars unless otherwise indicated.</w:t>
      </w:r>
    </w:p>
    <w:p w14:paraId="4750096C" w14:textId="77777777" w:rsidR="00AC59BB" w:rsidRPr="00534ADC" w:rsidRDefault="00AC59BB" w:rsidP="00E32828">
      <w:pPr>
        <w:pStyle w:val="BodyText"/>
        <w:rPr>
          <w:rFonts w:ascii="Arial" w:hAnsi="Arial" w:cs="Arial"/>
          <w:szCs w:val="20"/>
        </w:rPr>
      </w:pPr>
      <w:r w:rsidRPr="00534ADC">
        <w:rPr>
          <w:rFonts w:ascii="Arial" w:hAnsi="Arial" w:cs="Arial"/>
          <w:b/>
          <w:szCs w:val="20"/>
        </w:rPr>
        <w:t>DATE</w:t>
      </w:r>
    </w:p>
    <w:p w14:paraId="6486454E" w14:textId="014D3816" w:rsidR="00AC59BB" w:rsidRPr="0099496D" w:rsidRDefault="00AC59BB" w:rsidP="00E32828">
      <w:pPr>
        <w:pStyle w:val="BodyText"/>
        <w:rPr>
          <w:rFonts w:ascii="Arial" w:hAnsi="Arial" w:cs="Arial"/>
          <w:b/>
          <w:szCs w:val="20"/>
        </w:rPr>
      </w:pPr>
      <w:r w:rsidRPr="0099496D">
        <w:rPr>
          <w:rFonts w:ascii="Arial" w:hAnsi="Arial" w:cs="Arial"/>
          <w:szCs w:val="20"/>
        </w:rPr>
        <w:t>This MD&amp;A is prepared as of</w:t>
      </w:r>
      <w:r w:rsidR="00361FBC" w:rsidRPr="0099496D">
        <w:rPr>
          <w:rFonts w:ascii="Arial" w:hAnsi="Arial" w:cs="Arial"/>
          <w:bCs/>
          <w:szCs w:val="20"/>
        </w:rPr>
        <w:t xml:space="preserve"> </w:t>
      </w:r>
      <w:r w:rsidR="00F36391" w:rsidRPr="0099496D">
        <w:rPr>
          <w:rFonts w:ascii="Arial" w:hAnsi="Arial" w:cs="Arial"/>
          <w:bCs/>
          <w:szCs w:val="20"/>
        </w:rPr>
        <w:t xml:space="preserve">August </w:t>
      </w:r>
      <w:r w:rsidR="00FB2544" w:rsidRPr="0099496D">
        <w:rPr>
          <w:rFonts w:ascii="Arial" w:hAnsi="Arial" w:cs="Arial"/>
          <w:bCs/>
          <w:szCs w:val="20"/>
        </w:rPr>
        <w:t>2</w:t>
      </w:r>
      <w:r w:rsidR="00C67B5F">
        <w:rPr>
          <w:rFonts w:ascii="Arial" w:hAnsi="Arial" w:cs="Arial"/>
          <w:bCs/>
          <w:szCs w:val="20"/>
        </w:rPr>
        <w:t>9</w:t>
      </w:r>
      <w:r w:rsidR="00361FBC" w:rsidRPr="0099496D">
        <w:rPr>
          <w:rFonts w:ascii="Arial" w:hAnsi="Arial" w:cs="Arial"/>
          <w:bCs/>
          <w:szCs w:val="20"/>
        </w:rPr>
        <w:t>, 2021</w:t>
      </w:r>
      <w:r w:rsidR="0088552F" w:rsidRPr="0099496D">
        <w:rPr>
          <w:rFonts w:ascii="Arial" w:hAnsi="Arial" w:cs="Arial"/>
          <w:b/>
          <w:szCs w:val="20"/>
        </w:rPr>
        <w:t xml:space="preserve">. </w:t>
      </w:r>
    </w:p>
    <w:p w14:paraId="0E1DAFB5" w14:textId="77777777" w:rsidR="00AC59BB" w:rsidRPr="00534ADC" w:rsidRDefault="00AC59BB" w:rsidP="00E32828">
      <w:pPr>
        <w:pStyle w:val="BodyText"/>
        <w:keepNext/>
        <w:outlineLvl w:val="0"/>
        <w:rPr>
          <w:rFonts w:ascii="Arial" w:hAnsi="Arial" w:cs="Arial"/>
          <w:b/>
          <w:szCs w:val="20"/>
          <w:lang w:val="en-US"/>
        </w:rPr>
      </w:pPr>
      <w:r w:rsidRPr="0099496D">
        <w:rPr>
          <w:rFonts w:ascii="Arial" w:hAnsi="Arial" w:cs="Arial"/>
          <w:b/>
          <w:szCs w:val="20"/>
          <w:lang w:val="en-US"/>
        </w:rPr>
        <w:t>CAUTIONARY NOTE REGARDING FO</w:t>
      </w:r>
      <w:r w:rsidRPr="00534ADC">
        <w:rPr>
          <w:rFonts w:ascii="Arial" w:hAnsi="Arial" w:cs="Arial"/>
          <w:b/>
          <w:szCs w:val="20"/>
          <w:lang w:val="en-US"/>
        </w:rPr>
        <w:t>RWARD-LOOKING STATEMENTS</w:t>
      </w:r>
    </w:p>
    <w:p w14:paraId="23EA7B96" w14:textId="77777777" w:rsidR="003E7B7D" w:rsidRPr="00534ADC" w:rsidRDefault="003E7B7D" w:rsidP="00E32828">
      <w:pPr>
        <w:jc w:val="both"/>
        <w:rPr>
          <w:rFonts w:ascii="Arial" w:hAnsi="Arial" w:cs="Arial"/>
          <w:szCs w:val="20"/>
        </w:rPr>
      </w:pPr>
    </w:p>
    <w:p w14:paraId="7593F23F" w14:textId="77777777" w:rsidR="003E7B7D" w:rsidRPr="00534ADC" w:rsidRDefault="003E7B7D" w:rsidP="00E32828">
      <w:pPr>
        <w:jc w:val="both"/>
        <w:rPr>
          <w:rFonts w:ascii="Arial" w:hAnsi="Arial" w:cs="Arial"/>
          <w:szCs w:val="20"/>
        </w:rPr>
      </w:pPr>
      <w:r w:rsidRPr="00534ADC">
        <w:rPr>
          <w:rFonts w:ascii="Arial" w:hAnsi="Arial" w:cs="Arial"/>
          <w:szCs w:val="20"/>
        </w:rPr>
        <w:t>The information provided in this MD&amp;A, including information incorporated by reference, may contain “forward-looking statements” about the Company. In addition, the Company may make or approve certain statements in future filings with Canadian securities regulatory authorities, in press releases, or in oral or written presentations by representatives of the Company that are not statements of historical fact and may also constitute forward-looking statements. All statements, other than statements of historical fact, made by the Company that address activities, events or developments that the Company expects or anticipates will or may o</w:t>
      </w:r>
      <w:r w:rsidR="00166CD5" w:rsidRPr="00534ADC">
        <w:rPr>
          <w:rFonts w:ascii="Arial" w:hAnsi="Arial" w:cs="Arial"/>
          <w:szCs w:val="20"/>
        </w:rPr>
        <w:t>ccur in the future are forward-</w:t>
      </w:r>
      <w:r w:rsidRPr="00534ADC">
        <w:rPr>
          <w:rFonts w:ascii="Arial" w:hAnsi="Arial" w:cs="Arial"/>
          <w:szCs w:val="20"/>
        </w:rPr>
        <w:t>looking statements, including, but not limited to, statements preceded by, followed by or that include words such as “may”, “will”, “would”, “could”, “should”, “believes”, “estimates”, “projects”, “potential”, “expects”, “plans”, “intends”, “anticipates”, “targeted”, “continues”, “forecasts”, “designed”, “goal”, or the negative of those words or other similar or comparable words.</w:t>
      </w:r>
    </w:p>
    <w:p w14:paraId="47C14309" w14:textId="77777777" w:rsidR="003E7B7D" w:rsidRPr="00534ADC" w:rsidRDefault="003E7B7D" w:rsidP="00E32828">
      <w:pPr>
        <w:jc w:val="both"/>
        <w:rPr>
          <w:rFonts w:ascii="Arial" w:hAnsi="Arial" w:cs="Arial"/>
          <w:szCs w:val="20"/>
        </w:rPr>
      </w:pPr>
    </w:p>
    <w:p w14:paraId="5C359CB0" w14:textId="77777777" w:rsidR="003E7B7D" w:rsidRPr="00534ADC" w:rsidRDefault="003E7B7D" w:rsidP="00E32828">
      <w:pPr>
        <w:jc w:val="both"/>
        <w:rPr>
          <w:rFonts w:ascii="Arial" w:hAnsi="Arial" w:cs="Arial"/>
          <w:szCs w:val="20"/>
        </w:rPr>
      </w:pPr>
      <w:r w:rsidRPr="00534ADC">
        <w:rPr>
          <w:rFonts w:ascii="Arial" w:hAnsi="Arial" w:cs="Arial"/>
          <w:szCs w:val="20"/>
        </w:rPr>
        <w:t xml:space="preserve">Forward-looking statements may relate to future financial conditions, results of operations, plans, objectives, </w:t>
      </w:r>
      <w:proofErr w:type="gramStart"/>
      <w:r w:rsidRPr="00534ADC">
        <w:rPr>
          <w:rFonts w:ascii="Arial" w:hAnsi="Arial" w:cs="Arial"/>
          <w:szCs w:val="20"/>
        </w:rPr>
        <w:t>performance</w:t>
      </w:r>
      <w:proofErr w:type="gramEnd"/>
      <w:r w:rsidRPr="00534ADC">
        <w:rPr>
          <w:rFonts w:ascii="Arial" w:hAnsi="Arial" w:cs="Arial"/>
          <w:szCs w:val="20"/>
        </w:rPr>
        <w:t xml:space="preserve"> or business developments. These statements speak only as at the date they are made and are based on information currently available and on the then current expectations of the party making the statement and assumptions concerning future events, which are subject to a number of known and unknown risks, uncertainties and other factors that may cause actual results, performance or achievements to be materially different from that which was expressed or implied by such forward-looking statements, including, but not limited to, risks and uncertainties related to:</w:t>
      </w:r>
    </w:p>
    <w:p w14:paraId="0FC905C6" w14:textId="77777777" w:rsidR="00510E86" w:rsidRPr="00534ADC" w:rsidRDefault="00510E86" w:rsidP="00E32828">
      <w:pPr>
        <w:jc w:val="both"/>
        <w:rPr>
          <w:rFonts w:ascii="Arial" w:hAnsi="Arial" w:cs="Arial"/>
          <w:szCs w:val="20"/>
        </w:rPr>
      </w:pPr>
    </w:p>
    <w:p w14:paraId="4E20806F" w14:textId="77777777" w:rsidR="003E7B7D" w:rsidRPr="00534ADC" w:rsidRDefault="003E7B7D" w:rsidP="00E32828">
      <w:pPr>
        <w:pStyle w:val="Bullet"/>
        <w:rPr>
          <w:sz w:val="20"/>
          <w:szCs w:val="20"/>
        </w:rPr>
      </w:pPr>
      <w:r w:rsidRPr="00534ADC">
        <w:rPr>
          <w:sz w:val="20"/>
          <w:szCs w:val="20"/>
        </w:rPr>
        <w:t>the availability of financing opportunities, risks associated with economic conditions, dependence on management and conflicts of interest; and</w:t>
      </w:r>
    </w:p>
    <w:p w14:paraId="4FEBF711" w14:textId="77777777" w:rsidR="003E7B7D" w:rsidRPr="00534ADC" w:rsidRDefault="003E7B7D" w:rsidP="00E32828">
      <w:pPr>
        <w:pStyle w:val="Bullet"/>
        <w:rPr>
          <w:sz w:val="20"/>
          <w:szCs w:val="20"/>
        </w:rPr>
      </w:pPr>
      <w:r w:rsidRPr="00534ADC">
        <w:rPr>
          <w:sz w:val="20"/>
          <w:szCs w:val="20"/>
        </w:rPr>
        <w:t>other risks described in this MD&amp;A and described from time to time in documents filed by the Company with Canadian securities regulatory authorities.</w:t>
      </w:r>
    </w:p>
    <w:p w14:paraId="2A7231BA" w14:textId="77777777" w:rsidR="003E7B7D" w:rsidRPr="00534ADC" w:rsidRDefault="003E7B7D" w:rsidP="00E32828">
      <w:pPr>
        <w:jc w:val="both"/>
        <w:rPr>
          <w:rFonts w:ascii="Arial" w:hAnsi="Arial" w:cs="Arial"/>
          <w:szCs w:val="20"/>
        </w:rPr>
      </w:pPr>
      <w:r w:rsidRPr="00534ADC">
        <w:rPr>
          <w:rFonts w:ascii="Arial" w:hAnsi="Arial" w:cs="Arial"/>
          <w:szCs w:val="20"/>
        </w:rPr>
        <w:t xml:space="preserve">With respect to the forward-looking statements contained herein, although the Company believe that the expectations and assumptions on which the forward-looking statements are based are reasonable, undue reliance should not be placed on the forward-looking statements, because no assurance can be given that they will prove to be correct. Since forward-looking statements address future events and conditions, by their very nature they involve inherent risks and uncertainties. Actual results could differ materially from those currently anticipated due to </w:t>
      </w:r>
      <w:proofErr w:type="gramStart"/>
      <w:r w:rsidRPr="00534ADC">
        <w:rPr>
          <w:rFonts w:ascii="Arial" w:hAnsi="Arial" w:cs="Arial"/>
          <w:szCs w:val="20"/>
        </w:rPr>
        <w:t>a number of</w:t>
      </w:r>
      <w:proofErr w:type="gramEnd"/>
      <w:r w:rsidRPr="00534ADC">
        <w:rPr>
          <w:rFonts w:ascii="Arial" w:hAnsi="Arial" w:cs="Arial"/>
          <w:szCs w:val="20"/>
        </w:rPr>
        <w:t xml:space="preserve"> factors and risks. These </w:t>
      </w:r>
      <w:proofErr w:type="gramStart"/>
      <w:r w:rsidRPr="00534ADC">
        <w:rPr>
          <w:rFonts w:ascii="Arial" w:hAnsi="Arial" w:cs="Arial"/>
          <w:szCs w:val="20"/>
        </w:rPr>
        <w:t>include, but</w:t>
      </w:r>
      <w:proofErr w:type="gramEnd"/>
      <w:r w:rsidRPr="00534ADC">
        <w:rPr>
          <w:rFonts w:ascii="Arial" w:hAnsi="Arial" w:cs="Arial"/>
          <w:szCs w:val="20"/>
        </w:rPr>
        <w:t xml:space="preserve"> are not limited to: the availability of sources of income to generate cash flow and revenue; the dependence on management and directors; risks relating to the receipt of the required licenses, risks relating to additional funding requirements; due diligence risks; exchange rate risks; potential transaction and legal risks; risks relating to regulations applicable to the production and sale of marijuana; and other factors beyond the Company’s control</w:t>
      </w:r>
      <w:r w:rsidR="00116361" w:rsidRPr="00534ADC">
        <w:rPr>
          <w:rFonts w:ascii="Arial" w:hAnsi="Arial" w:cs="Arial"/>
          <w:szCs w:val="20"/>
        </w:rPr>
        <w:t>.</w:t>
      </w:r>
    </w:p>
    <w:p w14:paraId="0D2B4932" w14:textId="77777777" w:rsidR="00FB2544" w:rsidRDefault="00E32828" w:rsidP="00E05364">
      <w:pPr>
        <w:jc w:val="both"/>
        <w:rPr>
          <w:rFonts w:ascii="Arial" w:hAnsi="Arial" w:cs="Arial"/>
          <w:szCs w:val="20"/>
        </w:rPr>
      </w:pPr>
      <w:r w:rsidRPr="00534ADC">
        <w:rPr>
          <w:rFonts w:ascii="Arial" w:hAnsi="Arial" w:cs="Arial"/>
          <w:szCs w:val="20"/>
        </w:rPr>
        <w:br w:type="page"/>
      </w:r>
    </w:p>
    <w:p w14:paraId="33212912" w14:textId="77777777" w:rsidR="00FB2544" w:rsidRDefault="00FB2544" w:rsidP="00E05364">
      <w:pPr>
        <w:jc w:val="both"/>
        <w:rPr>
          <w:rFonts w:ascii="Arial" w:hAnsi="Arial" w:cs="Arial"/>
          <w:szCs w:val="20"/>
        </w:rPr>
      </w:pPr>
    </w:p>
    <w:p w14:paraId="79EA6B48" w14:textId="50A3B344" w:rsidR="003E7B7D" w:rsidRPr="00534ADC" w:rsidRDefault="003E7B7D" w:rsidP="00E05364">
      <w:pPr>
        <w:jc w:val="both"/>
        <w:rPr>
          <w:rFonts w:ascii="Arial" w:hAnsi="Arial" w:cs="Arial"/>
          <w:szCs w:val="20"/>
        </w:rPr>
      </w:pPr>
      <w:r w:rsidRPr="00534ADC">
        <w:rPr>
          <w:rFonts w:ascii="Arial" w:hAnsi="Arial" w:cs="Arial"/>
          <w:szCs w:val="20"/>
        </w:rPr>
        <w:t xml:space="preserve">Consequently, all forward-looking statements made in this </w:t>
      </w:r>
      <w:r w:rsidR="00BD0CDA" w:rsidRPr="00534ADC">
        <w:rPr>
          <w:rFonts w:ascii="Arial" w:hAnsi="Arial" w:cs="Arial"/>
          <w:szCs w:val="20"/>
        </w:rPr>
        <w:t>MD&amp;A</w:t>
      </w:r>
      <w:r w:rsidRPr="00534ADC">
        <w:rPr>
          <w:rFonts w:ascii="Arial" w:hAnsi="Arial" w:cs="Arial"/>
          <w:szCs w:val="20"/>
        </w:rPr>
        <w:t xml:space="preserve"> and other documents of the Company, as applicable, are qualified by such cautionary statements and there can be no assurance that the anticipated results or developments will </w:t>
      </w:r>
      <w:proofErr w:type="gramStart"/>
      <w:r w:rsidRPr="00534ADC">
        <w:rPr>
          <w:rFonts w:ascii="Arial" w:hAnsi="Arial" w:cs="Arial"/>
          <w:szCs w:val="20"/>
        </w:rPr>
        <w:t>actually be</w:t>
      </w:r>
      <w:proofErr w:type="gramEnd"/>
      <w:r w:rsidRPr="00534ADC">
        <w:rPr>
          <w:rFonts w:ascii="Arial" w:hAnsi="Arial" w:cs="Arial"/>
          <w:szCs w:val="20"/>
        </w:rPr>
        <w:t xml:space="preserve"> realized or, even if realized, that they will have the expected consequences to or effects on the Company. The cautionary statements contained or referred to in this section should be considered in connection with any subsequent written or oral forward-looking statements that the Company and/or persons acting on its behalf may issue. </w:t>
      </w:r>
      <w:r w:rsidR="00BD0CDA" w:rsidRPr="00534ADC">
        <w:rPr>
          <w:rFonts w:ascii="Arial" w:hAnsi="Arial" w:cs="Arial"/>
          <w:szCs w:val="20"/>
        </w:rPr>
        <w:t>T</w:t>
      </w:r>
      <w:r w:rsidRPr="00534ADC">
        <w:rPr>
          <w:rFonts w:ascii="Arial" w:hAnsi="Arial" w:cs="Arial"/>
          <w:szCs w:val="20"/>
        </w:rPr>
        <w:t xml:space="preserve">he Company </w:t>
      </w:r>
      <w:r w:rsidR="00BD0CDA" w:rsidRPr="00534ADC">
        <w:rPr>
          <w:rFonts w:ascii="Arial" w:hAnsi="Arial" w:cs="Arial"/>
          <w:szCs w:val="20"/>
        </w:rPr>
        <w:t>does not</w:t>
      </w:r>
      <w:r w:rsidRPr="00534ADC">
        <w:rPr>
          <w:rFonts w:ascii="Arial" w:hAnsi="Arial" w:cs="Arial"/>
          <w:szCs w:val="20"/>
        </w:rPr>
        <w:t xml:space="preserve"> undertake any obligation to update or revise any forward-looking statements, whether </w:t>
      </w:r>
      <w:proofErr w:type="gramStart"/>
      <w:r w:rsidRPr="00534ADC">
        <w:rPr>
          <w:rFonts w:ascii="Arial" w:hAnsi="Arial" w:cs="Arial"/>
          <w:szCs w:val="20"/>
        </w:rPr>
        <w:t>as a result of</w:t>
      </w:r>
      <w:proofErr w:type="gramEnd"/>
      <w:r w:rsidRPr="00534ADC">
        <w:rPr>
          <w:rFonts w:ascii="Arial" w:hAnsi="Arial" w:cs="Arial"/>
          <w:szCs w:val="20"/>
        </w:rPr>
        <w:t xml:space="preserve"> new information, future events or otherwise, other than as required under securities legislation.</w:t>
      </w:r>
    </w:p>
    <w:p w14:paraId="414712CF" w14:textId="5EA965AA" w:rsidR="00E05364" w:rsidRPr="00534ADC" w:rsidRDefault="00E05364" w:rsidP="00E05364">
      <w:pPr>
        <w:jc w:val="both"/>
        <w:rPr>
          <w:rFonts w:ascii="Arial" w:hAnsi="Arial" w:cs="Arial"/>
          <w:szCs w:val="20"/>
        </w:rPr>
      </w:pPr>
    </w:p>
    <w:p w14:paraId="23AE1C20" w14:textId="2B9CEEE8" w:rsidR="00E05364" w:rsidRPr="00534ADC" w:rsidRDefault="00E05364" w:rsidP="00E05364">
      <w:pPr>
        <w:jc w:val="both"/>
        <w:rPr>
          <w:rFonts w:ascii="Arial" w:hAnsi="Arial" w:cs="Arial"/>
          <w:szCs w:val="20"/>
        </w:rPr>
      </w:pPr>
      <w:r w:rsidRPr="00534ADC">
        <w:rPr>
          <w:rFonts w:ascii="Arial" w:hAnsi="Arial" w:cs="Arial"/>
          <w:szCs w:val="20"/>
          <w:lang w:val="en-GB"/>
        </w:rPr>
        <w:t xml:space="preserve">References to EBITDA in this MD&amp;A refer to net earnings from continuing operations before interest, taxes and tax recoveries, amortization, deferred income tax recovery, unrealized foreign exchange losses, non-cash share-based expenses (Black-Scholes option pricing model) and write-off of assets. EBITDA is not an earnings measure recognized by IFRS and does not have a standardized meaning prescribed by IFRS. Management believes that EBITDA is an alternative measure in evaluating the Company's business performance. Readers are cautioned that EBITDA should not be construed as an alternative to net income as determined under IFRS; nor as an indicator of financial performance as determined by IFRS; nor a calculation of cash flow from operating activities as determined under IFRS; nor as a measure of liquidity and cash flow under IFRS. The Company's method of calculating EBITDA may differ from methods used by other </w:t>
      </w:r>
      <w:r w:rsidR="003539FC" w:rsidRPr="00534ADC">
        <w:rPr>
          <w:rFonts w:ascii="Arial" w:hAnsi="Arial" w:cs="Arial"/>
          <w:szCs w:val="20"/>
          <w:lang w:val="en-GB"/>
        </w:rPr>
        <w:t>Compan</w:t>
      </w:r>
      <w:r w:rsidR="00B865E6" w:rsidRPr="00534ADC">
        <w:rPr>
          <w:rFonts w:ascii="Arial" w:hAnsi="Arial" w:cs="Arial"/>
          <w:szCs w:val="20"/>
          <w:lang w:val="en-GB"/>
        </w:rPr>
        <w:t>ie</w:t>
      </w:r>
      <w:r w:rsidRPr="00534ADC">
        <w:rPr>
          <w:rFonts w:ascii="Arial" w:hAnsi="Arial" w:cs="Arial"/>
          <w:szCs w:val="20"/>
          <w:lang w:val="en-GB"/>
        </w:rPr>
        <w:t xml:space="preserve">s and, accordingly, the Company's EBITDA may not be comparable to similar measures used by any other </w:t>
      </w:r>
      <w:r w:rsidR="003539FC" w:rsidRPr="00534ADC">
        <w:rPr>
          <w:rFonts w:ascii="Arial" w:hAnsi="Arial" w:cs="Arial"/>
          <w:szCs w:val="20"/>
          <w:lang w:val="en-GB"/>
        </w:rPr>
        <w:t>Company</w:t>
      </w:r>
      <w:r w:rsidRPr="00534ADC">
        <w:rPr>
          <w:rFonts w:ascii="Arial" w:hAnsi="Arial" w:cs="Arial"/>
          <w:szCs w:val="20"/>
          <w:lang w:val="en-GB"/>
        </w:rPr>
        <w:t>.</w:t>
      </w:r>
    </w:p>
    <w:p w14:paraId="36956BF1" w14:textId="77777777" w:rsidR="00E05364" w:rsidRPr="00534ADC" w:rsidRDefault="00E05364" w:rsidP="00E05364">
      <w:pPr>
        <w:pStyle w:val="BodyText"/>
        <w:spacing w:before="0"/>
        <w:rPr>
          <w:rFonts w:ascii="Arial" w:hAnsi="Arial" w:cs="Arial"/>
          <w:b/>
          <w:szCs w:val="20"/>
        </w:rPr>
      </w:pPr>
    </w:p>
    <w:p w14:paraId="3122AAA2" w14:textId="016FBC3F" w:rsidR="00AC59BB" w:rsidRPr="00C41CE9" w:rsidRDefault="00B139CA" w:rsidP="00E05364">
      <w:pPr>
        <w:pStyle w:val="BodyText"/>
        <w:spacing w:before="0"/>
        <w:rPr>
          <w:rFonts w:ascii="Arial" w:hAnsi="Arial" w:cs="Arial"/>
          <w:b/>
          <w:szCs w:val="20"/>
        </w:rPr>
      </w:pPr>
      <w:r w:rsidRPr="00C41CE9">
        <w:rPr>
          <w:rFonts w:ascii="Arial" w:hAnsi="Arial" w:cs="Arial"/>
          <w:b/>
          <w:szCs w:val="20"/>
        </w:rPr>
        <w:t>OVERVIEW AND OUTLOOK</w:t>
      </w:r>
    </w:p>
    <w:p w14:paraId="20D23474" w14:textId="77777777" w:rsidR="00F169B3" w:rsidRPr="00C41CE9" w:rsidRDefault="00F169B3" w:rsidP="00F169B3">
      <w:pPr>
        <w:pStyle w:val="BodyText"/>
        <w:spacing w:before="0"/>
        <w:rPr>
          <w:rFonts w:ascii="Arial" w:hAnsi="Arial" w:cs="Arial"/>
          <w:szCs w:val="20"/>
        </w:rPr>
      </w:pPr>
    </w:p>
    <w:p w14:paraId="19F8DDE6" w14:textId="253CD83A" w:rsidR="00AF1781" w:rsidRDefault="00D04ED4" w:rsidP="00F169B3">
      <w:pPr>
        <w:pStyle w:val="BodyText"/>
        <w:spacing w:before="0"/>
        <w:rPr>
          <w:rFonts w:ascii="Arial" w:hAnsi="Arial" w:cs="Arial"/>
          <w:szCs w:val="20"/>
        </w:rPr>
      </w:pPr>
      <w:r w:rsidRPr="00C41CE9">
        <w:rPr>
          <w:rFonts w:ascii="Arial" w:hAnsi="Arial" w:cs="Arial"/>
          <w:szCs w:val="20"/>
        </w:rPr>
        <w:t xml:space="preserve">Delic </w:t>
      </w:r>
      <w:r w:rsidR="00A603CE" w:rsidRPr="00C41CE9">
        <w:rPr>
          <w:rFonts w:ascii="Arial" w:hAnsi="Arial" w:cs="Arial"/>
          <w:szCs w:val="20"/>
        </w:rPr>
        <w:t>Holdings Inc</w:t>
      </w:r>
      <w:r w:rsidRPr="00C41CE9">
        <w:rPr>
          <w:rFonts w:ascii="Arial" w:hAnsi="Arial" w:cs="Arial"/>
          <w:szCs w:val="20"/>
        </w:rPr>
        <w:t xml:space="preserve">. </w:t>
      </w:r>
      <w:r w:rsidR="00A603CE" w:rsidRPr="00C41CE9">
        <w:rPr>
          <w:rFonts w:ascii="Arial" w:hAnsi="Arial" w:cs="Arial"/>
          <w:szCs w:val="20"/>
        </w:rPr>
        <w:t xml:space="preserve">(formerly </w:t>
      </w:r>
      <w:proofErr w:type="spellStart"/>
      <w:r w:rsidR="00A603CE" w:rsidRPr="00C41CE9">
        <w:rPr>
          <w:rFonts w:ascii="Arial" w:hAnsi="Arial" w:cs="Arial"/>
          <w:szCs w:val="20"/>
        </w:rPr>
        <w:t>Molystar</w:t>
      </w:r>
      <w:proofErr w:type="spellEnd"/>
      <w:r w:rsidR="00A603CE" w:rsidRPr="00C41CE9">
        <w:rPr>
          <w:rFonts w:ascii="Arial" w:hAnsi="Arial" w:cs="Arial"/>
          <w:szCs w:val="20"/>
        </w:rPr>
        <w:t xml:space="preserve"> Resources Inc.) </w:t>
      </w:r>
      <w:r w:rsidRPr="00C41CE9">
        <w:rPr>
          <w:rFonts w:ascii="Arial" w:hAnsi="Arial" w:cs="Arial"/>
          <w:szCs w:val="20"/>
        </w:rPr>
        <w:t xml:space="preserve">(the “Company”) was incorporated in </w:t>
      </w:r>
      <w:r w:rsidR="00374162">
        <w:rPr>
          <w:rFonts w:ascii="Arial" w:hAnsi="Arial" w:cs="Arial"/>
          <w:szCs w:val="20"/>
        </w:rPr>
        <w:t xml:space="preserve">British Columbia on November 17, 2005.  It’s operating subsidiary, Delic Corp., was incorporated on March 7, </w:t>
      </w:r>
      <w:proofErr w:type="gramStart"/>
      <w:r w:rsidR="00374162">
        <w:rPr>
          <w:rFonts w:ascii="Arial" w:hAnsi="Arial" w:cs="Arial"/>
          <w:szCs w:val="20"/>
        </w:rPr>
        <w:t>2019</w:t>
      </w:r>
      <w:proofErr w:type="gramEnd"/>
      <w:r w:rsidR="00374162">
        <w:rPr>
          <w:rFonts w:ascii="Arial" w:hAnsi="Arial" w:cs="Arial"/>
          <w:szCs w:val="20"/>
        </w:rPr>
        <w:t xml:space="preserve"> in </w:t>
      </w:r>
      <w:r w:rsidRPr="00C41CE9">
        <w:rPr>
          <w:rFonts w:ascii="Arial" w:hAnsi="Arial" w:cs="Arial"/>
          <w:szCs w:val="20"/>
        </w:rPr>
        <w:t xml:space="preserve">Delaware. The Company’s head office is located at </w:t>
      </w:r>
      <w:r w:rsidR="003E403B" w:rsidRPr="00C41CE9">
        <w:rPr>
          <w:rFonts w:ascii="Arial" w:hAnsi="Arial" w:cs="Arial"/>
          <w:szCs w:val="20"/>
        </w:rPr>
        <w:t>885 West Georgia, Suite 1400, Vancouver, BC V6C 3E8.</w:t>
      </w:r>
      <w:r w:rsidRPr="00C41CE9">
        <w:rPr>
          <w:rFonts w:ascii="Arial" w:hAnsi="Arial" w:cs="Arial"/>
          <w:szCs w:val="20"/>
        </w:rPr>
        <w:t xml:space="preserve">  The Company </w:t>
      </w:r>
      <w:r w:rsidR="00AC607E">
        <w:rPr>
          <w:rFonts w:ascii="Arial" w:hAnsi="Arial" w:cs="Arial"/>
          <w:szCs w:val="20"/>
        </w:rPr>
        <w:t>owns and operates a self-sustaining umbrella of businesses in the psychedelic ecosystem</w:t>
      </w:r>
      <w:r w:rsidR="008F2664">
        <w:rPr>
          <w:rFonts w:ascii="Arial" w:hAnsi="Arial" w:cs="Arial"/>
          <w:szCs w:val="20"/>
        </w:rPr>
        <w:t xml:space="preserve"> consisting of media, science, and health</w:t>
      </w:r>
      <w:r w:rsidR="00AC607E">
        <w:rPr>
          <w:rFonts w:ascii="Arial" w:hAnsi="Arial" w:cs="Arial"/>
          <w:szCs w:val="20"/>
        </w:rPr>
        <w:t>.</w:t>
      </w:r>
      <w:r w:rsidR="00AF1781" w:rsidRPr="00C41CE9">
        <w:rPr>
          <w:rFonts w:ascii="Arial" w:hAnsi="Arial" w:cs="Arial"/>
          <w:szCs w:val="20"/>
        </w:rPr>
        <w:t xml:space="preserve">  </w:t>
      </w:r>
    </w:p>
    <w:p w14:paraId="313C723B" w14:textId="261668B3" w:rsidR="0075140A" w:rsidRPr="0075140A" w:rsidRDefault="0075140A" w:rsidP="0075140A">
      <w:pPr>
        <w:pStyle w:val="BodyText"/>
        <w:rPr>
          <w:rFonts w:ascii="Arial" w:hAnsi="Arial" w:cs="Arial"/>
          <w:bCs/>
          <w:szCs w:val="20"/>
        </w:rPr>
      </w:pPr>
      <w:r w:rsidRPr="0075140A">
        <w:rPr>
          <w:rFonts w:ascii="Arial" w:hAnsi="Arial" w:cs="Arial"/>
          <w:bCs/>
          <w:szCs w:val="20"/>
        </w:rPr>
        <w:t xml:space="preserve">As </w:t>
      </w:r>
      <w:proofErr w:type="gramStart"/>
      <w:r w:rsidRPr="0075140A">
        <w:rPr>
          <w:rFonts w:ascii="Arial" w:hAnsi="Arial" w:cs="Arial"/>
          <w:bCs/>
          <w:szCs w:val="20"/>
        </w:rPr>
        <w:t>at</w:t>
      </w:r>
      <w:proofErr w:type="gramEnd"/>
      <w:r w:rsidRPr="0075140A">
        <w:rPr>
          <w:rFonts w:ascii="Arial" w:hAnsi="Arial" w:cs="Arial"/>
          <w:bCs/>
          <w:szCs w:val="20"/>
        </w:rPr>
        <w:t xml:space="preserve"> </w:t>
      </w:r>
      <w:r>
        <w:rPr>
          <w:rFonts w:ascii="Arial" w:hAnsi="Arial" w:cs="Arial"/>
          <w:bCs/>
          <w:szCs w:val="20"/>
        </w:rPr>
        <w:t>June 30, 2021</w:t>
      </w:r>
      <w:r w:rsidRPr="0075140A">
        <w:rPr>
          <w:rFonts w:ascii="Arial" w:hAnsi="Arial" w:cs="Arial"/>
          <w:bCs/>
          <w:szCs w:val="20"/>
        </w:rPr>
        <w:t>, the business of the Company was the business of Delic Corp.</w:t>
      </w:r>
      <w:r>
        <w:rPr>
          <w:rFonts w:ascii="Arial" w:hAnsi="Arial" w:cs="Arial"/>
          <w:bCs/>
          <w:szCs w:val="20"/>
        </w:rPr>
        <w:t>, Delic Labs</w:t>
      </w:r>
      <w:r w:rsidR="00FB2544">
        <w:rPr>
          <w:rFonts w:ascii="Arial" w:hAnsi="Arial" w:cs="Arial"/>
          <w:bCs/>
          <w:szCs w:val="20"/>
        </w:rPr>
        <w:t xml:space="preserve"> Inc. (</w:t>
      </w:r>
      <w:r w:rsidR="00FB2544">
        <w:rPr>
          <w:rFonts w:ascii="Arial" w:hAnsi="Arial" w:cs="Arial"/>
          <w:bCs/>
          <w:szCs w:val="20"/>
        </w:rPr>
        <w:br/>
        <w:t>Delic Labs”)</w:t>
      </w:r>
      <w:r>
        <w:rPr>
          <w:rFonts w:ascii="Arial" w:hAnsi="Arial" w:cs="Arial"/>
          <w:bCs/>
          <w:szCs w:val="20"/>
        </w:rPr>
        <w:t>, and Ketamine Infusion Centers, LLC (“KIC”).</w:t>
      </w:r>
      <w:r w:rsidRPr="0075140A">
        <w:rPr>
          <w:rFonts w:ascii="Arial" w:hAnsi="Arial" w:cs="Arial"/>
          <w:bCs/>
          <w:szCs w:val="20"/>
        </w:rPr>
        <w:t xml:space="preserve"> </w:t>
      </w:r>
    </w:p>
    <w:p w14:paraId="7474A59F" w14:textId="77777777" w:rsidR="0075140A" w:rsidRDefault="0075140A" w:rsidP="0075140A">
      <w:pPr>
        <w:pStyle w:val="BodyText"/>
        <w:spacing w:before="0"/>
        <w:rPr>
          <w:rFonts w:ascii="Arial" w:hAnsi="Arial" w:cs="Arial"/>
          <w:i/>
          <w:szCs w:val="20"/>
        </w:rPr>
      </w:pPr>
    </w:p>
    <w:p w14:paraId="76F70491" w14:textId="0F4C12A9" w:rsidR="0075140A" w:rsidRPr="0075140A" w:rsidRDefault="0075140A" w:rsidP="0075140A">
      <w:pPr>
        <w:pStyle w:val="BodyText"/>
        <w:spacing w:before="0"/>
        <w:rPr>
          <w:rFonts w:ascii="Arial" w:hAnsi="Arial" w:cs="Arial"/>
          <w:i/>
          <w:szCs w:val="20"/>
        </w:rPr>
      </w:pPr>
      <w:r w:rsidRPr="0075140A">
        <w:rPr>
          <w:rFonts w:ascii="Arial" w:hAnsi="Arial" w:cs="Arial"/>
          <w:i/>
          <w:szCs w:val="20"/>
        </w:rPr>
        <w:t>Delic Corp.</w:t>
      </w:r>
    </w:p>
    <w:p w14:paraId="5E6578BC" w14:textId="77777777" w:rsidR="0075140A" w:rsidRDefault="0075140A" w:rsidP="0075140A">
      <w:pPr>
        <w:pStyle w:val="BodyText"/>
        <w:spacing w:before="0"/>
        <w:rPr>
          <w:rFonts w:ascii="Arial" w:hAnsi="Arial" w:cs="Arial"/>
          <w:szCs w:val="20"/>
        </w:rPr>
      </w:pPr>
    </w:p>
    <w:p w14:paraId="7D772549" w14:textId="5815FBB0" w:rsidR="0075140A" w:rsidRPr="0075140A" w:rsidRDefault="0075140A" w:rsidP="0075140A">
      <w:pPr>
        <w:pStyle w:val="BodyText"/>
        <w:spacing w:before="0"/>
        <w:rPr>
          <w:rFonts w:ascii="Arial" w:hAnsi="Arial" w:cs="Arial"/>
          <w:szCs w:val="20"/>
        </w:rPr>
      </w:pPr>
      <w:r w:rsidRPr="0075140A">
        <w:rPr>
          <w:rFonts w:ascii="Arial" w:hAnsi="Arial" w:cs="Arial"/>
          <w:szCs w:val="20"/>
        </w:rPr>
        <w:t xml:space="preserve">Founded in 2019, Delic Corp. was formed to address the growing interest in psychedelic science. The ‎company was formed as the first psychedelic umbrella media platform and is currently a trusted media source for those interested in psychedelic science. ‎ Delic Corp. is an international media ecosystem and platform providing information about the psychedelics sector. Delic Corp. has developed an online media presence and has garnered interest in the topic of psychedelics from all over the world. Delic Corp. intends to capitalize on this interest by hosting a biannual summit in Los Angeles, California. </w:t>
      </w:r>
    </w:p>
    <w:p w14:paraId="21DDD6D5" w14:textId="77777777" w:rsidR="0075140A" w:rsidRDefault="0075140A" w:rsidP="0075140A">
      <w:pPr>
        <w:pStyle w:val="BodyText"/>
        <w:spacing w:before="0"/>
        <w:rPr>
          <w:rFonts w:ascii="Arial" w:hAnsi="Arial" w:cs="Arial"/>
          <w:szCs w:val="20"/>
        </w:rPr>
      </w:pPr>
    </w:p>
    <w:p w14:paraId="5EDE500A" w14:textId="75D5B06A" w:rsidR="0075140A" w:rsidRPr="0075140A" w:rsidRDefault="0075140A" w:rsidP="0075140A">
      <w:pPr>
        <w:pStyle w:val="BodyText"/>
        <w:spacing w:before="0"/>
        <w:rPr>
          <w:rFonts w:ascii="Arial" w:hAnsi="Arial" w:cs="Arial"/>
          <w:szCs w:val="20"/>
        </w:rPr>
      </w:pPr>
      <w:r w:rsidRPr="0075140A">
        <w:rPr>
          <w:rFonts w:ascii="Arial" w:hAnsi="Arial" w:cs="Arial"/>
          <w:szCs w:val="20"/>
        </w:rPr>
        <w:t xml:space="preserve">Delic Corp. was formed to provide people with knowledge regarding the growing space of psychedelic ‎wellness. Delic Corp. aims to inform and educate the public on the rapidly growing medical psychedelic market globally, where psychedelic therapies are used as possible treatments for PTSD, anxiety, </w:t>
      </w:r>
      <w:proofErr w:type="gramStart"/>
      <w:r w:rsidRPr="0075140A">
        <w:rPr>
          <w:rFonts w:ascii="Arial" w:hAnsi="Arial" w:cs="Arial"/>
          <w:szCs w:val="20"/>
        </w:rPr>
        <w:t>depression</w:t>
      </w:r>
      <w:proofErr w:type="gramEnd"/>
      <w:r w:rsidRPr="0075140A">
        <w:rPr>
          <w:rFonts w:ascii="Arial" w:hAnsi="Arial" w:cs="Arial"/>
          <w:szCs w:val="20"/>
        </w:rPr>
        <w:t xml:space="preserve"> and other mental health conditions. ‎</w:t>
      </w:r>
    </w:p>
    <w:p w14:paraId="267FDB81" w14:textId="77777777" w:rsidR="0075140A" w:rsidRDefault="0075140A" w:rsidP="0075140A">
      <w:pPr>
        <w:pStyle w:val="BodyText"/>
        <w:spacing w:before="0"/>
        <w:rPr>
          <w:rFonts w:ascii="Arial" w:hAnsi="Arial" w:cs="Arial"/>
          <w:szCs w:val="20"/>
        </w:rPr>
      </w:pPr>
    </w:p>
    <w:p w14:paraId="11B1667A" w14:textId="56877AD3" w:rsidR="0075140A" w:rsidRPr="0075140A" w:rsidRDefault="0075140A" w:rsidP="0075140A">
      <w:pPr>
        <w:pStyle w:val="BodyText"/>
        <w:spacing w:before="0"/>
        <w:rPr>
          <w:rFonts w:ascii="Arial" w:hAnsi="Arial" w:cs="Arial"/>
          <w:szCs w:val="20"/>
        </w:rPr>
      </w:pPr>
      <w:r w:rsidRPr="0075140A">
        <w:rPr>
          <w:rFonts w:ascii="Arial" w:hAnsi="Arial" w:cs="Arial"/>
          <w:szCs w:val="20"/>
        </w:rPr>
        <w:t>According to a Data Bridge Market Research report published in January 2020, "the (US) psychedelic drugs ‎market is expected to gain market growth in the forecast period of 2020-2027 with a CAGR of 16.3% and ‎is expected to reach USD 6,859.95 million by 2027 from USD 2,077.90 million in 2019."</w:t>
      </w:r>
      <w:r w:rsidRPr="0075140A">
        <w:rPr>
          <w:rFonts w:ascii="Arial" w:hAnsi="Arial" w:cs="Arial"/>
          <w:szCs w:val="20"/>
          <w:vertAlign w:val="superscript"/>
        </w:rPr>
        <w:footnoteReference w:id="1"/>
      </w:r>
      <w:r w:rsidRPr="0075140A">
        <w:rPr>
          <w:rFonts w:ascii="Arial" w:hAnsi="Arial" w:cs="Arial"/>
          <w:szCs w:val="20"/>
        </w:rPr>
        <w:t xml:space="preserve">‎ ‎ The report goes ‎on to say that this growth is due to the "growing acceptance of psychedelic drugs for treating depression ‎and increasing prevalence of depression and mental disorders are the factors for the market growth." With increased interest in the psychedelics industry, Delic Corp. anticipates growth in all segments of its platform. </w:t>
      </w:r>
    </w:p>
    <w:p w14:paraId="3B1B74FC" w14:textId="77777777" w:rsidR="0075140A" w:rsidRDefault="0075140A" w:rsidP="0075140A">
      <w:pPr>
        <w:pStyle w:val="BodyText"/>
        <w:spacing w:before="0"/>
        <w:rPr>
          <w:rFonts w:ascii="Arial" w:hAnsi="Arial" w:cs="Arial"/>
          <w:szCs w:val="20"/>
        </w:rPr>
      </w:pPr>
    </w:p>
    <w:p w14:paraId="6DCF0149" w14:textId="77777777" w:rsidR="0075140A" w:rsidRDefault="0075140A" w:rsidP="0075140A">
      <w:pPr>
        <w:pStyle w:val="BodyText"/>
        <w:spacing w:before="0"/>
        <w:rPr>
          <w:rFonts w:ascii="Arial" w:hAnsi="Arial" w:cs="Arial"/>
          <w:szCs w:val="20"/>
        </w:rPr>
      </w:pPr>
    </w:p>
    <w:p w14:paraId="5DB51DCD" w14:textId="3CDAA581" w:rsidR="0075140A" w:rsidRPr="0075140A" w:rsidRDefault="0075140A" w:rsidP="0075140A">
      <w:pPr>
        <w:pStyle w:val="BodyText"/>
        <w:spacing w:before="0"/>
        <w:rPr>
          <w:rFonts w:ascii="Arial" w:hAnsi="Arial" w:cs="Arial"/>
          <w:szCs w:val="20"/>
        </w:rPr>
      </w:pPr>
      <w:r w:rsidRPr="0075140A">
        <w:rPr>
          <w:rFonts w:ascii="Arial" w:hAnsi="Arial" w:cs="Arial"/>
          <w:szCs w:val="20"/>
        </w:rPr>
        <w:t xml:space="preserve">Delic Corp.'s </w:t>
      </w:r>
      <w:r w:rsidR="00AF5C13">
        <w:rPr>
          <w:rFonts w:ascii="Arial" w:hAnsi="Arial" w:cs="Arial"/>
          <w:szCs w:val="20"/>
        </w:rPr>
        <w:t xml:space="preserve">business </w:t>
      </w:r>
      <w:r w:rsidR="00FF5410">
        <w:rPr>
          <w:rFonts w:ascii="Arial" w:hAnsi="Arial" w:cs="Arial"/>
          <w:szCs w:val="20"/>
        </w:rPr>
        <w:t>consists of T</w:t>
      </w:r>
      <w:r w:rsidRPr="0075140A">
        <w:rPr>
          <w:rFonts w:ascii="Arial" w:hAnsi="Arial" w:cs="Arial"/>
          <w:szCs w:val="20"/>
        </w:rPr>
        <w:t xml:space="preserve">he Delic (e-commerce website and blog), Reality Sandwich (online education platform), Meet Delic (bi-annual event) and Delic Radio (podcast), each of which is dedicated to public education ‎and de-stigmatizing the psychedelic conversation for a mainstream audience. Collectively, these forums ‎provide Delic Corp. with the opportunity to sell products relating to the psychedelics space, market various events in the psychedelic space, provide leading experts with a medium to publish articles, speak on podcasts, and, more broadly, build a ‎culture of mainstream understanding and appreciation of psychedelics. </w:t>
      </w:r>
    </w:p>
    <w:p w14:paraId="141DD2E9" w14:textId="77777777" w:rsidR="0075140A" w:rsidRDefault="0075140A" w:rsidP="0075140A">
      <w:pPr>
        <w:pStyle w:val="BodyText"/>
        <w:spacing w:before="0"/>
        <w:rPr>
          <w:rFonts w:ascii="Arial" w:hAnsi="Arial" w:cs="Arial"/>
          <w:szCs w:val="20"/>
        </w:rPr>
      </w:pPr>
    </w:p>
    <w:p w14:paraId="08452641" w14:textId="07103715" w:rsidR="0075140A" w:rsidRPr="0075140A" w:rsidRDefault="0075140A" w:rsidP="0075140A">
      <w:pPr>
        <w:pStyle w:val="BodyText"/>
        <w:spacing w:before="0"/>
        <w:rPr>
          <w:rFonts w:ascii="Arial" w:hAnsi="Arial" w:cs="Arial"/>
          <w:szCs w:val="20"/>
        </w:rPr>
      </w:pPr>
      <w:r w:rsidRPr="0075140A">
        <w:rPr>
          <w:rFonts w:ascii="Arial" w:hAnsi="Arial" w:cs="Arial"/>
          <w:szCs w:val="20"/>
        </w:rPr>
        <w:t xml:space="preserve">Delic Corp.'s three online platforms, The Delic, Reality Sandwich and Delic Radio collectively reach over 100,000 people per month. The ‎company's broad mission is to educate the public about new wellness options available to them and ultimately ‎create space for a diverse demographic to feel empowered and live happier lives. As interest in the ‎sector has grown in recent years, Delic Corp. has seen increases in viewers to ‎the Reality Sandwich and The Delic websites and listeners of the Delic Radio podcast.  </w:t>
      </w:r>
    </w:p>
    <w:p w14:paraId="26EC22D5" w14:textId="77777777" w:rsidR="00FF5410" w:rsidRDefault="00FF5410" w:rsidP="0075140A">
      <w:pPr>
        <w:pStyle w:val="BodyText"/>
        <w:spacing w:before="0"/>
        <w:rPr>
          <w:rFonts w:ascii="Arial" w:hAnsi="Arial" w:cs="Arial"/>
          <w:szCs w:val="20"/>
        </w:rPr>
      </w:pPr>
    </w:p>
    <w:p w14:paraId="215301C5" w14:textId="6DBE7A82" w:rsidR="0075140A" w:rsidRPr="0075140A" w:rsidRDefault="0075140A" w:rsidP="0075140A">
      <w:pPr>
        <w:pStyle w:val="BodyText"/>
        <w:spacing w:before="0"/>
        <w:rPr>
          <w:rFonts w:ascii="Arial" w:hAnsi="Arial" w:cs="Arial"/>
          <w:i/>
          <w:szCs w:val="20"/>
        </w:rPr>
      </w:pPr>
      <w:r w:rsidRPr="0075140A">
        <w:rPr>
          <w:rFonts w:ascii="Arial" w:hAnsi="Arial" w:cs="Arial"/>
          <w:i/>
          <w:szCs w:val="20"/>
        </w:rPr>
        <w:t>Delic Labs</w:t>
      </w:r>
    </w:p>
    <w:p w14:paraId="5AAC0A0C" w14:textId="77777777" w:rsidR="0075140A" w:rsidRDefault="0075140A" w:rsidP="0075140A">
      <w:pPr>
        <w:pStyle w:val="BodyText"/>
        <w:spacing w:before="0"/>
        <w:rPr>
          <w:rFonts w:ascii="Arial" w:hAnsi="Arial" w:cs="Arial"/>
          <w:szCs w:val="20"/>
        </w:rPr>
      </w:pPr>
    </w:p>
    <w:p w14:paraId="08779EE3" w14:textId="703CB2B5" w:rsidR="0075140A" w:rsidRPr="0075140A" w:rsidRDefault="0075140A" w:rsidP="0075140A">
      <w:pPr>
        <w:pStyle w:val="BodyText"/>
        <w:spacing w:before="0"/>
        <w:rPr>
          <w:rFonts w:ascii="Arial" w:hAnsi="Arial" w:cs="Arial"/>
          <w:szCs w:val="20"/>
        </w:rPr>
      </w:pPr>
      <w:r w:rsidRPr="0075140A">
        <w:rPr>
          <w:rFonts w:ascii="Arial" w:hAnsi="Arial" w:cs="Arial"/>
          <w:szCs w:val="20"/>
        </w:rPr>
        <w:t>Delic Labs was founded by ‎award-winning chemist, Dr. Markus Roggen, and University of British Columbia Professor, Dr. Glenn Sammis, to ‎support the psychedelic industry with high precision chemical analytics and metabolomic ‎identification. Delic Labs is a licensed psilocybin and cannabis research laboratory ‎focused on extraction, analytical testing, and chemical process development and serves as the engine for the Delic platform, conducting research and developing innovative product lines and intellectual property, including psilocybin vaporization technology for future distribution across the company's physical footprint.</w:t>
      </w:r>
      <w:r w:rsidR="000D7D01">
        <w:rPr>
          <w:rFonts w:ascii="Arial" w:hAnsi="Arial" w:cs="Arial"/>
          <w:szCs w:val="20"/>
        </w:rPr>
        <w:t xml:space="preserve">  Current customers include biotech companies, alcohol and tobacco, instrument manufacturers, and cannabis producers.  </w:t>
      </w:r>
    </w:p>
    <w:p w14:paraId="47DF4E6C" w14:textId="77777777" w:rsidR="0075140A" w:rsidRDefault="0075140A" w:rsidP="0075140A">
      <w:pPr>
        <w:pStyle w:val="BodyText"/>
        <w:spacing w:before="0"/>
        <w:rPr>
          <w:rFonts w:ascii="Arial" w:hAnsi="Arial" w:cs="Arial"/>
          <w:i/>
          <w:szCs w:val="20"/>
        </w:rPr>
      </w:pPr>
    </w:p>
    <w:p w14:paraId="70172668" w14:textId="150A5158" w:rsidR="0075140A" w:rsidRPr="0075140A" w:rsidRDefault="0075140A" w:rsidP="0075140A">
      <w:pPr>
        <w:pStyle w:val="BodyText"/>
        <w:spacing w:before="0"/>
        <w:rPr>
          <w:rFonts w:ascii="Arial" w:hAnsi="Arial" w:cs="Arial"/>
          <w:i/>
          <w:szCs w:val="20"/>
        </w:rPr>
      </w:pPr>
      <w:r w:rsidRPr="0075140A">
        <w:rPr>
          <w:rFonts w:ascii="Arial" w:hAnsi="Arial" w:cs="Arial"/>
          <w:i/>
          <w:szCs w:val="20"/>
        </w:rPr>
        <w:t>KIC</w:t>
      </w:r>
    </w:p>
    <w:p w14:paraId="402FB556" w14:textId="77777777" w:rsidR="0075140A" w:rsidRDefault="0075140A" w:rsidP="0075140A">
      <w:pPr>
        <w:pStyle w:val="BodyText"/>
        <w:spacing w:before="0"/>
        <w:rPr>
          <w:rFonts w:ascii="Arial" w:hAnsi="Arial" w:cs="Arial"/>
          <w:szCs w:val="20"/>
        </w:rPr>
      </w:pPr>
    </w:p>
    <w:p w14:paraId="4329499C" w14:textId="5CD05A94" w:rsidR="0075140A" w:rsidRPr="0075140A" w:rsidRDefault="0075140A" w:rsidP="0075140A">
      <w:pPr>
        <w:pStyle w:val="BodyText"/>
        <w:spacing w:before="0"/>
        <w:rPr>
          <w:rFonts w:ascii="Arial" w:hAnsi="Arial" w:cs="Arial"/>
          <w:szCs w:val="20"/>
        </w:rPr>
      </w:pPr>
      <w:r w:rsidRPr="0075140A">
        <w:rPr>
          <w:rFonts w:ascii="Arial" w:hAnsi="Arial" w:cs="Arial"/>
          <w:szCs w:val="20"/>
        </w:rPr>
        <w:t xml:space="preserve">KIC currently owns and operates two ketamine infusion treatment clinics, one in Phoenix, Arizona and the other in Bakersfield, California. </w:t>
      </w:r>
    </w:p>
    <w:p w14:paraId="6B4C22CE" w14:textId="77777777" w:rsidR="0075140A" w:rsidRDefault="0075140A" w:rsidP="0075140A">
      <w:pPr>
        <w:pStyle w:val="BodyText"/>
        <w:spacing w:before="0"/>
        <w:rPr>
          <w:rFonts w:ascii="Arial" w:hAnsi="Arial" w:cs="Arial"/>
          <w:szCs w:val="20"/>
        </w:rPr>
      </w:pPr>
    </w:p>
    <w:p w14:paraId="1A25320B" w14:textId="77777777" w:rsidR="0075140A" w:rsidRPr="0075140A" w:rsidRDefault="0075140A" w:rsidP="0075140A">
      <w:pPr>
        <w:pStyle w:val="BodyText"/>
        <w:spacing w:before="0"/>
        <w:rPr>
          <w:rFonts w:ascii="Arial" w:hAnsi="Arial" w:cs="Arial"/>
          <w:szCs w:val="20"/>
        </w:rPr>
      </w:pPr>
      <w:r w:rsidRPr="0075140A">
        <w:rPr>
          <w:rFonts w:ascii="Arial" w:hAnsi="Arial" w:cs="Arial"/>
          <w:szCs w:val="20"/>
        </w:rPr>
        <w:t>Under KIC’s business model, treatments consist of six sessions administered by a full-time nurse practitioner over two weeks at $400 per session (PTSD and ‎depression) followed by a booster session, either monthly or every other month thereafter at ‎‎$350/session; or five sessions in a row at $750 per session (higher dosage for pain treatment such as CRPS) ‎followed by monthly booster shot. Retention for ongoing treatment is approximately 75%. Each treatment is 90 ‎minutes long. Normalized, a clinic can administer 120 treatments per month.</w:t>
      </w:r>
    </w:p>
    <w:p w14:paraId="5DD7A305" w14:textId="77777777" w:rsidR="0075140A" w:rsidRDefault="0075140A" w:rsidP="0075140A">
      <w:pPr>
        <w:pStyle w:val="BodyText"/>
        <w:spacing w:before="0"/>
        <w:rPr>
          <w:rFonts w:ascii="Arial" w:hAnsi="Arial" w:cs="Arial"/>
          <w:szCs w:val="20"/>
        </w:rPr>
      </w:pPr>
    </w:p>
    <w:p w14:paraId="5351708A" w14:textId="262E6B50" w:rsidR="0075140A" w:rsidRPr="00C41CE9" w:rsidRDefault="0075140A" w:rsidP="0075140A">
      <w:pPr>
        <w:pStyle w:val="BodyText"/>
        <w:spacing w:before="0"/>
        <w:rPr>
          <w:rFonts w:ascii="Arial" w:hAnsi="Arial" w:cs="Arial"/>
          <w:szCs w:val="20"/>
        </w:rPr>
      </w:pPr>
      <w:r w:rsidRPr="0075140A">
        <w:rPr>
          <w:rFonts w:ascii="Arial" w:hAnsi="Arial" w:cs="Arial"/>
          <w:szCs w:val="20"/>
        </w:rPr>
        <w:t>Both Medicare and insurance companies provide reimbursement for Ketamine treatments (Phoenix ‎location: 1/3 paid in cash; 1/3 paid through Medicare; 1/3 paid through commercial insurance and ‎Bakersfield location: 45% paid via Medicare; 45% paid via commercial insurance; 10% paid via cash).‎</w:t>
      </w:r>
    </w:p>
    <w:p w14:paraId="0CEF166D" w14:textId="2B2E3386" w:rsidR="00BC5B58" w:rsidRPr="00C41CE9" w:rsidRDefault="00BC5B58" w:rsidP="004C37D0">
      <w:pPr>
        <w:pStyle w:val="OHHParagraph"/>
        <w:spacing w:after="0"/>
        <w:ind w:firstLine="0"/>
        <w:rPr>
          <w:rFonts w:ascii="Arial" w:hAnsi="Arial" w:cs="Arial"/>
          <w:bCs/>
          <w:lang w:val="en-CA"/>
        </w:rPr>
      </w:pPr>
    </w:p>
    <w:p w14:paraId="3888DB0C" w14:textId="36CC0B09" w:rsidR="005636E8" w:rsidRPr="00C41CE9" w:rsidRDefault="005636E8" w:rsidP="005636E8">
      <w:pPr>
        <w:pStyle w:val="BodyText"/>
        <w:spacing w:before="0"/>
        <w:rPr>
          <w:rFonts w:ascii="Arial" w:hAnsi="Arial" w:cs="Arial"/>
          <w:szCs w:val="20"/>
          <w:u w:val="single"/>
          <w:lang w:val="en-US"/>
        </w:rPr>
      </w:pPr>
      <w:r w:rsidRPr="00C41CE9">
        <w:rPr>
          <w:rFonts w:ascii="Arial" w:hAnsi="Arial" w:cs="Arial"/>
          <w:szCs w:val="20"/>
          <w:u w:val="single"/>
          <w:lang w:val="en-US"/>
        </w:rPr>
        <w:t xml:space="preserve">Significant </w:t>
      </w:r>
      <w:r w:rsidR="00F83DA0">
        <w:rPr>
          <w:rFonts w:ascii="Arial" w:hAnsi="Arial" w:cs="Arial"/>
          <w:szCs w:val="20"/>
          <w:u w:val="single"/>
          <w:lang w:val="en-US"/>
        </w:rPr>
        <w:t>e</w:t>
      </w:r>
      <w:r w:rsidRPr="00C41CE9">
        <w:rPr>
          <w:rFonts w:ascii="Arial" w:hAnsi="Arial" w:cs="Arial"/>
          <w:szCs w:val="20"/>
          <w:u w:val="single"/>
          <w:lang w:val="en-US"/>
        </w:rPr>
        <w:t>vents</w:t>
      </w:r>
      <w:r w:rsidR="00A603CE" w:rsidRPr="00C41CE9">
        <w:rPr>
          <w:rFonts w:ascii="Arial" w:hAnsi="Arial" w:cs="Arial"/>
          <w:szCs w:val="20"/>
          <w:u w:val="single"/>
          <w:lang w:val="en-US"/>
        </w:rPr>
        <w:t xml:space="preserve"> up to the date of this MD&amp;A</w:t>
      </w:r>
    </w:p>
    <w:p w14:paraId="176BA92A" w14:textId="4422F93E" w:rsidR="005636E8" w:rsidRPr="00C41CE9" w:rsidRDefault="005636E8" w:rsidP="00C403CB">
      <w:pPr>
        <w:pStyle w:val="BodyText"/>
        <w:spacing w:before="0"/>
        <w:rPr>
          <w:rFonts w:ascii="Arial" w:hAnsi="Arial" w:cs="Arial"/>
          <w:szCs w:val="20"/>
        </w:rPr>
      </w:pPr>
    </w:p>
    <w:p w14:paraId="4FE105E4" w14:textId="69ECE898" w:rsidR="00A603CE" w:rsidRPr="00C41CE9" w:rsidRDefault="00EF663D" w:rsidP="00CF02BB">
      <w:pPr>
        <w:pStyle w:val="BodyText"/>
        <w:spacing w:before="0"/>
        <w:rPr>
          <w:rFonts w:ascii="Arial" w:hAnsi="Arial" w:cs="Arial"/>
          <w:bCs/>
          <w:i/>
          <w:iCs/>
          <w:szCs w:val="20"/>
        </w:rPr>
      </w:pPr>
      <w:r>
        <w:rPr>
          <w:rFonts w:ascii="Arial" w:hAnsi="Arial" w:cs="Arial"/>
          <w:bCs/>
          <w:i/>
          <w:iCs/>
          <w:szCs w:val="20"/>
        </w:rPr>
        <w:t>Acquisition of KIC</w:t>
      </w:r>
    </w:p>
    <w:p w14:paraId="5D386A3B" w14:textId="22B873E1" w:rsidR="00EF663D" w:rsidRPr="00EF663D" w:rsidRDefault="00EF663D" w:rsidP="00EF663D">
      <w:pPr>
        <w:pStyle w:val="BodyText"/>
        <w:rPr>
          <w:rFonts w:ascii="Arial" w:hAnsi="Arial" w:cs="Arial"/>
          <w:bCs/>
          <w:szCs w:val="20"/>
        </w:rPr>
      </w:pPr>
      <w:r w:rsidRPr="00EF663D">
        <w:rPr>
          <w:rFonts w:ascii="Arial" w:hAnsi="Arial" w:cs="Arial"/>
          <w:bCs/>
          <w:szCs w:val="20"/>
        </w:rPr>
        <w:t xml:space="preserve">On June 30, 2021, the Company acquired all of the issued and outstanding securities of </w:t>
      </w:r>
      <w:r>
        <w:rPr>
          <w:rFonts w:ascii="Arial" w:hAnsi="Arial" w:cs="Arial"/>
          <w:bCs/>
          <w:szCs w:val="20"/>
        </w:rPr>
        <w:t xml:space="preserve">KIC </w:t>
      </w:r>
      <w:r w:rsidRPr="00EF663D">
        <w:rPr>
          <w:rFonts w:ascii="Arial" w:hAnsi="Arial" w:cs="Arial"/>
          <w:bCs/>
          <w:szCs w:val="20"/>
        </w:rPr>
        <w:t>from its members in a reverse triangular merger for a purchase price of USD$3,0</w:t>
      </w:r>
      <w:r w:rsidR="0099388E">
        <w:rPr>
          <w:rFonts w:ascii="Arial" w:hAnsi="Arial" w:cs="Arial"/>
          <w:bCs/>
          <w:szCs w:val="20"/>
        </w:rPr>
        <w:t>40,312</w:t>
      </w:r>
      <w:r w:rsidRPr="00EF663D">
        <w:rPr>
          <w:rFonts w:ascii="Arial" w:hAnsi="Arial" w:cs="Arial"/>
          <w:bCs/>
          <w:szCs w:val="20"/>
        </w:rPr>
        <w:t xml:space="preserve"> (the "Purchase Price") paid as follows: (</w:t>
      </w:r>
      <w:proofErr w:type="spellStart"/>
      <w:r w:rsidRPr="00EF663D">
        <w:rPr>
          <w:rFonts w:ascii="Arial" w:hAnsi="Arial" w:cs="Arial"/>
          <w:bCs/>
          <w:szCs w:val="20"/>
        </w:rPr>
        <w:t>i</w:t>
      </w:r>
      <w:proofErr w:type="spellEnd"/>
      <w:r w:rsidRPr="00EF663D">
        <w:rPr>
          <w:rFonts w:ascii="Arial" w:hAnsi="Arial" w:cs="Arial"/>
          <w:bCs/>
          <w:szCs w:val="20"/>
        </w:rPr>
        <w:t>) USD$2,2</w:t>
      </w:r>
      <w:r w:rsidR="0099388E">
        <w:rPr>
          <w:rFonts w:ascii="Arial" w:hAnsi="Arial" w:cs="Arial"/>
          <w:bCs/>
          <w:szCs w:val="20"/>
        </w:rPr>
        <w:t>40,312</w:t>
      </w:r>
      <w:r w:rsidRPr="00EF663D">
        <w:rPr>
          <w:rFonts w:ascii="Arial" w:hAnsi="Arial" w:cs="Arial"/>
          <w:bCs/>
          <w:szCs w:val="20"/>
        </w:rPr>
        <w:t xml:space="preserve"> in consideration shares issued on the closing date representing 89,130 MVS of the Company (the "Closing Date Payment"); and (ii) USD$800,000 in consideration shares to be issued on the date KIC's Bakersfield, California clinic achieves a net profit in three consecutive months in the twelve months following the closing date, while achieving minimum revenues of USD$125,000 in the same three month period (the "Bakersfield Milestone Payment") plus certain amounts, if any, to be earned by management, pursuant to reaching certain milestones. The Purchase Price was satisfied through the issuance of the number of </w:t>
      </w:r>
      <w:proofErr w:type="gramStart"/>
      <w:r w:rsidRPr="00EF663D">
        <w:rPr>
          <w:rFonts w:ascii="Arial" w:hAnsi="Arial" w:cs="Arial"/>
          <w:bCs/>
          <w:szCs w:val="20"/>
        </w:rPr>
        <w:t>consideration</w:t>
      </w:r>
      <w:proofErr w:type="gramEnd"/>
      <w:r w:rsidRPr="00EF663D">
        <w:rPr>
          <w:rFonts w:ascii="Arial" w:hAnsi="Arial" w:cs="Arial"/>
          <w:bCs/>
          <w:szCs w:val="20"/>
        </w:rPr>
        <w:t xml:space="preserve"> shares equal in value to the Closing Date Payment amount, issued at a price per share equal to the ten (10) trading day VWAP of such consideration shares on the CSE on the trading day immediately prior to the closing date (representing a price of $0.3114 per share). </w:t>
      </w:r>
    </w:p>
    <w:p w14:paraId="58503046" w14:textId="77777777" w:rsidR="00EF663D" w:rsidRPr="00EF663D" w:rsidRDefault="00EF663D" w:rsidP="00EF663D">
      <w:pPr>
        <w:pStyle w:val="BodyText"/>
        <w:rPr>
          <w:rFonts w:ascii="Arial" w:hAnsi="Arial" w:cs="Arial"/>
          <w:bCs/>
          <w:szCs w:val="20"/>
        </w:rPr>
      </w:pPr>
    </w:p>
    <w:p w14:paraId="1540A756" w14:textId="1758DB47" w:rsidR="00A603CE" w:rsidRPr="00C41CE9" w:rsidRDefault="00EF663D" w:rsidP="00EF663D">
      <w:pPr>
        <w:pStyle w:val="BodyText"/>
        <w:spacing w:before="0"/>
        <w:rPr>
          <w:rFonts w:ascii="Arial" w:hAnsi="Arial" w:cs="Arial"/>
          <w:bCs/>
          <w:szCs w:val="20"/>
        </w:rPr>
      </w:pPr>
      <w:r w:rsidRPr="00EF663D">
        <w:rPr>
          <w:rFonts w:ascii="Arial" w:hAnsi="Arial" w:cs="Arial"/>
          <w:bCs/>
          <w:szCs w:val="20"/>
        </w:rPr>
        <w:t>Management of KIC will be eligible to earn additional consideration upon reaching certain milestones.</w:t>
      </w:r>
    </w:p>
    <w:p w14:paraId="4B9FB0FC" w14:textId="4D6FAEB1" w:rsidR="00A603CE" w:rsidRPr="00C41CE9" w:rsidRDefault="00A603CE" w:rsidP="00EF663D">
      <w:pPr>
        <w:pStyle w:val="BodyText"/>
        <w:spacing w:before="0"/>
        <w:rPr>
          <w:rFonts w:ascii="Arial" w:hAnsi="Arial" w:cs="Arial"/>
          <w:bCs/>
          <w:szCs w:val="20"/>
        </w:rPr>
      </w:pPr>
    </w:p>
    <w:p w14:paraId="508D9697" w14:textId="40BC0259" w:rsidR="00A603CE" w:rsidRPr="00C41CE9" w:rsidRDefault="00EF663D" w:rsidP="00EF663D">
      <w:pPr>
        <w:pStyle w:val="BodyText"/>
        <w:spacing w:before="0"/>
        <w:rPr>
          <w:rFonts w:ascii="Arial" w:hAnsi="Arial" w:cs="Arial"/>
          <w:bCs/>
          <w:i/>
          <w:iCs/>
          <w:szCs w:val="20"/>
        </w:rPr>
      </w:pPr>
      <w:r>
        <w:rPr>
          <w:rFonts w:ascii="Arial" w:hAnsi="Arial" w:cs="Arial"/>
          <w:bCs/>
          <w:i/>
          <w:iCs/>
          <w:szCs w:val="20"/>
        </w:rPr>
        <w:t>Acquisition of Delic Labs</w:t>
      </w:r>
    </w:p>
    <w:p w14:paraId="17C721FD" w14:textId="77777777" w:rsidR="00A603CE" w:rsidRPr="00C41CE9" w:rsidRDefault="00A603CE" w:rsidP="00EF663D">
      <w:pPr>
        <w:pStyle w:val="BodyText"/>
        <w:spacing w:before="0"/>
        <w:rPr>
          <w:rFonts w:ascii="Arial" w:hAnsi="Arial" w:cs="Arial"/>
          <w:bCs/>
          <w:szCs w:val="20"/>
        </w:rPr>
      </w:pPr>
    </w:p>
    <w:p w14:paraId="798A2A5C" w14:textId="77777777" w:rsidR="00EF663D" w:rsidRPr="00EF663D" w:rsidRDefault="00EF663D" w:rsidP="00EF663D">
      <w:pPr>
        <w:pStyle w:val="BodyText"/>
        <w:spacing w:before="0"/>
        <w:rPr>
          <w:rFonts w:ascii="Arial" w:hAnsi="Arial" w:cs="Arial"/>
          <w:bCs/>
          <w:szCs w:val="20"/>
        </w:rPr>
      </w:pPr>
      <w:r w:rsidRPr="00EF663D">
        <w:rPr>
          <w:rFonts w:ascii="Arial" w:hAnsi="Arial" w:cs="Arial"/>
          <w:bCs/>
          <w:szCs w:val="20"/>
        </w:rPr>
        <w:t xml:space="preserve">On May 27, 2021, the Company acquired </w:t>
      </w:r>
      <w:proofErr w:type="gramStart"/>
      <w:r w:rsidRPr="00EF663D">
        <w:rPr>
          <w:rFonts w:ascii="Arial" w:hAnsi="Arial" w:cs="Arial"/>
          <w:bCs/>
          <w:szCs w:val="20"/>
        </w:rPr>
        <w:t>all of</w:t>
      </w:r>
      <w:proofErr w:type="gramEnd"/>
      <w:r w:rsidRPr="00EF663D">
        <w:rPr>
          <w:rFonts w:ascii="Arial" w:hAnsi="Arial" w:cs="Arial"/>
          <w:bCs/>
          <w:szCs w:val="20"/>
        </w:rPr>
        <w:t xml:space="preserve"> the issued and outstanding shares in the capital of Complex Biotech Discovery Ventures Ltd. (“CBDV”). The purchase price was satisfied through the issuance of 10,000,000 SVS in the capital of the Company (the "Consideration Shares").  As per the terms of the acquisition agreement (the “Agreement”) the Consideration Shares were issued at a price equal in value to CAD$7,000,000 (the "Purchase Price") issued at a price per share equal to the higher of: (a) the ten trading day volume weighted average trading price ("VWAP") of the Consideration Shares on the Canadian Securities Exchange (the "CSE") immediately prior to the date of the Agreement, and (b) the maximum discount under the policies of the CSE applicable to the closing price of the Consideration Shares on the CSE on the trading day immediately prior to the closing date.  However, the market price of the Company’s SVS on the date of issuance was CAD$0.30 per SVS.  Accordingly, the Consideration Shares were valued at CAD$3,000,000 for purposes of the acquisition accounting.  The Consideration Shares issued to the sellers of CBDV are subject to certain contractual hold periods. In addition, each of the sellers of CBDV has entered into voting support agreements with a two-year term, pursuant to which they agreed to vote their Consideration Shares as directed by the board of directors of the Company, subject to certain exceptions.  </w:t>
      </w:r>
    </w:p>
    <w:p w14:paraId="1A1E5CCE" w14:textId="77777777" w:rsidR="00EF663D" w:rsidRDefault="00EF663D" w:rsidP="00EF663D">
      <w:pPr>
        <w:pStyle w:val="BodyText"/>
        <w:spacing w:before="0"/>
        <w:rPr>
          <w:rFonts w:ascii="Arial" w:hAnsi="Arial" w:cs="Arial"/>
          <w:bCs/>
          <w:szCs w:val="20"/>
        </w:rPr>
      </w:pPr>
    </w:p>
    <w:p w14:paraId="302D6227" w14:textId="0AA29442" w:rsidR="00EF663D" w:rsidRPr="00EF663D" w:rsidRDefault="00EF663D" w:rsidP="00EF663D">
      <w:pPr>
        <w:pStyle w:val="BodyText"/>
        <w:spacing w:before="0"/>
        <w:rPr>
          <w:rFonts w:ascii="Arial" w:hAnsi="Arial" w:cs="Arial"/>
          <w:b/>
          <w:bCs/>
          <w:szCs w:val="20"/>
        </w:rPr>
      </w:pPr>
      <w:r w:rsidRPr="00EF663D">
        <w:rPr>
          <w:rFonts w:ascii="Arial" w:hAnsi="Arial" w:cs="Arial"/>
          <w:bCs/>
          <w:szCs w:val="20"/>
        </w:rPr>
        <w:t>Management of CBDV will be eligible to earn additional consideration upon reaching certain milestones.</w:t>
      </w:r>
    </w:p>
    <w:p w14:paraId="33317001" w14:textId="77777777" w:rsidR="00EF663D" w:rsidRDefault="00EF663D" w:rsidP="00EF663D">
      <w:pPr>
        <w:pStyle w:val="BodyText"/>
        <w:spacing w:before="0"/>
        <w:rPr>
          <w:rFonts w:ascii="Arial" w:hAnsi="Arial" w:cs="Arial"/>
          <w:bCs/>
          <w:szCs w:val="20"/>
        </w:rPr>
      </w:pPr>
    </w:p>
    <w:p w14:paraId="1CF9CF64" w14:textId="064F81C1" w:rsidR="00A603CE" w:rsidRPr="00C41CE9" w:rsidRDefault="00EF663D" w:rsidP="00EF663D">
      <w:pPr>
        <w:pStyle w:val="BodyText"/>
        <w:spacing w:before="0"/>
        <w:rPr>
          <w:rFonts w:ascii="Arial" w:hAnsi="Arial" w:cs="Arial"/>
          <w:bCs/>
          <w:szCs w:val="20"/>
        </w:rPr>
      </w:pPr>
      <w:r w:rsidRPr="00EF663D">
        <w:rPr>
          <w:rFonts w:ascii="Arial" w:hAnsi="Arial" w:cs="Arial"/>
          <w:bCs/>
          <w:szCs w:val="20"/>
        </w:rPr>
        <w:t>Upon closing of the transaction, CBDV changed its name to Delic Labs.</w:t>
      </w:r>
      <w:r w:rsidR="00A603CE" w:rsidRPr="00C41CE9">
        <w:rPr>
          <w:rFonts w:ascii="Arial" w:hAnsi="Arial" w:cs="Arial"/>
          <w:bCs/>
          <w:szCs w:val="20"/>
        </w:rPr>
        <w:t xml:space="preserve"> </w:t>
      </w:r>
    </w:p>
    <w:p w14:paraId="19548C38" w14:textId="77777777" w:rsidR="00CF02BB" w:rsidRPr="00C41CE9" w:rsidRDefault="00CF02BB" w:rsidP="00A603CE">
      <w:pPr>
        <w:pStyle w:val="BodyText"/>
        <w:spacing w:before="0"/>
        <w:rPr>
          <w:rFonts w:ascii="Arial" w:hAnsi="Arial" w:cs="Arial"/>
          <w:bCs/>
          <w:i/>
          <w:iCs/>
          <w:szCs w:val="20"/>
        </w:rPr>
      </w:pPr>
    </w:p>
    <w:p w14:paraId="3695E0A2" w14:textId="1C73CA8D" w:rsidR="00A603CE" w:rsidRPr="00C41CE9" w:rsidRDefault="00A603CE" w:rsidP="00A603CE">
      <w:pPr>
        <w:pStyle w:val="BodyText"/>
        <w:spacing w:before="0"/>
        <w:rPr>
          <w:rFonts w:ascii="Arial" w:hAnsi="Arial" w:cs="Arial"/>
          <w:bCs/>
          <w:i/>
          <w:iCs/>
          <w:szCs w:val="20"/>
        </w:rPr>
      </w:pPr>
      <w:r w:rsidRPr="00C41CE9">
        <w:rPr>
          <w:rFonts w:ascii="Arial" w:hAnsi="Arial" w:cs="Arial"/>
          <w:bCs/>
          <w:i/>
          <w:iCs/>
          <w:szCs w:val="20"/>
        </w:rPr>
        <w:t>Homestead Brands</w:t>
      </w:r>
    </w:p>
    <w:p w14:paraId="4D3F9CEB" w14:textId="77777777" w:rsidR="00A603CE" w:rsidRPr="00C41CE9" w:rsidRDefault="00A603CE" w:rsidP="00A603CE">
      <w:pPr>
        <w:pStyle w:val="BodyText"/>
        <w:spacing w:before="0"/>
        <w:rPr>
          <w:rFonts w:ascii="Arial" w:hAnsi="Arial" w:cs="Arial"/>
          <w:bCs/>
          <w:i/>
          <w:iCs/>
          <w:szCs w:val="20"/>
        </w:rPr>
      </w:pPr>
    </w:p>
    <w:p w14:paraId="17CA59C7" w14:textId="77777777" w:rsidR="00CF02BB" w:rsidRPr="00A11493" w:rsidRDefault="00CF02BB" w:rsidP="00CF02BB">
      <w:pPr>
        <w:rPr>
          <w:rFonts w:ascii="Arial" w:hAnsi="Arial" w:cs="Arial"/>
          <w:bCs/>
          <w:szCs w:val="20"/>
        </w:rPr>
      </w:pPr>
      <w:r>
        <w:rPr>
          <w:rFonts w:ascii="Arial" w:hAnsi="Arial" w:cs="Arial"/>
          <w:bCs/>
          <w:szCs w:val="20"/>
        </w:rPr>
        <w:t>The Company e</w:t>
      </w:r>
      <w:r w:rsidRPr="00A11493">
        <w:rPr>
          <w:rFonts w:ascii="Arial" w:hAnsi="Arial" w:cs="Arial"/>
          <w:bCs/>
          <w:szCs w:val="20"/>
        </w:rPr>
        <w:t>xecuted a definitive asset purchase agreement (the "Agreement") to acquire the brand and intellectual property of Homestead ("Homestead"), a legacy counterculture distributor of psychedelic media and creator of one of the first self-contained mushroom grow kits (the "Transaction").</w:t>
      </w:r>
    </w:p>
    <w:p w14:paraId="48E2F717" w14:textId="77777777" w:rsidR="00CF02BB" w:rsidRDefault="00CF02BB" w:rsidP="00CF02BB">
      <w:pPr>
        <w:pStyle w:val="ListParagraph"/>
        <w:ind w:left="567"/>
        <w:rPr>
          <w:rFonts w:ascii="Arial" w:hAnsi="Arial" w:cs="Arial"/>
          <w:bCs/>
          <w:sz w:val="20"/>
          <w:szCs w:val="20"/>
        </w:rPr>
      </w:pPr>
    </w:p>
    <w:p w14:paraId="56377D5D" w14:textId="1F2D3C6A" w:rsidR="00C403CB" w:rsidRPr="00C41CE9" w:rsidRDefault="00CF02BB" w:rsidP="00CF02BB">
      <w:pPr>
        <w:pStyle w:val="BodyText"/>
        <w:spacing w:before="0"/>
        <w:rPr>
          <w:rFonts w:ascii="Arial" w:hAnsi="Arial" w:cs="Arial"/>
          <w:szCs w:val="20"/>
          <w:lang w:val="en-US"/>
        </w:rPr>
      </w:pPr>
      <w:r w:rsidRPr="00A11493">
        <w:rPr>
          <w:rFonts w:ascii="Arial" w:hAnsi="Arial" w:cs="Arial"/>
          <w:bCs/>
          <w:szCs w:val="20"/>
        </w:rPr>
        <w:t>In consideration for acquisition of the Homestead assets, the Company issued</w:t>
      </w:r>
      <w:r>
        <w:rPr>
          <w:rFonts w:ascii="Arial" w:hAnsi="Arial" w:cs="Arial"/>
          <w:bCs/>
          <w:szCs w:val="20"/>
        </w:rPr>
        <w:t xml:space="preserve"> Subordinated voting</w:t>
      </w:r>
      <w:r w:rsidRPr="00A11493">
        <w:rPr>
          <w:rFonts w:ascii="Arial" w:hAnsi="Arial" w:cs="Arial"/>
          <w:bCs/>
          <w:szCs w:val="20"/>
        </w:rPr>
        <w:t xml:space="preserve"> </w:t>
      </w:r>
      <w:r>
        <w:rPr>
          <w:rFonts w:ascii="Arial" w:hAnsi="Arial" w:cs="Arial"/>
          <w:bCs/>
          <w:szCs w:val="20"/>
        </w:rPr>
        <w:t>common shares</w:t>
      </w:r>
      <w:r w:rsidRPr="00A11493">
        <w:rPr>
          <w:rFonts w:ascii="Arial" w:hAnsi="Arial" w:cs="Arial"/>
          <w:bCs/>
          <w:szCs w:val="20"/>
        </w:rPr>
        <w:t xml:space="preserve"> having an aggregate value of $</w:t>
      </w:r>
      <w:r>
        <w:rPr>
          <w:rFonts w:ascii="Arial" w:hAnsi="Arial" w:cs="Arial"/>
          <w:bCs/>
          <w:szCs w:val="20"/>
        </w:rPr>
        <w:t>4</w:t>
      </w:r>
      <w:r w:rsidR="00907BC5">
        <w:rPr>
          <w:rFonts w:ascii="Arial" w:hAnsi="Arial" w:cs="Arial"/>
          <w:bCs/>
          <w:szCs w:val="20"/>
        </w:rPr>
        <w:t>5,564</w:t>
      </w:r>
      <w:r>
        <w:rPr>
          <w:rFonts w:ascii="Arial" w:hAnsi="Arial" w:cs="Arial"/>
          <w:bCs/>
          <w:szCs w:val="20"/>
        </w:rPr>
        <w:t>.  The Company also granted 108,887</w:t>
      </w:r>
      <w:r w:rsidRPr="00A11493">
        <w:rPr>
          <w:rFonts w:ascii="Arial" w:hAnsi="Arial" w:cs="Arial"/>
          <w:bCs/>
          <w:szCs w:val="20"/>
        </w:rPr>
        <w:t xml:space="preserve"> incentive stock options to David Tatelman, the founder of Homestead, with an exercise price of $0.58, exercisable for a period of 3 years in accordance with the terms of the Company's Incentive Stock Option plan</w:t>
      </w:r>
      <w:r>
        <w:rPr>
          <w:rFonts w:ascii="Arial" w:hAnsi="Arial" w:cs="Arial"/>
          <w:bCs/>
          <w:szCs w:val="20"/>
        </w:rPr>
        <w:t>.</w:t>
      </w:r>
    </w:p>
    <w:p w14:paraId="38C117E6" w14:textId="7D3AA95B" w:rsidR="00A603CE" w:rsidRPr="00C41CE9" w:rsidRDefault="00A603CE" w:rsidP="00A7354F">
      <w:pPr>
        <w:pStyle w:val="BodyText"/>
        <w:spacing w:before="0"/>
        <w:rPr>
          <w:rFonts w:ascii="Arial" w:hAnsi="Arial" w:cs="Arial"/>
          <w:szCs w:val="20"/>
          <w:lang w:val="en-US"/>
        </w:rPr>
      </w:pPr>
    </w:p>
    <w:p w14:paraId="751E6E4E" w14:textId="53638041" w:rsidR="00A60692" w:rsidRPr="00C41CE9" w:rsidRDefault="00A60692">
      <w:pPr>
        <w:rPr>
          <w:rFonts w:ascii="Arial" w:hAnsi="Arial" w:cs="Arial"/>
          <w:i/>
          <w:iCs/>
          <w:color w:val="000000"/>
          <w:szCs w:val="20"/>
          <w:u w:val="single"/>
        </w:rPr>
      </w:pPr>
      <w:r w:rsidRPr="00C41CE9">
        <w:rPr>
          <w:rFonts w:ascii="Arial" w:hAnsi="Arial" w:cs="Arial"/>
          <w:i/>
          <w:iCs/>
          <w:color w:val="000000"/>
          <w:szCs w:val="20"/>
          <w:u w:val="single"/>
        </w:rPr>
        <w:t>COVID-19</w:t>
      </w:r>
    </w:p>
    <w:p w14:paraId="3E7871EA" w14:textId="77777777" w:rsidR="00A60692" w:rsidRPr="00C41CE9" w:rsidRDefault="00A60692">
      <w:pPr>
        <w:rPr>
          <w:rFonts w:ascii="Arial" w:hAnsi="Arial" w:cs="Arial"/>
          <w:color w:val="000000"/>
          <w:szCs w:val="20"/>
        </w:rPr>
      </w:pPr>
    </w:p>
    <w:p w14:paraId="20F3DCF0" w14:textId="1BDF2C3B" w:rsidR="00105DAB" w:rsidRDefault="007B0DDA" w:rsidP="003D2441">
      <w:pPr>
        <w:jc w:val="both"/>
        <w:rPr>
          <w:rFonts w:ascii="Arial" w:hAnsi="Arial" w:cs="Arial"/>
          <w:color w:val="000000"/>
          <w:szCs w:val="20"/>
        </w:rPr>
      </w:pPr>
      <w:r w:rsidRPr="00C41CE9">
        <w:rPr>
          <w:rFonts w:ascii="Arial" w:hAnsi="Arial" w:cs="Arial"/>
          <w:color w:val="000000"/>
          <w:szCs w:val="20"/>
        </w:rPr>
        <w:t xml:space="preserve">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results of operations </w:t>
      </w:r>
      <w:proofErr w:type="gramStart"/>
      <w:r w:rsidRPr="00C41CE9">
        <w:rPr>
          <w:rFonts w:ascii="Arial" w:hAnsi="Arial" w:cs="Arial"/>
          <w:color w:val="000000"/>
          <w:szCs w:val="20"/>
        </w:rPr>
        <w:t>at this time</w:t>
      </w:r>
      <w:proofErr w:type="gramEnd"/>
      <w:r w:rsidRPr="00C41CE9">
        <w:rPr>
          <w:rFonts w:ascii="Arial" w:hAnsi="Arial" w:cs="Arial"/>
          <w:color w:val="000000"/>
          <w:szCs w:val="20"/>
        </w:rPr>
        <w:t>.</w:t>
      </w:r>
      <w:r w:rsidR="000C2ED5" w:rsidRPr="00C41CE9">
        <w:rPr>
          <w:rFonts w:ascii="Arial" w:hAnsi="Arial" w:cs="Arial"/>
          <w:color w:val="000000"/>
          <w:szCs w:val="20"/>
        </w:rPr>
        <w:t xml:space="preserve"> </w:t>
      </w:r>
    </w:p>
    <w:p w14:paraId="5BB0A015" w14:textId="559C8C83" w:rsidR="00F83DA0" w:rsidRDefault="00F83DA0" w:rsidP="003D2441">
      <w:pPr>
        <w:jc w:val="both"/>
        <w:rPr>
          <w:rFonts w:ascii="Arial" w:hAnsi="Arial" w:cs="Arial"/>
          <w:color w:val="000000"/>
          <w:szCs w:val="20"/>
        </w:rPr>
      </w:pPr>
    </w:p>
    <w:p w14:paraId="71C75720" w14:textId="07666927" w:rsidR="00F83DA0" w:rsidRDefault="00F83DA0" w:rsidP="003D2441">
      <w:pPr>
        <w:jc w:val="both"/>
        <w:rPr>
          <w:rFonts w:ascii="Arial" w:hAnsi="Arial" w:cs="Arial"/>
          <w:color w:val="000000"/>
          <w:szCs w:val="20"/>
        </w:rPr>
      </w:pPr>
    </w:p>
    <w:p w14:paraId="7EDCC0D3" w14:textId="75DE5FAD" w:rsidR="00F83DA0" w:rsidRDefault="00F83DA0" w:rsidP="003D2441">
      <w:pPr>
        <w:jc w:val="both"/>
        <w:rPr>
          <w:rFonts w:ascii="Arial" w:hAnsi="Arial" w:cs="Arial"/>
          <w:color w:val="000000"/>
          <w:szCs w:val="20"/>
        </w:rPr>
      </w:pPr>
    </w:p>
    <w:p w14:paraId="6F0967F5" w14:textId="56E60270" w:rsidR="00F83DA0" w:rsidRDefault="00F83DA0" w:rsidP="003D2441">
      <w:pPr>
        <w:jc w:val="both"/>
        <w:rPr>
          <w:rFonts w:ascii="Arial" w:hAnsi="Arial" w:cs="Arial"/>
          <w:color w:val="000000"/>
          <w:szCs w:val="20"/>
        </w:rPr>
      </w:pPr>
    </w:p>
    <w:p w14:paraId="50F853D6" w14:textId="61B507B7" w:rsidR="00F83DA0" w:rsidRDefault="00F83DA0" w:rsidP="003D2441">
      <w:pPr>
        <w:jc w:val="both"/>
        <w:rPr>
          <w:rFonts w:ascii="Arial" w:hAnsi="Arial" w:cs="Arial"/>
          <w:color w:val="000000"/>
          <w:szCs w:val="20"/>
        </w:rPr>
      </w:pPr>
    </w:p>
    <w:p w14:paraId="78F5E28D" w14:textId="0C012AB8" w:rsidR="00F83DA0" w:rsidRDefault="00F83DA0" w:rsidP="003D2441">
      <w:pPr>
        <w:jc w:val="both"/>
        <w:rPr>
          <w:rFonts w:ascii="Arial" w:hAnsi="Arial" w:cs="Arial"/>
          <w:color w:val="000000"/>
          <w:szCs w:val="20"/>
        </w:rPr>
      </w:pPr>
    </w:p>
    <w:p w14:paraId="23D0931C" w14:textId="13A870D7" w:rsidR="00F83DA0" w:rsidRDefault="00F83DA0" w:rsidP="003D2441">
      <w:pPr>
        <w:jc w:val="both"/>
        <w:rPr>
          <w:rFonts w:ascii="Arial" w:hAnsi="Arial" w:cs="Arial"/>
          <w:color w:val="000000"/>
          <w:szCs w:val="20"/>
        </w:rPr>
      </w:pPr>
    </w:p>
    <w:p w14:paraId="3FFDAF83" w14:textId="02431267" w:rsidR="00F83DA0" w:rsidRDefault="00F83DA0" w:rsidP="003D2441">
      <w:pPr>
        <w:jc w:val="both"/>
        <w:rPr>
          <w:rFonts w:ascii="Arial" w:hAnsi="Arial" w:cs="Arial"/>
          <w:color w:val="000000"/>
          <w:szCs w:val="20"/>
        </w:rPr>
      </w:pPr>
    </w:p>
    <w:p w14:paraId="6225BCC7" w14:textId="5CC80372" w:rsidR="00F83DA0" w:rsidRDefault="00F83DA0" w:rsidP="003D2441">
      <w:pPr>
        <w:jc w:val="both"/>
        <w:rPr>
          <w:rFonts w:ascii="Arial" w:hAnsi="Arial" w:cs="Arial"/>
          <w:color w:val="000000"/>
          <w:szCs w:val="20"/>
        </w:rPr>
      </w:pPr>
    </w:p>
    <w:p w14:paraId="00392581" w14:textId="2B60675C" w:rsidR="00F83DA0" w:rsidRDefault="00F83DA0" w:rsidP="003D2441">
      <w:pPr>
        <w:jc w:val="both"/>
        <w:rPr>
          <w:rFonts w:ascii="Arial" w:hAnsi="Arial" w:cs="Arial"/>
          <w:color w:val="000000"/>
          <w:szCs w:val="20"/>
        </w:rPr>
      </w:pPr>
    </w:p>
    <w:p w14:paraId="2C69EF52" w14:textId="770ED5CE" w:rsidR="00F83DA0" w:rsidRDefault="00F83DA0" w:rsidP="003D2441">
      <w:pPr>
        <w:jc w:val="both"/>
        <w:rPr>
          <w:rFonts w:ascii="Arial" w:hAnsi="Arial" w:cs="Arial"/>
          <w:color w:val="000000"/>
          <w:szCs w:val="20"/>
        </w:rPr>
      </w:pPr>
    </w:p>
    <w:p w14:paraId="0F2D48CF" w14:textId="574EE22C" w:rsidR="00F83DA0" w:rsidRDefault="00F83DA0" w:rsidP="003D2441">
      <w:pPr>
        <w:jc w:val="both"/>
        <w:rPr>
          <w:rFonts w:ascii="Arial" w:hAnsi="Arial" w:cs="Arial"/>
          <w:color w:val="000000"/>
          <w:szCs w:val="20"/>
        </w:rPr>
      </w:pPr>
    </w:p>
    <w:p w14:paraId="08479BF0" w14:textId="77777777" w:rsidR="00F83DA0" w:rsidRPr="00C41CE9" w:rsidRDefault="00F83DA0" w:rsidP="003D2441">
      <w:pPr>
        <w:jc w:val="both"/>
        <w:rPr>
          <w:rFonts w:ascii="Arial" w:hAnsi="Arial" w:cs="Arial"/>
          <w:i/>
          <w:szCs w:val="20"/>
        </w:rPr>
      </w:pPr>
    </w:p>
    <w:p w14:paraId="09622B66" w14:textId="77777777" w:rsidR="0033256D" w:rsidRDefault="0033256D" w:rsidP="000C2ED5">
      <w:pPr>
        <w:pStyle w:val="BodyText"/>
        <w:spacing w:before="0"/>
        <w:rPr>
          <w:rFonts w:ascii="Arial" w:hAnsi="Arial" w:cs="Arial"/>
          <w:b/>
          <w:szCs w:val="20"/>
        </w:rPr>
      </w:pPr>
    </w:p>
    <w:p w14:paraId="7ACC2FFE" w14:textId="204E41EF" w:rsidR="00557FEC" w:rsidRDefault="00F83DA0" w:rsidP="00C67B5F">
      <w:pPr>
        <w:pStyle w:val="BodyText"/>
        <w:spacing w:before="0"/>
        <w:rPr>
          <w:rFonts w:ascii="Arial" w:hAnsi="Arial" w:cs="Arial"/>
          <w:b/>
          <w:szCs w:val="20"/>
        </w:rPr>
      </w:pPr>
      <w:r w:rsidRPr="00C02B68">
        <w:rPr>
          <w:rFonts w:ascii="Arial" w:hAnsi="Arial" w:cs="Arial"/>
          <w:b/>
          <w:szCs w:val="20"/>
        </w:rPr>
        <w:t>SUMMARY OF QUARTERLY RESULTS</w:t>
      </w:r>
    </w:p>
    <w:tbl>
      <w:tblPr>
        <w:tblW w:w="11507" w:type="dxa"/>
        <w:jc w:val="center"/>
        <w:tblLook w:val="04A0" w:firstRow="1" w:lastRow="0" w:firstColumn="1" w:lastColumn="0" w:noHBand="0" w:noVBand="1"/>
      </w:tblPr>
      <w:tblGrid>
        <w:gridCol w:w="3648"/>
        <w:gridCol w:w="1649"/>
        <w:gridCol w:w="2063"/>
        <w:gridCol w:w="2106"/>
        <w:gridCol w:w="2041"/>
      </w:tblGrid>
      <w:tr w:rsidR="00C67B5F" w:rsidRPr="00C67B5F" w14:paraId="6248B15B" w14:textId="77777777" w:rsidTr="00C67B5F">
        <w:trPr>
          <w:trHeight w:val="20"/>
          <w:jc w:val="center"/>
        </w:trPr>
        <w:tc>
          <w:tcPr>
            <w:tcW w:w="3648" w:type="dxa"/>
            <w:tcBorders>
              <w:top w:val="single" w:sz="8" w:space="0" w:color="auto"/>
              <w:left w:val="nil"/>
              <w:bottom w:val="single" w:sz="8" w:space="0" w:color="auto"/>
              <w:right w:val="nil"/>
            </w:tcBorders>
            <w:shd w:val="clear" w:color="auto" w:fill="auto"/>
            <w:noWrap/>
            <w:vAlign w:val="bottom"/>
            <w:hideMark/>
          </w:tcPr>
          <w:p w14:paraId="5C233C3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c>
          <w:tcPr>
            <w:tcW w:w="1649" w:type="dxa"/>
            <w:tcBorders>
              <w:top w:val="single" w:sz="8" w:space="0" w:color="auto"/>
              <w:left w:val="nil"/>
              <w:bottom w:val="single" w:sz="8" w:space="0" w:color="auto"/>
              <w:right w:val="nil"/>
            </w:tcBorders>
            <w:shd w:val="clear" w:color="auto" w:fill="auto"/>
            <w:vAlign w:val="bottom"/>
            <w:hideMark/>
          </w:tcPr>
          <w:p w14:paraId="4EC8DFBE"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June 30, 2021</w:t>
            </w:r>
          </w:p>
        </w:tc>
        <w:tc>
          <w:tcPr>
            <w:tcW w:w="2063" w:type="dxa"/>
            <w:tcBorders>
              <w:top w:val="single" w:sz="8" w:space="0" w:color="auto"/>
              <w:left w:val="nil"/>
              <w:bottom w:val="single" w:sz="8" w:space="0" w:color="auto"/>
              <w:right w:val="nil"/>
            </w:tcBorders>
            <w:shd w:val="clear" w:color="auto" w:fill="auto"/>
            <w:vAlign w:val="bottom"/>
            <w:hideMark/>
          </w:tcPr>
          <w:p w14:paraId="0B3C61DB"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March 31, 2021</w:t>
            </w:r>
          </w:p>
        </w:tc>
        <w:tc>
          <w:tcPr>
            <w:tcW w:w="2106" w:type="dxa"/>
            <w:tcBorders>
              <w:top w:val="single" w:sz="8" w:space="0" w:color="auto"/>
              <w:left w:val="nil"/>
              <w:bottom w:val="single" w:sz="8" w:space="0" w:color="auto"/>
              <w:right w:val="nil"/>
            </w:tcBorders>
            <w:shd w:val="clear" w:color="auto" w:fill="auto"/>
            <w:vAlign w:val="bottom"/>
            <w:hideMark/>
          </w:tcPr>
          <w:p w14:paraId="2682BC44"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December 31, 2020</w:t>
            </w:r>
          </w:p>
        </w:tc>
        <w:tc>
          <w:tcPr>
            <w:tcW w:w="2041" w:type="dxa"/>
            <w:tcBorders>
              <w:top w:val="single" w:sz="8" w:space="0" w:color="auto"/>
              <w:left w:val="nil"/>
              <w:bottom w:val="single" w:sz="8" w:space="0" w:color="auto"/>
              <w:right w:val="nil"/>
            </w:tcBorders>
            <w:shd w:val="clear" w:color="auto" w:fill="auto"/>
            <w:vAlign w:val="bottom"/>
            <w:hideMark/>
          </w:tcPr>
          <w:p w14:paraId="007D4EE7"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September 30, 2020</w:t>
            </w:r>
          </w:p>
        </w:tc>
      </w:tr>
      <w:tr w:rsidR="00C67B5F" w:rsidRPr="00C67B5F" w14:paraId="2851DCFB"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19C8EE2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Sales</w:t>
            </w:r>
          </w:p>
        </w:tc>
        <w:tc>
          <w:tcPr>
            <w:tcW w:w="1649" w:type="dxa"/>
            <w:tcBorders>
              <w:top w:val="nil"/>
              <w:left w:val="nil"/>
              <w:bottom w:val="nil"/>
              <w:right w:val="nil"/>
            </w:tcBorders>
            <w:shd w:val="clear" w:color="auto" w:fill="auto"/>
            <w:noWrap/>
            <w:vAlign w:val="bottom"/>
            <w:hideMark/>
          </w:tcPr>
          <w:p w14:paraId="4C659B19"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149,290 </w:t>
            </w:r>
          </w:p>
        </w:tc>
        <w:tc>
          <w:tcPr>
            <w:tcW w:w="2063" w:type="dxa"/>
            <w:tcBorders>
              <w:top w:val="nil"/>
              <w:left w:val="nil"/>
              <w:bottom w:val="nil"/>
              <w:right w:val="nil"/>
            </w:tcBorders>
            <w:shd w:val="clear" w:color="auto" w:fill="auto"/>
            <w:noWrap/>
            <w:vAlign w:val="bottom"/>
            <w:hideMark/>
          </w:tcPr>
          <w:p w14:paraId="70FBDFC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106" w:type="dxa"/>
            <w:tcBorders>
              <w:top w:val="nil"/>
              <w:left w:val="nil"/>
              <w:bottom w:val="nil"/>
              <w:right w:val="nil"/>
            </w:tcBorders>
            <w:shd w:val="clear" w:color="auto" w:fill="auto"/>
            <w:noWrap/>
            <w:vAlign w:val="bottom"/>
            <w:hideMark/>
          </w:tcPr>
          <w:p w14:paraId="09C3C88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41" w:type="dxa"/>
            <w:tcBorders>
              <w:top w:val="nil"/>
              <w:left w:val="nil"/>
              <w:bottom w:val="nil"/>
              <w:right w:val="nil"/>
            </w:tcBorders>
            <w:shd w:val="clear" w:color="auto" w:fill="auto"/>
            <w:noWrap/>
            <w:vAlign w:val="bottom"/>
            <w:hideMark/>
          </w:tcPr>
          <w:p w14:paraId="36EFCB2A"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r>
      <w:tr w:rsidR="00C67B5F" w:rsidRPr="00C67B5F" w14:paraId="65705016"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6797510A"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Gross profit</w:t>
            </w:r>
          </w:p>
        </w:tc>
        <w:tc>
          <w:tcPr>
            <w:tcW w:w="1649" w:type="dxa"/>
            <w:tcBorders>
              <w:top w:val="nil"/>
              <w:left w:val="nil"/>
              <w:bottom w:val="nil"/>
              <w:right w:val="nil"/>
            </w:tcBorders>
            <w:shd w:val="clear" w:color="auto" w:fill="auto"/>
            <w:noWrap/>
            <w:vAlign w:val="bottom"/>
            <w:hideMark/>
          </w:tcPr>
          <w:p w14:paraId="330CCDE4"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130,129 </w:t>
            </w:r>
          </w:p>
        </w:tc>
        <w:tc>
          <w:tcPr>
            <w:tcW w:w="2063" w:type="dxa"/>
            <w:tcBorders>
              <w:top w:val="nil"/>
              <w:left w:val="nil"/>
              <w:bottom w:val="nil"/>
              <w:right w:val="nil"/>
            </w:tcBorders>
            <w:shd w:val="clear" w:color="auto" w:fill="auto"/>
            <w:noWrap/>
            <w:vAlign w:val="bottom"/>
            <w:hideMark/>
          </w:tcPr>
          <w:p w14:paraId="0D4374D4"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106" w:type="dxa"/>
            <w:tcBorders>
              <w:top w:val="nil"/>
              <w:left w:val="nil"/>
              <w:bottom w:val="nil"/>
              <w:right w:val="nil"/>
            </w:tcBorders>
            <w:shd w:val="clear" w:color="auto" w:fill="auto"/>
            <w:noWrap/>
            <w:vAlign w:val="bottom"/>
            <w:hideMark/>
          </w:tcPr>
          <w:p w14:paraId="6FE5AA0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41" w:type="dxa"/>
            <w:tcBorders>
              <w:top w:val="nil"/>
              <w:left w:val="nil"/>
              <w:bottom w:val="nil"/>
              <w:right w:val="nil"/>
            </w:tcBorders>
            <w:shd w:val="clear" w:color="auto" w:fill="auto"/>
            <w:noWrap/>
            <w:vAlign w:val="bottom"/>
            <w:hideMark/>
          </w:tcPr>
          <w:p w14:paraId="58B9A809"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r>
      <w:tr w:rsidR="00C67B5F" w:rsidRPr="00C67B5F" w14:paraId="680DB93A"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20BD4EA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Expenses including non-cash items</w:t>
            </w:r>
          </w:p>
        </w:tc>
        <w:tc>
          <w:tcPr>
            <w:tcW w:w="1649" w:type="dxa"/>
            <w:tcBorders>
              <w:top w:val="nil"/>
              <w:left w:val="nil"/>
              <w:bottom w:val="nil"/>
              <w:right w:val="nil"/>
            </w:tcBorders>
            <w:shd w:val="clear" w:color="auto" w:fill="auto"/>
            <w:noWrap/>
            <w:vAlign w:val="bottom"/>
            <w:hideMark/>
          </w:tcPr>
          <w:p w14:paraId="197E733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1,170,364)</w:t>
            </w:r>
          </w:p>
        </w:tc>
        <w:tc>
          <w:tcPr>
            <w:tcW w:w="2063" w:type="dxa"/>
            <w:tcBorders>
              <w:top w:val="nil"/>
              <w:left w:val="nil"/>
              <w:bottom w:val="nil"/>
              <w:right w:val="nil"/>
            </w:tcBorders>
            <w:shd w:val="clear" w:color="auto" w:fill="auto"/>
            <w:noWrap/>
            <w:vAlign w:val="bottom"/>
            <w:hideMark/>
          </w:tcPr>
          <w:p w14:paraId="2317FBEC"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1,050,508)</w:t>
            </w:r>
          </w:p>
        </w:tc>
        <w:tc>
          <w:tcPr>
            <w:tcW w:w="2106" w:type="dxa"/>
            <w:tcBorders>
              <w:top w:val="nil"/>
              <w:left w:val="nil"/>
              <w:bottom w:val="nil"/>
              <w:right w:val="nil"/>
            </w:tcBorders>
            <w:shd w:val="clear" w:color="auto" w:fill="auto"/>
            <w:noWrap/>
            <w:vAlign w:val="bottom"/>
            <w:hideMark/>
          </w:tcPr>
          <w:p w14:paraId="6A2863E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934,920)</w:t>
            </w:r>
          </w:p>
        </w:tc>
        <w:tc>
          <w:tcPr>
            <w:tcW w:w="2041" w:type="dxa"/>
            <w:tcBorders>
              <w:top w:val="nil"/>
              <w:left w:val="nil"/>
              <w:bottom w:val="nil"/>
              <w:right w:val="nil"/>
            </w:tcBorders>
            <w:shd w:val="clear" w:color="auto" w:fill="auto"/>
            <w:noWrap/>
            <w:vAlign w:val="bottom"/>
            <w:hideMark/>
          </w:tcPr>
          <w:p w14:paraId="2A8C6BB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136,476)</w:t>
            </w:r>
          </w:p>
        </w:tc>
      </w:tr>
      <w:tr w:rsidR="00C67B5F" w:rsidRPr="00C67B5F" w14:paraId="57C8C6A6"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7187CD2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Income (loss) for the quarter</w:t>
            </w:r>
          </w:p>
        </w:tc>
        <w:tc>
          <w:tcPr>
            <w:tcW w:w="1649" w:type="dxa"/>
            <w:tcBorders>
              <w:top w:val="nil"/>
              <w:left w:val="nil"/>
              <w:bottom w:val="nil"/>
              <w:right w:val="nil"/>
            </w:tcBorders>
            <w:shd w:val="clear" w:color="auto" w:fill="auto"/>
            <w:noWrap/>
            <w:vAlign w:val="bottom"/>
            <w:hideMark/>
          </w:tcPr>
          <w:p w14:paraId="01D6E86E"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1,017,836)</w:t>
            </w:r>
          </w:p>
        </w:tc>
        <w:tc>
          <w:tcPr>
            <w:tcW w:w="2063" w:type="dxa"/>
            <w:tcBorders>
              <w:top w:val="nil"/>
              <w:left w:val="nil"/>
              <w:bottom w:val="nil"/>
              <w:right w:val="nil"/>
            </w:tcBorders>
            <w:shd w:val="clear" w:color="auto" w:fill="auto"/>
            <w:noWrap/>
            <w:vAlign w:val="bottom"/>
            <w:hideMark/>
          </w:tcPr>
          <w:p w14:paraId="2C9F768A"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1,126,800)</w:t>
            </w:r>
          </w:p>
        </w:tc>
        <w:tc>
          <w:tcPr>
            <w:tcW w:w="2106" w:type="dxa"/>
            <w:tcBorders>
              <w:top w:val="nil"/>
              <w:left w:val="nil"/>
              <w:bottom w:val="nil"/>
              <w:right w:val="nil"/>
            </w:tcBorders>
            <w:shd w:val="clear" w:color="auto" w:fill="auto"/>
            <w:noWrap/>
            <w:vAlign w:val="bottom"/>
            <w:hideMark/>
          </w:tcPr>
          <w:p w14:paraId="7C9356E9"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1,997,636)</w:t>
            </w:r>
          </w:p>
        </w:tc>
        <w:tc>
          <w:tcPr>
            <w:tcW w:w="2041" w:type="dxa"/>
            <w:tcBorders>
              <w:top w:val="nil"/>
              <w:left w:val="nil"/>
              <w:bottom w:val="nil"/>
              <w:right w:val="nil"/>
            </w:tcBorders>
            <w:shd w:val="clear" w:color="auto" w:fill="auto"/>
            <w:noWrap/>
            <w:vAlign w:val="bottom"/>
            <w:hideMark/>
          </w:tcPr>
          <w:p w14:paraId="3B7A2421"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173,118 </w:t>
            </w:r>
          </w:p>
        </w:tc>
      </w:tr>
      <w:tr w:rsidR="00C67B5F" w:rsidRPr="00C67B5F" w14:paraId="2234F00E"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4C79C524"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Income (loss) per share</w:t>
            </w:r>
          </w:p>
        </w:tc>
        <w:tc>
          <w:tcPr>
            <w:tcW w:w="1649" w:type="dxa"/>
            <w:tcBorders>
              <w:top w:val="nil"/>
              <w:left w:val="nil"/>
              <w:bottom w:val="nil"/>
              <w:right w:val="nil"/>
            </w:tcBorders>
            <w:shd w:val="clear" w:color="auto" w:fill="auto"/>
            <w:noWrap/>
            <w:vAlign w:val="bottom"/>
            <w:hideMark/>
          </w:tcPr>
          <w:p w14:paraId="768CD31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0.03)</w:t>
            </w:r>
          </w:p>
        </w:tc>
        <w:tc>
          <w:tcPr>
            <w:tcW w:w="2063" w:type="dxa"/>
            <w:tcBorders>
              <w:top w:val="nil"/>
              <w:left w:val="nil"/>
              <w:bottom w:val="nil"/>
              <w:right w:val="nil"/>
            </w:tcBorders>
            <w:shd w:val="clear" w:color="auto" w:fill="auto"/>
            <w:noWrap/>
            <w:vAlign w:val="bottom"/>
            <w:hideMark/>
          </w:tcPr>
          <w:p w14:paraId="1389F69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0.02)</w:t>
            </w:r>
          </w:p>
        </w:tc>
        <w:tc>
          <w:tcPr>
            <w:tcW w:w="2106" w:type="dxa"/>
            <w:tcBorders>
              <w:top w:val="nil"/>
              <w:left w:val="nil"/>
              <w:bottom w:val="nil"/>
              <w:right w:val="nil"/>
            </w:tcBorders>
            <w:shd w:val="clear" w:color="auto" w:fill="auto"/>
            <w:noWrap/>
            <w:vAlign w:val="bottom"/>
            <w:hideMark/>
          </w:tcPr>
          <w:p w14:paraId="2EC6AAC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0.04)</w:t>
            </w:r>
          </w:p>
        </w:tc>
        <w:tc>
          <w:tcPr>
            <w:tcW w:w="2041" w:type="dxa"/>
            <w:tcBorders>
              <w:top w:val="nil"/>
              <w:left w:val="nil"/>
              <w:bottom w:val="nil"/>
              <w:right w:val="nil"/>
            </w:tcBorders>
            <w:shd w:val="clear" w:color="auto" w:fill="auto"/>
            <w:noWrap/>
            <w:vAlign w:val="bottom"/>
            <w:hideMark/>
          </w:tcPr>
          <w:p w14:paraId="16930BB6"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0.02 </w:t>
            </w:r>
          </w:p>
        </w:tc>
      </w:tr>
      <w:tr w:rsidR="00C67B5F" w:rsidRPr="00C67B5F" w14:paraId="04B81D5B"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63E9FFA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Common shares outstanding</w:t>
            </w:r>
          </w:p>
        </w:tc>
        <w:tc>
          <w:tcPr>
            <w:tcW w:w="1649" w:type="dxa"/>
            <w:tcBorders>
              <w:top w:val="nil"/>
              <w:left w:val="nil"/>
              <w:bottom w:val="nil"/>
              <w:right w:val="nil"/>
            </w:tcBorders>
            <w:shd w:val="clear" w:color="auto" w:fill="auto"/>
            <w:noWrap/>
            <w:vAlign w:val="bottom"/>
            <w:hideMark/>
          </w:tcPr>
          <w:p w14:paraId="2300CCA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59,865,526 </w:t>
            </w:r>
          </w:p>
        </w:tc>
        <w:tc>
          <w:tcPr>
            <w:tcW w:w="2063" w:type="dxa"/>
            <w:tcBorders>
              <w:top w:val="nil"/>
              <w:left w:val="nil"/>
              <w:bottom w:val="nil"/>
              <w:right w:val="nil"/>
            </w:tcBorders>
            <w:shd w:val="clear" w:color="auto" w:fill="auto"/>
            <w:noWrap/>
            <w:vAlign w:val="bottom"/>
            <w:hideMark/>
          </w:tcPr>
          <w:p w14:paraId="70B91F73"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55,502,637 </w:t>
            </w:r>
          </w:p>
        </w:tc>
        <w:tc>
          <w:tcPr>
            <w:tcW w:w="2106" w:type="dxa"/>
            <w:tcBorders>
              <w:top w:val="nil"/>
              <w:left w:val="nil"/>
              <w:bottom w:val="nil"/>
              <w:right w:val="nil"/>
            </w:tcBorders>
            <w:shd w:val="clear" w:color="auto" w:fill="auto"/>
            <w:noWrap/>
            <w:vAlign w:val="bottom"/>
            <w:hideMark/>
          </w:tcPr>
          <w:p w14:paraId="08F882B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55,193,750 </w:t>
            </w:r>
          </w:p>
        </w:tc>
        <w:tc>
          <w:tcPr>
            <w:tcW w:w="2041" w:type="dxa"/>
            <w:tcBorders>
              <w:top w:val="nil"/>
              <w:left w:val="nil"/>
              <w:bottom w:val="nil"/>
              <w:right w:val="nil"/>
            </w:tcBorders>
            <w:shd w:val="clear" w:color="auto" w:fill="auto"/>
            <w:noWrap/>
            <w:vAlign w:val="bottom"/>
            <w:hideMark/>
          </w:tcPr>
          <w:p w14:paraId="40BBEE77"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10,000,000 </w:t>
            </w:r>
          </w:p>
        </w:tc>
      </w:tr>
      <w:tr w:rsidR="00C67B5F" w:rsidRPr="00C67B5F" w14:paraId="54EDF718"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264AE289"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Total assets</w:t>
            </w:r>
          </w:p>
        </w:tc>
        <w:tc>
          <w:tcPr>
            <w:tcW w:w="1649" w:type="dxa"/>
            <w:tcBorders>
              <w:top w:val="nil"/>
              <w:left w:val="nil"/>
              <w:bottom w:val="nil"/>
              <w:right w:val="nil"/>
            </w:tcBorders>
            <w:shd w:val="clear" w:color="auto" w:fill="auto"/>
            <w:noWrap/>
            <w:vAlign w:val="bottom"/>
            <w:hideMark/>
          </w:tcPr>
          <w:p w14:paraId="21E15745"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11,691,538 </w:t>
            </w:r>
          </w:p>
        </w:tc>
        <w:tc>
          <w:tcPr>
            <w:tcW w:w="2063" w:type="dxa"/>
            <w:tcBorders>
              <w:top w:val="nil"/>
              <w:left w:val="nil"/>
              <w:bottom w:val="nil"/>
              <w:right w:val="nil"/>
            </w:tcBorders>
            <w:shd w:val="clear" w:color="auto" w:fill="auto"/>
            <w:noWrap/>
            <w:vAlign w:val="bottom"/>
            <w:hideMark/>
          </w:tcPr>
          <w:p w14:paraId="5CDDC011"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1,635,052 </w:t>
            </w:r>
          </w:p>
        </w:tc>
        <w:tc>
          <w:tcPr>
            <w:tcW w:w="2106" w:type="dxa"/>
            <w:tcBorders>
              <w:top w:val="nil"/>
              <w:left w:val="nil"/>
              <w:bottom w:val="nil"/>
              <w:right w:val="nil"/>
            </w:tcBorders>
            <w:shd w:val="clear" w:color="auto" w:fill="auto"/>
            <w:noWrap/>
            <w:vAlign w:val="bottom"/>
            <w:hideMark/>
          </w:tcPr>
          <w:p w14:paraId="421E2963"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2,189,710 </w:t>
            </w:r>
          </w:p>
        </w:tc>
        <w:tc>
          <w:tcPr>
            <w:tcW w:w="2041" w:type="dxa"/>
            <w:tcBorders>
              <w:top w:val="nil"/>
              <w:left w:val="nil"/>
              <w:bottom w:val="nil"/>
              <w:right w:val="nil"/>
            </w:tcBorders>
            <w:shd w:val="clear" w:color="auto" w:fill="auto"/>
            <w:noWrap/>
            <w:vAlign w:val="bottom"/>
            <w:hideMark/>
          </w:tcPr>
          <w:p w14:paraId="1A26934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3,514,647 </w:t>
            </w:r>
          </w:p>
        </w:tc>
      </w:tr>
      <w:tr w:rsidR="00C67B5F" w:rsidRPr="00C67B5F" w14:paraId="6ECC71D7" w14:textId="77777777" w:rsidTr="00C67B5F">
        <w:trPr>
          <w:trHeight w:val="20"/>
          <w:jc w:val="center"/>
        </w:trPr>
        <w:tc>
          <w:tcPr>
            <w:tcW w:w="3648" w:type="dxa"/>
            <w:tcBorders>
              <w:top w:val="nil"/>
              <w:left w:val="nil"/>
              <w:bottom w:val="single" w:sz="8" w:space="0" w:color="auto"/>
              <w:right w:val="nil"/>
            </w:tcBorders>
            <w:shd w:val="clear" w:color="auto" w:fill="auto"/>
            <w:noWrap/>
            <w:vAlign w:val="bottom"/>
            <w:hideMark/>
          </w:tcPr>
          <w:p w14:paraId="482D32C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Total long-term liabilities</w:t>
            </w:r>
          </w:p>
        </w:tc>
        <w:tc>
          <w:tcPr>
            <w:tcW w:w="1649" w:type="dxa"/>
            <w:tcBorders>
              <w:top w:val="nil"/>
              <w:left w:val="nil"/>
              <w:bottom w:val="nil"/>
              <w:right w:val="nil"/>
            </w:tcBorders>
            <w:shd w:val="clear" w:color="auto" w:fill="auto"/>
            <w:noWrap/>
            <w:vAlign w:val="bottom"/>
            <w:hideMark/>
          </w:tcPr>
          <w:p w14:paraId="0902CF9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1,568,058 </w:t>
            </w:r>
          </w:p>
        </w:tc>
        <w:tc>
          <w:tcPr>
            <w:tcW w:w="2063" w:type="dxa"/>
            <w:tcBorders>
              <w:top w:val="nil"/>
              <w:left w:val="nil"/>
              <w:bottom w:val="nil"/>
              <w:right w:val="nil"/>
            </w:tcBorders>
            <w:shd w:val="clear" w:color="auto" w:fill="auto"/>
            <w:noWrap/>
            <w:vAlign w:val="bottom"/>
            <w:hideMark/>
          </w:tcPr>
          <w:p w14:paraId="4BE1D97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106" w:type="dxa"/>
            <w:tcBorders>
              <w:top w:val="nil"/>
              <w:left w:val="nil"/>
              <w:bottom w:val="nil"/>
              <w:right w:val="nil"/>
            </w:tcBorders>
            <w:shd w:val="clear" w:color="auto" w:fill="auto"/>
            <w:noWrap/>
            <w:vAlign w:val="bottom"/>
            <w:hideMark/>
          </w:tcPr>
          <w:p w14:paraId="3261C597"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41" w:type="dxa"/>
            <w:tcBorders>
              <w:top w:val="nil"/>
              <w:left w:val="nil"/>
              <w:bottom w:val="nil"/>
              <w:right w:val="nil"/>
            </w:tcBorders>
            <w:shd w:val="clear" w:color="auto" w:fill="auto"/>
            <w:noWrap/>
            <w:vAlign w:val="bottom"/>
            <w:hideMark/>
          </w:tcPr>
          <w:p w14:paraId="6BE5ED45"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r>
      <w:tr w:rsidR="00C67B5F" w:rsidRPr="00C67B5F" w14:paraId="64BC7D87" w14:textId="77777777" w:rsidTr="00C67B5F">
        <w:trPr>
          <w:trHeight w:val="20"/>
          <w:jc w:val="center"/>
        </w:trPr>
        <w:tc>
          <w:tcPr>
            <w:tcW w:w="3648" w:type="dxa"/>
            <w:tcBorders>
              <w:top w:val="nil"/>
              <w:left w:val="nil"/>
              <w:bottom w:val="single" w:sz="8" w:space="0" w:color="auto"/>
              <w:right w:val="nil"/>
            </w:tcBorders>
            <w:shd w:val="clear" w:color="auto" w:fill="auto"/>
            <w:noWrap/>
            <w:vAlign w:val="bottom"/>
            <w:hideMark/>
          </w:tcPr>
          <w:p w14:paraId="34383606"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c>
          <w:tcPr>
            <w:tcW w:w="1649" w:type="dxa"/>
            <w:tcBorders>
              <w:top w:val="single" w:sz="8" w:space="0" w:color="auto"/>
              <w:left w:val="nil"/>
              <w:bottom w:val="single" w:sz="8" w:space="0" w:color="auto"/>
              <w:right w:val="nil"/>
            </w:tcBorders>
            <w:shd w:val="clear" w:color="auto" w:fill="auto"/>
            <w:noWrap/>
            <w:vAlign w:val="bottom"/>
            <w:hideMark/>
          </w:tcPr>
          <w:p w14:paraId="6B7D53D3"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c>
          <w:tcPr>
            <w:tcW w:w="2063" w:type="dxa"/>
            <w:tcBorders>
              <w:top w:val="single" w:sz="8" w:space="0" w:color="auto"/>
              <w:left w:val="nil"/>
              <w:bottom w:val="single" w:sz="8" w:space="0" w:color="auto"/>
              <w:right w:val="nil"/>
            </w:tcBorders>
            <w:shd w:val="clear" w:color="auto" w:fill="auto"/>
            <w:noWrap/>
            <w:vAlign w:val="bottom"/>
            <w:hideMark/>
          </w:tcPr>
          <w:p w14:paraId="4205C914"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c>
          <w:tcPr>
            <w:tcW w:w="2106" w:type="dxa"/>
            <w:tcBorders>
              <w:top w:val="single" w:sz="8" w:space="0" w:color="auto"/>
              <w:left w:val="nil"/>
              <w:bottom w:val="single" w:sz="8" w:space="0" w:color="auto"/>
              <w:right w:val="nil"/>
            </w:tcBorders>
            <w:shd w:val="clear" w:color="auto" w:fill="auto"/>
            <w:noWrap/>
            <w:vAlign w:val="bottom"/>
            <w:hideMark/>
          </w:tcPr>
          <w:p w14:paraId="72FFCED1"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c>
          <w:tcPr>
            <w:tcW w:w="2041" w:type="dxa"/>
            <w:tcBorders>
              <w:top w:val="single" w:sz="8" w:space="0" w:color="auto"/>
              <w:left w:val="nil"/>
              <w:bottom w:val="single" w:sz="8" w:space="0" w:color="auto"/>
              <w:right w:val="nil"/>
            </w:tcBorders>
            <w:shd w:val="clear" w:color="auto" w:fill="auto"/>
            <w:noWrap/>
            <w:vAlign w:val="bottom"/>
            <w:hideMark/>
          </w:tcPr>
          <w:p w14:paraId="5AAE1DD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r>
      <w:tr w:rsidR="00C67B5F" w:rsidRPr="00C67B5F" w14:paraId="2CE19CF5" w14:textId="77777777" w:rsidTr="00C67B5F">
        <w:trPr>
          <w:trHeight w:val="20"/>
          <w:jc w:val="center"/>
        </w:trPr>
        <w:tc>
          <w:tcPr>
            <w:tcW w:w="3648" w:type="dxa"/>
            <w:tcBorders>
              <w:top w:val="nil"/>
              <w:left w:val="nil"/>
              <w:bottom w:val="single" w:sz="8" w:space="0" w:color="auto"/>
              <w:right w:val="nil"/>
            </w:tcBorders>
            <w:shd w:val="clear" w:color="auto" w:fill="auto"/>
            <w:noWrap/>
            <w:vAlign w:val="bottom"/>
            <w:hideMark/>
          </w:tcPr>
          <w:p w14:paraId="2E28808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w:t>
            </w:r>
          </w:p>
        </w:tc>
        <w:tc>
          <w:tcPr>
            <w:tcW w:w="1649" w:type="dxa"/>
            <w:tcBorders>
              <w:top w:val="nil"/>
              <w:left w:val="nil"/>
              <w:bottom w:val="single" w:sz="8" w:space="0" w:color="auto"/>
              <w:right w:val="nil"/>
            </w:tcBorders>
            <w:shd w:val="clear" w:color="auto" w:fill="auto"/>
            <w:vAlign w:val="bottom"/>
            <w:hideMark/>
          </w:tcPr>
          <w:p w14:paraId="62D6B43F"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June 30, 2020</w:t>
            </w:r>
          </w:p>
        </w:tc>
        <w:tc>
          <w:tcPr>
            <w:tcW w:w="2063" w:type="dxa"/>
            <w:tcBorders>
              <w:top w:val="nil"/>
              <w:left w:val="nil"/>
              <w:bottom w:val="single" w:sz="8" w:space="0" w:color="auto"/>
              <w:right w:val="nil"/>
            </w:tcBorders>
            <w:shd w:val="clear" w:color="auto" w:fill="auto"/>
            <w:vAlign w:val="bottom"/>
            <w:hideMark/>
          </w:tcPr>
          <w:p w14:paraId="61CDB77E"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March 31, 2020</w:t>
            </w:r>
          </w:p>
        </w:tc>
        <w:tc>
          <w:tcPr>
            <w:tcW w:w="2106" w:type="dxa"/>
            <w:tcBorders>
              <w:top w:val="nil"/>
              <w:left w:val="nil"/>
              <w:bottom w:val="single" w:sz="8" w:space="0" w:color="auto"/>
              <w:right w:val="nil"/>
            </w:tcBorders>
            <w:shd w:val="clear" w:color="auto" w:fill="auto"/>
            <w:vAlign w:val="bottom"/>
            <w:hideMark/>
          </w:tcPr>
          <w:p w14:paraId="2C05381D"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December 31, 2019</w:t>
            </w:r>
          </w:p>
        </w:tc>
        <w:tc>
          <w:tcPr>
            <w:tcW w:w="2041" w:type="dxa"/>
            <w:tcBorders>
              <w:top w:val="nil"/>
              <w:left w:val="nil"/>
              <w:bottom w:val="single" w:sz="8" w:space="0" w:color="auto"/>
              <w:right w:val="nil"/>
            </w:tcBorders>
            <w:shd w:val="clear" w:color="auto" w:fill="auto"/>
            <w:vAlign w:val="bottom"/>
            <w:hideMark/>
          </w:tcPr>
          <w:p w14:paraId="5F46741E" w14:textId="77777777" w:rsidR="00C67B5F" w:rsidRPr="00C67B5F" w:rsidRDefault="00C67B5F" w:rsidP="00C67B5F">
            <w:pPr>
              <w:jc w:val="center"/>
              <w:rPr>
                <w:rFonts w:ascii="Arial" w:hAnsi="Arial" w:cs="Arial"/>
                <w:b/>
                <w:bCs/>
                <w:color w:val="000000"/>
                <w:szCs w:val="20"/>
                <w:lang w:eastAsia="en-CA"/>
              </w:rPr>
            </w:pPr>
            <w:r w:rsidRPr="00C67B5F">
              <w:rPr>
                <w:rFonts w:ascii="Arial" w:hAnsi="Arial" w:cs="Arial"/>
                <w:b/>
                <w:bCs/>
                <w:color w:val="000000"/>
                <w:szCs w:val="20"/>
                <w:lang w:eastAsia="en-CA"/>
              </w:rPr>
              <w:t>Three months ended September 30, 2019</w:t>
            </w:r>
          </w:p>
        </w:tc>
      </w:tr>
      <w:tr w:rsidR="00C67B5F" w:rsidRPr="00C67B5F" w14:paraId="6A3D891E"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664F38B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Sales</w:t>
            </w:r>
          </w:p>
        </w:tc>
        <w:tc>
          <w:tcPr>
            <w:tcW w:w="1649" w:type="dxa"/>
            <w:tcBorders>
              <w:top w:val="nil"/>
              <w:left w:val="nil"/>
              <w:bottom w:val="nil"/>
              <w:right w:val="nil"/>
            </w:tcBorders>
            <w:shd w:val="clear" w:color="auto" w:fill="auto"/>
            <w:noWrap/>
            <w:vAlign w:val="bottom"/>
            <w:hideMark/>
          </w:tcPr>
          <w:p w14:paraId="083FE34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63" w:type="dxa"/>
            <w:tcBorders>
              <w:top w:val="nil"/>
              <w:left w:val="nil"/>
              <w:bottom w:val="nil"/>
              <w:right w:val="nil"/>
            </w:tcBorders>
            <w:shd w:val="clear" w:color="auto" w:fill="auto"/>
            <w:noWrap/>
            <w:vAlign w:val="bottom"/>
            <w:hideMark/>
          </w:tcPr>
          <w:p w14:paraId="15FE0A7C"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106" w:type="dxa"/>
            <w:tcBorders>
              <w:top w:val="nil"/>
              <w:left w:val="nil"/>
              <w:bottom w:val="nil"/>
              <w:right w:val="nil"/>
            </w:tcBorders>
            <w:shd w:val="clear" w:color="auto" w:fill="auto"/>
            <w:noWrap/>
            <w:vAlign w:val="bottom"/>
            <w:hideMark/>
          </w:tcPr>
          <w:p w14:paraId="4DE4F0A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41" w:type="dxa"/>
            <w:tcBorders>
              <w:top w:val="nil"/>
              <w:left w:val="nil"/>
              <w:bottom w:val="nil"/>
              <w:right w:val="nil"/>
            </w:tcBorders>
            <w:shd w:val="clear" w:color="auto" w:fill="auto"/>
            <w:noWrap/>
            <w:vAlign w:val="bottom"/>
            <w:hideMark/>
          </w:tcPr>
          <w:p w14:paraId="62F19DB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r>
      <w:tr w:rsidR="00C67B5F" w:rsidRPr="00C67B5F" w14:paraId="213AEE1F"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55C230D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Gross profit</w:t>
            </w:r>
          </w:p>
        </w:tc>
        <w:tc>
          <w:tcPr>
            <w:tcW w:w="1649" w:type="dxa"/>
            <w:tcBorders>
              <w:top w:val="nil"/>
              <w:left w:val="nil"/>
              <w:bottom w:val="nil"/>
              <w:right w:val="nil"/>
            </w:tcBorders>
            <w:shd w:val="clear" w:color="auto" w:fill="auto"/>
            <w:noWrap/>
            <w:vAlign w:val="bottom"/>
            <w:hideMark/>
          </w:tcPr>
          <w:p w14:paraId="15D8AC5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63" w:type="dxa"/>
            <w:tcBorders>
              <w:top w:val="nil"/>
              <w:left w:val="nil"/>
              <w:bottom w:val="nil"/>
              <w:right w:val="nil"/>
            </w:tcBorders>
            <w:shd w:val="clear" w:color="auto" w:fill="auto"/>
            <w:noWrap/>
            <w:vAlign w:val="bottom"/>
            <w:hideMark/>
          </w:tcPr>
          <w:p w14:paraId="3458E963"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106" w:type="dxa"/>
            <w:tcBorders>
              <w:top w:val="nil"/>
              <w:left w:val="nil"/>
              <w:bottom w:val="nil"/>
              <w:right w:val="nil"/>
            </w:tcBorders>
            <w:shd w:val="clear" w:color="auto" w:fill="auto"/>
            <w:noWrap/>
            <w:vAlign w:val="bottom"/>
            <w:hideMark/>
          </w:tcPr>
          <w:p w14:paraId="51FE5BF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41" w:type="dxa"/>
            <w:tcBorders>
              <w:top w:val="nil"/>
              <w:left w:val="nil"/>
              <w:bottom w:val="nil"/>
              <w:right w:val="nil"/>
            </w:tcBorders>
            <w:shd w:val="clear" w:color="auto" w:fill="auto"/>
            <w:noWrap/>
            <w:vAlign w:val="bottom"/>
            <w:hideMark/>
          </w:tcPr>
          <w:p w14:paraId="261C281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r>
      <w:tr w:rsidR="00C67B5F" w:rsidRPr="00C67B5F" w14:paraId="2A4C66C6"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6CCDE716"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Expenses including non-cash items</w:t>
            </w:r>
          </w:p>
        </w:tc>
        <w:tc>
          <w:tcPr>
            <w:tcW w:w="1649" w:type="dxa"/>
            <w:tcBorders>
              <w:top w:val="nil"/>
              <w:left w:val="nil"/>
              <w:bottom w:val="nil"/>
              <w:right w:val="nil"/>
            </w:tcBorders>
            <w:shd w:val="clear" w:color="auto" w:fill="auto"/>
            <w:noWrap/>
            <w:vAlign w:val="bottom"/>
            <w:hideMark/>
          </w:tcPr>
          <w:p w14:paraId="3227304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71,221)</w:t>
            </w:r>
          </w:p>
        </w:tc>
        <w:tc>
          <w:tcPr>
            <w:tcW w:w="2063" w:type="dxa"/>
            <w:tcBorders>
              <w:top w:val="nil"/>
              <w:left w:val="nil"/>
              <w:bottom w:val="nil"/>
              <w:right w:val="nil"/>
            </w:tcBorders>
            <w:shd w:val="clear" w:color="auto" w:fill="auto"/>
            <w:noWrap/>
            <w:vAlign w:val="bottom"/>
            <w:hideMark/>
          </w:tcPr>
          <w:p w14:paraId="2474D6D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141,357)</w:t>
            </w:r>
          </w:p>
        </w:tc>
        <w:tc>
          <w:tcPr>
            <w:tcW w:w="2106" w:type="dxa"/>
            <w:tcBorders>
              <w:top w:val="nil"/>
              <w:left w:val="nil"/>
              <w:bottom w:val="nil"/>
              <w:right w:val="nil"/>
            </w:tcBorders>
            <w:shd w:val="clear" w:color="auto" w:fill="auto"/>
            <w:noWrap/>
            <w:vAlign w:val="bottom"/>
            <w:hideMark/>
          </w:tcPr>
          <w:p w14:paraId="31619F1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100,634)</w:t>
            </w:r>
          </w:p>
        </w:tc>
        <w:tc>
          <w:tcPr>
            <w:tcW w:w="2041" w:type="dxa"/>
            <w:tcBorders>
              <w:top w:val="nil"/>
              <w:left w:val="nil"/>
              <w:bottom w:val="nil"/>
              <w:right w:val="nil"/>
            </w:tcBorders>
            <w:shd w:val="clear" w:color="auto" w:fill="auto"/>
            <w:noWrap/>
            <w:vAlign w:val="bottom"/>
            <w:hideMark/>
          </w:tcPr>
          <w:p w14:paraId="091FF6D1"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90,242)</w:t>
            </w:r>
          </w:p>
        </w:tc>
      </w:tr>
      <w:tr w:rsidR="00C67B5F" w:rsidRPr="00C67B5F" w14:paraId="3AEE7071"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500F9245"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Income (loss) for the quarter</w:t>
            </w:r>
          </w:p>
        </w:tc>
        <w:tc>
          <w:tcPr>
            <w:tcW w:w="1649" w:type="dxa"/>
            <w:tcBorders>
              <w:top w:val="nil"/>
              <w:left w:val="nil"/>
              <w:bottom w:val="nil"/>
              <w:right w:val="nil"/>
            </w:tcBorders>
            <w:shd w:val="clear" w:color="auto" w:fill="auto"/>
            <w:noWrap/>
            <w:vAlign w:val="bottom"/>
            <w:hideMark/>
          </w:tcPr>
          <w:p w14:paraId="006B40D4"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47,235)</w:t>
            </w:r>
          </w:p>
        </w:tc>
        <w:tc>
          <w:tcPr>
            <w:tcW w:w="2063" w:type="dxa"/>
            <w:tcBorders>
              <w:top w:val="nil"/>
              <w:left w:val="nil"/>
              <w:bottom w:val="nil"/>
              <w:right w:val="nil"/>
            </w:tcBorders>
            <w:shd w:val="clear" w:color="auto" w:fill="auto"/>
            <w:noWrap/>
            <w:vAlign w:val="bottom"/>
            <w:hideMark/>
          </w:tcPr>
          <w:p w14:paraId="2DA2BDB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95,939)</w:t>
            </w:r>
          </w:p>
        </w:tc>
        <w:tc>
          <w:tcPr>
            <w:tcW w:w="2106" w:type="dxa"/>
            <w:tcBorders>
              <w:top w:val="nil"/>
              <w:left w:val="nil"/>
              <w:bottom w:val="nil"/>
              <w:right w:val="nil"/>
            </w:tcBorders>
            <w:shd w:val="clear" w:color="auto" w:fill="auto"/>
            <w:noWrap/>
            <w:vAlign w:val="bottom"/>
            <w:hideMark/>
          </w:tcPr>
          <w:p w14:paraId="5755C264"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97,217)</w:t>
            </w:r>
          </w:p>
        </w:tc>
        <w:tc>
          <w:tcPr>
            <w:tcW w:w="2041" w:type="dxa"/>
            <w:tcBorders>
              <w:top w:val="nil"/>
              <w:left w:val="nil"/>
              <w:bottom w:val="nil"/>
              <w:right w:val="nil"/>
            </w:tcBorders>
            <w:shd w:val="clear" w:color="auto" w:fill="auto"/>
            <w:noWrap/>
            <w:vAlign w:val="bottom"/>
            <w:hideMark/>
          </w:tcPr>
          <w:p w14:paraId="100F6DA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90,242)</w:t>
            </w:r>
          </w:p>
        </w:tc>
      </w:tr>
      <w:tr w:rsidR="00C67B5F" w:rsidRPr="00C67B5F" w14:paraId="3B9772FE"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685C718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Income (loss) per share</w:t>
            </w:r>
          </w:p>
        </w:tc>
        <w:tc>
          <w:tcPr>
            <w:tcW w:w="1649" w:type="dxa"/>
            <w:tcBorders>
              <w:top w:val="nil"/>
              <w:left w:val="nil"/>
              <w:bottom w:val="nil"/>
              <w:right w:val="nil"/>
            </w:tcBorders>
            <w:shd w:val="clear" w:color="auto" w:fill="auto"/>
            <w:noWrap/>
            <w:vAlign w:val="bottom"/>
            <w:hideMark/>
          </w:tcPr>
          <w:p w14:paraId="3D7CE12D"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0.00)</w:t>
            </w:r>
          </w:p>
        </w:tc>
        <w:tc>
          <w:tcPr>
            <w:tcW w:w="2063" w:type="dxa"/>
            <w:tcBorders>
              <w:top w:val="nil"/>
              <w:left w:val="nil"/>
              <w:bottom w:val="nil"/>
              <w:right w:val="nil"/>
            </w:tcBorders>
            <w:shd w:val="clear" w:color="auto" w:fill="auto"/>
            <w:noWrap/>
            <w:vAlign w:val="bottom"/>
            <w:hideMark/>
          </w:tcPr>
          <w:p w14:paraId="7AD7429A"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0.01)</w:t>
            </w:r>
          </w:p>
        </w:tc>
        <w:tc>
          <w:tcPr>
            <w:tcW w:w="2106" w:type="dxa"/>
            <w:tcBorders>
              <w:top w:val="nil"/>
              <w:left w:val="nil"/>
              <w:bottom w:val="nil"/>
              <w:right w:val="nil"/>
            </w:tcBorders>
            <w:shd w:val="clear" w:color="auto" w:fill="auto"/>
            <w:noWrap/>
            <w:vAlign w:val="bottom"/>
            <w:hideMark/>
          </w:tcPr>
          <w:p w14:paraId="2F23042F"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0.01)</w:t>
            </w:r>
          </w:p>
        </w:tc>
        <w:tc>
          <w:tcPr>
            <w:tcW w:w="2041" w:type="dxa"/>
            <w:tcBorders>
              <w:top w:val="nil"/>
              <w:left w:val="nil"/>
              <w:bottom w:val="nil"/>
              <w:right w:val="nil"/>
            </w:tcBorders>
            <w:shd w:val="clear" w:color="auto" w:fill="auto"/>
            <w:noWrap/>
            <w:vAlign w:val="bottom"/>
            <w:hideMark/>
          </w:tcPr>
          <w:p w14:paraId="6D644AD3"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w:t>
            </w:r>
            <w:proofErr w:type="gramStart"/>
            <w:r w:rsidRPr="00C67B5F">
              <w:rPr>
                <w:rFonts w:ascii="Arial" w:hAnsi="Arial" w:cs="Arial"/>
                <w:color w:val="000000"/>
                <w:szCs w:val="20"/>
                <w:lang w:eastAsia="en-CA"/>
              </w:rPr>
              <w:t xml:space="preserve">   (</w:t>
            </w:r>
            <w:proofErr w:type="gramEnd"/>
            <w:r w:rsidRPr="00C67B5F">
              <w:rPr>
                <w:rFonts w:ascii="Arial" w:hAnsi="Arial" w:cs="Arial"/>
                <w:color w:val="000000"/>
                <w:szCs w:val="20"/>
                <w:lang w:eastAsia="en-CA"/>
              </w:rPr>
              <w:t>0.01)</w:t>
            </w:r>
          </w:p>
        </w:tc>
      </w:tr>
      <w:tr w:rsidR="00C67B5F" w:rsidRPr="00C67B5F" w14:paraId="2AE536DF"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3C235B4E"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Common shares outstanding</w:t>
            </w:r>
          </w:p>
        </w:tc>
        <w:tc>
          <w:tcPr>
            <w:tcW w:w="1649" w:type="dxa"/>
            <w:tcBorders>
              <w:top w:val="nil"/>
              <w:left w:val="nil"/>
              <w:bottom w:val="nil"/>
              <w:right w:val="nil"/>
            </w:tcBorders>
            <w:shd w:val="clear" w:color="auto" w:fill="auto"/>
            <w:noWrap/>
            <w:vAlign w:val="bottom"/>
            <w:hideMark/>
          </w:tcPr>
          <w:p w14:paraId="3372A1C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10,000,000 </w:t>
            </w:r>
          </w:p>
        </w:tc>
        <w:tc>
          <w:tcPr>
            <w:tcW w:w="2063" w:type="dxa"/>
            <w:tcBorders>
              <w:top w:val="nil"/>
              <w:left w:val="nil"/>
              <w:bottom w:val="nil"/>
              <w:right w:val="nil"/>
            </w:tcBorders>
            <w:shd w:val="clear" w:color="auto" w:fill="auto"/>
            <w:noWrap/>
            <w:vAlign w:val="bottom"/>
            <w:hideMark/>
          </w:tcPr>
          <w:p w14:paraId="4FB5B625"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10,000,000 </w:t>
            </w:r>
          </w:p>
        </w:tc>
        <w:tc>
          <w:tcPr>
            <w:tcW w:w="2106" w:type="dxa"/>
            <w:tcBorders>
              <w:top w:val="nil"/>
              <w:left w:val="nil"/>
              <w:bottom w:val="nil"/>
              <w:right w:val="nil"/>
            </w:tcBorders>
            <w:shd w:val="clear" w:color="auto" w:fill="auto"/>
            <w:noWrap/>
            <w:vAlign w:val="bottom"/>
            <w:hideMark/>
          </w:tcPr>
          <w:p w14:paraId="09199BA3"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10,000,000 </w:t>
            </w:r>
          </w:p>
        </w:tc>
        <w:tc>
          <w:tcPr>
            <w:tcW w:w="2041" w:type="dxa"/>
            <w:tcBorders>
              <w:top w:val="nil"/>
              <w:left w:val="nil"/>
              <w:bottom w:val="nil"/>
              <w:right w:val="nil"/>
            </w:tcBorders>
            <w:shd w:val="clear" w:color="auto" w:fill="auto"/>
            <w:noWrap/>
            <w:vAlign w:val="bottom"/>
            <w:hideMark/>
          </w:tcPr>
          <w:p w14:paraId="367468CC"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10,000,000 </w:t>
            </w:r>
          </w:p>
        </w:tc>
      </w:tr>
      <w:tr w:rsidR="00C67B5F" w:rsidRPr="00C67B5F" w14:paraId="77D890BD" w14:textId="77777777" w:rsidTr="00C67B5F">
        <w:trPr>
          <w:trHeight w:val="20"/>
          <w:jc w:val="center"/>
        </w:trPr>
        <w:tc>
          <w:tcPr>
            <w:tcW w:w="3648" w:type="dxa"/>
            <w:tcBorders>
              <w:top w:val="nil"/>
              <w:left w:val="nil"/>
              <w:bottom w:val="nil"/>
              <w:right w:val="nil"/>
            </w:tcBorders>
            <w:shd w:val="clear" w:color="auto" w:fill="auto"/>
            <w:noWrap/>
            <w:vAlign w:val="bottom"/>
            <w:hideMark/>
          </w:tcPr>
          <w:p w14:paraId="3676DDE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Total assets</w:t>
            </w:r>
          </w:p>
        </w:tc>
        <w:tc>
          <w:tcPr>
            <w:tcW w:w="1649" w:type="dxa"/>
            <w:tcBorders>
              <w:top w:val="nil"/>
              <w:left w:val="nil"/>
              <w:bottom w:val="nil"/>
              <w:right w:val="nil"/>
            </w:tcBorders>
            <w:shd w:val="clear" w:color="auto" w:fill="auto"/>
            <w:noWrap/>
            <w:vAlign w:val="bottom"/>
            <w:hideMark/>
          </w:tcPr>
          <w:p w14:paraId="092BDF6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515,112 </w:t>
            </w:r>
          </w:p>
        </w:tc>
        <w:tc>
          <w:tcPr>
            <w:tcW w:w="2063" w:type="dxa"/>
            <w:tcBorders>
              <w:top w:val="nil"/>
              <w:left w:val="nil"/>
              <w:bottom w:val="nil"/>
              <w:right w:val="nil"/>
            </w:tcBorders>
            <w:shd w:val="clear" w:color="auto" w:fill="auto"/>
            <w:noWrap/>
            <w:vAlign w:val="bottom"/>
            <w:hideMark/>
          </w:tcPr>
          <w:p w14:paraId="73264F40"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750,543 </w:t>
            </w:r>
          </w:p>
        </w:tc>
        <w:tc>
          <w:tcPr>
            <w:tcW w:w="2106" w:type="dxa"/>
            <w:tcBorders>
              <w:top w:val="nil"/>
              <w:left w:val="nil"/>
              <w:bottom w:val="nil"/>
              <w:right w:val="nil"/>
            </w:tcBorders>
            <w:shd w:val="clear" w:color="auto" w:fill="auto"/>
            <w:noWrap/>
            <w:vAlign w:val="bottom"/>
            <w:hideMark/>
          </w:tcPr>
          <w:p w14:paraId="1FBB4C7A"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837,878 </w:t>
            </w:r>
          </w:p>
        </w:tc>
        <w:tc>
          <w:tcPr>
            <w:tcW w:w="2041" w:type="dxa"/>
            <w:tcBorders>
              <w:top w:val="nil"/>
              <w:left w:val="nil"/>
              <w:bottom w:val="nil"/>
              <w:right w:val="nil"/>
            </w:tcBorders>
            <w:shd w:val="clear" w:color="auto" w:fill="auto"/>
            <w:noWrap/>
            <w:vAlign w:val="bottom"/>
            <w:hideMark/>
          </w:tcPr>
          <w:p w14:paraId="6F71B278"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691,301 </w:t>
            </w:r>
          </w:p>
        </w:tc>
      </w:tr>
      <w:tr w:rsidR="00C67B5F" w:rsidRPr="00C67B5F" w14:paraId="17536AF3" w14:textId="77777777" w:rsidTr="00C67B5F">
        <w:trPr>
          <w:trHeight w:val="20"/>
          <w:jc w:val="center"/>
        </w:trPr>
        <w:tc>
          <w:tcPr>
            <w:tcW w:w="3648" w:type="dxa"/>
            <w:tcBorders>
              <w:top w:val="nil"/>
              <w:left w:val="nil"/>
              <w:bottom w:val="single" w:sz="8" w:space="0" w:color="auto"/>
              <w:right w:val="nil"/>
            </w:tcBorders>
            <w:shd w:val="clear" w:color="auto" w:fill="auto"/>
            <w:noWrap/>
            <w:vAlign w:val="bottom"/>
            <w:hideMark/>
          </w:tcPr>
          <w:p w14:paraId="4A359945"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Total long-term liabilities</w:t>
            </w:r>
          </w:p>
        </w:tc>
        <w:tc>
          <w:tcPr>
            <w:tcW w:w="1649" w:type="dxa"/>
            <w:tcBorders>
              <w:top w:val="nil"/>
              <w:left w:val="nil"/>
              <w:bottom w:val="single" w:sz="8" w:space="0" w:color="auto"/>
              <w:right w:val="nil"/>
            </w:tcBorders>
            <w:shd w:val="clear" w:color="auto" w:fill="auto"/>
            <w:noWrap/>
            <w:vAlign w:val="bottom"/>
            <w:hideMark/>
          </w:tcPr>
          <w:p w14:paraId="0545DA97"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63" w:type="dxa"/>
            <w:tcBorders>
              <w:top w:val="nil"/>
              <w:left w:val="nil"/>
              <w:bottom w:val="single" w:sz="8" w:space="0" w:color="auto"/>
              <w:right w:val="nil"/>
            </w:tcBorders>
            <w:shd w:val="clear" w:color="auto" w:fill="auto"/>
            <w:noWrap/>
            <w:vAlign w:val="bottom"/>
            <w:hideMark/>
          </w:tcPr>
          <w:p w14:paraId="63DF8342"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106" w:type="dxa"/>
            <w:tcBorders>
              <w:top w:val="nil"/>
              <w:left w:val="nil"/>
              <w:bottom w:val="single" w:sz="8" w:space="0" w:color="auto"/>
              <w:right w:val="nil"/>
            </w:tcBorders>
            <w:shd w:val="clear" w:color="auto" w:fill="auto"/>
            <w:noWrap/>
            <w:vAlign w:val="bottom"/>
            <w:hideMark/>
          </w:tcPr>
          <w:p w14:paraId="10BB61DB"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c>
          <w:tcPr>
            <w:tcW w:w="2041" w:type="dxa"/>
            <w:tcBorders>
              <w:top w:val="nil"/>
              <w:left w:val="nil"/>
              <w:bottom w:val="single" w:sz="8" w:space="0" w:color="auto"/>
              <w:right w:val="nil"/>
            </w:tcBorders>
            <w:shd w:val="clear" w:color="auto" w:fill="auto"/>
            <w:noWrap/>
            <w:vAlign w:val="bottom"/>
            <w:hideMark/>
          </w:tcPr>
          <w:p w14:paraId="7FA5D117" w14:textId="77777777" w:rsidR="00C67B5F" w:rsidRPr="00C67B5F" w:rsidRDefault="00C67B5F" w:rsidP="00C67B5F">
            <w:pPr>
              <w:rPr>
                <w:rFonts w:ascii="Arial" w:hAnsi="Arial" w:cs="Arial"/>
                <w:color w:val="000000"/>
                <w:szCs w:val="20"/>
                <w:lang w:eastAsia="en-CA"/>
              </w:rPr>
            </w:pPr>
            <w:r w:rsidRPr="00C67B5F">
              <w:rPr>
                <w:rFonts w:ascii="Arial" w:hAnsi="Arial" w:cs="Arial"/>
                <w:color w:val="000000"/>
                <w:szCs w:val="20"/>
                <w:lang w:eastAsia="en-CA"/>
              </w:rPr>
              <w:t xml:space="preserve"> $                      -   </w:t>
            </w:r>
          </w:p>
        </w:tc>
      </w:tr>
    </w:tbl>
    <w:p w14:paraId="7544223C" w14:textId="77777777" w:rsidR="00C67B5F" w:rsidRDefault="00C67B5F" w:rsidP="00C67B5F">
      <w:pPr>
        <w:pStyle w:val="BodyText"/>
        <w:spacing w:before="0"/>
        <w:rPr>
          <w:rFonts w:ascii="Arial" w:hAnsi="Arial" w:cs="Arial"/>
          <w:b/>
          <w:szCs w:val="20"/>
        </w:rPr>
      </w:pPr>
    </w:p>
    <w:p w14:paraId="4E8D6F3E" w14:textId="627B0629" w:rsidR="00F83DA0" w:rsidRDefault="00F83DA0" w:rsidP="00F83DA0">
      <w:pPr>
        <w:pStyle w:val="BodyText"/>
        <w:spacing w:before="0"/>
        <w:rPr>
          <w:rFonts w:ascii="Arial" w:hAnsi="Arial" w:cs="Arial"/>
          <w:b/>
          <w:szCs w:val="20"/>
        </w:rPr>
      </w:pPr>
      <w:r>
        <w:rPr>
          <w:rFonts w:ascii="Arial" w:hAnsi="Arial" w:cs="Arial"/>
          <w:noProof/>
          <w:szCs w:val="20"/>
        </w:rPr>
        <w:t>The Company’s expenses and net loss d</w:t>
      </w:r>
      <w:r w:rsidRPr="00534ADC">
        <w:rPr>
          <w:rFonts w:ascii="Arial" w:hAnsi="Arial" w:cs="Arial"/>
          <w:noProof/>
          <w:szCs w:val="20"/>
        </w:rPr>
        <w:t xml:space="preserve">uring the </w:t>
      </w:r>
      <w:r>
        <w:rPr>
          <w:rFonts w:ascii="Arial" w:hAnsi="Arial" w:cs="Arial"/>
          <w:noProof/>
          <w:szCs w:val="20"/>
        </w:rPr>
        <w:t>quarter</w:t>
      </w:r>
      <w:r w:rsidRPr="00534ADC">
        <w:rPr>
          <w:rFonts w:ascii="Arial" w:hAnsi="Arial" w:cs="Arial"/>
          <w:noProof/>
          <w:szCs w:val="20"/>
        </w:rPr>
        <w:t xml:space="preserve"> ended December 31, 20</w:t>
      </w:r>
      <w:r>
        <w:rPr>
          <w:rFonts w:ascii="Arial" w:hAnsi="Arial" w:cs="Arial"/>
          <w:noProof/>
          <w:szCs w:val="20"/>
        </w:rPr>
        <w:t xml:space="preserve">20 increased significantly from prior quarters </w:t>
      </w:r>
      <w:r w:rsidRPr="00534ADC">
        <w:rPr>
          <w:rFonts w:ascii="Arial" w:hAnsi="Arial" w:cs="Arial"/>
          <w:szCs w:val="20"/>
        </w:rPr>
        <w:t>due to</w:t>
      </w:r>
      <w:r>
        <w:rPr>
          <w:rFonts w:ascii="Arial" w:hAnsi="Arial" w:cs="Arial"/>
          <w:szCs w:val="20"/>
        </w:rPr>
        <w:t xml:space="preserve"> a listing expense of $1,108,514 being recognized upon completion of the RTO as well as an increase in costs as</w:t>
      </w:r>
      <w:r w:rsidRPr="00C41CE9">
        <w:rPr>
          <w:rFonts w:ascii="Arial" w:hAnsi="Arial" w:cs="Arial"/>
          <w:szCs w:val="20"/>
        </w:rPr>
        <w:t>sociated with the development of the Company’s overall operations.</w:t>
      </w:r>
      <w:r w:rsidRPr="00C41CE9">
        <w:rPr>
          <w:rFonts w:ascii="Arial" w:hAnsi="Arial" w:cs="Arial"/>
          <w:noProof/>
          <w:szCs w:val="20"/>
        </w:rPr>
        <w:t xml:space="preserve">  </w:t>
      </w:r>
      <w:r w:rsidRPr="00534ADC">
        <w:rPr>
          <w:rFonts w:ascii="Arial" w:hAnsi="Arial" w:cs="Arial"/>
          <w:szCs w:val="20"/>
        </w:rPr>
        <w:t xml:space="preserve">  </w:t>
      </w:r>
    </w:p>
    <w:p w14:paraId="43E37209" w14:textId="77777777" w:rsidR="00F83DA0" w:rsidRDefault="00F83DA0" w:rsidP="0033256D">
      <w:pPr>
        <w:pStyle w:val="BodyText"/>
        <w:spacing w:before="0"/>
        <w:rPr>
          <w:rFonts w:ascii="Arial" w:hAnsi="Arial" w:cs="Arial"/>
          <w:b/>
          <w:szCs w:val="20"/>
        </w:rPr>
      </w:pPr>
    </w:p>
    <w:p w14:paraId="7CEA9DB5" w14:textId="42BE65C4" w:rsidR="0033256D" w:rsidRPr="0033256D" w:rsidRDefault="0033256D" w:rsidP="0033256D">
      <w:pPr>
        <w:pStyle w:val="BodyText"/>
        <w:spacing w:before="0"/>
        <w:rPr>
          <w:rFonts w:ascii="Arial" w:hAnsi="Arial" w:cs="Arial"/>
          <w:i/>
          <w:iCs/>
          <w:szCs w:val="20"/>
        </w:rPr>
      </w:pPr>
      <w:r w:rsidRPr="0033256D">
        <w:rPr>
          <w:rFonts w:ascii="Arial" w:hAnsi="Arial" w:cs="Arial"/>
          <w:i/>
          <w:iCs/>
          <w:szCs w:val="20"/>
        </w:rPr>
        <w:t>Three months ended June 30, 2021</w:t>
      </w:r>
    </w:p>
    <w:p w14:paraId="5AAB0EAE" w14:textId="77777777" w:rsidR="0033256D" w:rsidRDefault="0033256D" w:rsidP="0033256D">
      <w:pPr>
        <w:pStyle w:val="BodyText"/>
        <w:spacing w:before="0"/>
        <w:rPr>
          <w:rFonts w:ascii="Arial" w:hAnsi="Arial" w:cs="Arial"/>
          <w:szCs w:val="20"/>
        </w:rPr>
      </w:pPr>
    </w:p>
    <w:p w14:paraId="2114D890" w14:textId="65664622" w:rsidR="00D95694" w:rsidRPr="00534ADC" w:rsidRDefault="00D95694" w:rsidP="0033256D">
      <w:pPr>
        <w:pStyle w:val="BodyText"/>
        <w:spacing w:before="0"/>
        <w:rPr>
          <w:rFonts w:ascii="Arial" w:hAnsi="Arial" w:cs="Arial"/>
          <w:szCs w:val="20"/>
        </w:rPr>
      </w:pPr>
      <w:r w:rsidRPr="00534ADC">
        <w:rPr>
          <w:rFonts w:ascii="Arial" w:hAnsi="Arial" w:cs="Arial"/>
          <w:szCs w:val="20"/>
        </w:rPr>
        <w:t xml:space="preserve">During the </w:t>
      </w:r>
      <w:r w:rsidR="0061038F">
        <w:rPr>
          <w:rFonts w:ascii="Arial" w:hAnsi="Arial" w:cs="Arial"/>
          <w:szCs w:val="20"/>
        </w:rPr>
        <w:t>three months</w:t>
      </w:r>
      <w:r w:rsidR="00470182">
        <w:rPr>
          <w:rFonts w:ascii="Arial" w:hAnsi="Arial" w:cs="Arial"/>
          <w:szCs w:val="20"/>
        </w:rPr>
        <w:t xml:space="preserve"> ended </w:t>
      </w:r>
      <w:r w:rsidR="0033256D">
        <w:rPr>
          <w:rFonts w:ascii="Arial" w:hAnsi="Arial" w:cs="Arial"/>
          <w:szCs w:val="20"/>
        </w:rPr>
        <w:t>June 30</w:t>
      </w:r>
      <w:r w:rsidR="00EF4733">
        <w:rPr>
          <w:rFonts w:ascii="Arial" w:hAnsi="Arial" w:cs="Arial"/>
          <w:szCs w:val="20"/>
        </w:rPr>
        <w:t>, 2021</w:t>
      </w:r>
      <w:r w:rsidRPr="00534ADC">
        <w:rPr>
          <w:rFonts w:ascii="Arial" w:hAnsi="Arial" w:cs="Arial"/>
          <w:szCs w:val="20"/>
        </w:rPr>
        <w:t xml:space="preserve"> (“</w:t>
      </w:r>
      <w:r w:rsidR="0033256D">
        <w:rPr>
          <w:rFonts w:ascii="Arial" w:hAnsi="Arial" w:cs="Arial"/>
          <w:szCs w:val="20"/>
        </w:rPr>
        <w:t xml:space="preserve">Q2 </w:t>
      </w:r>
      <w:r w:rsidRPr="00534ADC">
        <w:rPr>
          <w:rFonts w:ascii="Arial" w:hAnsi="Arial" w:cs="Arial"/>
          <w:szCs w:val="20"/>
        </w:rPr>
        <w:t>202</w:t>
      </w:r>
      <w:r w:rsidR="00EF4733">
        <w:rPr>
          <w:rFonts w:ascii="Arial" w:hAnsi="Arial" w:cs="Arial"/>
          <w:szCs w:val="20"/>
        </w:rPr>
        <w:t>1</w:t>
      </w:r>
      <w:r w:rsidRPr="00534ADC">
        <w:rPr>
          <w:rFonts w:ascii="Arial" w:hAnsi="Arial" w:cs="Arial"/>
          <w:szCs w:val="20"/>
        </w:rPr>
        <w:t>”), the Company reported</w:t>
      </w:r>
      <w:r w:rsidR="00470182">
        <w:rPr>
          <w:rFonts w:ascii="Arial" w:hAnsi="Arial" w:cs="Arial"/>
          <w:szCs w:val="20"/>
        </w:rPr>
        <w:t xml:space="preserve"> a loss of </w:t>
      </w:r>
      <w:r w:rsidR="00695CA1">
        <w:rPr>
          <w:rFonts w:ascii="Arial" w:hAnsi="Arial" w:cs="Arial"/>
          <w:szCs w:val="20"/>
        </w:rPr>
        <w:t>$1,0</w:t>
      </w:r>
      <w:r w:rsidR="00C908A2">
        <w:rPr>
          <w:rFonts w:ascii="Arial" w:hAnsi="Arial" w:cs="Arial"/>
          <w:szCs w:val="20"/>
        </w:rPr>
        <w:t>17,836</w:t>
      </w:r>
      <w:r w:rsidRPr="00534ADC">
        <w:rPr>
          <w:rFonts w:ascii="Arial" w:hAnsi="Arial" w:cs="Arial"/>
          <w:szCs w:val="20"/>
        </w:rPr>
        <w:t xml:space="preserve">. During the </w:t>
      </w:r>
      <w:r w:rsidR="00EF4733">
        <w:rPr>
          <w:rFonts w:ascii="Arial" w:hAnsi="Arial" w:cs="Arial"/>
          <w:szCs w:val="20"/>
        </w:rPr>
        <w:t>three months</w:t>
      </w:r>
      <w:r w:rsidR="00F51365">
        <w:rPr>
          <w:rFonts w:ascii="Arial" w:hAnsi="Arial" w:cs="Arial"/>
          <w:szCs w:val="20"/>
        </w:rPr>
        <w:t xml:space="preserve"> ended </w:t>
      </w:r>
      <w:r w:rsidR="0033256D">
        <w:rPr>
          <w:rFonts w:ascii="Arial" w:hAnsi="Arial" w:cs="Arial"/>
          <w:szCs w:val="20"/>
        </w:rPr>
        <w:t>June 30</w:t>
      </w:r>
      <w:r w:rsidR="00EF4733">
        <w:rPr>
          <w:rFonts w:ascii="Arial" w:hAnsi="Arial" w:cs="Arial"/>
          <w:szCs w:val="20"/>
        </w:rPr>
        <w:t>, 2020</w:t>
      </w:r>
      <w:r w:rsidRPr="00534ADC">
        <w:rPr>
          <w:rFonts w:ascii="Arial" w:hAnsi="Arial" w:cs="Arial"/>
          <w:szCs w:val="20"/>
        </w:rPr>
        <w:t xml:space="preserve"> (“</w:t>
      </w:r>
      <w:r w:rsidR="0033256D">
        <w:rPr>
          <w:rFonts w:ascii="Arial" w:hAnsi="Arial" w:cs="Arial"/>
          <w:szCs w:val="20"/>
        </w:rPr>
        <w:t xml:space="preserve">Q2 </w:t>
      </w:r>
      <w:r w:rsidRPr="00534ADC">
        <w:rPr>
          <w:rFonts w:ascii="Arial" w:hAnsi="Arial" w:cs="Arial"/>
          <w:szCs w:val="20"/>
        </w:rPr>
        <w:t>20</w:t>
      </w:r>
      <w:r w:rsidR="00EF4733">
        <w:rPr>
          <w:rFonts w:ascii="Arial" w:hAnsi="Arial" w:cs="Arial"/>
          <w:szCs w:val="20"/>
        </w:rPr>
        <w:t>20</w:t>
      </w:r>
      <w:r w:rsidRPr="00534ADC">
        <w:rPr>
          <w:rFonts w:ascii="Arial" w:hAnsi="Arial" w:cs="Arial"/>
          <w:szCs w:val="20"/>
        </w:rPr>
        <w:t>”), the Company repor</w:t>
      </w:r>
      <w:r w:rsidR="00695CA1">
        <w:rPr>
          <w:rFonts w:ascii="Arial" w:hAnsi="Arial" w:cs="Arial"/>
          <w:szCs w:val="20"/>
        </w:rPr>
        <w:t>t</w:t>
      </w:r>
      <w:r w:rsidRPr="00534ADC">
        <w:rPr>
          <w:rFonts w:ascii="Arial" w:hAnsi="Arial" w:cs="Arial"/>
          <w:szCs w:val="20"/>
        </w:rPr>
        <w:t>ed a loss of $</w:t>
      </w:r>
      <w:r w:rsidR="00695CA1">
        <w:rPr>
          <w:rFonts w:ascii="Arial" w:hAnsi="Arial" w:cs="Arial"/>
          <w:szCs w:val="20"/>
        </w:rPr>
        <w:t>47,235</w:t>
      </w:r>
      <w:r w:rsidRPr="00534ADC">
        <w:rPr>
          <w:rFonts w:ascii="Arial" w:hAnsi="Arial" w:cs="Arial"/>
          <w:szCs w:val="20"/>
        </w:rPr>
        <w:t xml:space="preserve">. </w:t>
      </w:r>
    </w:p>
    <w:p w14:paraId="37C4D79E" w14:textId="77777777" w:rsidR="00D95694" w:rsidRPr="00534ADC" w:rsidRDefault="00D95694" w:rsidP="002213C3">
      <w:pPr>
        <w:jc w:val="both"/>
        <w:rPr>
          <w:rFonts w:ascii="Arial" w:hAnsi="Arial" w:cs="Arial"/>
          <w:szCs w:val="20"/>
        </w:rPr>
      </w:pPr>
    </w:p>
    <w:p w14:paraId="159090EF" w14:textId="770D6629" w:rsidR="00D95694" w:rsidRPr="00534ADC" w:rsidRDefault="00E04D44" w:rsidP="002213C3">
      <w:pPr>
        <w:jc w:val="both"/>
        <w:rPr>
          <w:rFonts w:ascii="Arial" w:hAnsi="Arial" w:cs="Arial"/>
          <w:szCs w:val="20"/>
        </w:rPr>
      </w:pPr>
      <w:r w:rsidRPr="00534ADC">
        <w:rPr>
          <w:rFonts w:ascii="Arial" w:hAnsi="Arial" w:cs="Arial"/>
          <w:szCs w:val="20"/>
        </w:rPr>
        <w:t xml:space="preserve">The primary reason for the increase in net </w:t>
      </w:r>
      <w:r>
        <w:rPr>
          <w:rFonts w:ascii="Arial" w:hAnsi="Arial" w:cs="Arial"/>
          <w:szCs w:val="20"/>
        </w:rPr>
        <w:t>loss</w:t>
      </w:r>
      <w:r w:rsidRPr="00534ADC">
        <w:rPr>
          <w:rFonts w:ascii="Arial" w:hAnsi="Arial" w:cs="Arial"/>
          <w:szCs w:val="20"/>
        </w:rPr>
        <w:t xml:space="preserve"> during the</w:t>
      </w:r>
      <w:r>
        <w:rPr>
          <w:rFonts w:ascii="Arial" w:hAnsi="Arial" w:cs="Arial"/>
          <w:szCs w:val="20"/>
        </w:rPr>
        <w:t xml:space="preserve"> period</w:t>
      </w:r>
      <w:r w:rsidRPr="00534ADC">
        <w:rPr>
          <w:rFonts w:ascii="Arial" w:hAnsi="Arial" w:cs="Arial"/>
          <w:szCs w:val="20"/>
        </w:rPr>
        <w:t xml:space="preserve"> is due to</w:t>
      </w:r>
      <w:r>
        <w:rPr>
          <w:rFonts w:ascii="Arial" w:hAnsi="Arial" w:cs="Arial"/>
          <w:szCs w:val="20"/>
        </w:rPr>
        <w:t xml:space="preserve"> an increase in overall operations as this is the Company’s first year of operations. </w:t>
      </w:r>
      <w:r w:rsidR="00D762DC">
        <w:rPr>
          <w:rFonts w:ascii="Arial" w:hAnsi="Arial" w:cs="Arial"/>
          <w:szCs w:val="20"/>
        </w:rPr>
        <w:t xml:space="preserve">  </w:t>
      </w:r>
    </w:p>
    <w:p w14:paraId="4DD66FA8" w14:textId="4B6A4016" w:rsidR="00E21DEE" w:rsidRDefault="00E21DEE" w:rsidP="002213C3">
      <w:pPr>
        <w:jc w:val="both"/>
        <w:rPr>
          <w:rFonts w:ascii="Arial" w:hAnsi="Arial" w:cs="Arial"/>
          <w:szCs w:val="20"/>
        </w:rPr>
      </w:pPr>
    </w:p>
    <w:p w14:paraId="7EC38029" w14:textId="3A5986CC" w:rsidR="00E7393F" w:rsidRDefault="00E04D44" w:rsidP="002213C3">
      <w:pPr>
        <w:jc w:val="both"/>
        <w:rPr>
          <w:rFonts w:ascii="Arial" w:hAnsi="Arial" w:cs="Arial"/>
          <w:szCs w:val="20"/>
        </w:rPr>
      </w:pPr>
      <w:r>
        <w:rPr>
          <w:rFonts w:ascii="Arial" w:hAnsi="Arial" w:cs="Arial"/>
          <w:szCs w:val="20"/>
        </w:rPr>
        <w:t>Sales during the period increased to $</w:t>
      </w:r>
      <w:r w:rsidR="00C908A2">
        <w:rPr>
          <w:rFonts w:ascii="Arial" w:hAnsi="Arial" w:cs="Arial"/>
          <w:szCs w:val="20"/>
        </w:rPr>
        <w:t>149,290</w:t>
      </w:r>
      <w:r>
        <w:rPr>
          <w:rFonts w:ascii="Arial" w:hAnsi="Arial" w:cs="Arial"/>
          <w:szCs w:val="20"/>
        </w:rPr>
        <w:t xml:space="preserve"> in Q2 2021 from $Nil in Q2 2020.  </w:t>
      </w:r>
      <w:r w:rsidR="00E7393F">
        <w:rPr>
          <w:rFonts w:ascii="Arial" w:hAnsi="Arial" w:cs="Arial"/>
          <w:szCs w:val="20"/>
        </w:rPr>
        <w:t>Sales and cost of sales consisted of the following:</w:t>
      </w:r>
    </w:p>
    <w:p w14:paraId="2454AF7C" w14:textId="77777777" w:rsidR="00E7393F" w:rsidRDefault="00E7393F" w:rsidP="002213C3">
      <w:pPr>
        <w:jc w:val="both"/>
        <w:rPr>
          <w:rFonts w:ascii="Arial" w:hAnsi="Arial" w:cs="Arial"/>
          <w:szCs w:val="20"/>
        </w:rPr>
      </w:pPr>
    </w:p>
    <w:tbl>
      <w:tblPr>
        <w:tblW w:w="8445" w:type="dxa"/>
        <w:jc w:val="center"/>
        <w:tblLook w:val="04A0" w:firstRow="1" w:lastRow="0" w:firstColumn="1" w:lastColumn="0" w:noHBand="0" w:noVBand="1"/>
      </w:tblPr>
      <w:tblGrid>
        <w:gridCol w:w="4024"/>
        <w:gridCol w:w="2240"/>
        <w:gridCol w:w="2181"/>
      </w:tblGrid>
      <w:tr w:rsidR="00E7393F" w:rsidRPr="00E7393F" w14:paraId="2158AF16" w14:textId="77777777" w:rsidTr="00E7393F">
        <w:trPr>
          <w:trHeight w:val="206"/>
          <w:jc w:val="center"/>
        </w:trPr>
        <w:tc>
          <w:tcPr>
            <w:tcW w:w="4024" w:type="dxa"/>
            <w:tcBorders>
              <w:top w:val="nil"/>
              <w:left w:val="nil"/>
              <w:bottom w:val="single" w:sz="4" w:space="0" w:color="auto"/>
              <w:right w:val="nil"/>
            </w:tcBorders>
            <w:shd w:val="clear" w:color="auto" w:fill="auto"/>
            <w:noWrap/>
            <w:vAlign w:val="bottom"/>
            <w:hideMark/>
          </w:tcPr>
          <w:p w14:paraId="6E2BB341" w14:textId="77777777" w:rsidR="00E7393F" w:rsidRPr="00E7393F" w:rsidRDefault="00E7393F" w:rsidP="00E7393F">
            <w:pPr>
              <w:rPr>
                <w:rFonts w:ascii="Arial" w:hAnsi="Arial" w:cs="Arial"/>
                <w:color w:val="000000"/>
                <w:szCs w:val="20"/>
                <w:lang w:eastAsia="en-CA"/>
              </w:rPr>
            </w:pPr>
            <w:r w:rsidRPr="00E7393F">
              <w:rPr>
                <w:rFonts w:ascii="Arial" w:hAnsi="Arial" w:cs="Arial"/>
                <w:color w:val="000000"/>
                <w:szCs w:val="20"/>
                <w:lang w:eastAsia="en-CA"/>
              </w:rPr>
              <w:t> </w:t>
            </w:r>
          </w:p>
        </w:tc>
        <w:tc>
          <w:tcPr>
            <w:tcW w:w="2240" w:type="dxa"/>
            <w:tcBorders>
              <w:top w:val="nil"/>
              <w:left w:val="nil"/>
              <w:bottom w:val="single" w:sz="4" w:space="0" w:color="auto"/>
              <w:right w:val="nil"/>
            </w:tcBorders>
            <w:shd w:val="clear" w:color="auto" w:fill="auto"/>
            <w:noWrap/>
            <w:vAlign w:val="bottom"/>
            <w:hideMark/>
          </w:tcPr>
          <w:p w14:paraId="1D88C6C4"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Media</w:t>
            </w:r>
          </w:p>
        </w:tc>
        <w:tc>
          <w:tcPr>
            <w:tcW w:w="2181" w:type="dxa"/>
            <w:tcBorders>
              <w:top w:val="nil"/>
              <w:left w:val="nil"/>
              <w:bottom w:val="single" w:sz="4" w:space="0" w:color="auto"/>
              <w:right w:val="nil"/>
            </w:tcBorders>
            <w:shd w:val="clear" w:color="auto" w:fill="auto"/>
            <w:noWrap/>
            <w:vAlign w:val="bottom"/>
            <w:hideMark/>
          </w:tcPr>
          <w:p w14:paraId="233E1FDA"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Sciences</w:t>
            </w:r>
          </w:p>
        </w:tc>
      </w:tr>
      <w:tr w:rsidR="00E7393F" w:rsidRPr="00E7393F" w14:paraId="50B3172B" w14:textId="77777777" w:rsidTr="00E7393F">
        <w:trPr>
          <w:trHeight w:val="206"/>
          <w:jc w:val="center"/>
        </w:trPr>
        <w:tc>
          <w:tcPr>
            <w:tcW w:w="4024" w:type="dxa"/>
            <w:tcBorders>
              <w:top w:val="nil"/>
              <w:left w:val="nil"/>
              <w:bottom w:val="nil"/>
              <w:right w:val="nil"/>
            </w:tcBorders>
            <w:shd w:val="clear" w:color="auto" w:fill="auto"/>
            <w:noWrap/>
            <w:vAlign w:val="bottom"/>
            <w:hideMark/>
          </w:tcPr>
          <w:p w14:paraId="62419E01" w14:textId="77777777" w:rsidR="00E7393F" w:rsidRPr="00E7393F" w:rsidRDefault="00E7393F" w:rsidP="00E7393F">
            <w:pPr>
              <w:rPr>
                <w:rFonts w:ascii="Arial" w:hAnsi="Arial" w:cs="Arial"/>
                <w:color w:val="000000"/>
                <w:szCs w:val="20"/>
                <w:lang w:eastAsia="en-CA"/>
              </w:rPr>
            </w:pPr>
            <w:r w:rsidRPr="00E7393F">
              <w:rPr>
                <w:rFonts w:ascii="Arial" w:hAnsi="Arial" w:cs="Arial"/>
                <w:color w:val="000000"/>
                <w:szCs w:val="20"/>
                <w:lang w:eastAsia="en-CA"/>
              </w:rPr>
              <w:t>Revenue</w:t>
            </w:r>
          </w:p>
        </w:tc>
        <w:tc>
          <w:tcPr>
            <w:tcW w:w="2240" w:type="dxa"/>
            <w:tcBorders>
              <w:top w:val="nil"/>
              <w:left w:val="nil"/>
              <w:bottom w:val="nil"/>
              <w:right w:val="nil"/>
            </w:tcBorders>
            <w:shd w:val="clear" w:color="auto" w:fill="auto"/>
            <w:noWrap/>
            <w:vAlign w:val="bottom"/>
            <w:hideMark/>
          </w:tcPr>
          <w:p w14:paraId="0A57835A" w14:textId="77777777" w:rsidR="00E7393F" w:rsidRPr="00E7393F" w:rsidRDefault="00E7393F" w:rsidP="00E7393F">
            <w:pPr>
              <w:jc w:val="right"/>
              <w:rPr>
                <w:rFonts w:ascii="Arial" w:hAnsi="Arial" w:cs="Arial"/>
                <w:color w:val="000000"/>
                <w:szCs w:val="20"/>
                <w:lang w:eastAsia="en-CA"/>
              </w:rPr>
            </w:pPr>
          </w:p>
        </w:tc>
        <w:tc>
          <w:tcPr>
            <w:tcW w:w="2181" w:type="dxa"/>
            <w:tcBorders>
              <w:top w:val="nil"/>
              <w:left w:val="nil"/>
              <w:bottom w:val="nil"/>
              <w:right w:val="nil"/>
            </w:tcBorders>
            <w:shd w:val="clear" w:color="auto" w:fill="auto"/>
            <w:noWrap/>
            <w:vAlign w:val="bottom"/>
            <w:hideMark/>
          </w:tcPr>
          <w:p w14:paraId="5A56D841" w14:textId="77777777" w:rsidR="00E7393F" w:rsidRPr="00E7393F" w:rsidRDefault="00E7393F" w:rsidP="00E7393F">
            <w:pPr>
              <w:jc w:val="right"/>
              <w:rPr>
                <w:szCs w:val="20"/>
                <w:lang w:eastAsia="en-CA"/>
              </w:rPr>
            </w:pPr>
          </w:p>
        </w:tc>
      </w:tr>
      <w:tr w:rsidR="00E7393F" w:rsidRPr="00E7393F" w14:paraId="40F24AE9" w14:textId="77777777" w:rsidTr="00E7393F">
        <w:trPr>
          <w:trHeight w:val="206"/>
          <w:jc w:val="center"/>
        </w:trPr>
        <w:tc>
          <w:tcPr>
            <w:tcW w:w="4024" w:type="dxa"/>
            <w:tcBorders>
              <w:top w:val="nil"/>
              <w:left w:val="nil"/>
              <w:bottom w:val="nil"/>
              <w:right w:val="nil"/>
            </w:tcBorders>
            <w:shd w:val="clear" w:color="auto" w:fill="auto"/>
            <w:noWrap/>
            <w:vAlign w:val="bottom"/>
            <w:hideMark/>
          </w:tcPr>
          <w:p w14:paraId="018CB97F" w14:textId="77777777" w:rsidR="00E7393F" w:rsidRPr="00E7393F" w:rsidRDefault="00E7393F" w:rsidP="00E7393F">
            <w:pPr>
              <w:ind w:firstLineChars="100" w:firstLine="200"/>
              <w:rPr>
                <w:rFonts w:ascii="Arial" w:hAnsi="Arial" w:cs="Arial"/>
                <w:color w:val="000000"/>
                <w:szCs w:val="20"/>
                <w:lang w:eastAsia="en-CA"/>
              </w:rPr>
            </w:pPr>
            <w:r w:rsidRPr="00E7393F">
              <w:rPr>
                <w:rFonts w:ascii="Arial" w:hAnsi="Arial" w:cs="Arial"/>
                <w:color w:val="000000"/>
                <w:szCs w:val="20"/>
                <w:lang w:eastAsia="en-CA"/>
              </w:rPr>
              <w:t>U.S.</w:t>
            </w:r>
          </w:p>
        </w:tc>
        <w:tc>
          <w:tcPr>
            <w:tcW w:w="2240" w:type="dxa"/>
            <w:tcBorders>
              <w:top w:val="nil"/>
              <w:left w:val="nil"/>
              <w:bottom w:val="nil"/>
              <w:right w:val="nil"/>
            </w:tcBorders>
            <w:shd w:val="clear" w:color="auto" w:fill="auto"/>
            <w:noWrap/>
            <w:vAlign w:val="bottom"/>
            <w:hideMark/>
          </w:tcPr>
          <w:p w14:paraId="0EB4EDB2"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30,235 </w:t>
            </w:r>
          </w:p>
        </w:tc>
        <w:tc>
          <w:tcPr>
            <w:tcW w:w="2181" w:type="dxa"/>
            <w:tcBorders>
              <w:top w:val="nil"/>
              <w:left w:val="nil"/>
              <w:bottom w:val="nil"/>
              <w:right w:val="nil"/>
            </w:tcBorders>
            <w:shd w:val="clear" w:color="auto" w:fill="auto"/>
            <w:noWrap/>
            <w:vAlign w:val="bottom"/>
            <w:hideMark/>
          </w:tcPr>
          <w:p w14:paraId="4E0F6DC0"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 </w:t>
            </w:r>
          </w:p>
        </w:tc>
      </w:tr>
      <w:tr w:rsidR="00E7393F" w:rsidRPr="00E7393F" w14:paraId="3430CC98" w14:textId="77777777" w:rsidTr="00E7393F">
        <w:trPr>
          <w:trHeight w:val="206"/>
          <w:jc w:val="center"/>
        </w:trPr>
        <w:tc>
          <w:tcPr>
            <w:tcW w:w="4024" w:type="dxa"/>
            <w:tcBorders>
              <w:top w:val="nil"/>
              <w:left w:val="nil"/>
              <w:bottom w:val="single" w:sz="4" w:space="0" w:color="auto"/>
              <w:right w:val="nil"/>
            </w:tcBorders>
            <w:shd w:val="clear" w:color="auto" w:fill="auto"/>
            <w:noWrap/>
            <w:vAlign w:val="bottom"/>
            <w:hideMark/>
          </w:tcPr>
          <w:p w14:paraId="2A309ADF" w14:textId="77777777" w:rsidR="00E7393F" w:rsidRPr="00E7393F" w:rsidRDefault="00E7393F" w:rsidP="00E7393F">
            <w:pPr>
              <w:ind w:firstLineChars="100" w:firstLine="200"/>
              <w:rPr>
                <w:rFonts w:ascii="Arial" w:hAnsi="Arial" w:cs="Arial"/>
                <w:color w:val="000000"/>
                <w:szCs w:val="20"/>
                <w:lang w:eastAsia="en-CA"/>
              </w:rPr>
            </w:pPr>
            <w:r w:rsidRPr="00E7393F">
              <w:rPr>
                <w:rFonts w:ascii="Arial" w:hAnsi="Arial" w:cs="Arial"/>
                <w:color w:val="000000"/>
                <w:szCs w:val="20"/>
                <w:lang w:eastAsia="en-CA"/>
              </w:rPr>
              <w:t>Canada</w:t>
            </w:r>
          </w:p>
        </w:tc>
        <w:tc>
          <w:tcPr>
            <w:tcW w:w="2240" w:type="dxa"/>
            <w:tcBorders>
              <w:top w:val="nil"/>
              <w:left w:val="nil"/>
              <w:bottom w:val="single" w:sz="4" w:space="0" w:color="auto"/>
              <w:right w:val="nil"/>
            </w:tcBorders>
            <w:shd w:val="clear" w:color="auto" w:fill="auto"/>
            <w:noWrap/>
            <w:vAlign w:val="bottom"/>
            <w:hideMark/>
          </w:tcPr>
          <w:p w14:paraId="25B228C4"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 </w:t>
            </w:r>
          </w:p>
        </w:tc>
        <w:tc>
          <w:tcPr>
            <w:tcW w:w="2181" w:type="dxa"/>
            <w:tcBorders>
              <w:top w:val="nil"/>
              <w:left w:val="nil"/>
              <w:bottom w:val="single" w:sz="4" w:space="0" w:color="auto"/>
              <w:right w:val="nil"/>
            </w:tcBorders>
            <w:shd w:val="clear" w:color="auto" w:fill="auto"/>
            <w:noWrap/>
            <w:vAlign w:val="bottom"/>
            <w:hideMark/>
          </w:tcPr>
          <w:p w14:paraId="3ED2B32E" w14:textId="11DC0103"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w:t>
            </w:r>
            <w:r w:rsidR="00C908A2">
              <w:rPr>
                <w:rFonts w:ascii="Arial" w:hAnsi="Arial" w:cs="Arial"/>
                <w:color w:val="000000"/>
                <w:szCs w:val="20"/>
                <w:lang w:eastAsia="en-CA"/>
              </w:rPr>
              <w:t>119,055</w:t>
            </w:r>
            <w:r w:rsidRPr="00E7393F">
              <w:rPr>
                <w:rFonts w:ascii="Arial" w:hAnsi="Arial" w:cs="Arial"/>
                <w:color w:val="000000"/>
                <w:szCs w:val="20"/>
                <w:lang w:eastAsia="en-CA"/>
              </w:rPr>
              <w:t xml:space="preserve"> </w:t>
            </w:r>
          </w:p>
        </w:tc>
      </w:tr>
      <w:tr w:rsidR="00E7393F" w:rsidRPr="00E7393F" w14:paraId="7AD066A5" w14:textId="77777777" w:rsidTr="00E7393F">
        <w:trPr>
          <w:trHeight w:val="206"/>
          <w:jc w:val="center"/>
        </w:trPr>
        <w:tc>
          <w:tcPr>
            <w:tcW w:w="4024" w:type="dxa"/>
            <w:tcBorders>
              <w:top w:val="nil"/>
              <w:left w:val="nil"/>
              <w:bottom w:val="single" w:sz="4" w:space="0" w:color="auto"/>
              <w:right w:val="nil"/>
            </w:tcBorders>
            <w:shd w:val="clear" w:color="auto" w:fill="auto"/>
            <w:noWrap/>
            <w:vAlign w:val="bottom"/>
            <w:hideMark/>
          </w:tcPr>
          <w:p w14:paraId="4F25B7BD" w14:textId="77777777" w:rsidR="00E7393F" w:rsidRPr="00E7393F" w:rsidRDefault="00E7393F" w:rsidP="00E7393F">
            <w:pPr>
              <w:rPr>
                <w:rFonts w:ascii="Arial" w:hAnsi="Arial" w:cs="Arial"/>
                <w:color w:val="000000"/>
                <w:szCs w:val="20"/>
                <w:lang w:eastAsia="en-CA"/>
              </w:rPr>
            </w:pPr>
            <w:r w:rsidRPr="00E7393F">
              <w:rPr>
                <w:rFonts w:ascii="Arial" w:hAnsi="Arial" w:cs="Arial"/>
                <w:color w:val="000000"/>
                <w:szCs w:val="20"/>
                <w:lang w:eastAsia="en-CA"/>
              </w:rPr>
              <w:t>Total revenue</w:t>
            </w:r>
          </w:p>
        </w:tc>
        <w:tc>
          <w:tcPr>
            <w:tcW w:w="2240" w:type="dxa"/>
            <w:tcBorders>
              <w:top w:val="nil"/>
              <w:left w:val="nil"/>
              <w:bottom w:val="single" w:sz="4" w:space="0" w:color="auto"/>
              <w:right w:val="nil"/>
            </w:tcBorders>
            <w:shd w:val="clear" w:color="auto" w:fill="auto"/>
            <w:noWrap/>
            <w:vAlign w:val="bottom"/>
            <w:hideMark/>
          </w:tcPr>
          <w:p w14:paraId="7506A34D"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30,235 </w:t>
            </w:r>
          </w:p>
        </w:tc>
        <w:tc>
          <w:tcPr>
            <w:tcW w:w="2181" w:type="dxa"/>
            <w:tcBorders>
              <w:top w:val="nil"/>
              <w:left w:val="nil"/>
              <w:bottom w:val="single" w:sz="4" w:space="0" w:color="auto"/>
              <w:right w:val="nil"/>
            </w:tcBorders>
            <w:shd w:val="clear" w:color="auto" w:fill="auto"/>
            <w:noWrap/>
            <w:vAlign w:val="bottom"/>
            <w:hideMark/>
          </w:tcPr>
          <w:p w14:paraId="1AB3B26B" w14:textId="7ABC5ED6"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w:t>
            </w:r>
            <w:r w:rsidR="00C908A2">
              <w:rPr>
                <w:rFonts w:ascii="Arial" w:hAnsi="Arial" w:cs="Arial"/>
                <w:color w:val="000000"/>
                <w:szCs w:val="20"/>
                <w:lang w:eastAsia="en-CA"/>
              </w:rPr>
              <w:t>119,055</w:t>
            </w:r>
            <w:r w:rsidRPr="00E7393F">
              <w:rPr>
                <w:rFonts w:ascii="Arial" w:hAnsi="Arial" w:cs="Arial"/>
                <w:color w:val="000000"/>
                <w:szCs w:val="20"/>
                <w:lang w:eastAsia="en-CA"/>
              </w:rPr>
              <w:t xml:space="preserve"> </w:t>
            </w:r>
          </w:p>
        </w:tc>
      </w:tr>
      <w:tr w:rsidR="00E7393F" w:rsidRPr="00E7393F" w14:paraId="0455DDC5" w14:textId="77777777" w:rsidTr="00E7393F">
        <w:trPr>
          <w:trHeight w:val="206"/>
          <w:jc w:val="center"/>
        </w:trPr>
        <w:tc>
          <w:tcPr>
            <w:tcW w:w="4024" w:type="dxa"/>
            <w:tcBorders>
              <w:top w:val="nil"/>
              <w:left w:val="nil"/>
              <w:bottom w:val="nil"/>
              <w:right w:val="nil"/>
            </w:tcBorders>
            <w:shd w:val="clear" w:color="auto" w:fill="auto"/>
            <w:noWrap/>
            <w:vAlign w:val="bottom"/>
            <w:hideMark/>
          </w:tcPr>
          <w:p w14:paraId="27FEB57D" w14:textId="77777777" w:rsidR="00E7393F" w:rsidRPr="00E7393F" w:rsidRDefault="00E7393F" w:rsidP="00E7393F">
            <w:pPr>
              <w:rPr>
                <w:rFonts w:ascii="Arial" w:hAnsi="Arial" w:cs="Arial"/>
                <w:color w:val="000000"/>
                <w:szCs w:val="20"/>
                <w:lang w:eastAsia="en-CA"/>
              </w:rPr>
            </w:pPr>
            <w:r w:rsidRPr="00E7393F">
              <w:rPr>
                <w:rFonts w:ascii="Arial" w:hAnsi="Arial" w:cs="Arial"/>
                <w:color w:val="000000"/>
                <w:szCs w:val="20"/>
                <w:lang w:eastAsia="en-CA"/>
              </w:rPr>
              <w:t>Cost of sales</w:t>
            </w:r>
          </w:p>
        </w:tc>
        <w:tc>
          <w:tcPr>
            <w:tcW w:w="2240" w:type="dxa"/>
            <w:tcBorders>
              <w:top w:val="nil"/>
              <w:left w:val="nil"/>
              <w:bottom w:val="nil"/>
              <w:right w:val="nil"/>
            </w:tcBorders>
            <w:shd w:val="clear" w:color="auto" w:fill="auto"/>
            <w:noWrap/>
            <w:vAlign w:val="bottom"/>
            <w:hideMark/>
          </w:tcPr>
          <w:p w14:paraId="71854576" w14:textId="77777777" w:rsidR="00E7393F" w:rsidRPr="00E7393F" w:rsidRDefault="00E7393F" w:rsidP="00E7393F">
            <w:pPr>
              <w:jc w:val="right"/>
              <w:rPr>
                <w:rFonts w:ascii="Arial" w:hAnsi="Arial" w:cs="Arial"/>
                <w:color w:val="000000"/>
                <w:szCs w:val="20"/>
                <w:lang w:eastAsia="en-CA"/>
              </w:rPr>
            </w:pPr>
          </w:p>
        </w:tc>
        <w:tc>
          <w:tcPr>
            <w:tcW w:w="2181" w:type="dxa"/>
            <w:tcBorders>
              <w:top w:val="nil"/>
              <w:left w:val="nil"/>
              <w:bottom w:val="nil"/>
              <w:right w:val="nil"/>
            </w:tcBorders>
            <w:shd w:val="clear" w:color="auto" w:fill="auto"/>
            <w:noWrap/>
            <w:vAlign w:val="bottom"/>
            <w:hideMark/>
          </w:tcPr>
          <w:p w14:paraId="20C6C3E5" w14:textId="77777777" w:rsidR="00E7393F" w:rsidRPr="00E7393F" w:rsidRDefault="00E7393F" w:rsidP="00C908A2">
            <w:pPr>
              <w:rPr>
                <w:szCs w:val="20"/>
                <w:lang w:eastAsia="en-CA"/>
              </w:rPr>
            </w:pPr>
          </w:p>
        </w:tc>
      </w:tr>
      <w:tr w:rsidR="00E7393F" w:rsidRPr="00E7393F" w14:paraId="4248E095" w14:textId="77777777" w:rsidTr="00E7393F">
        <w:trPr>
          <w:trHeight w:val="206"/>
          <w:jc w:val="center"/>
        </w:trPr>
        <w:tc>
          <w:tcPr>
            <w:tcW w:w="4024" w:type="dxa"/>
            <w:tcBorders>
              <w:top w:val="nil"/>
              <w:left w:val="nil"/>
              <w:bottom w:val="nil"/>
              <w:right w:val="nil"/>
            </w:tcBorders>
            <w:shd w:val="clear" w:color="auto" w:fill="auto"/>
            <w:noWrap/>
            <w:vAlign w:val="bottom"/>
            <w:hideMark/>
          </w:tcPr>
          <w:p w14:paraId="6D297D2B" w14:textId="77777777" w:rsidR="00E7393F" w:rsidRPr="00E7393F" w:rsidRDefault="00E7393F" w:rsidP="00E7393F">
            <w:pPr>
              <w:ind w:firstLineChars="100" w:firstLine="200"/>
              <w:rPr>
                <w:rFonts w:ascii="Arial" w:hAnsi="Arial" w:cs="Arial"/>
                <w:color w:val="000000"/>
                <w:szCs w:val="20"/>
                <w:lang w:eastAsia="en-CA"/>
              </w:rPr>
            </w:pPr>
            <w:r w:rsidRPr="00E7393F">
              <w:rPr>
                <w:rFonts w:ascii="Arial" w:hAnsi="Arial" w:cs="Arial"/>
                <w:color w:val="000000"/>
                <w:szCs w:val="20"/>
                <w:lang w:eastAsia="en-CA"/>
              </w:rPr>
              <w:t>U.S.</w:t>
            </w:r>
          </w:p>
        </w:tc>
        <w:tc>
          <w:tcPr>
            <w:tcW w:w="2240" w:type="dxa"/>
            <w:tcBorders>
              <w:top w:val="nil"/>
              <w:left w:val="nil"/>
              <w:bottom w:val="nil"/>
              <w:right w:val="nil"/>
            </w:tcBorders>
            <w:shd w:val="clear" w:color="auto" w:fill="auto"/>
            <w:noWrap/>
            <w:vAlign w:val="bottom"/>
            <w:hideMark/>
          </w:tcPr>
          <w:p w14:paraId="6BB3DA12"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1,806 </w:t>
            </w:r>
          </w:p>
        </w:tc>
        <w:tc>
          <w:tcPr>
            <w:tcW w:w="2181" w:type="dxa"/>
            <w:tcBorders>
              <w:top w:val="nil"/>
              <w:left w:val="nil"/>
              <w:bottom w:val="nil"/>
              <w:right w:val="nil"/>
            </w:tcBorders>
            <w:shd w:val="clear" w:color="auto" w:fill="auto"/>
            <w:noWrap/>
            <w:vAlign w:val="bottom"/>
            <w:hideMark/>
          </w:tcPr>
          <w:p w14:paraId="6DC1E3B1"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 </w:t>
            </w:r>
          </w:p>
        </w:tc>
      </w:tr>
      <w:tr w:rsidR="00E7393F" w:rsidRPr="00E7393F" w14:paraId="2951CB4A" w14:textId="77777777" w:rsidTr="00E7393F">
        <w:trPr>
          <w:trHeight w:val="206"/>
          <w:jc w:val="center"/>
        </w:trPr>
        <w:tc>
          <w:tcPr>
            <w:tcW w:w="4024" w:type="dxa"/>
            <w:tcBorders>
              <w:top w:val="nil"/>
              <w:left w:val="nil"/>
              <w:bottom w:val="single" w:sz="4" w:space="0" w:color="auto"/>
              <w:right w:val="nil"/>
            </w:tcBorders>
            <w:shd w:val="clear" w:color="auto" w:fill="auto"/>
            <w:noWrap/>
            <w:vAlign w:val="bottom"/>
            <w:hideMark/>
          </w:tcPr>
          <w:p w14:paraId="00DC8189" w14:textId="77777777" w:rsidR="00E7393F" w:rsidRPr="00E7393F" w:rsidRDefault="00E7393F" w:rsidP="00E7393F">
            <w:pPr>
              <w:ind w:firstLineChars="100" w:firstLine="200"/>
              <w:rPr>
                <w:rFonts w:ascii="Arial" w:hAnsi="Arial" w:cs="Arial"/>
                <w:color w:val="000000"/>
                <w:szCs w:val="20"/>
                <w:lang w:eastAsia="en-CA"/>
              </w:rPr>
            </w:pPr>
            <w:r w:rsidRPr="00E7393F">
              <w:rPr>
                <w:rFonts w:ascii="Arial" w:hAnsi="Arial" w:cs="Arial"/>
                <w:color w:val="000000"/>
                <w:szCs w:val="20"/>
                <w:lang w:eastAsia="en-CA"/>
              </w:rPr>
              <w:t>Canada</w:t>
            </w:r>
          </w:p>
        </w:tc>
        <w:tc>
          <w:tcPr>
            <w:tcW w:w="2240" w:type="dxa"/>
            <w:tcBorders>
              <w:top w:val="nil"/>
              <w:left w:val="nil"/>
              <w:bottom w:val="single" w:sz="4" w:space="0" w:color="auto"/>
              <w:right w:val="nil"/>
            </w:tcBorders>
            <w:shd w:val="clear" w:color="auto" w:fill="auto"/>
            <w:noWrap/>
            <w:vAlign w:val="bottom"/>
            <w:hideMark/>
          </w:tcPr>
          <w:p w14:paraId="26620A3C"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 </w:t>
            </w:r>
          </w:p>
        </w:tc>
        <w:tc>
          <w:tcPr>
            <w:tcW w:w="2181" w:type="dxa"/>
            <w:tcBorders>
              <w:top w:val="nil"/>
              <w:left w:val="nil"/>
              <w:bottom w:val="single" w:sz="4" w:space="0" w:color="auto"/>
              <w:right w:val="nil"/>
            </w:tcBorders>
            <w:shd w:val="clear" w:color="auto" w:fill="auto"/>
            <w:noWrap/>
            <w:vAlign w:val="bottom"/>
            <w:hideMark/>
          </w:tcPr>
          <w:p w14:paraId="1A2F72BF"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17,355 </w:t>
            </w:r>
          </w:p>
        </w:tc>
      </w:tr>
      <w:tr w:rsidR="00E7393F" w:rsidRPr="00E7393F" w14:paraId="7D1CECB7" w14:textId="77777777" w:rsidTr="00E7393F">
        <w:trPr>
          <w:trHeight w:val="206"/>
          <w:jc w:val="center"/>
        </w:trPr>
        <w:tc>
          <w:tcPr>
            <w:tcW w:w="4024" w:type="dxa"/>
            <w:tcBorders>
              <w:top w:val="nil"/>
              <w:left w:val="nil"/>
              <w:bottom w:val="single" w:sz="4" w:space="0" w:color="auto"/>
              <w:right w:val="nil"/>
            </w:tcBorders>
            <w:shd w:val="clear" w:color="auto" w:fill="auto"/>
            <w:noWrap/>
            <w:vAlign w:val="bottom"/>
            <w:hideMark/>
          </w:tcPr>
          <w:p w14:paraId="41F09310" w14:textId="77777777" w:rsidR="00E7393F" w:rsidRPr="00E7393F" w:rsidRDefault="00E7393F" w:rsidP="00E7393F">
            <w:pPr>
              <w:rPr>
                <w:rFonts w:ascii="Arial" w:hAnsi="Arial" w:cs="Arial"/>
                <w:color w:val="000000"/>
                <w:szCs w:val="20"/>
                <w:lang w:eastAsia="en-CA"/>
              </w:rPr>
            </w:pPr>
            <w:r w:rsidRPr="00E7393F">
              <w:rPr>
                <w:rFonts w:ascii="Arial" w:hAnsi="Arial" w:cs="Arial"/>
                <w:color w:val="000000"/>
                <w:szCs w:val="20"/>
                <w:lang w:eastAsia="en-CA"/>
              </w:rPr>
              <w:t>Total cost of sales</w:t>
            </w:r>
          </w:p>
        </w:tc>
        <w:tc>
          <w:tcPr>
            <w:tcW w:w="2240" w:type="dxa"/>
            <w:tcBorders>
              <w:top w:val="nil"/>
              <w:left w:val="nil"/>
              <w:bottom w:val="single" w:sz="4" w:space="0" w:color="auto"/>
              <w:right w:val="nil"/>
            </w:tcBorders>
            <w:shd w:val="clear" w:color="auto" w:fill="auto"/>
            <w:noWrap/>
            <w:vAlign w:val="bottom"/>
            <w:hideMark/>
          </w:tcPr>
          <w:p w14:paraId="45469F59"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1,806 </w:t>
            </w:r>
          </w:p>
        </w:tc>
        <w:tc>
          <w:tcPr>
            <w:tcW w:w="2181" w:type="dxa"/>
            <w:tcBorders>
              <w:top w:val="nil"/>
              <w:left w:val="nil"/>
              <w:bottom w:val="single" w:sz="4" w:space="0" w:color="auto"/>
              <w:right w:val="nil"/>
            </w:tcBorders>
            <w:shd w:val="clear" w:color="auto" w:fill="auto"/>
            <w:noWrap/>
            <w:vAlign w:val="bottom"/>
            <w:hideMark/>
          </w:tcPr>
          <w:p w14:paraId="415BE2E9" w14:textId="77777777" w:rsidR="00E7393F" w:rsidRPr="00E7393F" w:rsidRDefault="00E7393F" w:rsidP="00E7393F">
            <w:pPr>
              <w:jc w:val="right"/>
              <w:rPr>
                <w:rFonts w:ascii="Arial" w:hAnsi="Arial" w:cs="Arial"/>
                <w:color w:val="000000"/>
                <w:szCs w:val="20"/>
                <w:lang w:eastAsia="en-CA"/>
              </w:rPr>
            </w:pPr>
            <w:r w:rsidRPr="00E7393F">
              <w:rPr>
                <w:rFonts w:ascii="Arial" w:hAnsi="Arial" w:cs="Arial"/>
                <w:color w:val="000000"/>
                <w:szCs w:val="20"/>
                <w:lang w:eastAsia="en-CA"/>
              </w:rPr>
              <w:t xml:space="preserve">    17,355 </w:t>
            </w:r>
          </w:p>
        </w:tc>
      </w:tr>
    </w:tbl>
    <w:p w14:paraId="462961C9" w14:textId="653E5911" w:rsidR="00E04D44" w:rsidRDefault="00E04D44" w:rsidP="002213C3">
      <w:pPr>
        <w:jc w:val="both"/>
        <w:rPr>
          <w:rFonts w:ascii="Arial" w:hAnsi="Arial" w:cs="Arial"/>
          <w:szCs w:val="20"/>
        </w:rPr>
      </w:pPr>
      <w:r>
        <w:rPr>
          <w:rFonts w:ascii="Arial" w:hAnsi="Arial" w:cs="Arial"/>
          <w:szCs w:val="20"/>
        </w:rPr>
        <w:t xml:space="preserve"> </w:t>
      </w:r>
    </w:p>
    <w:p w14:paraId="23EBDBE9" w14:textId="63FE7551" w:rsidR="00E7393F" w:rsidRDefault="00E7393F" w:rsidP="002213C3">
      <w:pPr>
        <w:jc w:val="both"/>
        <w:rPr>
          <w:rFonts w:ascii="Arial" w:hAnsi="Arial" w:cs="Arial"/>
          <w:szCs w:val="20"/>
        </w:rPr>
      </w:pPr>
      <w:r>
        <w:rPr>
          <w:rFonts w:ascii="Arial" w:hAnsi="Arial" w:cs="Arial"/>
          <w:szCs w:val="20"/>
        </w:rPr>
        <w:t xml:space="preserve">Media revenue </w:t>
      </w:r>
      <w:r w:rsidR="00124D53">
        <w:rPr>
          <w:rFonts w:ascii="Arial" w:hAnsi="Arial" w:cs="Arial"/>
          <w:szCs w:val="20"/>
        </w:rPr>
        <w:t xml:space="preserve">was generated through </w:t>
      </w:r>
      <w:r>
        <w:rPr>
          <w:rFonts w:ascii="Arial" w:hAnsi="Arial" w:cs="Arial"/>
          <w:szCs w:val="20"/>
        </w:rPr>
        <w:t>sponsorship and ticket sales for the Company’s upc</w:t>
      </w:r>
      <w:r w:rsidR="0069031F">
        <w:rPr>
          <w:rFonts w:ascii="Arial" w:hAnsi="Arial" w:cs="Arial"/>
          <w:szCs w:val="20"/>
        </w:rPr>
        <w:t xml:space="preserve">oming Meet Delic event.  Science revenues </w:t>
      </w:r>
      <w:r w:rsidR="00124D53">
        <w:rPr>
          <w:rFonts w:ascii="Arial" w:hAnsi="Arial" w:cs="Arial"/>
          <w:szCs w:val="20"/>
        </w:rPr>
        <w:t>were generated through</w:t>
      </w:r>
      <w:r w:rsidR="0069031F">
        <w:rPr>
          <w:rFonts w:ascii="Arial" w:hAnsi="Arial" w:cs="Arial"/>
          <w:szCs w:val="20"/>
        </w:rPr>
        <w:t xml:space="preserve"> project-based revenues in connection with research and development initiatives </w:t>
      </w:r>
      <w:r w:rsidR="00124D53">
        <w:rPr>
          <w:rFonts w:ascii="Arial" w:hAnsi="Arial" w:cs="Arial"/>
          <w:szCs w:val="20"/>
        </w:rPr>
        <w:t>surrounding</w:t>
      </w:r>
      <w:r w:rsidR="0069031F">
        <w:rPr>
          <w:rFonts w:ascii="Arial" w:hAnsi="Arial" w:cs="Arial"/>
          <w:szCs w:val="20"/>
        </w:rPr>
        <w:t xml:space="preserve"> psilocybin and cannabis</w:t>
      </w:r>
      <w:r w:rsidR="00124D53">
        <w:rPr>
          <w:rFonts w:ascii="Arial" w:hAnsi="Arial" w:cs="Arial"/>
          <w:szCs w:val="20"/>
        </w:rPr>
        <w:t xml:space="preserve"> applications. </w:t>
      </w:r>
    </w:p>
    <w:p w14:paraId="430900A3" w14:textId="77777777" w:rsidR="00E04D44" w:rsidRPr="00534ADC" w:rsidRDefault="00E04D44" w:rsidP="002213C3">
      <w:pPr>
        <w:jc w:val="both"/>
        <w:rPr>
          <w:rFonts w:ascii="Arial" w:hAnsi="Arial" w:cs="Arial"/>
          <w:szCs w:val="20"/>
        </w:rPr>
      </w:pPr>
    </w:p>
    <w:p w14:paraId="4C682B32" w14:textId="77777777" w:rsidR="007C0F23" w:rsidRDefault="007C0F23" w:rsidP="002213C3">
      <w:pPr>
        <w:jc w:val="both"/>
        <w:rPr>
          <w:rFonts w:ascii="Arial" w:hAnsi="Arial" w:cs="Arial"/>
          <w:szCs w:val="20"/>
        </w:rPr>
      </w:pPr>
    </w:p>
    <w:p w14:paraId="70E174D8" w14:textId="77777777" w:rsidR="007C0F23" w:rsidRDefault="007C0F23" w:rsidP="002213C3">
      <w:pPr>
        <w:jc w:val="both"/>
        <w:rPr>
          <w:rFonts w:ascii="Arial" w:hAnsi="Arial" w:cs="Arial"/>
          <w:szCs w:val="20"/>
        </w:rPr>
      </w:pPr>
    </w:p>
    <w:p w14:paraId="47246B06" w14:textId="01518147" w:rsidR="00D95694" w:rsidRPr="00534ADC" w:rsidRDefault="00D95694" w:rsidP="002213C3">
      <w:pPr>
        <w:jc w:val="both"/>
        <w:rPr>
          <w:rFonts w:ascii="Arial" w:hAnsi="Arial" w:cs="Arial"/>
          <w:szCs w:val="20"/>
        </w:rPr>
      </w:pPr>
      <w:r w:rsidRPr="00534ADC">
        <w:rPr>
          <w:rFonts w:ascii="Arial" w:hAnsi="Arial" w:cs="Arial"/>
          <w:szCs w:val="20"/>
        </w:rPr>
        <w:t>Total operational expenses were $</w:t>
      </w:r>
      <w:r w:rsidR="001B70C7">
        <w:rPr>
          <w:rFonts w:ascii="Arial" w:hAnsi="Arial" w:cs="Arial"/>
          <w:szCs w:val="20"/>
        </w:rPr>
        <w:t>1,</w:t>
      </w:r>
      <w:r w:rsidR="007C0F23">
        <w:rPr>
          <w:rFonts w:ascii="Arial" w:hAnsi="Arial" w:cs="Arial"/>
          <w:szCs w:val="20"/>
        </w:rPr>
        <w:t>170,364</w:t>
      </w:r>
      <w:r w:rsidRPr="00534ADC">
        <w:rPr>
          <w:rFonts w:ascii="Arial" w:hAnsi="Arial" w:cs="Arial"/>
          <w:szCs w:val="20"/>
        </w:rPr>
        <w:t xml:space="preserve"> in </w:t>
      </w:r>
      <w:r w:rsidR="00D762DC">
        <w:rPr>
          <w:rFonts w:ascii="Arial" w:hAnsi="Arial" w:cs="Arial"/>
          <w:szCs w:val="20"/>
        </w:rPr>
        <w:t xml:space="preserve">Q2 </w:t>
      </w:r>
      <w:r w:rsidR="005D6C07">
        <w:rPr>
          <w:rFonts w:ascii="Arial" w:hAnsi="Arial" w:cs="Arial"/>
          <w:szCs w:val="20"/>
        </w:rPr>
        <w:t>2</w:t>
      </w:r>
      <w:r w:rsidRPr="00534ADC">
        <w:rPr>
          <w:rFonts w:ascii="Arial" w:hAnsi="Arial" w:cs="Arial"/>
          <w:szCs w:val="20"/>
        </w:rPr>
        <w:t>02</w:t>
      </w:r>
      <w:r w:rsidR="001B70C7">
        <w:rPr>
          <w:rFonts w:ascii="Arial" w:hAnsi="Arial" w:cs="Arial"/>
          <w:szCs w:val="20"/>
        </w:rPr>
        <w:t>1</w:t>
      </w:r>
      <w:r w:rsidRPr="00534ADC">
        <w:rPr>
          <w:rFonts w:ascii="Arial" w:hAnsi="Arial" w:cs="Arial"/>
          <w:szCs w:val="20"/>
        </w:rPr>
        <w:t>, compared to $</w:t>
      </w:r>
      <w:r w:rsidR="00D762DC">
        <w:rPr>
          <w:rFonts w:ascii="Arial" w:hAnsi="Arial" w:cs="Arial"/>
          <w:szCs w:val="20"/>
        </w:rPr>
        <w:t>71,221</w:t>
      </w:r>
      <w:r w:rsidRPr="00534ADC">
        <w:rPr>
          <w:rFonts w:ascii="Arial" w:hAnsi="Arial" w:cs="Arial"/>
          <w:szCs w:val="20"/>
        </w:rPr>
        <w:t xml:space="preserve"> in </w:t>
      </w:r>
      <w:r w:rsidR="00D762DC">
        <w:rPr>
          <w:rFonts w:ascii="Arial" w:hAnsi="Arial" w:cs="Arial"/>
          <w:szCs w:val="20"/>
        </w:rPr>
        <w:t xml:space="preserve">Q2 </w:t>
      </w:r>
      <w:r w:rsidRPr="00534ADC">
        <w:rPr>
          <w:rFonts w:ascii="Arial" w:hAnsi="Arial" w:cs="Arial"/>
          <w:szCs w:val="20"/>
        </w:rPr>
        <w:t>20</w:t>
      </w:r>
      <w:r w:rsidR="001B70C7">
        <w:rPr>
          <w:rFonts w:ascii="Arial" w:hAnsi="Arial" w:cs="Arial"/>
          <w:szCs w:val="20"/>
        </w:rPr>
        <w:t>20</w:t>
      </w:r>
      <w:r w:rsidRPr="00534ADC">
        <w:rPr>
          <w:rFonts w:ascii="Arial" w:hAnsi="Arial" w:cs="Arial"/>
          <w:szCs w:val="20"/>
        </w:rPr>
        <w:t>, which consisted of the following:</w:t>
      </w:r>
    </w:p>
    <w:p w14:paraId="5B2AAFF3" w14:textId="652D3F78" w:rsidR="00D95694" w:rsidRDefault="00D95694" w:rsidP="002213C3">
      <w:pPr>
        <w:pStyle w:val="ListParagraph"/>
        <w:numPr>
          <w:ilvl w:val="0"/>
          <w:numId w:val="34"/>
        </w:numPr>
        <w:spacing w:line="240" w:lineRule="auto"/>
        <w:rPr>
          <w:rFonts w:ascii="Arial" w:hAnsi="Arial" w:cs="Arial"/>
          <w:sz w:val="20"/>
          <w:szCs w:val="20"/>
        </w:rPr>
      </w:pPr>
      <w:r w:rsidRPr="00534ADC">
        <w:rPr>
          <w:rFonts w:ascii="Arial" w:hAnsi="Arial" w:cs="Arial"/>
          <w:sz w:val="20"/>
          <w:szCs w:val="20"/>
        </w:rPr>
        <w:t xml:space="preserve">Advertising and promotional fees of </w:t>
      </w:r>
      <w:r w:rsidR="00831BC0">
        <w:rPr>
          <w:rFonts w:ascii="Arial" w:hAnsi="Arial" w:cs="Arial"/>
          <w:sz w:val="20"/>
          <w:szCs w:val="20"/>
        </w:rPr>
        <w:t>$</w:t>
      </w:r>
      <w:r w:rsidR="00D762DC">
        <w:rPr>
          <w:rFonts w:ascii="Arial" w:hAnsi="Arial" w:cs="Arial"/>
          <w:sz w:val="20"/>
          <w:szCs w:val="20"/>
        </w:rPr>
        <w:t>381,639</w:t>
      </w:r>
      <w:r w:rsidRPr="00534ADC">
        <w:rPr>
          <w:rFonts w:ascii="Arial" w:hAnsi="Arial" w:cs="Arial"/>
          <w:sz w:val="20"/>
          <w:szCs w:val="20"/>
        </w:rPr>
        <w:t xml:space="preserve"> (</w:t>
      </w:r>
      <w:r w:rsidR="00D762DC">
        <w:rPr>
          <w:rFonts w:ascii="Arial" w:hAnsi="Arial" w:cs="Arial"/>
          <w:sz w:val="20"/>
          <w:szCs w:val="20"/>
        </w:rPr>
        <w:t xml:space="preserve">Q2 </w:t>
      </w:r>
      <w:r w:rsidRPr="00534ADC">
        <w:rPr>
          <w:rFonts w:ascii="Arial" w:hAnsi="Arial" w:cs="Arial"/>
          <w:sz w:val="20"/>
          <w:szCs w:val="20"/>
        </w:rPr>
        <w:t>20</w:t>
      </w:r>
      <w:r w:rsidR="001B70C7">
        <w:rPr>
          <w:rFonts w:ascii="Arial" w:hAnsi="Arial" w:cs="Arial"/>
          <w:sz w:val="20"/>
          <w:szCs w:val="20"/>
        </w:rPr>
        <w:t>20</w:t>
      </w:r>
      <w:r w:rsidRPr="00534ADC">
        <w:rPr>
          <w:rFonts w:ascii="Arial" w:hAnsi="Arial" w:cs="Arial"/>
          <w:sz w:val="20"/>
          <w:szCs w:val="20"/>
        </w:rPr>
        <w:t xml:space="preserve"> - $</w:t>
      </w:r>
      <w:r w:rsidR="00D762DC">
        <w:rPr>
          <w:rFonts w:ascii="Arial" w:hAnsi="Arial" w:cs="Arial"/>
          <w:sz w:val="20"/>
          <w:szCs w:val="20"/>
        </w:rPr>
        <w:t>7,690</w:t>
      </w:r>
      <w:r w:rsidRPr="00534ADC">
        <w:rPr>
          <w:rFonts w:ascii="Arial" w:hAnsi="Arial" w:cs="Arial"/>
          <w:sz w:val="20"/>
          <w:szCs w:val="20"/>
        </w:rPr>
        <w:t>) incurred in connection with the Meet Delic brand for events and promotional work</w:t>
      </w:r>
      <w:r w:rsidR="00D762DC">
        <w:rPr>
          <w:rFonts w:ascii="Arial" w:hAnsi="Arial" w:cs="Arial"/>
          <w:sz w:val="20"/>
          <w:szCs w:val="20"/>
        </w:rPr>
        <w:t xml:space="preserve"> as well as investor awareness initiatives</w:t>
      </w:r>
      <w:r w:rsidRPr="00534ADC">
        <w:rPr>
          <w:rFonts w:ascii="Arial" w:hAnsi="Arial" w:cs="Arial"/>
          <w:sz w:val="20"/>
          <w:szCs w:val="20"/>
        </w:rPr>
        <w:t>.</w:t>
      </w:r>
    </w:p>
    <w:p w14:paraId="08FF46B3" w14:textId="1D25358F" w:rsidR="00D762DC" w:rsidRDefault="00D762DC" w:rsidP="002213C3">
      <w:pPr>
        <w:pStyle w:val="ListParagraph"/>
        <w:numPr>
          <w:ilvl w:val="0"/>
          <w:numId w:val="34"/>
        </w:numPr>
        <w:spacing w:line="240" w:lineRule="auto"/>
        <w:rPr>
          <w:rFonts w:ascii="Arial" w:hAnsi="Arial" w:cs="Arial"/>
          <w:sz w:val="20"/>
          <w:szCs w:val="20"/>
        </w:rPr>
      </w:pPr>
      <w:r>
        <w:rPr>
          <w:rFonts w:ascii="Arial" w:hAnsi="Arial" w:cs="Arial"/>
          <w:sz w:val="20"/>
          <w:szCs w:val="20"/>
        </w:rPr>
        <w:t>Management and consulting fees of $294,255 (Q2 2020 - $30,155) consisting of multiple new hires during the period.</w:t>
      </w:r>
    </w:p>
    <w:p w14:paraId="378470F6" w14:textId="492A23AA" w:rsidR="00D762DC" w:rsidRDefault="00D762DC" w:rsidP="002213C3">
      <w:pPr>
        <w:pStyle w:val="ListParagraph"/>
        <w:numPr>
          <w:ilvl w:val="0"/>
          <w:numId w:val="34"/>
        </w:numPr>
        <w:spacing w:line="240" w:lineRule="auto"/>
        <w:rPr>
          <w:rFonts w:ascii="Arial" w:hAnsi="Arial" w:cs="Arial"/>
          <w:sz w:val="20"/>
          <w:szCs w:val="20"/>
        </w:rPr>
      </w:pPr>
      <w:r>
        <w:rPr>
          <w:rFonts w:ascii="Arial" w:hAnsi="Arial" w:cs="Arial"/>
          <w:sz w:val="20"/>
          <w:szCs w:val="20"/>
        </w:rPr>
        <w:t xml:space="preserve">Professional fees of $201,649 (Q2 2020 - $14,722) consisting of legal and audit fees incurred with the special warrant financing, and multiple acquisitions.  </w:t>
      </w:r>
    </w:p>
    <w:p w14:paraId="2CE56571" w14:textId="0E9F93D4" w:rsidR="001B70C7" w:rsidRPr="00534ADC" w:rsidRDefault="001B70C7" w:rsidP="002213C3">
      <w:pPr>
        <w:pStyle w:val="ListParagraph"/>
        <w:numPr>
          <w:ilvl w:val="0"/>
          <w:numId w:val="34"/>
        </w:numPr>
        <w:spacing w:line="240" w:lineRule="auto"/>
        <w:rPr>
          <w:rFonts w:ascii="Arial" w:hAnsi="Arial" w:cs="Arial"/>
          <w:sz w:val="20"/>
          <w:szCs w:val="20"/>
        </w:rPr>
      </w:pPr>
      <w:r>
        <w:rPr>
          <w:rFonts w:ascii="Arial" w:hAnsi="Arial" w:cs="Arial"/>
          <w:sz w:val="20"/>
          <w:szCs w:val="20"/>
        </w:rPr>
        <w:t>Share-based payments of $</w:t>
      </w:r>
      <w:r w:rsidR="00D762DC">
        <w:rPr>
          <w:rFonts w:ascii="Arial" w:hAnsi="Arial" w:cs="Arial"/>
          <w:sz w:val="20"/>
          <w:szCs w:val="20"/>
        </w:rPr>
        <w:t>165,436</w:t>
      </w:r>
      <w:r>
        <w:rPr>
          <w:rFonts w:ascii="Arial" w:hAnsi="Arial" w:cs="Arial"/>
          <w:sz w:val="20"/>
          <w:szCs w:val="20"/>
        </w:rPr>
        <w:t xml:space="preserve"> (</w:t>
      </w:r>
      <w:r w:rsidR="00A63EED">
        <w:rPr>
          <w:rFonts w:ascii="Arial" w:hAnsi="Arial" w:cs="Arial"/>
          <w:sz w:val="20"/>
          <w:szCs w:val="20"/>
        </w:rPr>
        <w:t xml:space="preserve">Q2 </w:t>
      </w:r>
      <w:r>
        <w:rPr>
          <w:rFonts w:ascii="Arial" w:hAnsi="Arial" w:cs="Arial"/>
          <w:sz w:val="20"/>
          <w:szCs w:val="20"/>
        </w:rPr>
        <w:t xml:space="preserve">2020 - $Nil) </w:t>
      </w:r>
      <w:r w:rsidR="00D762DC">
        <w:rPr>
          <w:rFonts w:ascii="Arial" w:hAnsi="Arial" w:cs="Arial"/>
          <w:sz w:val="20"/>
          <w:szCs w:val="20"/>
        </w:rPr>
        <w:t xml:space="preserve">incurred in connection with the granting of stock options during the period. </w:t>
      </w:r>
    </w:p>
    <w:p w14:paraId="2A691836" w14:textId="77777777" w:rsidR="002213C3" w:rsidRPr="00656723" w:rsidRDefault="002213C3" w:rsidP="002213C3">
      <w:pPr>
        <w:pStyle w:val="ListParagraph"/>
        <w:spacing w:line="240" w:lineRule="auto"/>
        <w:rPr>
          <w:rFonts w:ascii="Arial" w:hAnsi="Arial" w:cs="Arial"/>
          <w:bCs/>
          <w:szCs w:val="20"/>
        </w:rPr>
      </w:pPr>
    </w:p>
    <w:p w14:paraId="4890C7E9" w14:textId="77777777" w:rsidR="007C0F23" w:rsidRDefault="001B70C7" w:rsidP="007C0F23">
      <w:pPr>
        <w:rPr>
          <w:rFonts w:ascii="Arial" w:hAnsi="Arial" w:cs="Arial"/>
          <w:bCs/>
          <w:szCs w:val="20"/>
        </w:rPr>
      </w:pPr>
      <w:r w:rsidRPr="001B70C7">
        <w:rPr>
          <w:rFonts w:ascii="Arial" w:hAnsi="Arial" w:cs="Arial"/>
          <w:bCs/>
          <w:szCs w:val="20"/>
        </w:rPr>
        <w:t xml:space="preserve">EBITDA for </w:t>
      </w:r>
      <w:r w:rsidR="0033256D">
        <w:rPr>
          <w:rFonts w:ascii="Arial" w:hAnsi="Arial" w:cs="Arial"/>
          <w:bCs/>
          <w:szCs w:val="20"/>
        </w:rPr>
        <w:t xml:space="preserve">Q2 2021 and 2020 </w:t>
      </w:r>
      <w:r w:rsidRPr="001B70C7">
        <w:rPr>
          <w:rFonts w:ascii="Arial" w:hAnsi="Arial" w:cs="Arial"/>
          <w:bCs/>
          <w:szCs w:val="20"/>
        </w:rPr>
        <w:t>has been calculated as follows:</w:t>
      </w:r>
    </w:p>
    <w:p w14:paraId="69736AD8" w14:textId="77777777" w:rsidR="007C0F23" w:rsidRDefault="007C0F23" w:rsidP="007C0F23">
      <w:pPr>
        <w:rPr>
          <w:rFonts w:ascii="Arial" w:hAnsi="Arial" w:cs="Arial"/>
          <w:bCs/>
          <w:szCs w:val="20"/>
        </w:rPr>
      </w:pPr>
    </w:p>
    <w:tbl>
      <w:tblPr>
        <w:tblW w:w="6840" w:type="dxa"/>
        <w:jc w:val="center"/>
        <w:tblLook w:val="04A0" w:firstRow="1" w:lastRow="0" w:firstColumn="1" w:lastColumn="0" w:noHBand="0" w:noVBand="1"/>
      </w:tblPr>
      <w:tblGrid>
        <w:gridCol w:w="2885"/>
        <w:gridCol w:w="2047"/>
        <w:gridCol w:w="1908"/>
      </w:tblGrid>
      <w:tr w:rsidR="007C0F23" w:rsidRPr="007C0F23" w14:paraId="58555C1D" w14:textId="77777777" w:rsidTr="007C0F23">
        <w:trPr>
          <w:trHeight w:val="20"/>
          <w:jc w:val="center"/>
        </w:trPr>
        <w:tc>
          <w:tcPr>
            <w:tcW w:w="2885" w:type="dxa"/>
            <w:tcBorders>
              <w:top w:val="single" w:sz="8" w:space="0" w:color="auto"/>
              <w:left w:val="nil"/>
              <w:bottom w:val="single" w:sz="8" w:space="0" w:color="auto"/>
              <w:right w:val="nil"/>
            </w:tcBorders>
            <w:shd w:val="clear" w:color="auto" w:fill="auto"/>
            <w:noWrap/>
            <w:vAlign w:val="bottom"/>
            <w:hideMark/>
          </w:tcPr>
          <w:p w14:paraId="6EFAB1CA"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w:t>
            </w:r>
          </w:p>
        </w:tc>
        <w:tc>
          <w:tcPr>
            <w:tcW w:w="2047" w:type="dxa"/>
            <w:tcBorders>
              <w:top w:val="single" w:sz="8" w:space="0" w:color="auto"/>
              <w:left w:val="nil"/>
              <w:bottom w:val="single" w:sz="8" w:space="0" w:color="auto"/>
              <w:right w:val="nil"/>
            </w:tcBorders>
            <w:shd w:val="clear" w:color="auto" w:fill="auto"/>
            <w:vAlign w:val="bottom"/>
            <w:hideMark/>
          </w:tcPr>
          <w:p w14:paraId="2283943C"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Three months ended June 30, 2021</w:t>
            </w:r>
          </w:p>
        </w:tc>
        <w:tc>
          <w:tcPr>
            <w:tcW w:w="1908" w:type="dxa"/>
            <w:tcBorders>
              <w:top w:val="single" w:sz="8" w:space="0" w:color="auto"/>
              <w:left w:val="nil"/>
              <w:bottom w:val="single" w:sz="8" w:space="0" w:color="auto"/>
              <w:right w:val="nil"/>
            </w:tcBorders>
            <w:shd w:val="clear" w:color="auto" w:fill="auto"/>
            <w:vAlign w:val="bottom"/>
            <w:hideMark/>
          </w:tcPr>
          <w:p w14:paraId="2CDA9365"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Three months ended June 30, 2020</w:t>
            </w:r>
          </w:p>
        </w:tc>
      </w:tr>
      <w:tr w:rsidR="007C0F23" w:rsidRPr="007C0F23" w14:paraId="7DE2FF32" w14:textId="77777777" w:rsidTr="007C0F23">
        <w:trPr>
          <w:trHeight w:val="20"/>
          <w:jc w:val="center"/>
        </w:trPr>
        <w:tc>
          <w:tcPr>
            <w:tcW w:w="2885" w:type="dxa"/>
            <w:tcBorders>
              <w:top w:val="nil"/>
              <w:left w:val="nil"/>
              <w:bottom w:val="nil"/>
              <w:right w:val="nil"/>
            </w:tcBorders>
            <w:shd w:val="clear" w:color="auto" w:fill="auto"/>
            <w:noWrap/>
            <w:vAlign w:val="bottom"/>
            <w:hideMark/>
          </w:tcPr>
          <w:p w14:paraId="5DBB96E1" w14:textId="77777777" w:rsidR="007C0F23" w:rsidRPr="007C0F23" w:rsidRDefault="007C0F23" w:rsidP="007C0F23">
            <w:pPr>
              <w:jc w:val="center"/>
              <w:rPr>
                <w:rFonts w:ascii="Arial" w:hAnsi="Arial" w:cs="Arial"/>
                <w:b/>
                <w:bCs/>
                <w:color w:val="000000"/>
                <w:szCs w:val="20"/>
                <w:lang w:eastAsia="en-CA"/>
              </w:rPr>
            </w:pPr>
          </w:p>
        </w:tc>
        <w:tc>
          <w:tcPr>
            <w:tcW w:w="2047" w:type="dxa"/>
            <w:tcBorders>
              <w:top w:val="nil"/>
              <w:left w:val="nil"/>
              <w:bottom w:val="nil"/>
              <w:right w:val="nil"/>
            </w:tcBorders>
            <w:shd w:val="clear" w:color="auto" w:fill="auto"/>
            <w:noWrap/>
            <w:vAlign w:val="bottom"/>
            <w:hideMark/>
          </w:tcPr>
          <w:p w14:paraId="0098277C"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w:t>
            </w:r>
          </w:p>
        </w:tc>
        <w:tc>
          <w:tcPr>
            <w:tcW w:w="1908" w:type="dxa"/>
            <w:tcBorders>
              <w:top w:val="nil"/>
              <w:left w:val="nil"/>
              <w:bottom w:val="nil"/>
              <w:right w:val="nil"/>
            </w:tcBorders>
            <w:shd w:val="clear" w:color="auto" w:fill="auto"/>
            <w:noWrap/>
            <w:vAlign w:val="bottom"/>
            <w:hideMark/>
          </w:tcPr>
          <w:p w14:paraId="682F692E"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w:t>
            </w:r>
          </w:p>
        </w:tc>
      </w:tr>
      <w:tr w:rsidR="007C0F23" w:rsidRPr="007C0F23" w14:paraId="26B02DFF" w14:textId="77777777" w:rsidTr="007C0F23">
        <w:trPr>
          <w:trHeight w:val="20"/>
          <w:jc w:val="center"/>
        </w:trPr>
        <w:tc>
          <w:tcPr>
            <w:tcW w:w="2885" w:type="dxa"/>
            <w:tcBorders>
              <w:top w:val="nil"/>
              <w:left w:val="nil"/>
              <w:bottom w:val="nil"/>
              <w:right w:val="nil"/>
            </w:tcBorders>
            <w:shd w:val="clear" w:color="auto" w:fill="auto"/>
            <w:noWrap/>
            <w:vAlign w:val="bottom"/>
            <w:hideMark/>
          </w:tcPr>
          <w:p w14:paraId="086525A4"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Net loss </w:t>
            </w:r>
          </w:p>
        </w:tc>
        <w:tc>
          <w:tcPr>
            <w:tcW w:w="2047" w:type="dxa"/>
            <w:tcBorders>
              <w:top w:val="nil"/>
              <w:left w:val="nil"/>
              <w:bottom w:val="nil"/>
              <w:right w:val="nil"/>
            </w:tcBorders>
            <w:shd w:val="clear" w:color="auto" w:fill="auto"/>
            <w:noWrap/>
            <w:vAlign w:val="bottom"/>
            <w:hideMark/>
          </w:tcPr>
          <w:p w14:paraId="2B61BD73"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(1,017,836)</w:t>
            </w:r>
          </w:p>
        </w:tc>
        <w:tc>
          <w:tcPr>
            <w:tcW w:w="1908" w:type="dxa"/>
            <w:tcBorders>
              <w:top w:val="nil"/>
              <w:left w:val="nil"/>
              <w:bottom w:val="nil"/>
              <w:right w:val="nil"/>
            </w:tcBorders>
            <w:shd w:val="clear" w:color="auto" w:fill="auto"/>
            <w:noWrap/>
            <w:vAlign w:val="bottom"/>
            <w:hideMark/>
          </w:tcPr>
          <w:p w14:paraId="5FADB972"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(47,235)</w:t>
            </w:r>
          </w:p>
        </w:tc>
      </w:tr>
      <w:tr w:rsidR="007C0F23" w:rsidRPr="007C0F23" w14:paraId="33056CBC" w14:textId="77777777" w:rsidTr="007C0F23">
        <w:trPr>
          <w:trHeight w:val="20"/>
          <w:jc w:val="center"/>
        </w:trPr>
        <w:tc>
          <w:tcPr>
            <w:tcW w:w="2885" w:type="dxa"/>
            <w:tcBorders>
              <w:top w:val="nil"/>
              <w:left w:val="nil"/>
              <w:bottom w:val="nil"/>
              <w:right w:val="nil"/>
            </w:tcBorders>
            <w:shd w:val="clear" w:color="auto" w:fill="auto"/>
            <w:noWrap/>
            <w:vAlign w:val="bottom"/>
            <w:hideMark/>
          </w:tcPr>
          <w:p w14:paraId="4FE15279"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Depreciation</w:t>
            </w:r>
          </w:p>
        </w:tc>
        <w:tc>
          <w:tcPr>
            <w:tcW w:w="2047" w:type="dxa"/>
            <w:tcBorders>
              <w:top w:val="nil"/>
              <w:left w:val="nil"/>
              <w:bottom w:val="nil"/>
              <w:right w:val="nil"/>
            </w:tcBorders>
            <w:shd w:val="clear" w:color="auto" w:fill="auto"/>
            <w:noWrap/>
            <w:vAlign w:val="bottom"/>
            <w:hideMark/>
          </w:tcPr>
          <w:p w14:paraId="1225C6B3"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1,514 </w:t>
            </w:r>
          </w:p>
        </w:tc>
        <w:tc>
          <w:tcPr>
            <w:tcW w:w="1908" w:type="dxa"/>
            <w:tcBorders>
              <w:top w:val="nil"/>
              <w:left w:val="nil"/>
              <w:bottom w:val="nil"/>
              <w:right w:val="nil"/>
            </w:tcBorders>
            <w:shd w:val="clear" w:color="auto" w:fill="auto"/>
            <w:noWrap/>
            <w:vAlign w:val="bottom"/>
            <w:hideMark/>
          </w:tcPr>
          <w:p w14:paraId="4E44733B"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3A30FAE4" w14:textId="77777777" w:rsidTr="007C0F23">
        <w:trPr>
          <w:trHeight w:val="20"/>
          <w:jc w:val="center"/>
        </w:trPr>
        <w:tc>
          <w:tcPr>
            <w:tcW w:w="2885" w:type="dxa"/>
            <w:tcBorders>
              <w:top w:val="nil"/>
              <w:left w:val="nil"/>
              <w:bottom w:val="nil"/>
              <w:right w:val="nil"/>
            </w:tcBorders>
            <w:shd w:val="clear" w:color="auto" w:fill="auto"/>
            <w:noWrap/>
            <w:vAlign w:val="bottom"/>
            <w:hideMark/>
          </w:tcPr>
          <w:p w14:paraId="72293B04"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Share-based payments</w:t>
            </w:r>
          </w:p>
        </w:tc>
        <w:tc>
          <w:tcPr>
            <w:tcW w:w="2047" w:type="dxa"/>
            <w:tcBorders>
              <w:top w:val="nil"/>
              <w:left w:val="nil"/>
              <w:bottom w:val="nil"/>
              <w:right w:val="nil"/>
            </w:tcBorders>
            <w:shd w:val="clear" w:color="auto" w:fill="auto"/>
            <w:noWrap/>
            <w:vAlign w:val="bottom"/>
            <w:hideMark/>
          </w:tcPr>
          <w:p w14:paraId="32C9F6AC"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165,436 </w:t>
            </w:r>
          </w:p>
        </w:tc>
        <w:tc>
          <w:tcPr>
            <w:tcW w:w="1908" w:type="dxa"/>
            <w:tcBorders>
              <w:top w:val="nil"/>
              <w:left w:val="nil"/>
              <w:bottom w:val="nil"/>
              <w:right w:val="nil"/>
            </w:tcBorders>
            <w:shd w:val="clear" w:color="auto" w:fill="auto"/>
            <w:noWrap/>
            <w:vAlign w:val="bottom"/>
            <w:hideMark/>
          </w:tcPr>
          <w:p w14:paraId="090905D2"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0CD07E7E" w14:textId="77777777" w:rsidTr="007C0F23">
        <w:trPr>
          <w:trHeight w:val="20"/>
          <w:jc w:val="center"/>
        </w:trPr>
        <w:tc>
          <w:tcPr>
            <w:tcW w:w="2885" w:type="dxa"/>
            <w:tcBorders>
              <w:top w:val="nil"/>
              <w:left w:val="nil"/>
              <w:bottom w:val="nil"/>
              <w:right w:val="nil"/>
            </w:tcBorders>
            <w:shd w:val="clear" w:color="auto" w:fill="auto"/>
            <w:noWrap/>
            <w:vAlign w:val="bottom"/>
            <w:hideMark/>
          </w:tcPr>
          <w:p w14:paraId="0415E01D"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Foreign exchange</w:t>
            </w:r>
          </w:p>
        </w:tc>
        <w:tc>
          <w:tcPr>
            <w:tcW w:w="2047" w:type="dxa"/>
            <w:tcBorders>
              <w:top w:val="nil"/>
              <w:left w:val="nil"/>
              <w:bottom w:val="nil"/>
              <w:right w:val="nil"/>
            </w:tcBorders>
            <w:shd w:val="clear" w:color="auto" w:fill="auto"/>
            <w:noWrap/>
            <w:vAlign w:val="bottom"/>
            <w:hideMark/>
          </w:tcPr>
          <w:p w14:paraId="56435F7F"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21,198 </w:t>
            </w:r>
          </w:p>
        </w:tc>
        <w:tc>
          <w:tcPr>
            <w:tcW w:w="1908" w:type="dxa"/>
            <w:tcBorders>
              <w:top w:val="nil"/>
              <w:left w:val="nil"/>
              <w:bottom w:val="nil"/>
              <w:right w:val="nil"/>
            </w:tcBorders>
            <w:shd w:val="clear" w:color="auto" w:fill="auto"/>
            <w:noWrap/>
            <w:vAlign w:val="bottom"/>
            <w:hideMark/>
          </w:tcPr>
          <w:p w14:paraId="71B3765B"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1DC94B27" w14:textId="77777777" w:rsidTr="007C0F23">
        <w:trPr>
          <w:trHeight w:val="20"/>
          <w:jc w:val="center"/>
        </w:trPr>
        <w:tc>
          <w:tcPr>
            <w:tcW w:w="2885" w:type="dxa"/>
            <w:tcBorders>
              <w:top w:val="nil"/>
              <w:left w:val="nil"/>
              <w:bottom w:val="single" w:sz="4" w:space="0" w:color="auto"/>
              <w:right w:val="nil"/>
            </w:tcBorders>
            <w:shd w:val="clear" w:color="auto" w:fill="auto"/>
            <w:noWrap/>
            <w:vAlign w:val="bottom"/>
            <w:hideMark/>
          </w:tcPr>
          <w:p w14:paraId="35915DF3"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Tax expense</w:t>
            </w:r>
          </w:p>
        </w:tc>
        <w:tc>
          <w:tcPr>
            <w:tcW w:w="2047" w:type="dxa"/>
            <w:tcBorders>
              <w:top w:val="nil"/>
              <w:left w:val="nil"/>
              <w:bottom w:val="single" w:sz="4" w:space="0" w:color="auto"/>
              <w:right w:val="nil"/>
            </w:tcBorders>
            <w:shd w:val="clear" w:color="auto" w:fill="auto"/>
            <w:noWrap/>
            <w:vAlign w:val="bottom"/>
            <w:hideMark/>
          </w:tcPr>
          <w:p w14:paraId="24CDF345"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38,975 </w:t>
            </w:r>
          </w:p>
        </w:tc>
        <w:tc>
          <w:tcPr>
            <w:tcW w:w="1908" w:type="dxa"/>
            <w:tcBorders>
              <w:top w:val="nil"/>
              <w:left w:val="nil"/>
              <w:bottom w:val="single" w:sz="4" w:space="0" w:color="auto"/>
              <w:right w:val="nil"/>
            </w:tcBorders>
            <w:shd w:val="clear" w:color="auto" w:fill="auto"/>
            <w:noWrap/>
            <w:vAlign w:val="bottom"/>
            <w:hideMark/>
          </w:tcPr>
          <w:p w14:paraId="0BFA5631"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0839BAE4" w14:textId="77777777" w:rsidTr="007C0F23">
        <w:trPr>
          <w:trHeight w:val="20"/>
          <w:jc w:val="center"/>
        </w:trPr>
        <w:tc>
          <w:tcPr>
            <w:tcW w:w="2885" w:type="dxa"/>
            <w:tcBorders>
              <w:top w:val="nil"/>
              <w:left w:val="nil"/>
              <w:bottom w:val="single" w:sz="8" w:space="0" w:color="auto"/>
              <w:right w:val="nil"/>
            </w:tcBorders>
            <w:shd w:val="clear" w:color="auto" w:fill="auto"/>
            <w:noWrap/>
            <w:vAlign w:val="bottom"/>
            <w:hideMark/>
          </w:tcPr>
          <w:p w14:paraId="4E54D73B"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EBITDA (Loss)</w:t>
            </w:r>
          </w:p>
        </w:tc>
        <w:tc>
          <w:tcPr>
            <w:tcW w:w="2047" w:type="dxa"/>
            <w:tcBorders>
              <w:top w:val="nil"/>
              <w:left w:val="nil"/>
              <w:bottom w:val="single" w:sz="8" w:space="0" w:color="auto"/>
              <w:right w:val="nil"/>
            </w:tcBorders>
            <w:shd w:val="clear" w:color="auto" w:fill="auto"/>
            <w:noWrap/>
            <w:vAlign w:val="bottom"/>
            <w:hideMark/>
          </w:tcPr>
          <w:p w14:paraId="27D1D7E3"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(790,713)</w:t>
            </w:r>
          </w:p>
        </w:tc>
        <w:tc>
          <w:tcPr>
            <w:tcW w:w="1908" w:type="dxa"/>
            <w:tcBorders>
              <w:top w:val="nil"/>
              <w:left w:val="nil"/>
              <w:bottom w:val="single" w:sz="8" w:space="0" w:color="auto"/>
              <w:right w:val="nil"/>
            </w:tcBorders>
            <w:shd w:val="clear" w:color="auto" w:fill="auto"/>
            <w:noWrap/>
            <w:vAlign w:val="bottom"/>
            <w:hideMark/>
          </w:tcPr>
          <w:p w14:paraId="3853F70F"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             (47,235)</w:t>
            </w:r>
          </w:p>
        </w:tc>
      </w:tr>
    </w:tbl>
    <w:p w14:paraId="3DF31973" w14:textId="75521819" w:rsidR="00CC3C37" w:rsidRDefault="002213C3" w:rsidP="007C0F23">
      <w:pPr>
        <w:rPr>
          <w:rFonts w:ascii="Arial" w:hAnsi="Arial" w:cs="Arial"/>
          <w:i/>
          <w:iCs/>
          <w:szCs w:val="20"/>
        </w:rPr>
      </w:pPr>
      <w:r>
        <w:rPr>
          <w:rFonts w:ascii="Arial" w:hAnsi="Arial" w:cs="Arial"/>
          <w:i/>
          <w:iCs/>
          <w:szCs w:val="20"/>
        </w:rPr>
        <w:t xml:space="preserve"> </w:t>
      </w:r>
    </w:p>
    <w:p w14:paraId="4C7FA33F" w14:textId="54C4F2BA" w:rsidR="0033256D" w:rsidRPr="0033256D" w:rsidRDefault="0033256D" w:rsidP="0033256D">
      <w:pPr>
        <w:pStyle w:val="BodyText"/>
        <w:spacing w:before="0"/>
        <w:rPr>
          <w:rFonts w:ascii="Arial" w:hAnsi="Arial" w:cs="Arial"/>
          <w:i/>
          <w:iCs/>
          <w:szCs w:val="20"/>
        </w:rPr>
      </w:pPr>
      <w:r>
        <w:rPr>
          <w:rFonts w:ascii="Arial" w:hAnsi="Arial" w:cs="Arial"/>
          <w:i/>
          <w:iCs/>
          <w:szCs w:val="20"/>
        </w:rPr>
        <w:t>Six</w:t>
      </w:r>
      <w:r w:rsidRPr="0033256D">
        <w:rPr>
          <w:rFonts w:ascii="Arial" w:hAnsi="Arial" w:cs="Arial"/>
          <w:i/>
          <w:iCs/>
          <w:szCs w:val="20"/>
        </w:rPr>
        <w:t xml:space="preserve"> months ended June 30, 2021</w:t>
      </w:r>
    </w:p>
    <w:p w14:paraId="57A68DDD" w14:textId="77777777" w:rsidR="0033256D" w:rsidRDefault="0033256D" w:rsidP="0033256D">
      <w:pPr>
        <w:pStyle w:val="BodyText"/>
        <w:spacing w:before="0"/>
        <w:rPr>
          <w:rFonts w:ascii="Arial" w:hAnsi="Arial" w:cs="Arial"/>
          <w:szCs w:val="20"/>
        </w:rPr>
      </w:pPr>
    </w:p>
    <w:p w14:paraId="2B9D394B" w14:textId="5417905A" w:rsidR="0033256D" w:rsidRPr="00534ADC" w:rsidRDefault="0033256D" w:rsidP="0033256D">
      <w:pPr>
        <w:pStyle w:val="BodyText"/>
        <w:spacing w:before="0"/>
        <w:rPr>
          <w:rFonts w:ascii="Arial" w:hAnsi="Arial" w:cs="Arial"/>
          <w:szCs w:val="20"/>
        </w:rPr>
      </w:pPr>
      <w:r w:rsidRPr="00534ADC">
        <w:rPr>
          <w:rFonts w:ascii="Arial" w:hAnsi="Arial" w:cs="Arial"/>
          <w:szCs w:val="20"/>
        </w:rPr>
        <w:t xml:space="preserve">During the </w:t>
      </w:r>
      <w:r>
        <w:rPr>
          <w:rFonts w:ascii="Arial" w:hAnsi="Arial" w:cs="Arial"/>
          <w:szCs w:val="20"/>
        </w:rPr>
        <w:t>six months ended June 30, 2021</w:t>
      </w:r>
      <w:r w:rsidRPr="00534ADC">
        <w:rPr>
          <w:rFonts w:ascii="Arial" w:hAnsi="Arial" w:cs="Arial"/>
          <w:szCs w:val="20"/>
        </w:rPr>
        <w:t xml:space="preserve"> (“</w:t>
      </w:r>
      <w:r>
        <w:rPr>
          <w:rFonts w:ascii="Arial" w:hAnsi="Arial" w:cs="Arial"/>
          <w:szCs w:val="20"/>
        </w:rPr>
        <w:t xml:space="preserve">YTD </w:t>
      </w:r>
      <w:r w:rsidRPr="00534ADC">
        <w:rPr>
          <w:rFonts w:ascii="Arial" w:hAnsi="Arial" w:cs="Arial"/>
          <w:szCs w:val="20"/>
        </w:rPr>
        <w:t>202</w:t>
      </w:r>
      <w:r>
        <w:rPr>
          <w:rFonts w:ascii="Arial" w:hAnsi="Arial" w:cs="Arial"/>
          <w:szCs w:val="20"/>
        </w:rPr>
        <w:t>1</w:t>
      </w:r>
      <w:r w:rsidRPr="00534ADC">
        <w:rPr>
          <w:rFonts w:ascii="Arial" w:hAnsi="Arial" w:cs="Arial"/>
          <w:szCs w:val="20"/>
        </w:rPr>
        <w:t>”), the Company reported</w:t>
      </w:r>
      <w:r>
        <w:rPr>
          <w:rFonts w:ascii="Arial" w:hAnsi="Arial" w:cs="Arial"/>
          <w:szCs w:val="20"/>
        </w:rPr>
        <w:t xml:space="preserve"> a loss of $</w:t>
      </w:r>
      <w:r w:rsidR="007C0F23">
        <w:rPr>
          <w:rFonts w:ascii="Arial" w:hAnsi="Arial" w:cs="Arial"/>
          <w:szCs w:val="20"/>
        </w:rPr>
        <w:t>2,144,636</w:t>
      </w:r>
      <w:r w:rsidRPr="00534ADC">
        <w:rPr>
          <w:rFonts w:ascii="Arial" w:hAnsi="Arial" w:cs="Arial"/>
          <w:szCs w:val="20"/>
        </w:rPr>
        <w:t xml:space="preserve">. During the </w:t>
      </w:r>
      <w:r>
        <w:rPr>
          <w:rFonts w:ascii="Arial" w:hAnsi="Arial" w:cs="Arial"/>
          <w:szCs w:val="20"/>
        </w:rPr>
        <w:t>six months ended June 30, 2020</w:t>
      </w:r>
      <w:r w:rsidRPr="00534ADC">
        <w:rPr>
          <w:rFonts w:ascii="Arial" w:hAnsi="Arial" w:cs="Arial"/>
          <w:szCs w:val="20"/>
        </w:rPr>
        <w:t xml:space="preserve"> (</w:t>
      </w:r>
      <w:r>
        <w:rPr>
          <w:rFonts w:ascii="Arial" w:hAnsi="Arial" w:cs="Arial"/>
          <w:szCs w:val="20"/>
        </w:rPr>
        <w:t xml:space="preserve">“YTD </w:t>
      </w:r>
      <w:r w:rsidRPr="00534ADC">
        <w:rPr>
          <w:rFonts w:ascii="Arial" w:hAnsi="Arial" w:cs="Arial"/>
          <w:szCs w:val="20"/>
        </w:rPr>
        <w:t>20</w:t>
      </w:r>
      <w:r>
        <w:rPr>
          <w:rFonts w:ascii="Arial" w:hAnsi="Arial" w:cs="Arial"/>
          <w:szCs w:val="20"/>
        </w:rPr>
        <w:t>20</w:t>
      </w:r>
      <w:r w:rsidRPr="00534ADC">
        <w:rPr>
          <w:rFonts w:ascii="Arial" w:hAnsi="Arial" w:cs="Arial"/>
          <w:szCs w:val="20"/>
        </w:rPr>
        <w:t>”), the Company reported a loss of $</w:t>
      </w:r>
      <w:r w:rsidR="00E04D44">
        <w:rPr>
          <w:rFonts w:ascii="Arial" w:hAnsi="Arial" w:cs="Arial"/>
          <w:szCs w:val="20"/>
        </w:rPr>
        <w:t>143,174</w:t>
      </w:r>
      <w:r w:rsidRPr="00534ADC">
        <w:rPr>
          <w:rFonts w:ascii="Arial" w:hAnsi="Arial" w:cs="Arial"/>
          <w:szCs w:val="20"/>
        </w:rPr>
        <w:t xml:space="preserve">. </w:t>
      </w:r>
    </w:p>
    <w:p w14:paraId="36E4DE43" w14:textId="19A91CCB" w:rsidR="008E0F66" w:rsidRDefault="008E0F66" w:rsidP="008E0F66">
      <w:pPr>
        <w:keepNext/>
        <w:rPr>
          <w:rFonts w:ascii="Arial" w:hAnsi="Arial" w:cs="Arial"/>
          <w:bCs/>
          <w:szCs w:val="20"/>
        </w:rPr>
      </w:pPr>
    </w:p>
    <w:p w14:paraId="4772D159" w14:textId="1EC4F837" w:rsidR="00E04D44" w:rsidRPr="00534ADC" w:rsidRDefault="00E04D44" w:rsidP="00E04D44">
      <w:pPr>
        <w:jc w:val="both"/>
        <w:rPr>
          <w:rFonts w:ascii="Arial" w:hAnsi="Arial" w:cs="Arial"/>
          <w:szCs w:val="20"/>
        </w:rPr>
      </w:pPr>
      <w:r w:rsidRPr="00534ADC">
        <w:rPr>
          <w:rFonts w:ascii="Arial" w:hAnsi="Arial" w:cs="Arial"/>
          <w:szCs w:val="20"/>
        </w:rPr>
        <w:t xml:space="preserve">The primary reason for the increase in net </w:t>
      </w:r>
      <w:r>
        <w:rPr>
          <w:rFonts w:ascii="Arial" w:hAnsi="Arial" w:cs="Arial"/>
          <w:szCs w:val="20"/>
        </w:rPr>
        <w:t>loss</w:t>
      </w:r>
      <w:r w:rsidRPr="00534ADC">
        <w:rPr>
          <w:rFonts w:ascii="Arial" w:hAnsi="Arial" w:cs="Arial"/>
          <w:szCs w:val="20"/>
        </w:rPr>
        <w:t xml:space="preserve"> during the</w:t>
      </w:r>
      <w:r>
        <w:rPr>
          <w:rFonts w:ascii="Arial" w:hAnsi="Arial" w:cs="Arial"/>
          <w:szCs w:val="20"/>
        </w:rPr>
        <w:t xml:space="preserve"> period</w:t>
      </w:r>
      <w:r w:rsidRPr="00534ADC">
        <w:rPr>
          <w:rFonts w:ascii="Arial" w:hAnsi="Arial" w:cs="Arial"/>
          <w:szCs w:val="20"/>
        </w:rPr>
        <w:t xml:space="preserve"> is due to</w:t>
      </w:r>
      <w:r>
        <w:rPr>
          <w:rFonts w:ascii="Arial" w:hAnsi="Arial" w:cs="Arial"/>
          <w:szCs w:val="20"/>
        </w:rPr>
        <w:t xml:space="preserve"> an increase in overall operations as this is the Company’s first year of operations.  </w:t>
      </w:r>
    </w:p>
    <w:p w14:paraId="1AD62019" w14:textId="4DD739CE" w:rsidR="00E04D44" w:rsidRDefault="00E04D44" w:rsidP="00E04D44">
      <w:pPr>
        <w:jc w:val="both"/>
        <w:rPr>
          <w:rFonts w:ascii="Arial" w:hAnsi="Arial" w:cs="Arial"/>
          <w:szCs w:val="20"/>
        </w:rPr>
      </w:pPr>
    </w:p>
    <w:p w14:paraId="54D169DA" w14:textId="4F1B25E4" w:rsidR="00134A06" w:rsidRDefault="00134A06" w:rsidP="00E04D44">
      <w:pPr>
        <w:jc w:val="both"/>
        <w:rPr>
          <w:rFonts w:ascii="Arial" w:hAnsi="Arial" w:cs="Arial"/>
          <w:szCs w:val="20"/>
        </w:rPr>
      </w:pPr>
      <w:r>
        <w:rPr>
          <w:rFonts w:ascii="Arial" w:hAnsi="Arial" w:cs="Arial"/>
          <w:szCs w:val="20"/>
        </w:rPr>
        <w:t>Sales during the period increased to $</w:t>
      </w:r>
      <w:r w:rsidR="007C0F23">
        <w:rPr>
          <w:rFonts w:ascii="Arial" w:hAnsi="Arial" w:cs="Arial"/>
          <w:szCs w:val="20"/>
        </w:rPr>
        <w:t>149,290</w:t>
      </w:r>
      <w:r>
        <w:rPr>
          <w:rFonts w:ascii="Arial" w:hAnsi="Arial" w:cs="Arial"/>
          <w:szCs w:val="20"/>
        </w:rPr>
        <w:t xml:space="preserve"> in YTD 2021 from $Nil in YTD 2020.  Please refer to the table above for a discussion on sales and cost of sales.</w:t>
      </w:r>
    </w:p>
    <w:p w14:paraId="351DA888" w14:textId="77777777" w:rsidR="00134A06" w:rsidRPr="00534ADC" w:rsidRDefault="00134A06" w:rsidP="00E04D44">
      <w:pPr>
        <w:jc w:val="both"/>
        <w:rPr>
          <w:rFonts w:ascii="Arial" w:hAnsi="Arial" w:cs="Arial"/>
          <w:szCs w:val="20"/>
        </w:rPr>
      </w:pPr>
    </w:p>
    <w:p w14:paraId="239A0D9D" w14:textId="7118DBEF" w:rsidR="00E04D44" w:rsidRPr="00534ADC" w:rsidRDefault="00E04D44" w:rsidP="00E04D44">
      <w:pPr>
        <w:jc w:val="both"/>
        <w:rPr>
          <w:rFonts w:ascii="Arial" w:hAnsi="Arial" w:cs="Arial"/>
          <w:szCs w:val="20"/>
        </w:rPr>
      </w:pPr>
      <w:r w:rsidRPr="00534ADC">
        <w:rPr>
          <w:rFonts w:ascii="Arial" w:hAnsi="Arial" w:cs="Arial"/>
          <w:szCs w:val="20"/>
        </w:rPr>
        <w:t>Total operational expenses were $</w:t>
      </w:r>
      <w:r>
        <w:rPr>
          <w:rFonts w:ascii="Arial" w:hAnsi="Arial" w:cs="Arial"/>
          <w:szCs w:val="20"/>
        </w:rPr>
        <w:t>2,220,872</w:t>
      </w:r>
      <w:r w:rsidRPr="00534ADC">
        <w:rPr>
          <w:rFonts w:ascii="Arial" w:hAnsi="Arial" w:cs="Arial"/>
          <w:szCs w:val="20"/>
        </w:rPr>
        <w:t xml:space="preserve"> in </w:t>
      </w:r>
      <w:r>
        <w:rPr>
          <w:rFonts w:ascii="Arial" w:hAnsi="Arial" w:cs="Arial"/>
          <w:szCs w:val="20"/>
        </w:rPr>
        <w:t>YTD 2</w:t>
      </w:r>
      <w:r w:rsidRPr="00534ADC">
        <w:rPr>
          <w:rFonts w:ascii="Arial" w:hAnsi="Arial" w:cs="Arial"/>
          <w:szCs w:val="20"/>
        </w:rPr>
        <w:t>02</w:t>
      </w:r>
      <w:r>
        <w:rPr>
          <w:rFonts w:ascii="Arial" w:hAnsi="Arial" w:cs="Arial"/>
          <w:szCs w:val="20"/>
        </w:rPr>
        <w:t>1</w:t>
      </w:r>
      <w:r w:rsidRPr="00534ADC">
        <w:rPr>
          <w:rFonts w:ascii="Arial" w:hAnsi="Arial" w:cs="Arial"/>
          <w:szCs w:val="20"/>
        </w:rPr>
        <w:t>, compared to $</w:t>
      </w:r>
      <w:r>
        <w:rPr>
          <w:rFonts w:ascii="Arial" w:hAnsi="Arial" w:cs="Arial"/>
          <w:szCs w:val="20"/>
        </w:rPr>
        <w:t>212,578</w:t>
      </w:r>
      <w:r w:rsidRPr="00534ADC">
        <w:rPr>
          <w:rFonts w:ascii="Arial" w:hAnsi="Arial" w:cs="Arial"/>
          <w:szCs w:val="20"/>
        </w:rPr>
        <w:t xml:space="preserve"> in </w:t>
      </w:r>
      <w:r>
        <w:rPr>
          <w:rFonts w:ascii="Arial" w:hAnsi="Arial" w:cs="Arial"/>
          <w:szCs w:val="20"/>
        </w:rPr>
        <w:t xml:space="preserve">YTD </w:t>
      </w:r>
      <w:r w:rsidRPr="00534ADC">
        <w:rPr>
          <w:rFonts w:ascii="Arial" w:hAnsi="Arial" w:cs="Arial"/>
          <w:szCs w:val="20"/>
        </w:rPr>
        <w:t>20</w:t>
      </w:r>
      <w:r>
        <w:rPr>
          <w:rFonts w:ascii="Arial" w:hAnsi="Arial" w:cs="Arial"/>
          <w:szCs w:val="20"/>
        </w:rPr>
        <w:t>20</w:t>
      </w:r>
      <w:r w:rsidRPr="00534ADC">
        <w:rPr>
          <w:rFonts w:ascii="Arial" w:hAnsi="Arial" w:cs="Arial"/>
          <w:szCs w:val="20"/>
        </w:rPr>
        <w:t>, which consisted of the following:</w:t>
      </w:r>
    </w:p>
    <w:p w14:paraId="68091228" w14:textId="46B885A2" w:rsidR="00E04D44" w:rsidRDefault="00E04D44" w:rsidP="00E04D44">
      <w:pPr>
        <w:pStyle w:val="ListParagraph"/>
        <w:numPr>
          <w:ilvl w:val="0"/>
          <w:numId w:val="34"/>
        </w:numPr>
        <w:spacing w:line="240" w:lineRule="auto"/>
        <w:rPr>
          <w:rFonts w:ascii="Arial" w:hAnsi="Arial" w:cs="Arial"/>
          <w:sz w:val="20"/>
          <w:szCs w:val="20"/>
        </w:rPr>
      </w:pPr>
      <w:r w:rsidRPr="00534ADC">
        <w:rPr>
          <w:rFonts w:ascii="Arial" w:hAnsi="Arial" w:cs="Arial"/>
          <w:sz w:val="20"/>
          <w:szCs w:val="20"/>
        </w:rPr>
        <w:t xml:space="preserve">Advertising and promotional fees of </w:t>
      </w:r>
      <w:r>
        <w:rPr>
          <w:rFonts w:ascii="Arial" w:hAnsi="Arial" w:cs="Arial"/>
          <w:sz w:val="20"/>
          <w:szCs w:val="20"/>
        </w:rPr>
        <w:t>$</w:t>
      </w:r>
      <w:r w:rsidR="00191C56">
        <w:rPr>
          <w:rFonts w:ascii="Arial" w:hAnsi="Arial" w:cs="Arial"/>
          <w:sz w:val="20"/>
          <w:szCs w:val="20"/>
        </w:rPr>
        <w:t>837,377</w:t>
      </w:r>
      <w:r w:rsidRPr="00534ADC">
        <w:rPr>
          <w:rFonts w:ascii="Arial" w:hAnsi="Arial" w:cs="Arial"/>
          <w:sz w:val="20"/>
          <w:szCs w:val="20"/>
        </w:rPr>
        <w:t xml:space="preserve"> (</w:t>
      </w:r>
      <w:r w:rsidR="00191C56">
        <w:rPr>
          <w:rFonts w:ascii="Arial" w:hAnsi="Arial" w:cs="Arial"/>
          <w:sz w:val="20"/>
          <w:szCs w:val="20"/>
        </w:rPr>
        <w:t>YTD</w:t>
      </w:r>
      <w:r>
        <w:rPr>
          <w:rFonts w:ascii="Arial" w:hAnsi="Arial" w:cs="Arial"/>
          <w:sz w:val="20"/>
          <w:szCs w:val="20"/>
        </w:rPr>
        <w:t xml:space="preserve"> </w:t>
      </w:r>
      <w:r w:rsidRPr="00534ADC">
        <w:rPr>
          <w:rFonts w:ascii="Arial" w:hAnsi="Arial" w:cs="Arial"/>
          <w:sz w:val="20"/>
          <w:szCs w:val="20"/>
        </w:rPr>
        <w:t>20</w:t>
      </w:r>
      <w:r>
        <w:rPr>
          <w:rFonts w:ascii="Arial" w:hAnsi="Arial" w:cs="Arial"/>
          <w:sz w:val="20"/>
          <w:szCs w:val="20"/>
        </w:rPr>
        <w:t>20</w:t>
      </w:r>
      <w:r w:rsidRPr="00534ADC">
        <w:rPr>
          <w:rFonts w:ascii="Arial" w:hAnsi="Arial" w:cs="Arial"/>
          <w:sz w:val="20"/>
          <w:szCs w:val="20"/>
        </w:rPr>
        <w:t xml:space="preserve"> - $</w:t>
      </w:r>
      <w:r w:rsidR="00191C56">
        <w:rPr>
          <w:rFonts w:ascii="Arial" w:hAnsi="Arial" w:cs="Arial"/>
          <w:sz w:val="20"/>
          <w:szCs w:val="20"/>
        </w:rPr>
        <w:t>89,399</w:t>
      </w:r>
      <w:r w:rsidRPr="00534ADC">
        <w:rPr>
          <w:rFonts w:ascii="Arial" w:hAnsi="Arial" w:cs="Arial"/>
          <w:sz w:val="20"/>
          <w:szCs w:val="20"/>
        </w:rPr>
        <w:t>) incurred in connection with the Meet Delic brand for events and promotional work</w:t>
      </w:r>
      <w:r>
        <w:rPr>
          <w:rFonts w:ascii="Arial" w:hAnsi="Arial" w:cs="Arial"/>
          <w:sz w:val="20"/>
          <w:szCs w:val="20"/>
        </w:rPr>
        <w:t xml:space="preserve"> as well as investor awareness initiatives</w:t>
      </w:r>
      <w:r w:rsidRPr="00534ADC">
        <w:rPr>
          <w:rFonts w:ascii="Arial" w:hAnsi="Arial" w:cs="Arial"/>
          <w:sz w:val="20"/>
          <w:szCs w:val="20"/>
        </w:rPr>
        <w:t>.</w:t>
      </w:r>
    </w:p>
    <w:p w14:paraId="3F0A655E" w14:textId="4BF4D7CA" w:rsidR="00E04D44" w:rsidRDefault="00E04D44" w:rsidP="00E04D44">
      <w:pPr>
        <w:pStyle w:val="ListParagraph"/>
        <w:numPr>
          <w:ilvl w:val="0"/>
          <w:numId w:val="34"/>
        </w:numPr>
        <w:spacing w:line="240" w:lineRule="auto"/>
        <w:rPr>
          <w:rFonts w:ascii="Arial" w:hAnsi="Arial" w:cs="Arial"/>
          <w:sz w:val="20"/>
          <w:szCs w:val="20"/>
        </w:rPr>
      </w:pPr>
      <w:r>
        <w:rPr>
          <w:rFonts w:ascii="Arial" w:hAnsi="Arial" w:cs="Arial"/>
          <w:sz w:val="20"/>
          <w:szCs w:val="20"/>
        </w:rPr>
        <w:t>Management and consulting fees of $</w:t>
      </w:r>
      <w:r w:rsidR="00191C56">
        <w:rPr>
          <w:rFonts w:ascii="Arial" w:hAnsi="Arial" w:cs="Arial"/>
          <w:sz w:val="20"/>
          <w:szCs w:val="20"/>
        </w:rPr>
        <w:t>321,889</w:t>
      </w:r>
      <w:r>
        <w:rPr>
          <w:rFonts w:ascii="Arial" w:hAnsi="Arial" w:cs="Arial"/>
          <w:sz w:val="20"/>
          <w:szCs w:val="20"/>
        </w:rPr>
        <w:t xml:space="preserve"> (</w:t>
      </w:r>
      <w:r w:rsidR="00191C56">
        <w:rPr>
          <w:rFonts w:ascii="Arial" w:hAnsi="Arial" w:cs="Arial"/>
          <w:sz w:val="20"/>
          <w:szCs w:val="20"/>
        </w:rPr>
        <w:t xml:space="preserve">YTD </w:t>
      </w:r>
      <w:r>
        <w:rPr>
          <w:rFonts w:ascii="Arial" w:hAnsi="Arial" w:cs="Arial"/>
          <w:sz w:val="20"/>
          <w:szCs w:val="20"/>
        </w:rPr>
        <w:t>2020 - $</w:t>
      </w:r>
      <w:r w:rsidR="00191C56">
        <w:rPr>
          <w:rFonts w:ascii="Arial" w:hAnsi="Arial" w:cs="Arial"/>
          <w:sz w:val="20"/>
          <w:szCs w:val="20"/>
        </w:rPr>
        <w:t>49,243</w:t>
      </w:r>
      <w:r>
        <w:rPr>
          <w:rFonts w:ascii="Arial" w:hAnsi="Arial" w:cs="Arial"/>
          <w:sz w:val="20"/>
          <w:szCs w:val="20"/>
        </w:rPr>
        <w:t>) consisting of multiple new hires during the period.</w:t>
      </w:r>
    </w:p>
    <w:p w14:paraId="0CDFA304" w14:textId="0E94D673" w:rsidR="00E04D44" w:rsidRDefault="00E04D44" w:rsidP="00E04D44">
      <w:pPr>
        <w:pStyle w:val="ListParagraph"/>
        <w:numPr>
          <w:ilvl w:val="0"/>
          <w:numId w:val="34"/>
        </w:numPr>
        <w:spacing w:line="240" w:lineRule="auto"/>
        <w:rPr>
          <w:rFonts w:ascii="Arial" w:hAnsi="Arial" w:cs="Arial"/>
          <w:sz w:val="20"/>
          <w:szCs w:val="20"/>
        </w:rPr>
      </w:pPr>
      <w:r>
        <w:rPr>
          <w:rFonts w:ascii="Arial" w:hAnsi="Arial" w:cs="Arial"/>
          <w:sz w:val="20"/>
          <w:szCs w:val="20"/>
        </w:rPr>
        <w:t>Professional fees of $</w:t>
      </w:r>
      <w:r w:rsidR="00191C56">
        <w:rPr>
          <w:rFonts w:ascii="Arial" w:hAnsi="Arial" w:cs="Arial"/>
          <w:sz w:val="20"/>
          <w:szCs w:val="20"/>
        </w:rPr>
        <w:t>283,357</w:t>
      </w:r>
      <w:r>
        <w:rPr>
          <w:rFonts w:ascii="Arial" w:hAnsi="Arial" w:cs="Arial"/>
          <w:sz w:val="20"/>
          <w:szCs w:val="20"/>
        </w:rPr>
        <w:t xml:space="preserve"> (</w:t>
      </w:r>
      <w:r w:rsidR="00191C56">
        <w:rPr>
          <w:rFonts w:ascii="Arial" w:hAnsi="Arial" w:cs="Arial"/>
          <w:sz w:val="20"/>
          <w:szCs w:val="20"/>
        </w:rPr>
        <w:t>YTD</w:t>
      </w:r>
      <w:r>
        <w:rPr>
          <w:rFonts w:ascii="Arial" w:hAnsi="Arial" w:cs="Arial"/>
          <w:sz w:val="20"/>
          <w:szCs w:val="20"/>
        </w:rPr>
        <w:t xml:space="preserve"> 2020 - $</w:t>
      </w:r>
      <w:r w:rsidR="00191C56">
        <w:rPr>
          <w:rFonts w:ascii="Arial" w:hAnsi="Arial" w:cs="Arial"/>
          <w:sz w:val="20"/>
          <w:szCs w:val="20"/>
        </w:rPr>
        <w:t>36,488</w:t>
      </w:r>
      <w:r>
        <w:rPr>
          <w:rFonts w:ascii="Arial" w:hAnsi="Arial" w:cs="Arial"/>
          <w:sz w:val="20"/>
          <w:szCs w:val="20"/>
        </w:rPr>
        <w:t xml:space="preserve">) consisting of legal and audit fees incurred with the special warrant financing, and multiple acquisitions.  </w:t>
      </w:r>
    </w:p>
    <w:p w14:paraId="7A7D7816" w14:textId="0604E2CF" w:rsidR="00E04D44" w:rsidRPr="00534ADC" w:rsidRDefault="00E04D44" w:rsidP="00E04D44">
      <w:pPr>
        <w:pStyle w:val="ListParagraph"/>
        <w:numPr>
          <w:ilvl w:val="0"/>
          <w:numId w:val="34"/>
        </w:numPr>
        <w:spacing w:line="240" w:lineRule="auto"/>
        <w:rPr>
          <w:rFonts w:ascii="Arial" w:hAnsi="Arial" w:cs="Arial"/>
          <w:sz w:val="20"/>
          <w:szCs w:val="20"/>
        </w:rPr>
      </w:pPr>
      <w:r>
        <w:rPr>
          <w:rFonts w:ascii="Arial" w:hAnsi="Arial" w:cs="Arial"/>
          <w:sz w:val="20"/>
          <w:szCs w:val="20"/>
        </w:rPr>
        <w:t>Share-based payments of $</w:t>
      </w:r>
      <w:r w:rsidR="00A63EED">
        <w:rPr>
          <w:rFonts w:ascii="Arial" w:hAnsi="Arial" w:cs="Arial"/>
          <w:sz w:val="20"/>
          <w:szCs w:val="20"/>
        </w:rPr>
        <w:t>518,516</w:t>
      </w:r>
      <w:r>
        <w:rPr>
          <w:rFonts w:ascii="Arial" w:hAnsi="Arial" w:cs="Arial"/>
          <w:sz w:val="20"/>
          <w:szCs w:val="20"/>
        </w:rPr>
        <w:t xml:space="preserve"> (</w:t>
      </w:r>
      <w:r w:rsidR="00A63EED">
        <w:rPr>
          <w:rFonts w:ascii="Arial" w:hAnsi="Arial" w:cs="Arial"/>
          <w:sz w:val="20"/>
          <w:szCs w:val="20"/>
        </w:rPr>
        <w:t xml:space="preserve">YTD </w:t>
      </w:r>
      <w:r>
        <w:rPr>
          <w:rFonts w:ascii="Arial" w:hAnsi="Arial" w:cs="Arial"/>
          <w:sz w:val="20"/>
          <w:szCs w:val="20"/>
        </w:rPr>
        <w:t xml:space="preserve">2020 - $Nil) incurred in connection with the granting of stock options during the period. </w:t>
      </w:r>
    </w:p>
    <w:p w14:paraId="07C26394" w14:textId="77777777" w:rsidR="00E04D44" w:rsidRDefault="00E04D44" w:rsidP="008E0F66">
      <w:pPr>
        <w:keepNext/>
        <w:rPr>
          <w:rFonts w:ascii="Arial" w:hAnsi="Arial" w:cs="Arial"/>
          <w:bCs/>
          <w:szCs w:val="20"/>
        </w:rPr>
      </w:pPr>
    </w:p>
    <w:p w14:paraId="23B9601E" w14:textId="5F89815B" w:rsidR="00E04D44" w:rsidRDefault="00E04D44" w:rsidP="008E0F66">
      <w:pPr>
        <w:keepNext/>
        <w:rPr>
          <w:rFonts w:ascii="Arial" w:hAnsi="Arial" w:cs="Arial"/>
          <w:bCs/>
          <w:szCs w:val="20"/>
        </w:rPr>
      </w:pPr>
    </w:p>
    <w:p w14:paraId="39345E9E" w14:textId="291EB615" w:rsidR="007C0F23" w:rsidRDefault="007C0F23" w:rsidP="008E0F66">
      <w:pPr>
        <w:keepNext/>
        <w:rPr>
          <w:rFonts w:ascii="Arial" w:hAnsi="Arial" w:cs="Arial"/>
          <w:bCs/>
          <w:szCs w:val="20"/>
        </w:rPr>
      </w:pPr>
    </w:p>
    <w:p w14:paraId="1A3BFF93" w14:textId="0AC869DF" w:rsidR="007C0F23" w:rsidRDefault="007C0F23" w:rsidP="008E0F66">
      <w:pPr>
        <w:keepNext/>
        <w:rPr>
          <w:rFonts w:ascii="Arial" w:hAnsi="Arial" w:cs="Arial"/>
          <w:bCs/>
          <w:szCs w:val="20"/>
        </w:rPr>
      </w:pPr>
    </w:p>
    <w:p w14:paraId="45923DB8" w14:textId="77777777" w:rsidR="007C0F23" w:rsidRDefault="007C0F23" w:rsidP="008E0F66">
      <w:pPr>
        <w:keepNext/>
        <w:rPr>
          <w:rFonts w:ascii="Arial" w:hAnsi="Arial" w:cs="Arial"/>
          <w:bCs/>
          <w:szCs w:val="20"/>
        </w:rPr>
      </w:pPr>
    </w:p>
    <w:p w14:paraId="6B8B60CF" w14:textId="30026641" w:rsidR="00D63092" w:rsidRDefault="00D63092" w:rsidP="008E0F66">
      <w:pPr>
        <w:keepNext/>
        <w:rPr>
          <w:rFonts w:ascii="Arial" w:hAnsi="Arial" w:cs="Arial"/>
          <w:bCs/>
          <w:szCs w:val="20"/>
        </w:rPr>
      </w:pPr>
    </w:p>
    <w:p w14:paraId="0E355B76" w14:textId="77777777" w:rsidR="00D63092" w:rsidRDefault="00D63092" w:rsidP="008E0F66">
      <w:pPr>
        <w:keepNext/>
        <w:rPr>
          <w:rFonts w:ascii="Arial" w:hAnsi="Arial" w:cs="Arial"/>
          <w:bCs/>
          <w:szCs w:val="20"/>
        </w:rPr>
      </w:pPr>
    </w:p>
    <w:p w14:paraId="66BEBFBA" w14:textId="3ECE3CB4" w:rsidR="00D63092" w:rsidRDefault="00D63092" w:rsidP="008E0F66">
      <w:pPr>
        <w:keepNext/>
        <w:rPr>
          <w:rFonts w:ascii="Arial" w:hAnsi="Arial" w:cs="Arial"/>
          <w:bCs/>
          <w:szCs w:val="20"/>
        </w:rPr>
      </w:pPr>
    </w:p>
    <w:p w14:paraId="08FBA215" w14:textId="77777777" w:rsidR="00D63092" w:rsidRDefault="00D63092" w:rsidP="008E0F66">
      <w:pPr>
        <w:keepNext/>
        <w:rPr>
          <w:rFonts w:ascii="Arial" w:hAnsi="Arial" w:cs="Arial"/>
          <w:bCs/>
          <w:szCs w:val="20"/>
        </w:rPr>
      </w:pPr>
    </w:p>
    <w:p w14:paraId="5FF086A1" w14:textId="77777777" w:rsidR="00D63092" w:rsidRDefault="00D63092" w:rsidP="00D63092">
      <w:pPr>
        <w:rPr>
          <w:rFonts w:ascii="Arial" w:hAnsi="Arial" w:cs="Arial"/>
          <w:bCs/>
          <w:szCs w:val="20"/>
        </w:rPr>
      </w:pPr>
    </w:p>
    <w:p w14:paraId="29650E7A" w14:textId="77777777" w:rsidR="00D63092" w:rsidRDefault="00D63092" w:rsidP="00D63092">
      <w:pPr>
        <w:rPr>
          <w:rFonts w:ascii="Arial" w:hAnsi="Arial" w:cs="Arial"/>
          <w:bCs/>
          <w:szCs w:val="20"/>
        </w:rPr>
      </w:pPr>
      <w:r>
        <w:rPr>
          <w:rFonts w:ascii="Arial" w:hAnsi="Arial" w:cs="Arial"/>
          <w:bCs/>
          <w:szCs w:val="20"/>
        </w:rPr>
        <w:lastRenderedPageBreak/>
        <w:br/>
      </w:r>
      <w:r w:rsidR="008E0F66" w:rsidRPr="008E0F66">
        <w:rPr>
          <w:rFonts w:ascii="Arial" w:hAnsi="Arial" w:cs="Arial"/>
          <w:bCs/>
          <w:szCs w:val="20"/>
        </w:rPr>
        <w:t>EBITDA for YTD 2021 and 2020 has been calculated as follows:</w:t>
      </w:r>
    </w:p>
    <w:p w14:paraId="21FC4316" w14:textId="65A66B5F" w:rsidR="007C0F23" w:rsidRDefault="007C0F23" w:rsidP="008F1FCB">
      <w:pPr>
        <w:pStyle w:val="BodyText"/>
        <w:spacing w:before="0"/>
        <w:rPr>
          <w:rFonts w:ascii="Arial" w:hAnsi="Arial" w:cs="Arial"/>
          <w:b/>
          <w:szCs w:val="20"/>
        </w:rPr>
      </w:pPr>
    </w:p>
    <w:tbl>
      <w:tblPr>
        <w:tblW w:w="7106" w:type="dxa"/>
        <w:jc w:val="center"/>
        <w:tblLook w:val="04A0" w:firstRow="1" w:lastRow="0" w:firstColumn="1" w:lastColumn="0" w:noHBand="0" w:noVBand="1"/>
      </w:tblPr>
      <w:tblGrid>
        <w:gridCol w:w="2997"/>
        <w:gridCol w:w="2127"/>
        <w:gridCol w:w="1982"/>
      </w:tblGrid>
      <w:tr w:rsidR="007C0F23" w:rsidRPr="007C0F23" w14:paraId="1F92446D" w14:textId="77777777" w:rsidTr="007C0F23">
        <w:trPr>
          <w:trHeight w:val="771"/>
          <w:jc w:val="center"/>
        </w:trPr>
        <w:tc>
          <w:tcPr>
            <w:tcW w:w="2997" w:type="dxa"/>
            <w:tcBorders>
              <w:top w:val="single" w:sz="8" w:space="0" w:color="auto"/>
              <w:left w:val="nil"/>
              <w:bottom w:val="single" w:sz="8" w:space="0" w:color="auto"/>
              <w:right w:val="nil"/>
            </w:tcBorders>
            <w:shd w:val="clear" w:color="auto" w:fill="auto"/>
            <w:noWrap/>
            <w:vAlign w:val="bottom"/>
            <w:hideMark/>
          </w:tcPr>
          <w:p w14:paraId="63A7354E"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w:t>
            </w:r>
          </w:p>
        </w:tc>
        <w:tc>
          <w:tcPr>
            <w:tcW w:w="2127" w:type="dxa"/>
            <w:tcBorders>
              <w:top w:val="single" w:sz="8" w:space="0" w:color="auto"/>
              <w:left w:val="nil"/>
              <w:bottom w:val="single" w:sz="8" w:space="0" w:color="auto"/>
              <w:right w:val="nil"/>
            </w:tcBorders>
            <w:shd w:val="clear" w:color="auto" w:fill="auto"/>
            <w:vAlign w:val="bottom"/>
            <w:hideMark/>
          </w:tcPr>
          <w:p w14:paraId="20B4E3E8"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Six months ended June 30, 2021</w:t>
            </w:r>
          </w:p>
        </w:tc>
        <w:tc>
          <w:tcPr>
            <w:tcW w:w="1982" w:type="dxa"/>
            <w:tcBorders>
              <w:top w:val="single" w:sz="8" w:space="0" w:color="auto"/>
              <w:left w:val="nil"/>
              <w:bottom w:val="single" w:sz="8" w:space="0" w:color="auto"/>
              <w:right w:val="nil"/>
            </w:tcBorders>
            <w:shd w:val="clear" w:color="auto" w:fill="auto"/>
            <w:vAlign w:val="bottom"/>
            <w:hideMark/>
          </w:tcPr>
          <w:p w14:paraId="5697FB58"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Six months ended June 30, 2020</w:t>
            </w:r>
          </w:p>
        </w:tc>
      </w:tr>
      <w:tr w:rsidR="007C0F23" w:rsidRPr="007C0F23" w14:paraId="28525EE4" w14:textId="77777777" w:rsidTr="007C0F23">
        <w:trPr>
          <w:trHeight w:val="272"/>
          <w:jc w:val="center"/>
        </w:trPr>
        <w:tc>
          <w:tcPr>
            <w:tcW w:w="2997" w:type="dxa"/>
            <w:tcBorders>
              <w:top w:val="nil"/>
              <w:left w:val="nil"/>
              <w:bottom w:val="nil"/>
              <w:right w:val="nil"/>
            </w:tcBorders>
            <w:shd w:val="clear" w:color="auto" w:fill="auto"/>
            <w:noWrap/>
            <w:vAlign w:val="bottom"/>
            <w:hideMark/>
          </w:tcPr>
          <w:p w14:paraId="4957BAD3" w14:textId="77777777" w:rsidR="007C0F23" w:rsidRPr="007C0F23" w:rsidRDefault="007C0F23" w:rsidP="007C0F23">
            <w:pPr>
              <w:jc w:val="center"/>
              <w:rPr>
                <w:rFonts w:ascii="Arial" w:hAnsi="Arial" w:cs="Arial"/>
                <w:b/>
                <w:bCs/>
                <w:color w:val="000000"/>
                <w:szCs w:val="20"/>
                <w:lang w:eastAsia="en-CA"/>
              </w:rPr>
            </w:pPr>
          </w:p>
        </w:tc>
        <w:tc>
          <w:tcPr>
            <w:tcW w:w="2127" w:type="dxa"/>
            <w:tcBorders>
              <w:top w:val="nil"/>
              <w:left w:val="nil"/>
              <w:bottom w:val="nil"/>
              <w:right w:val="nil"/>
            </w:tcBorders>
            <w:shd w:val="clear" w:color="auto" w:fill="auto"/>
            <w:noWrap/>
            <w:vAlign w:val="bottom"/>
            <w:hideMark/>
          </w:tcPr>
          <w:p w14:paraId="45A71774"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w:t>
            </w:r>
          </w:p>
        </w:tc>
        <w:tc>
          <w:tcPr>
            <w:tcW w:w="1982" w:type="dxa"/>
            <w:tcBorders>
              <w:top w:val="nil"/>
              <w:left w:val="nil"/>
              <w:bottom w:val="nil"/>
              <w:right w:val="nil"/>
            </w:tcBorders>
            <w:shd w:val="clear" w:color="auto" w:fill="auto"/>
            <w:noWrap/>
            <w:vAlign w:val="bottom"/>
            <w:hideMark/>
          </w:tcPr>
          <w:p w14:paraId="363B9F13" w14:textId="77777777" w:rsidR="007C0F23" w:rsidRPr="007C0F23" w:rsidRDefault="007C0F23" w:rsidP="007C0F23">
            <w:pPr>
              <w:jc w:val="center"/>
              <w:rPr>
                <w:rFonts w:ascii="Arial" w:hAnsi="Arial" w:cs="Arial"/>
                <w:b/>
                <w:bCs/>
                <w:color w:val="000000"/>
                <w:szCs w:val="20"/>
                <w:lang w:eastAsia="en-CA"/>
              </w:rPr>
            </w:pPr>
            <w:r w:rsidRPr="007C0F23">
              <w:rPr>
                <w:rFonts w:ascii="Arial" w:hAnsi="Arial" w:cs="Arial"/>
                <w:b/>
                <w:bCs/>
                <w:color w:val="000000"/>
                <w:szCs w:val="20"/>
                <w:lang w:eastAsia="en-CA"/>
              </w:rPr>
              <w:t>$</w:t>
            </w:r>
          </w:p>
        </w:tc>
      </w:tr>
      <w:tr w:rsidR="007C0F23" w:rsidRPr="007C0F23" w14:paraId="3A254946" w14:textId="77777777" w:rsidTr="007C0F23">
        <w:trPr>
          <w:trHeight w:val="272"/>
          <w:jc w:val="center"/>
        </w:trPr>
        <w:tc>
          <w:tcPr>
            <w:tcW w:w="2997" w:type="dxa"/>
            <w:tcBorders>
              <w:top w:val="nil"/>
              <w:left w:val="nil"/>
              <w:bottom w:val="nil"/>
              <w:right w:val="nil"/>
            </w:tcBorders>
            <w:shd w:val="clear" w:color="auto" w:fill="auto"/>
            <w:noWrap/>
            <w:vAlign w:val="bottom"/>
            <w:hideMark/>
          </w:tcPr>
          <w:p w14:paraId="7B0F1323"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 xml:space="preserve">Net loss </w:t>
            </w:r>
          </w:p>
        </w:tc>
        <w:tc>
          <w:tcPr>
            <w:tcW w:w="2127" w:type="dxa"/>
            <w:tcBorders>
              <w:top w:val="nil"/>
              <w:left w:val="nil"/>
              <w:bottom w:val="nil"/>
              <w:right w:val="nil"/>
            </w:tcBorders>
            <w:shd w:val="clear" w:color="auto" w:fill="auto"/>
            <w:noWrap/>
            <w:vAlign w:val="bottom"/>
            <w:hideMark/>
          </w:tcPr>
          <w:p w14:paraId="0C5E1C68"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(2,144,636)</w:t>
            </w:r>
          </w:p>
        </w:tc>
        <w:tc>
          <w:tcPr>
            <w:tcW w:w="1982" w:type="dxa"/>
            <w:tcBorders>
              <w:top w:val="nil"/>
              <w:left w:val="nil"/>
              <w:bottom w:val="nil"/>
              <w:right w:val="nil"/>
            </w:tcBorders>
            <w:shd w:val="clear" w:color="auto" w:fill="auto"/>
            <w:noWrap/>
            <w:vAlign w:val="bottom"/>
            <w:hideMark/>
          </w:tcPr>
          <w:p w14:paraId="11746A78"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(143,174)</w:t>
            </w:r>
          </w:p>
        </w:tc>
      </w:tr>
      <w:tr w:rsidR="007C0F23" w:rsidRPr="007C0F23" w14:paraId="479F5894" w14:textId="77777777" w:rsidTr="007C0F23">
        <w:trPr>
          <w:trHeight w:val="272"/>
          <w:jc w:val="center"/>
        </w:trPr>
        <w:tc>
          <w:tcPr>
            <w:tcW w:w="2997" w:type="dxa"/>
            <w:tcBorders>
              <w:top w:val="nil"/>
              <w:left w:val="nil"/>
              <w:bottom w:val="nil"/>
              <w:right w:val="nil"/>
            </w:tcBorders>
            <w:shd w:val="clear" w:color="auto" w:fill="auto"/>
            <w:noWrap/>
            <w:vAlign w:val="bottom"/>
            <w:hideMark/>
          </w:tcPr>
          <w:p w14:paraId="4378C770"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Depreciation</w:t>
            </w:r>
          </w:p>
        </w:tc>
        <w:tc>
          <w:tcPr>
            <w:tcW w:w="2127" w:type="dxa"/>
            <w:tcBorders>
              <w:top w:val="nil"/>
              <w:left w:val="nil"/>
              <w:bottom w:val="nil"/>
              <w:right w:val="nil"/>
            </w:tcBorders>
            <w:shd w:val="clear" w:color="auto" w:fill="auto"/>
            <w:noWrap/>
            <w:vAlign w:val="bottom"/>
            <w:hideMark/>
          </w:tcPr>
          <w:p w14:paraId="0B87F8B2"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1,514 </w:t>
            </w:r>
          </w:p>
        </w:tc>
        <w:tc>
          <w:tcPr>
            <w:tcW w:w="1982" w:type="dxa"/>
            <w:tcBorders>
              <w:top w:val="nil"/>
              <w:left w:val="nil"/>
              <w:bottom w:val="nil"/>
              <w:right w:val="nil"/>
            </w:tcBorders>
            <w:shd w:val="clear" w:color="auto" w:fill="auto"/>
            <w:noWrap/>
            <w:vAlign w:val="bottom"/>
            <w:hideMark/>
          </w:tcPr>
          <w:p w14:paraId="7A5C7271"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61E661D9" w14:textId="77777777" w:rsidTr="007C0F23">
        <w:trPr>
          <w:trHeight w:val="272"/>
          <w:jc w:val="center"/>
        </w:trPr>
        <w:tc>
          <w:tcPr>
            <w:tcW w:w="2997" w:type="dxa"/>
            <w:tcBorders>
              <w:top w:val="nil"/>
              <w:left w:val="nil"/>
              <w:bottom w:val="nil"/>
              <w:right w:val="nil"/>
            </w:tcBorders>
            <w:shd w:val="clear" w:color="auto" w:fill="auto"/>
            <w:noWrap/>
            <w:vAlign w:val="bottom"/>
            <w:hideMark/>
          </w:tcPr>
          <w:p w14:paraId="47160599"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Share-based payments</w:t>
            </w:r>
          </w:p>
        </w:tc>
        <w:tc>
          <w:tcPr>
            <w:tcW w:w="2127" w:type="dxa"/>
            <w:tcBorders>
              <w:top w:val="nil"/>
              <w:left w:val="nil"/>
              <w:bottom w:val="nil"/>
              <w:right w:val="nil"/>
            </w:tcBorders>
            <w:shd w:val="clear" w:color="auto" w:fill="auto"/>
            <w:noWrap/>
            <w:vAlign w:val="bottom"/>
            <w:hideMark/>
          </w:tcPr>
          <w:p w14:paraId="32E1A4A3"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518,506 </w:t>
            </w:r>
          </w:p>
        </w:tc>
        <w:tc>
          <w:tcPr>
            <w:tcW w:w="1982" w:type="dxa"/>
            <w:tcBorders>
              <w:top w:val="nil"/>
              <w:left w:val="nil"/>
              <w:bottom w:val="nil"/>
              <w:right w:val="nil"/>
            </w:tcBorders>
            <w:shd w:val="clear" w:color="auto" w:fill="auto"/>
            <w:noWrap/>
            <w:vAlign w:val="bottom"/>
            <w:hideMark/>
          </w:tcPr>
          <w:p w14:paraId="1575C3D4"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0E0503F9" w14:textId="77777777" w:rsidTr="007C0F23">
        <w:trPr>
          <w:trHeight w:val="272"/>
          <w:jc w:val="center"/>
        </w:trPr>
        <w:tc>
          <w:tcPr>
            <w:tcW w:w="2997" w:type="dxa"/>
            <w:tcBorders>
              <w:top w:val="nil"/>
              <w:left w:val="nil"/>
              <w:bottom w:val="nil"/>
              <w:right w:val="nil"/>
            </w:tcBorders>
            <w:shd w:val="clear" w:color="auto" w:fill="auto"/>
            <w:noWrap/>
            <w:vAlign w:val="bottom"/>
            <w:hideMark/>
          </w:tcPr>
          <w:p w14:paraId="5E44A6C2"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Foreign exchange</w:t>
            </w:r>
          </w:p>
        </w:tc>
        <w:tc>
          <w:tcPr>
            <w:tcW w:w="2127" w:type="dxa"/>
            <w:tcBorders>
              <w:top w:val="nil"/>
              <w:left w:val="nil"/>
              <w:bottom w:val="nil"/>
              <w:right w:val="nil"/>
            </w:tcBorders>
            <w:shd w:val="clear" w:color="auto" w:fill="auto"/>
            <w:noWrap/>
            <w:vAlign w:val="bottom"/>
            <w:hideMark/>
          </w:tcPr>
          <w:p w14:paraId="0ABE5405"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95,829 </w:t>
            </w:r>
          </w:p>
        </w:tc>
        <w:tc>
          <w:tcPr>
            <w:tcW w:w="1982" w:type="dxa"/>
            <w:tcBorders>
              <w:top w:val="nil"/>
              <w:left w:val="nil"/>
              <w:bottom w:val="nil"/>
              <w:right w:val="nil"/>
            </w:tcBorders>
            <w:shd w:val="clear" w:color="auto" w:fill="auto"/>
            <w:noWrap/>
            <w:vAlign w:val="bottom"/>
            <w:hideMark/>
          </w:tcPr>
          <w:p w14:paraId="42A9FABD"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08B0BEE1" w14:textId="77777777" w:rsidTr="007C0F23">
        <w:trPr>
          <w:trHeight w:val="272"/>
          <w:jc w:val="center"/>
        </w:trPr>
        <w:tc>
          <w:tcPr>
            <w:tcW w:w="2997" w:type="dxa"/>
            <w:tcBorders>
              <w:top w:val="nil"/>
              <w:left w:val="nil"/>
              <w:bottom w:val="single" w:sz="4" w:space="0" w:color="auto"/>
              <w:right w:val="nil"/>
            </w:tcBorders>
            <w:shd w:val="clear" w:color="auto" w:fill="auto"/>
            <w:noWrap/>
            <w:vAlign w:val="bottom"/>
            <w:hideMark/>
          </w:tcPr>
          <w:p w14:paraId="71761CBA"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Tax expense</w:t>
            </w:r>
          </w:p>
        </w:tc>
        <w:tc>
          <w:tcPr>
            <w:tcW w:w="2127" w:type="dxa"/>
            <w:tcBorders>
              <w:top w:val="nil"/>
              <w:left w:val="nil"/>
              <w:bottom w:val="single" w:sz="4" w:space="0" w:color="auto"/>
              <w:right w:val="nil"/>
            </w:tcBorders>
            <w:shd w:val="clear" w:color="auto" w:fill="auto"/>
            <w:noWrap/>
            <w:vAlign w:val="bottom"/>
            <w:hideMark/>
          </w:tcPr>
          <w:p w14:paraId="5B391164"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38,975 </w:t>
            </w:r>
          </w:p>
        </w:tc>
        <w:tc>
          <w:tcPr>
            <w:tcW w:w="1982" w:type="dxa"/>
            <w:tcBorders>
              <w:top w:val="nil"/>
              <w:left w:val="nil"/>
              <w:bottom w:val="single" w:sz="4" w:space="0" w:color="auto"/>
              <w:right w:val="nil"/>
            </w:tcBorders>
            <w:shd w:val="clear" w:color="auto" w:fill="auto"/>
            <w:noWrap/>
            <w:vAlign w:val="bottom"/>
            <w:hideMark/>
          </w:tcPr>
          <w:p w14:paraId="375D130E"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 </w:t>
            </w:r>
          </w:p>
        </w:tc>
      </w:tr>
      <w:tr w:rsidR="007C0F23" w:rsidRPr="007C0F23" w14:paraId="73B4E00D" w14:textId="77777777" w:rsidTr="007C0F23">
        <w:trPr>
          <w:trHeight w:val="283"/>
          <w:jc w:val="center"/>
        </w:trPr>
        <w:tc>
          <w:tcPr>
            <w:tcW w:w="2997" w:type="dxa"/>
            <w:tcBorders>
              <w:top w:val="nil"/>
              <w:left w:val="nil"/>
              <w:bottom w:val="single" w:sz="8" w:space="0" w:color="auto"/>
              <w:right w:val="nil"/>
            </w:tcBorders>
            <w:shd w:val="clear" w:color="auto" w:fill="auto"/>
            <w:noWrap/>
            <w:vAlign w:val="bottom"/>
            <w:hideMark/>
          </w:tcPr>
          <w:p w14:paraId="7F977974" w14:textId="77777777" w:rsidR="007C0F23" w:rsidRPr="007C0F23" w:rsidRDefault="007C0F23" w:rsidP="007C0F23">
            <w:pPr>
              <w:rPr>
                <w:rFonts w:ascii="Arial" w:hAnsi="Arial" w:cs="Arial"/>
                <w:color w:val="000000"/>
                <w:szCs w:val="20"/>
                <w:lang w:eastAsia="en-CA"/>
              </w:rPr>
            </w:pPr>
            <w:r w:rsidRPr="007C0F23">
              <w:rPr>
                <w:rFonts w:ascii="Arial" w:hAnsi="Arial" w:cs="Arial"/>
                <w:color w:val="000000"/>
                <w:szCs w:val="20"/>
                <w:lang w:eastAsia="en-CA"/>
              </w:rPr>
              <w:t>EBITDA (Loss)</w:t>
            </w:r>
          </w:p>
        </w:tc>
        <w:tc>
          <w:tcPr>
            <w:tcW w:w="2127" w:type="dxa"/>
            <w:tcBorders>
              <w:top w:val="nil"/>
              <w:left w:val="nil"/>
              <w:bottom w:val="single" w:sz="8" w:space="0" w:color="auto"/>
              <w:right w:val="nil"/>
            </w:tcBorders>
            <w:shd w:val="clear" w:color="auto" w:fill="auto"/>
            <w:noWrap/>
            <w:vAlign w:val="bottom"/>
            <w:hideMark/>
          </w:tcPr>
          <w:p w14:paraId="711B4E6C"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(1,489,812)</w:t>
            </w:r>
          </w:p>
        </w:tc>
        <w:tc>
          <w:tcPr>
            <w:tcW w:w="1982" w:type="dxa"/>
            <w:tcBorders>
              <w:top w:val="nil"/>
              <w:left w:val="nil"/>
              <w:bottom w:val="single" w:sz="8" w:space="0" w:color="auto"/>
              <w:right w:val="nil"/>
            </w:tcBorders>
            <w:shd w:val="clear" w:color="auto" w:fill="auto"/>
            <w:noWrap/>
            <w:vAlign w:val="bottom"/>
            <w:hideMark/>
          </w:tcPr>
          <w:p w14:paraId="3F9C8C08" w14:textId="77777777" w:rsidR="007C0F23" w:rsidRPr="007C0F23" w:rsidRDefault="007C0F23" w:rsidP="007C0F23">
            <w:pPr>
              <w:jc w:val="right"/>
              <w:rPr>
                <w:rFonts w:ascii="Arial" w:hAnsi="Arial" w:cs="Arial"/>
                <w:color w:val="000000"/>
                <w:szCs w:val="20"/>
                <w:lang w:eastAsia="en-CA"/>
              </w:rPr>
            </w:pPr>
            <w:r w:rsidRPr="007C0F23">
              <w:rPr>
                <w:rFonts w:ascii="Arial" w:hAnsi="Arial" w:cs="Arial"/>
                <w:color w:val="000000"/>
                <w:szCs w:val="20"/>
                <w:lang w:eastAsia="en-CA"/>
              </w:rPr>
              <w:t xml:space="preserve">           (143,174)</w:t>
            </w:r>
          </w:p>
        </w:tc>
      </w:tr>
    </w:tbl>
    <w:p w14:paraId="3C72072F" w14:textId="77777777" w:rsidR="007C0F23" w:rsidRDefault="007C0F23" w:rsidP="008F1FCB">
      <w:pPr>
        <w:pStyle w:val="BodyText"/>
        <w:spacing w:before="0"/>
        <w:rPr>
          <w:rFonts w:ascii="Arial" w:hAnsi="Arial" w:cs="Arial"/>
          <w:b/>
          <w:szCs w:val="20"/>
        </w:rPr>
      </w:pPr>
    </w:p>
    <w:p w14:paraId="14D2384C" w14:textId="3609688A" w:rsidR="003D22A7" w:rsidRPr="00534ADC" w:rsidRDefault="00C04159" w:rsidP="008F1FCB">
      <w:pPr>
        <w:pStyle w:val="BodyText"/>
        <w:spacing w:before="0"/>
        <w:rPr>
          <w:rFonts w:ascii="Arial" w:hAnsi="Arial" w:cs="Arial"/>
          <w:b/>
          <w:szCs w:val="20"/>
        </w:rPr>
      </w:pPr>
      <w:r w:rsidRPr="00D63092">
        <w:rPr>
          <w:rFonts w:ascii="Arial" w:hAnsi="Arial" w:cs="Arial"/>
          <w:b/>
          <w:szCs w:val="20"/>
        </w:rPr>
        <w:t>LIQUIDITY</w:t>
      </w:r>
      <w:r w:rsidR="003D22A7" w:rsidRPr="00D63092">
        <w:rPr>
          <w:rFonts w:ascii="Arial" w:hAnsi="Arial" w:cs="Arial"/>
          <w:b/>
          <w:szCs w:val="20"/>
        </w:rPr>
        <w:t xml:space="preserve"> &amp; CAPITAL RESOURCE</w:t>
      </w:r>
      <w:r w:rsidR="001E3EED" w:rsidRPr="00D63092">
        <w:rPr>
          <w:rFonts w:ascii="Arial" w:hAnsi="Arial" w:cs="Arial"/>
          <w:b/>
          <w:szCs w:val="20"/>
        </w:rPr>
        <w:t>S</w:t>
      </w:r>
    </w:p>
    <w:p w14:paraId="5AE8E084" w14:textId="77777777" w:rsidR="00996DF0" w:rsidRPr="00534ADC" w:rsidRDefault="00996DF0" w:rsidP="008F1FCB">
      <w:pPr>
        <w:jc w:val="both"/>
        <w:rPr>
          <w:rFonts w:ascii="Arial" w:hAnsi="Arial" w:cs="Arial"/>
          <w:color w:val="000000"/>
          <w:szCs w:val="20"/>
          <w:lang w:val="en-US"/>
        </w:rPr>
      </w:pPr>
    </w:p>
    <w:p w14:paraId="207206B8" w14:textId="676B97AB" w:rsidR="008F1FCB" w:rsidRPr="00534ADC" w:rsidRDefault="00996DF0" w:rsidP="008F1FCB">
      <w:pPr>
        <w:jc w:val="both"/>
        <w:rPr>
          <w:rFonts w:ascii="Arial" w:hAnsi="Arial" w:cs="Arial"/>
          <w:color w:val="000000"/>
          <w:szCs w:val="20"/>
          <w:lang w:val="en-US"/>
        </w:rPr>
      </w:pPr>
      <w:r w:rsidRPr="00534ADC">
        <w:rPr>
          <w:rFonts w:ascii="Arial" w:hAnsi="Arial" w:cs="Arial"/>
          <w:color w:val="000000"/>
          <w:szCs w:val="20"/>
          <w:lang w:val="en-US"/>
        </w:rPr>
        <w:t xml:space="preserve">As </w:t>
      </w:r>
      <w:proofErr w:type="gramStart"/>
      <w:r w:rsidRPr="00534ADC">
        <w:rPr>
          <w:rFonts w:ascii="Arial" w:hAnsi="Arial" w:cs="Arial"/>
          <w:color w:val="000000"/>
          <w:szCs w:val="20"/>
          <w:lang w:val="en-US"/>
        </w:rPr>
        <w:t>at</w:t>
      </w:r>
      <w:proofErr w:type="gramEnd"/>
      <w:r w:rsidRPr="00534ADC">
        <w:rPr>
          <w:rFonts w:ascii="Arial" w:hAnsi="Arial" w:cs="Arial"/>
          <w:color w:val="000000"/>
          <w:szCs w:val="20"/>
          <w:lang w:val="en-US"/>
        </w:rPr>
        <w:t xml:space="preserve"> </w:t>
      </w:r>
      <w:r w:rsidR="009F4176">
        <w:rPr>
          <w:rFonts w:ascii="Arial" w:hAnsi="Arial" w:cs="Arial"/>
          <w:color w:val="000000"/>
          <w:szCs w:val="20"/>
          <w:lang w:val="en-US"/>
        </w:rPr>
        <w:t>June 30</w:t>
      </w:r>
      <w:r w:rsidR="00291189">
        <w:rPr>
          <w:rFonts w:ascii="Arial" w:hAnsi="Arial" w:cs="Arial"/>
          <w:color w:val="000000"/>
          <w:szCs w:val="20"/>
          <w:lang w:val="en-US"/>
        </w:rPr>
        <w:t>, 2021</w:t>
      </w:r>
      <w:r w:rsidRPr="00534ADC">
        <w:rPr>
          <w:rFonts w:ascii="Arial" w:hAnsi="Arial" w:cs="Arial"/>
          <w:color w:val="000000"/>
          <w:szCs w:val="20"/>
          <w:lang w:val="en-US"/>
        </w:rPr>
        <w:t xml:space="preserve">, the Company’s capital is composed of shareholders’ equity. The Company’s primary objectives, when managing its capital, are to maintain adequate levels of funding to support operations of the Company and to maintain corporate and administrative functions. </w:t>
      </w:r>
    </w:p>
    <w:p w14:paraId="3DF72DD1" w14:textId="77777777" w:rsidR="00677EF8" w:rsidRPr="00534ADC" w:rsidRDefault="00677EF8" w:rsidP="008F1FCB">
      <w:pPr>
        <w:jc w:val="both"/>
        <w:rPr>
          <w:rFonts w:ascii="Arial" w:hAnsi="Arial" w:cs="Arial"/>
          <w:color w:val="000000"/>
          <w:szCs w:val="20"/>
          <w:lang w:val="en-US"/>
        </w:rPr>
      </w:pPr>
    </w:p>
    <w:p w14:paraId="5C204739" w14:textId="4B3EA971" w:rsidR="00996DF0" w:rsidRPr="00534ADC" w:rsidRDefault="00996DF0" w:rsidP="008F1FCB">
      <w:pPr>
        <w:jc w:val="both"/>
        <w:rPr>
          <w:rFonts w:ascii="Arial" w:hAnsi="Arial" w:cs="Arial"/>
          <w:color w:val="000000"/>
          <w:szCs w:val="20"/>
          <w:lang w:val="en-US"/>
        </w:rPr>
      </w:pPr>
      <w:r w:rsidRPr="00534ADC">
        <w:rPr>
          <w:rFonts w:ascii="Arial" w:hAnsi="Arial" w:cs="Arial"/>
          <w:color w:val="000000"/>
          <w:szCs w:val="20"/>
          <w:lang w:val="en-US"/>
        </w:rPr>
        <w:t>The Company defines capital as cash and equity, consisting of the issued common stock. The capital structure of the Company is managed to provide sufficient funding operating activities. Funds are primarily secured through</w:t>
      </w:r>
      <w:r w:rsidR="008F1FCB" w:rsidRPr="00534ADC">
        <w:rPr>
          <w:rFonts w:ascii="Arial" w:hAnsi="Arial" w:cs="Arial"/>
          <w:color w:val="000000"/>
          <w:szCs w:val="20"/>
          <w:lang w:val="en-US"/>
        </w:rPr>
        <w:t xml:space="preserve"> </w:t>
      </w:r>
      <w:proofErr w:type="gramStart"/>
      <w:r w:rsidR="008F1FCB" w:rsidRPr="00534ADC">
        <w:rPr>
          <w:rFonts w:ascii="Arial" w:hAnsi="Arial" w:cs="Arial"/>
          <w:color w:val="000000"/>
          <w:szCs w:val="20"/>
          <w:lang w:val="en-US"/>
        </w:rPr>
        <w:t>sales</w:t>
      </w:r>
      <w:proofErr w:type="gramEnd"/>
      <w:r w:rsidR="008F1FCB" w:rsidRPr="00534ADC">
        <w:rPr>
          <w:rFonts w:ascii="Arial" w:hAnsi="Arial" w:cs="Arial"/>
          <w:color w:val="000000"/>
          <w:szCs w:val="20"/>
          <w:lang w:val="en-US"/>
        </w:rPr>
        <w:t xml:space="preserve"> or</w:t>
      </w:r>
      <w:r w:rsidRPr="00534ADC">
        <w:rPr>
          <w:rFonts w:ascii="Arial" w:hAnsi="Arial" w:cs="Arial"/>
          <w:color w:val="000000"/>
          <w:szCs w:val="20"/>
          <w:lang w:val="en-US"/>
        </w:rPr>
        <w:t xml:space="preserve"> a combination of equity capital raised by way of private placements and short-term debt. </w:t>
      </w:r>
    </w:p>
    <w:p w14:paraId="59E135E9" w14:textId="77777777" w:rsidR="008F1FCB" w:rsidRPr="00534ADC" w:rsidRDefault="008F1FCB" w:rsidP="008F1FCB">
      <w:pPr>
        <w:pStyle w:val="BodyText"/>
        <w:spacing w:before="0"/>
        <w:rPr>
          <w:rFonts w:ascii="Arial" w:hAnsi="Arial" w:cs="Arial"/>
          <w:szCs w:val="20"/>
        </w:rPr>
      </w:pPr>
    </w:p>
    <w:p w14:paraId="44DA3734" w14:textId="11870318" w:rsidR="00996DF0" w:rsidRPr="00534ADC" w:rsidRDefault="00996DF0" w:rsidP="008F1FCB">
      <w:pPr>
        <w:pStyle w:val="BodyText"/>
        <w:spacing w:before="0"/>
        <w:rPr>
          <w:rFonts w:ascii="Arial" w:hAnsi="Arial" w:cs="Arial"/>
          <w:szCs w:val="20"/>
        </w:rPr>
      </w:pPr>
      <w:r w:rsidRPr="00534ADC">
        <w:rPr>
          <w:rFonts w:ascii="Arial" w:hAnsi="Arial" w:cs="Arial"/>
          <w:szCs w:val="20"/>
        </w:rPr>
        <w:t xml:space="preserve">The Company had cash of </w:t>
      </w:r>
      <w:r w:rsidR="009E6ADB">
        <w:rPr>
          <w:rFonts w:ascii="Arial" w:hAnsi="Arial" w:cs="Arial"/>
          <w:szCs w:val="20"/>
        </w:rPr>
        <w:t>$</w:t>
      </w:r>
      <w:r w:rsidR="00D63092">
        <w:rPr>
          <w:rFonts w:ascii="Arial" w:hAnsi="Arial" w:cs="Arial"/>
          <w:szCs w:val="20"/>
        </w:rPr>
        <w:t>3,555,951</w:t>
      </w:r>
      <w:r w:rsidR="009E6ADB">
        <w:rPr>
          <w:rFonts w:ascii="Arial" w:hAnsi="Arial" w:cs="Arial"/>
          <w:szCs w:val="20"/>
        </w:rPr>
        <w:t xml:space="preserve"> </w:t>
      </w:r>
      <w:r w:rsidR="008F1FCB" w:rsidRPr="00534ADC">
        <w:rPr>
          <w:rFonts w:ascii="Arial" w:hAnsi="Arial" w:cs="Arial"/>
          <w:szCs w:val="20"/>
        </w:rPr>
        <w:t xml:space="preserve">as </w:t>
      </w:r>
      <w:proofErr w:type="gramStart"/>
      <w:r w:rsidRPr="00534ADC">
        <w:rPr>
          <w:rFonts w:ascii="Arial" w:hAnsi="Arial" w:cs="Arial"/>
          <w:szCs w:val="20"/>
        </w:rPr>
        <w:t>at</w:t>
      </w:r>
      <w:proofErr w:type="gramEnd"/>
      <w:r w:rsidRPr="00534ADC">
        <w:rPr>
          <w:rFonts w:ascii="Arial" w:hAnsi="Arial" w:cs="Arial"/>
          <w:szCs w:val="20"/>
        </w:rPr>
        <w:t xml:space="preserve"> </w:t>
      </w:r>
      <w:r w:rsidR="009F4176">
        <w:rPr>
          <w:rFonts w:ascii="Arial" w:hAnsi="Arial" w:cs="Arial"/>
          <w:szCs w:val="20"/>
        </w:rPr>
        <w:t>June 30</w:t>
      </w:r>
      <w:r w:rsidR="009E6ADB">
        <w:rPr>
          <w:rFonts w:ascii="Arial" w:hAnsi="Arial" w:cs="Arial"/>
          <w:szCs w:val="20"/>
        </w:rPr>
        <w:t>, 2021</w:t>
      </w:r>
      <w:r w:rsidR="00432359" w:rsidRPr="00534ADC">
        <w:rPr>
          <w:rFonts w:ascii="Arial" w:hAnsi="Arial" w:cs="Arial"/>
          <w:szCs w:val="20"/>
        </w:rPr>
        <w:t xml:space="preserve"> </w:t>
      </w:r>
      <w:r w:rsidR="00AB7E9E" w:rsidRPr="00534ADC">
        <w:rPr>
          <w:rFonts w:ascii="Arial" w:hAnsi="Arial" w:cs="Arial"/>
          <w:szCs w:val="20"/>
        </w:rPr>
        <w:t xml:space="preserve">and </w:t>
      </w:r>
      <w:r w:rsidR="009E6ADB" w:rsidRPr="00534ADC">
        <w:rPr>
          <w:rFonts w:ascii="Arial" w:hAnsi="Arial" w:cs="Arial"/>
          <w:szCs w:val="20"/>
        </w:rPr>
        <w:t>$</w:t>
      </w:r>
      <w:r w:rsidR="009E6ADB">
        <w:rPr>
          <w:rFonts w:ascii="Arial" w:hAnsi="Arial" w:cs="Arial"/>
          <w:szCs w:val="20"/>
        </w:rPr>
        <w:t>2,082,206</w:t>
      </w:r>
      <w:r w:rsidR="00AB7E9E" w:rsidRPr="00534ADC">
        <w:rPr>
          <w:rFonts w:ascii="Arial" w:hAnsi="Arial" w:cs="Arial"/>
          <w:szCs w:val="20"/>
        </w:rPr>
        <w:t xml:space="preserve"> as at December 31, 20</w:t>
      </w:r>
      <w:r w:rsidR="009E6ADB">
        <w:rPr>
          <w:rFonts w:ascii="Arial" w:hAnsi="Arial" w:cs="Arial"/>
          <w:szCs w:val="20"/>
        </w:rPr>
        <w:t>20 (“YE 2020”)</w:t>
      </w:r>
      <w:r w:rsidR="00AB7E9E" w:rsidRPr="00534ADC">
        <w:rPr>
          <w:rFonts w:ascii="Arial" w:hAnsi="Arial" w:cs="Arial"/>
          <w:szCs w:val="20"/>
        </w:rPr>
        <w:t xml:space="preserve">. </w:t>
      </w:r>
      <w:r w:rsidR="009E6ADB" w:rsidRPr="00BE59B8">
        <w:rPr>
          <w:rFonts w:ascii="Arial" w:hAnsi="Arial" w:cs="Arial"/>
          <w:szCs w:val="20"/>
          <w:lang w:val="en-US"/>
        </w:rPr>
        <w:t xml:space="preserve">As </w:t>
      </w:r>
      <w:proofErr w:type="gramStart"/>
      <w:r w:rsidR="009E6ADB" w:rsidRPr="00BE59B8">
        <w:rPr>
          <w:rFonts w:ascii="Arial" w:hAnsi="Arial" w:cs="Arial"/>
          <w:szCs w:val="20"/>
          <w:lang w:val="en-US"/>
        </w:rPr>
        <w:t>at</w:t>
      </w:r>
      <w:proofErr w:type="gramEnd"/>
      <w:r w:rsidR="009E6ADB" w:rsidRPr="00BE59B8">
        <w:rPr>
          <w:rFonts w:ascii="Arial" w:hAnsi="Arial" w:cs="Arial"/>
          <w:szCs w:val="20"/>
          <w:lang w:val="en-US"/>
        </w:rPr>
        <w:t xml:space="preserve"> </w:t>
      </w:r>
      <w:r w:rsidR="009F4176">
        <w:rPr>
          <w:rFonts w:ascii="Arial" w:hAnsi="Arial" w:cs="Arial"/>
          <w:szCs w:val="20"/>
          <w:lang w:val="en-US"/>
        </w:rPr>
        <w:t>June 30</w:t>
      </w:r>
      <w:r w:rsidR="009E6ADB">
        <w:rPr>
          <w:rFonts w:ascii="Arial" w:hAnsi="Arial" w:cs="Arial"/>
          <w:szCs w:val="20"/>
          <w:lang w:val="en-US"/>
        </w:rPr>
        <w:t>, 2021</w:t>
      </w:r>
      <w:r w:rsidR="009E6ADB" w:rsidRPr="00BE59B8">
        <w:rPr>
          <w:rFonts w:ascii="Arial" w:hAnsi="Arial" w:cs="Arial"/>
          <w:szCs w:val="20"/>
          <w:lang w:val="en-US"/>
        </w:rPr>
        <w:t>, the Company has working capital o</w:t>
      </w:r>
      <w:r w:rsidR="009E6ADB">
        <w:rPr>
          <w:rFonts w:ascii="Arial" w:hAnsi="Arial" w:cs="Arial"/>
          <w:szCs w:val="20"/>
          <w:lang w:val="en-US"/>
        </w:rPr>
        <w:t>f $</w:t>
      </w:r>
      <w:r w:rsidR="003C4921">
        <w:rPr>
          <w:rFonts w:ascii="Arial" w:hAnsi="Arial" w:cs="Arial"/>
          <w:szCs w:val="20"/>
          <w:lang w:val="en-US"/>
        </w:rPr>
        <w:t>2,195,612</w:t>
      </w:r>
      <w:r w:rsidR="009E6ADB">
        <w:rPr>
          <w:rFonts w:ascii="Arial" w:hAnsi="Arial" w:cs="Arial"/>
          <w:szCs w:val="20"/>
          <w:lang w:val="en-US"/>
        </w:rPr>
        <w:t xml:space="preserve"> (YE 2020 – $2,116,352)</w:t>
      </w:r>
    </w:p>
    <w:p w14:paraId="24D2B3EF" w14:textId="424D8E39" w:rsidR="00677EF8" w:rsidRPr="00534ADC" w:rsidRDefault="00677EF8" w:rsidP="008F1FCB">
      <w:pPr>
        <w:pStyle w:val="BodyText"/>
        <w:spacing w:before="0"/>
        <w:rPr>
          <w:rFonts w:ascii="Arial" w:hAnsi="Arial" w:cs="Arial"/>
          <w:szCs w:val="20"/>
        </w:rPr>
      </w:pPr>
    </w:p>
    <w:p w14:paraId="58A452B6" w14:textId="3B15B9A0" w:rsidR="008F1FCB" w:rsidRPr="00534ADC" w:rsidRDefault="00592242" w:rsidP="008F1FCB">
      <w:pPr>
        <w:pStyle w:val="BodyText"/>
        <w:spacing w:before="0"/>
        <w:rPr>
          <w:rFonts w:ascii="Arial" w:hAnsi="Arial" w:cs="Arial"/>
          <w:szCs w:val="20"/>
        </w:rPr>
      </w:pPr>
      <w:r w:rsidRPr="00534ADC">
        <w:rPr>
          <w:rFonts w:ascii="Arial" w:hAnsi="Arial" w:cs="Arial"/>
          <w:szCs w:val="20"/>
        </w:rPr>
        <w:t>The Company manages its capital structure in a manner that provides sufficient funding for operational and capital expenditure activities.  Funds are secured</w:t>
      </w:r>
      <w:r w:rsidR="00D8791A" w:rsidRPr="00534ADC">
        <w:rPr>
          <w:rFonts w:ascii="Arial" w:hAnsi="Arial" w:cs="Arial"/>
          <w:szCs w:val="20"/>
        </w:rPr>
        <w:t xml:space="preserve"> </w:t>
      </w:r>
      <w:r w:rsidRPr="00534ADC">
        <w:rPr>
          <w:rFonts w:ascii="Arial" w:hAnsi="Arial" w:cs="Arial"/>
          <w:szCs w:val="20"/>
        </w:rPr>
        <w:t xml:space="preserve">through </w:t>
      </w:r>
      <w:r w:rsidR="00D8791A" w:rsidRPr="00534ADC">
        <w:rPr>
          <w:rFonts w:ascii="Arial" w:hAnsi="Arial" w:cs="Arial"/>
          <w:szCs w:val="20"/>
        </w:rPr>
        <w:t xml:space="preserve">revenues </w:t>
      </w:r>
      <w:r w:rsidRPr="00534ADC">
        <w:rPr>
          <w:rFonts w:ascii="Arial" w:hAnsi="Arial" w:cs="Arial"/>
          <w:szCs w:val="20"/>
        </w:rPr>
        <w:t>or equity capital raised by means of private placements.  There can be no assurances that the Company will be able to obtain debt or equity capital in the case of working capital deficits.</w:t>
      </w:r>
    </w:p>
    <w:p w14:paraId="4B736BF1" w14:textId="77777777" w:rsidR="004E2D01" w:rsidRPr="00534ADC" w:rsidRDefault="004E2D01" w:rsidP="008F1FCB">
      <w:pPr>
        <w:pStyle w:val="BodyText"/>
        <w:spacing w:before="0"/>
        <w:rPr>
          <w:rFonts w:ascii="Arial" w:hAnsi="Arial" w:cs="Arial"/>
          <w:szCs w:val="20"/>
        </w:rPr>
      </w:pPr>
    </w:p>
    <w:p w14:paraId="5AF8FA11" w14:textId="691F3A9B" w:rsidR="00592242" w:rsidRPr="00534ADC" w:rsidRDefault="00592242" w:rsidP="008F1FCB">
      <w:pPr>
        <w:pStyle w:val="BodyText"/>
        <w:spacing w:before="0"/>
        <w:rPr>
          <w:rFonts w:ascii="Arial" w:hAnsi="Arial" w:cs="Arial"/>
          <w:szCs w:val="20"/>
        </w:rPr>
      </w:pPr>
      <w:r w:rsidRPr="00534ADC">
        <w:rPr>
          <w:rFonts w:ascii="Arial" w:hAnsi="Arial" w:cs="Arial"/>
          <w:szCs w:val="20"/>
        </w:rPr>
        <w:t>The Company is not subject to any externally imposed capital requirements.</w:t>
      </w:r>
    </w:p>
    <w:p w14:paraId="03F0390F" w14:textId="77777777" w:rsidR="008F1FCB" w:rsidRPr="00534ADC" w:rsidRDefault="008F1FCB" w:rsidP="008F1FCB">
      <w:pPr>
        <w:pStyle w:val="BodyText"/>
        <w:spacing w:before="0"/>
        <w:rPr>
          <w:rFonts w:ascii="Arial" w:hAnsi="Arial" w:cs="Arial"/>
          <w:szCs w:val="20"/>
        </w:rPr>
      </w:pPr>
    </w:p>
    <w:p w14:paraId="1C9E4880" w14:textId="3305E35D" w:rsidR="00602D19" w:rsidRPr="00534ADC" w:rsidRDefault="00C04159" w:rsidP="008F1FCB">
      <w:pPr>
        <w:pStyle w:val="BodyText"/>
        <w:spacing w:before="0"/>
        <w:rPr>
          <w:rFonts w:ascii="Arial" w:hAnsi="Arial" w:cs="Arial"/>
          <w:szCs w:val="20"/>
        </w:rPr>
      </w:pPr>
      <w:r w:rsidRPr="00534ADC">
        <w:rPr>
          <w:rFonts w:ascii="Arial" w:hAnsi="Arial" w:cs="Arial"/>
          <w:szCs w:val="20"/>
        </w:rPr>
        <w:t>If additional funds are required, the Company plans to raise additional capital primarily through the private placement of its equity securities.  Under such circumstances, there is no assurance that the Company will be able to obtain further funds required for the Company’s continued working capital requirements.</w:t>
      </w:r>
    </w:p>
    <w:p w14:paraId="22C5A38B" w14:textId="77777777" w:rsidR="008F1FCB" w:rsidRPr="00534ADC" w:rsidRDefault="008F1FCB" w:rsidP="008F1FCB">
      <w:pPr>
        <w:pStyle w:val="BodyText"/>
        <w:spacing w:before="0"/>
        <w:rPr>
          <w:rFonts w:ascii="Arial" w:hAnsi="Arial" w:cs="Arial"/>
          <w:color w:val="000000"/>
          <w:szCs w:val="20"/>
          <w:lang w:val="en-US"/>
        </w:rPr>
      </w:pPr>
    </w:p>
    <w:p w14:paraId="2FB52FE0" w14:textId="48DF33E0" w:rsidR="003F2670" w:rsidRPr="00534ADC" w:rsidRDefault="003F2670" w:rsidP="008F1FCB">
      <w:pPr>
        <w:pStyle w:val="BodyText"/>
        <w:spacing w:before="0"/>
        <w:rPr>
          <w:rFonts w:ascii="Arial" w:hAnsi="Arial" w:cs="Arial"/>
          <w:color w:val="000000"/>
          <w:szCs w:val="20"/>
          <w:lang w:val="en-US"/>
        </w:rPr>
      </w:pPr>
      <w:r w:rsidRPr="00534ADC">
        <w:rPr>
          <w:rFonts w:ascii="Arial" w:hAnsi="Arial" w:cs="Arial"/>
          <w:color w:val="000000"/>
          <w:szCs w:val="20"/>
          <w:lang w:val="en-US"/>
        </w:rPr>
        <w:t xml:space="preserve">There were no changes to the Company’s approach to capital management during the </w:t>
      </w:r>
      <w:r w:rsidR="009E6ADB">
        <w:rPr>
          <w:rFonts w:ascii="Arial" w:hAnsi="Arial" w:cs="Arial"/>
          <w:color w:val="000000"/>
          <w:szCs w:val="20"/>
          <w:lang w:val="en-US"/>
        </w:rPr>
        <w:t>period</w:t>
      </w:r>
      <w:r w:rsidR="00123835">
        <w:rPr>
          <w:rFonts w:ascii="Arial" w:hAnsi="Arial" w:cs="Arial"/>
          <w:color w:val="000000"/>
          <w:szCs w:val="20"/>
          <w:lang w:val="en-US"/>
        </w:rPr>
        <w:t xml:space="preserve"> ended </w:t>
      </w:r>
      <w:r w:rsidR="009F4176">
        <w:rPr>
          <w:rFonts w:ascii="Arial" w:hAnsi="Arial" w:cs="Arial"/>
          <w:color w:val="000000"/>
          <w:szCs w:val="20"/>
          <w:lang w:val="en-US"/>
        </w:rPr>
        <w:t>June 30</w:t>
      </w:r>
      <w:r w:rsidR="009E6ADB">
        <w:rPr>
          <w:rFonts w:ascii="Arial" w:hAnsi="Arial" w:cs="Arial"/>
          <w:color w:val="000000"/>
          <w:szCs w:val="20"/>
          <w:lang w:val="en-US"/>
        </w:rPr>
        <w:t>, 2021</w:t>
      </w:r>
      <w:r w:rsidR="0035533B" w:rsidRPr="00534ADC">
        <w:rPr>
          <w:rFonts w:ascii="Arial" w:hAnsi="Arial" w:cs="Arial"/>
          <w:color w:val="000000"/>
          <w:szCs w:val="20"/>
          <w:lang w:val="en-US"/>
        </w:rPr>
        <w:t>.</w:t>
      </w:r>
    </w:p>
    <w:p w14:paraId="394BF8E0" w14:textId="15B8BBAC" w:rsidR="008F1FCB" w:rsidRDefault="008F1FCB" w:rsidP="008F1FCB">
      <w:pPr>
        <w:pStyle w:val="ListParagraph"/>
        <w:tabs>
          <w:tab w:val="left" w:pos="990"/>
          <w:tab w:val="right" w:pos="10080"/>
        </w:tabs>
        <w:suppressAutoHyphens/>
        <w:spacing w:line="240" w:lineRule="auto"/>
        <w:ind w:left="993" w:right="-115"/>
        <w:outlineLvl w:val="0"/>
        <w:rPr>
          <w:rFonts w:ascii="Arial" w:hAnsi="Arial" w:cs="Arial"/>
          <w:sz w:val="20"/>
          <w:szCs w:val="20"/>
        </w:rPr>
      </w:pPr>
    </w:p>
    <w:p w14:paraId="7F5026AB" w14:textId="77777777" w:rsidR="002B3545" w:rsidRPr="00534ADC" w:rsidRDefault="002B3545" w:rsidP="008F1FCB">
      <w:pPr>
        <w:pStyle w:val="BodyText"/>
        <w:spacing w:before="0"/>
        <w:rPr>
          <w:rFonts w:ascii="Arial" w:hAnsi="Arial" w:cs="Arial"/>
          <w:b/>
          <w:szCs w:val="20"/>
        </w:rPr>
      </w:pPr>
      <w:r w:rsidRPr="00C41CE9">
        <w:rPr>
          <w:rFonts w:ascii="Arial" w:hAnsi="Arial" w:cs="Arial"/>
          <w:b/>
          <w:szCs w:val="20"/>
        </w:rPr>
        <w:t>OFF-BALANCE SHEET ARRANGEMENTS</w:t>
      </w:r>
    </w:p>
    <w:p w14:paraId="210C122B" w14:textId="77777777" w:rsidR="00FE03F6" w:rsidRPr="00534ADC" w:rsidRDefault="00FE03F6" w:rsidP="00FE03F6">
      <w:pPr>
        <w:pStyle w:val="BodyText"/>
        <w:spacing w:before="0"/>
        <w:rPr>
          <w:rFonts w:ascii="Arial" w:hAnsi="Arial" w:cs="Arial"/>
          <w:szCs w:val="20"/>
        </w:rPr>
      </w:pPr>
    </w:p>
    <w:p w14:paraId="40E87BF6" w14:textId="35C35120" w:rsidR="00282878" w:rsidRPr="00534ADC" w:rsidRDefault="002B3545" w:rsidP="00FE03F6">
      <w:pPr>
        <w:pStyle w:val="BodyText"/>
        <w:spacing w:before="0"/>
        <w:rPr>
          <w:rFonts w:ascii="Arial" w:hAnsi="Arial" w:cs="Arial"/>
          <w:szCs w:val="20"/>
        </w:rPr>
      </w:pPr>
      <w:r w:rsidRPr="00534ADC">
        <w:rPr>
          <w:rFonts w:ascii="Arial" w:hAnsi="Arial" w:cs="Arial"/>
          <w:szCs w:val="20"/>
        </w:rPr>
        <w:t xml:space="preserve">The Company has not </w:t>
      </w:r>
      <w:proofErr w:type="gramStart"/>
      <w:r w:rsidRPr="00534ADC">
        <w:rPr>
          <w:rFonts w:ascii="Arial" w:hAnsi="Arial" w:cs="Arial"/>
          <w:szCs w:val="20"/>
        </w:rPr>
        <w:t>entered into</w:t>
      </w:r>
      <w:proofErr w:type="gramEnd"/>
      <w:r w:rsidRPr="00534ADC">
        <w:rPr>
          <w:rFonts w:ascii="Arial" w:hAnsi="Arial" w:cs="Arial"/>
          <w:szCs w:val="20"/>
        </w:rPr>
        <w:t xml:space="preserve"> any off-balance sheet arrangements. </w:t>
      </w:r>
    </w:p>
    <w:p w14:paraId="46B2CF37" w14:textId="77777777" w:rsidR="00351E62" w:rsidRPr="00534ADC" w:rsidRDefault="00351E62" w:rsidP="00046726">
      <w:pPr>
        <w:pStyle w:val="BodyText"/>
        <w:spacing w:before="0"/>
        <w:rPr>
          <w:rFonts w:ascii="Arial" w:hAnsi="Arial" w:cs="Arial"/>
          <w:b/>
          <w:szCs w:val="20"/>
        </w:rPr>
      </w:pPr>
    </w:p>
    <w:p w14:paraId="209547B4" w14:textId="77777777" w:rsidR="00961BF5" w:rsidRDefault="00961BF5" w:rsidP="00046726">
      <w:pPr>
        <w:pStyle w:val="BodyText"/>
        <w:spacing w:before="0"/>
        <w:rPr>
          <w:rFonts w:ascii="Arial" w:hAnsi="Arial" w:cs="Arial"/>
          <w:b/>
          <w:szCs w:val="20"/>
        </w:rPr>
      </w:pPr>
    </w:p>
    <w:p w14:paraId="1FB3D1D7" w14:textId="77777777" w:rsidR="00961BF5" w:rsidRDefault="00961BF5" w:rsidP="00046726">
      <w:pPr>
        <w:pStyle w:val="BodyText"/>
        <w:spacing w:before="0"/>
        <w:rPr>
          <w:rFonts w:ascii="Arial" w:hAnsi="Arial" w:cs="Arial"/>
          <w:b/>
          <w:szCs w:val="20"/>
        </w:rPr>
      </w:pPr>
    </w:p>
    <w:p w14:paraId="3C39C220" w14:textId="77777777" w:rsidR="00961BF5" w:rsidRDefault="00961BF5" w:rsidP="00046726">
      <w:pPr>
        <w:pStyle w:val="BodyText"/>
        <w:spacing w:before="0"/>
        <w:rPr>
          <w:rFonts w:ascii="Arial" w:hAnsi="Arial" w:cs="Arial"/>
          <w:b/>
          <w:szCs w:val="20"/>
        </w:rPr>
      </w:pPr>
    </w:p>
    <w:p w14:paraId="3A98E9E7" w14:textId="77777777" w:rsidR="00961BF5" w:rsidRDefault="00961BF5" w:rsidP="00046726">
      <w:pPr>
        <w:pStyle w:val="BodyText"/>
        <w:spacing w:before="0"/>
        <w:rPr>
          <w:rFonts w:ascii="Arial" w:hAnsi="Arial" w:cs="Arial"/>
          <w:b/>
          <w:szCs w:val="20"/>
        </w:rPr>
      </w:pPr>
    </w:p>
    <w:p w14:paraId="4414D0ED" w14:textId="77777777" w:rsidR="00961BF5" w:rsidRDefault="00961BF5" w:rsidP="00046726">
      <w:pPr>
        <w:pStyle w:val="BodyText"/>
        <w:spacing w:before="0"/>
        <w:rPr>
          <w:rFonts w:ascii="Arial" w:hAnsi="Arial" w:cs="Arial"/>
          <w:b/>
          <w:szCs w:val="20"/>
        </w:rPr>
      </w:pPr>
    </w:p>
    <w:p w14:paraId="295B7A2D" w14:textId="77777777" w:rsidR="00961BF5" w:rsidRDefault="00961BF5" w:rsidP="00046726">
      <w:pPr>
        <w:pStyle w:val="BodyText"/>
        <w:spacing w:before="0"/>
        <w:rPr>
          <w:rFonts w:ascii="Arial" w:hAnsi="Arial" w:cs="Arial"/>
          <w:b/>
          <w:szCs w:val="20"/>
        </w:rPr>
      </w:pPr>
    </w:p>
    <w:p w14:paraId="5CFB3AE8" w14:textId="77777777" w:rsidR="00961BF5" w:rsidRDefault="00961BF5" w:rsidP="00046726">
      <w:pPr>
        <w:pStyle w:val="BodyText"/>
        <w:spacing w:before="0"/>
        <w:rPr>
          <w:rFonts w:ascii="Arial" w:hAnsi="Arial" w:cs="Arial"/>
          <w:b/>
          <w:szCs w:val="20"/>
        </w:rPr>
      </w:pPr>
    </w:p>
    <w:p w14:paraId="51C6FA30" w14:textId="77777777" w:rsidR="00961BF5" w:rsidRDefault="00961BF5" w:rsidP="00046726">
      <w:pPr>
        <w:pStyle w:val="BodyText"/>
        <w:spacing w:before="0"/>
        <w:rPr>
          <w:rFonts w:ascii="Arial" w:hAnsi="Arial" w:cs="Arial"/>
          <w:b/>
          <w:szCs w:val="20"/>
        </w:rPr>
      </w:pPr>
    </w:p>
    <w:p w14:paraId="0BC54A5E" w14:textId="77777777" w:rsidR="00961BF5" w:rsidRDefault="00961BF5" w:rsidP="00046726">
      <w:pPr>
        <w:pStyle w:val="BodyText"/>
        <w:spacing w:before="0"/>
        <w:rPr>
          <w:rFonts w:ascii="Arial" w:hAnsi="Arial" w:cs="Arial"/>
          <w:b/>
          <w:szCs w:val="20"/>
        </w:rPr>
      </w:pPr>
    </w:p>
    <w:p w14:paraId="08813356" w14:textId="77777777" w:rsidR="00961BF5" w:rsidRDefault="00961BF5" w:rsidP="00046726">
      <w:pPr>
        <w:pStyle w:val="BodyText"/>
        <w:spacing w:before="0"/>
        <w:rPr>
          <w:rFonts w:ascii="Arial" w:hAnsi="Arial" w:cs="Arial"/>
          <w:b/>
          <w:szCs w:val="20"/>
        </w:rPr>
      </w:pPr>
    </w:p>
    <w:p w14:paraId="31E8605D" w14:textId="5F9B20B7" w:rsidR="00F4192B" w:rsidRPr="00534ADC" w:rsidRDefault="00F4192B" w:rsidP="00046726">
      <w:pPr>
        <w:pStyle w:val="BodyText"/>
        <w:spacing w:before="0"/>
        <w:rPr>
          <w:rFonts w:ascii="Arial" w:hAnsi="Arial" w:cs="Arial"/>
          <w:b/>
          <w:szCs w:val="20"/>
        </w:rPr>
      </w:pPr>
      <w:r w:rsidRPr="008A5DAA">
        <w:rPr>
          <w:rFonts w:ascii="Arial" w:hAnsi="Arial" w:cs="Arial"/>
          <w:b/>
          <w:szCs w:val="20"/>
        </w:rPr>
        <w:t>TRANSACTIONS WITH RELATED PARTIES</w:t>
      </w:r>
    </w:p>
    <w:p w14:paraId="3B102ACB" w14:textId="77777777" w:rsidR="00383839" w:rsidRPr="00534ADC" w:rsidRDefault="00383839" w:rsidP="00DF1990">
      <w:pPr>
        <w:tabs>
          <w:tab w:val="left" w:pos="540"/>
        </w:tabs>
        <w:ind w:right="-90" w:hanging="5"/>
        <w:rPr>
          <w:rFonts w:ascii="Arial" w:hAnsi="Arial" w:cs="Arial"/>
          <w:b/>
          <w:szCs w:val="20"/>
        </w:rPr>
      </w:pPr>
      <w:bookmarkStart w:id="0" w:name="_Hlk13991847"/>
    </w:p>
    <w:bookmarkEnd w:id="0"/>
    <w:p w14:paraId="01119AC0" w14:textId="28897EDC" w:rsidR="00D52884" w:rsidRPr="00D52884" w:rsidRDefault="00D52884" w:rsidP="00D52884">
      <w:pPr>
        <w:tabs>
          <w:tab w:val="left" w:pos="567"/>
        </w:tabs>
        <w:jc w:val="both"/>
        <w:rPr>
          <w:rFonts w:ascii="Arial" w:hAnsi="Arial" w:cs="Arial"/>
          <w:szCs w:val="20"/>
        </w:rPr>
      </w:pPr>
      <w:r w:rsidRPr="00D52884">
        <w:rPr>
          <w:rFonts w:ascii="Arial" w:hAnsi="Arial" w:cs="Arial"/>
          <w:szCs w:val="20"/>
        </w:rPr>
        <w:t xml:space="preserve">Key management personnel include the members of the Board of Directors and officers of the Company who have the authority and responsibility for planning, </w:t>
      </w:r>
      <w:proofErr w:type="gramStart"/>
      <w:r w:rsidRPr="00D52884">
        <w:rPr>
          <w:rFonts w:ascii="Arial" w:hAnsi="Arial" w:cs="Arial"/>
          <w:szCs w:val="20"/>
        </w:rPr>
        <w:t>directing</w:t>
      </w:r>
      <w:proofErr w:type="gramEnd"/>
      <w:r w:rsidRPr="00D52884">
        <w:rPr>
          <w:rFonts w:ascii="Arial" w:hAnsi="Arial" w:cs="Arial"/>
          <w:szCs w:val="20"/>
        </w:rPr>
        <w:t xml:space="preserve"> and controlling the activities of the Company.  Amount paid and accrued to directors, </w:t>
      </w:r>
      <w:r>
        <w:rPr>
          <w:rFonts w:ascii="Arial" w:hAnsi="Arial" w:cs="Arial"/>
          <w:szCs w:val="20"/>
        </w:rPr>
        <w:t xml:space="preserve">officers, and former </w:t>
      </w:r>
      <w:r w:rsidRPr="00D52884">
        <w:rPr>
          <w:rFonts w:ascii="Arial" w:hAnsi="Arial" w:cs="Arial"/>
          <w:szCs w:val="20"/>
        </w:rPr>
        <w:t>officers are as follows:</w:t>
      </w:r>
    </w:p>
    <w:p w14:paraId="1945D69F" w14:textId="27475C3E" w:rsidR="00961BF5" w:rsidRDefault="00961BF5" w:rsidP="00D130A3">
      <w:pPr>
        <w:jc w:val="both"/>
        <w:rPr>
          <w:rFonts w:ascii="Arial" w:hAnsi="Arial" w:cs="Arial"/>
          <w:szCs w:val="20"/>
        </w:rPr>
      </w:pPr>
    </w:p>
    <w:tbl>
      <w:tblPr>
        <w:tblW w:w="9547" w:type="dxa"/>
        <w:tblInd w:w="108" w:type="dxa"/>
        <w:tblLook w:val="04A0" w:firstRow="1" w:lastRow="0" w:firstColumn="1" w:lastColumn="0" w:noHBand="0" w:noVBand="1"/>
      </w:tblPr>
      <w:tblGrid>
        <w:gridCol w:w="4849"/>
        <w:gridCol w:w="2349"/>
        <w:gridCol w:w="2349"/>
      </w:tblGrid>
      <w:tr w:rsidR="00961BF5" w:rsidRPr="00961BF5" w14:paraId="69449A26" w14:textId="77777777" w:rsidTr="00961BF5">
        <w:trPr>
          <w:trHeight w:val="461"/>
        </w:trPr>
        <w:tc>
          <w:tcPr>
            <w:tcW w:w="4849" w:type="dxa"/>
            <w:tcBorders>
              <w:top w:val="single" w:sz="8" w:space="0" w:color="auto"/>
              <w:left w:val="nil"/>
              <w:bottom w:val="single" w:sz="8" w:space="0" w:color="auto"/>
              <w:right w:val="nil"/>
            </w:tcBorders>
            <w:shd w:val="clear" w:color="auto" w:fill="auto"/>
            <w:noWrap/>
            <w:vAlign w:val="bottom"/>
            <w:hideMark/>
          </w:tcPr>
          <w:p w14:paraId="10F6997A" w14:textId="77777777" w:rsidR="00961BF5" w:rsidRPr="00961BF5" w:rsidRDefault="00961BF5" w:rsidP="00961BF5">
            <w:pPr>
              <w:rPr>
                <w:rFonts w:ascii="Arial" w:hAnsi="Arial" w:cs="Arial"/>
                <w:color w:val="000000"/>
                <w:szCs w:val="20"/>
                <w:lang w:eastAsia="en-CA"/>
              </w:rPr>
            </w:pPr>
            <w:r w:rsidRPr="00961BF5">
              <w:rPr>
                <w:rFonts w:ascii="Arial" w:hAnsi="Arial" w:cs="Arial"/>
                <w:color w:val="000000"/>
                <w:szCs w:val="20"/>
                <w:lang w:eastAsia="en-CA"/>
              </w:rPr>
              <w:t> </w:t>
            </w:r>
          </w:p>
        </w:tc>
        <w:tc>
          <w:tcPr>
            <w:tcW w:w="2349" w:type="dxa"/>
            <w:tcBorders>
              <w:top w:val="single" w:sz="8" w:space="0" w:color="auto"/>
              <w:left w:val="nil"/>
              <w:bottom w:val="single" w:sz="8" w:space="0" w:color="auto"/>
              <w:right w:val="nil"/>
            </w:tcBorders>
            <w:shd w:val="clear" w:color="auto" w:fill="auto"/>
            <w:vAlign w:val="bottom"/>
            <w:hideMark/>
          </w:tcPr>
          <w:p w14:paraId="5F6AA33A" w14:textId="77777777" w:rsidR="00961BF5" w:rsidRPr="00961BF5" w:rsidRDefault="00961BF5" w:rsidP="00961BF5">
            <w:pPr>
              <w:jc w:val="center"/>
              <w:rPr>
                <w:rFonts w:ascii="Arial" w:hAnsi="Arial" w:cs="Arial"/>
                <w:b/>
                <w:bCs/>
                <w:color w:val="000000"/>
                <w:szCs w:val="20"/>
                <w:lang w:eastAsia="en-CA"/>
              </w:rPr>
            </w:pPr>
            <w:r w:rsidRPr="00961BF5">
              <w:rPr>
                <w:rFonts w:ascii="Arial" w:hAnsi="Arial" w:cs="Arial"/>
                <w:b/>
                <w:bCs/>
                <w:color w:val="000000"/>
                <w:szCs w:val="20"/>
                <w:lang w:eastAsia="en-CA"/>
              </w:rPr>
              <w:t>Six months ended June 30, 2021</w:t>
            </w:r>
          </w:p>
        </w:tc>
        <w:tc>
          <w:tcPr>
            <w:tcW w:w="2349" w:type="dxa"/>
            <w:tcBorders>
              <w:top w:val="single" w:sz="8" w:space="0" w:color="auto"/>
              <w:left w:val="nil"/>
              <w:bottom w:val="single" w:sz="8" w:space="0" w:color="auto"/>
              <w:right w:val="nil"/>
            </w:tcBorders>
            <w:shd w:val="clear" w:color="auto" w:fill="auto"/>
            <w:vAlign w:val="bottom"/>
            <w:hideMark/>
          </w:tcPr>
          <w:p w14:paraId="1904D3F8" w14:textId="77777777" w:rsidR="00961BF5" w:rsidRPr="00961BF5" w:rsidRDefault="00961BF5" w:rsidP="00961BF5">
            <w:pPr>
              <w:jc w:val="center"/>
              <w:rPr>
                <w:rFonts w:ascii="Arial" w:hAnsi="Arial" w:cs="Arial"/>
                <w:b/>
                <w:bCs/>
                <w:color w:val="000000"/>
                <w:szCs w:val="20"/>
                <w:lang w:eastAsia="en-CA"/>
              </w:rPr>
            </w:pPr>
            <w:r w:rsidRPr="00961BF5">
              <w:rPr>
                <w:rFonts w:ascii="Arial" w:hAnsi="Arial" w:cs="Arial"/>
                <w:b/>
                <w:bCs/>
                <w:color w:val="000000"/>
                <w:szCs w:val="20"/>
                <w:lang w:eastAsia="en-CA"/>
              </w:rPr>
              <w:t>Six months ended June 30, 2020</w:t>
            </w:r>
          </w:p>
        </w:tc>
      </w:tr>
      <w:tr w:rsidR="00961BF5" w:rsidRPr="00961BF5" w14:paraId="22CD922A" w14:textId="77777777" w:rsidTr="00961BF5">
        <w:trPr>
          <w:trHeight w:val="225"/>
        </w:trPr>
        <w:tc>
          <w:tcPr>
            <w:tcW w:w="4849" w:type="dxa"/>
            <w:tcBorders>
              <w:top w:val="nil"/>
              <w:left w:val="nil"/>
              <w:bottom w:val="nil"/>
              <w:right w:val="nil"/>
            </w:tcBorders>
            <w:shd w:val="clear" w:color="auto" w:fill="auto"/>
            <w:noWrap/>
            <w:vAlign w:val="bottom"/>
            <w:hideMark/>
          </w:tcPr>
          <w:p w14:paraId="07DA8178" w14:textId="77777777" w:rsidR="00961BF5" w:rsidRPr="00961BF5" w:rsidRDefault="00961BF5" w:rsidP="00961BF5">
            <w:pPr>
              <w:jc w:val="center"/>
              <w:rPr>
                <w:rFonts w:ascii="Arial" w:hAnsi="Arial" w:cs="Arial"/>
                <w:b/>
                <w:bCs/>
                <w:color w:val="000000"/>
                <w:szCs w:val="20"/>
                <w:lang w:eastAsia="en-CA"/>
              </w:rPr>
            </w:pPr>
          </w:p>
        </w:tc>
        <w:tc>
          <w:tcPr>
            <w:tcW w:w="2349" w:type="dxa"/>
            <w:tcBorders>
              <w:top w:val="nil"/>
              <w:left w:val="nil"/>
              <w:bottom w:val="nil"/>
              <w:right w:val="nil"/>
            </w:tcBorders>
            <w:shd w:val="clear" w:color="auto" w:fill="auto"/>
            <w:vAlign w:val="bottom"/>
            <w:hideMark/>
          </w:tcPr>
          <w:p w14:paraId="64A58E04" w14:textId="77777777" w:rsidR="00961BF5" w:rsidRPr="00961BF5" w:rsidRDefault="00961BF5" w:rsidP="00961BF5">
            <w:pPr>
              <w:rPr>
                <w:szCs w:val="20"/>
                <w:lang w:eastAsia="en-CA"/>
              </w:rPr>
            </w:pPr>
          </w:p>
        </w:tc>
        <w:tc>
          <w:tcPr>
            <w:tcW w:w="2349" w:type="dxa"/>
            <w:tcBorders>
              <w:top w:val="nil"/>
              <w:left w:val="nil"/>
              <w:bottom w:val="nil"/>
              <w:right w:val="nil"/>
            </w:tcBorders>
            <w:shd w:val="clear" w:color="auto" w:fill="auto"/>
            <w:vAlign w:val="bottom"/>
            <w:hideMark/>
          </w:tcPr>
          <w:p w14:paraId="3E461CD9" w14:textId="77777777" w:rsidR="00961BF5" w:rsidRPr="00961BF5" w:rsidRDefault="00961BF5" w:rsidP="00961BF5">
            <w:pPr>
              <w:jc w:val="center"/>
              <w:rPr>
                <w:szCs w:val="20"/>
                <w:lang w:eastAsia="en-CA"/>
              </w:rPr>
            </w:pPr>
          </w:p>
        </w:tc>
      </w:tr>
      <w:tr w:rsidR="00961BF5" w:rsidRPr="00961BF5" w14:paraId="1F41DA06" w14:textId="77777777" w:rsidTr="00961BF5">
        <w:trPr>
          <w:trHeight w:val="225"/>
        </w:trPr>
        <w:tc>
          <w:tcPr>
            <w:tcW w:w="4849" w:type="dxa"/>
            <w:tcBorders>
              <w:top w:val="nil"/>
              <w:left w:val="nil"/>
              <w:bottom w:val="nil"/>
              <w:right w:val="nil"/>
            </w:tcBorders>
            <w:shd w:val="clear" w:color="auto" w:fill="auto"/>
            <w:noWrap/>
            <w:vAlign w:val="bottom"/>
            <w:hideMark/>
          </w:tcPr>
          <w:p w14:paraId="436D2D39" w14:textId="77777777" w:rsidR="00961BF5" w:rsidRPr="00961BF5" w:rsidRDefault="00961BF5" w:rsidP="00961BF5">
            <w:pPr>
              <w:jc w:val="center"/>
              <w:rPr>
                <w:szCs w:val="20"/>
                <w:lang w:eastAsia="en-CA"/>
              </w:rPr>
            </w:pPr>
          </w:p>
        </w:tc>
        <w:tc>
          <w:tcPr>
            <w:tcW w:w="2349" w:type="dxa"/>
            <w:tcBorders>
              <w:top w:val="nil"/>
              <w:left w:val="nil"/>
              <w:bottom w:val="nil"/>
              <w:right w:val="nil"/>
            </w:tcBorders>
            <w:shd w:val="clear" w:color="auto" w:fill="auto"/>
            <w:noWrap/>
            <w:vAlign w:val="bottom"/>
            <w:hideMark/>
          </w:tcPr>
          <w:p w14:paraId="4E6CC6FD" w14:textId="77777777" w:rsidR="00961BF5" w:rsidRPr="00961BF5" w:rsidRDefault="00961BF5" w:rsidP="00961BF5">
            <w:pPr>
              <w:jc w:val="center"/>
              <w:rPr>
                <w:rFonts w:ascii="Arial" w:hAnsi="Arial" w:cs="Arial"/>
                <w:color w:val="000000"/>
                <w:szCs w:val="20"/>
                <w:lang w:eastAsia="en-CA"/>
              </w:rPr>
            </w:pPr>
            <w:r w:rsidRPr="00961BF5">
              <w:rPr>
                <w:rFonts w:ascii="Arial" w:hAnsi="Arial" w:cs="Arial"/>
                <w:color w:val="000000"/>
                <w:szCs w:val="20"/>
                <w:lang w:eastAsia="en-CA"/>
              </w:rPr>
              <w:t>$</w:t>
            </w:r>
          </w:p>
        </w:tc>
        <w:tc>
          <w:tcPr>
            <w:tcW w:w="2349" w:type="dxa"/>
            <w:tcBorders>
              <w:top w:val="nil"/>
              <w:left w:val="nil"/>
              <w:bottom w:val="nil"/>
              <w:right w:val="nil"/>
            </w:tcBorders>
            <w:shd w:val="clear" w:color="auto" w:fill="auto"/>
            <w:noWrap/>
            <w:vAlign w:val="bottom"/>
            <w:hideMark/>
          </w:tcPr>
          <w:p w14:paraId="3E1AA53D" w14:textId="77777777" w:rsidR="00961BF5" w:rsidRPr="00961BF5" w:rsidRDefault="00961BF5" w:rsidP="00961BF5">
            <w:pPr>
              <w:jc w:val="center"/>
              <w:rPr>
                <w:rFonts w:ascii="Arial" w:hAnsi="Arial" w:cs="Arial"/>
                <w:color w:val="000000"/>
                <w:szCs w:val="20"/>
                <w:lang w:eastAsia="en-CA"/>
              </w:rPr>
            </w:pPr>
            <w:r w:rsidRPr="00961BF5">
              <w:rPr>
                <w:rFonts w:ascii="Arial" w:hAnsi="Arial" w:cs="Arial"/>
                <w:color w:val="000000"/>
                <w:szCs w:val="20"/>
                <w:lang w:eastAsia="en-CA"/>
              </w:rPr>
              <w:t>$</w:t>
            </w:r>
          </w:p>
        </w:tc>
      </w:tr>
      <w:tr w:rsidR="00961BF5" w:rsidRPr="00961BF5" w14:paraId="4C65DE61" w14:textId="77777777" w:rsidTr="00961BF5">
        <w:trPr>
          <w:trHeight w:val="225"/>
        </w:trPr>
        <w:tc>
          <w:tcPr>
            <w:tcW w:w="4849" w:type="dxa"/>
            <w:tcBorders>
              <w:top w:val="nil"/>
              <w:left w:val="nil"/>
              <w:bottom w:val="nil"/>
              <w:right w:val="nil"/>
            </w:tcBorders>
            <w:shd w:val="clear" w:color="auto" w:fill="auto"/>
            <w:noWrap/>
            <w:vAlign w:val="bottom"/>
            <w:hideMark/>
          </w:tcPr>
          <w:p w14:paraId="3C55C8E2" w14:textId="77777777" w:rsidR="00961BF5" w:rsidRPr="00961BF5" w:rsidRDefault="00961BF5" w:rsidP="00961BF5">
            <w:pPr>
              <w:rPr>
                <w:rFonts w:ascii="Arial" w:hAnsi="Arial" w:cs="Arial"/>
                <w:color w:val="000000"/>
                <w:szCs w:val="20"/>
                <w:lang w:eastAsia="en-CA"/>
              </w:rPr>
            </w:pPr>
            <w:r w:rsidRPr="00961BF5">
              <w:rPr>
                <w:rFonts w:ascii="Arial" w:hAnsi="Arial" w:cs="Arial"/>
                <w:color w:val="000000"/>
                <w:szCs w:val="20"/>
                <w:lang w:eastAsia="en-CA"/>
              </w:rPr>
              <w:t>Management compensation</w:t>
            </w:r>
          </w:p>
        </w:tc>
        <w:tc>
          <w:tcPr>
            <w:tcW w:w="2349" w:type="dxa"/>
            <w:tcBorders>
              <w:top w:val="nil"/>
              <w:left w:val="nil"/>
              <w:bottom w:val="nil"/>
              <w:right w:val="nil"/>
            </w:tcBorders>
            <w:shd w:val="clear" w:color="auto" w:fill="auto"/>
            <w:noWrap/>
            <w:vAlign w:val="bottom"/>
            <w:hideMark/>
          </w:tcPr>
          <w:p w14:paraId="4208627D" w14:textId="77777777" w:rsidR="00961BF5" w:rsidRPr="00961BF5" w:rsidRDefault="00961BF5" w:rsidP="00961BF5">
            <w:pPr>
              <w:rPr>
                <w:rFonts w:ascii="Arial" w:hAnsi="Arial" w:cs="Arial"/>
                <w:color w:val="000000"/>
                <w:szCs w:val="20"/>
                <w:lang w:eastAsia="en-CA"/>
              </w:rPr>
            </w:pPr>
          </w:p>
        </w:tc>
        <w:tc>
          <w:tcPr>
            <w:tcW w:w="2349" w:type="dxa"/>
            <w:tcBorders>
              <w:top w:val="nil"/>
              <w:left w:val="nil"/>
              <w:bottom w:val="nil"/>
              <w:right w:val="nil"/>
            </w:tcBorders>
            <w:shd w:val="clear" w:color="auto" w:fill="auto"/>
            <w:noWrap/>
            <w:vAlign w:val="bottom"/>
            <w:hideMark/>
          </w:tcPr>
          <w:p w14:paraId="56B72DD3" w14:textId="77777777" w:rsidR="00961BF5" w:rsidRPr="00961BF5" w:rsidRDefault="00961BF5" w:rsidP="00961BF5">
            <w:pPr>
              <w:rPr>
                <w:szCs w:val="20"/>
                <w:lang w:eastAsia="en-CA"/>
              </w:rPr>
            </w:pPr>
          </w:p>
        </w:tc>
      </w:tr>
      <w:tr w:rsidR="00961BF5" w:rsidRPr="00961BF5" w14:paraId="29919BE8" w14:textId="77777777" w:rsidTr="00961BF5">
        <w:trPr>
          <w:trHeight w:val="225"/>
        </w:trPr>
        <w:tc>
          <w:tcPr>
            <w:tcW w:w="4849" w:type="dxa"/>
            <w:tcBorders>
              <w:top w:val="nil"/>
              <w:left w:val="nil"/>
              <w:bottom w:val="nil"/>
              <w:right w:val="nil"/>
            </w:tcBorders>
            <w:shd w:val="clear" w:color="auto" w:fill="auto"/>
            <w:noWrap/>
            <w:vAlign w:val="bottom"/>
            <w:hideMark/>
          </w:tcPr>
          <w:p w14:paraId="7B110A33"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Matt Stang, CEO and Director</w:t>
            </w:r>
          </w:p>
        </w:tc>
        <w:tc>
          <w:tcPr>
            <w:tcW w:w="2349" w:type="dxa"/>
            <w:tcBorders>
              <w:top w:val="nil"/>
              <w:left w:val="nil"/>
              <w:bottom w:val="nil"/>
              <w:right w:val="nil"/>
            </w:tcBorders>
            <w:shd w:val="clear" w:color="auto" w:fill="auto"/>
            <w:noWrap/>
            <w:vAlign w:val="bottom"/>
            <w:hideMark/>
          </w:tcPr>
          <w:p w14:paraId="57C133FF"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30,000 </w:t>
            </w:r>
          </w:p>
        </w:tc>
        <w:tc>
          <w:tcPr>
            <w:tcW w:w="2349" w:type="dxa"/>
            <w:tcBorders>
              <w:top w:val="nil"/>
              <w:left w:val="nil"/>
              <w:bottom w:val="nil"/>
              <w:right w:val="nil"/>
            </w:tcBorders>
            <w:shd w:val="clear" w:color="auto" w:fill="auto"/>
            <w:noWrap/>
            <w:vAlign w:val="bottom"/>
            <w:hideMark/>
          </w:tcPr>
          <w:p w14:paraId="29F4A603"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20747CCD" w14:textId="77777777" w:rsidTr="00961BF5">
        <w:trPr>
          <w:trHeight w:val="225"/>
        </w:trPr>
        <w:tc>
          <w:tcPr>
            <w:tcW w:w="4849" w:type="dxa"/>
            <w:tcBorders>
              <w:top w:val="nil"/>
              <w:left w:val="nil"/>
              <w:bottom w:val="single" w:sz="4" w:space="0" w:color="auto"/>
              <w:right w:val="nil"/>
            </w:tcBorders>
            <w:shd w:val="clear" w:color="auto" w:fill="auto"/>
            <w:noWrap/>
            <w:vAlign w:val="bottom"/>
            <w:hideMark/>
          </w:tcPr>
          <w:p w14:paraId="5216CC73"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Mathew Lee, CFO</w:t>
            </w:r>
          </w:p>
        </w:tc>
        <w:tc>
          <w:tcPr>
            <w:tcW w:w="2349" w:type="dxa"/>
            <w:tcBorders>
              <w:top w:val="nil"/>
              <w:left w:val="nil"/>
              <w:bottom w:val="single" w:sz="4" w:space="0" w:color="auto"/>
              <w:right w:val="nil"/>
            </w:tcBorders>
            <w:shd w:val="clear" w:color="auto" w:fill="auto"/>
            <w:noWrap/>
            <w:vAlign w:val="bottom"/>
            <w:hideMark/>
          </w:tcPr>
          <w:p w14:paraId="4FAE4852"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23,686 </w:t>
            </w:r>
          </w:p>
        </w:tc>
        <w:tc>
          <w:tcPr>
            <w:tcW w:w="2349" w:type="dxa"/>
            <w:tcBorders>
              <w:top w:val="nil"/>
              <w:left w:val="nil"/>
              <w:bottom w:val="single" w:sz="4" w:space="0" w:color="auto"/>
              <w:right w:val="nil"/>
            </w:tcBorders>
            <w:shd w:val="clear" w:color="auto" w:fill="auto"/>
            <w:noWrap/>
            <w:vAlign w:val="bottom"/>
            <w:hideMark/>
          </w:tcPr>
          <w:p w14:paraId="6C1944E2" w14:textId="2AC83B42"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w:t>
            </w:r>
            <w:r w:rsidR="00B952B9">
              <w:rPr>
                <w:rFonts w:ascii="Arial" w:hAnsi="Arial" w:cs="Arial"/>
                <w:color w:val="000000"/>
                <w:szCs w:val="20"/>
                <w:lang w:eastAsia="en-CA"/>
              </w:rPr>
              <w:t>7,573</w:t>
            </w:r>
          </w:p>
        </w:tc>
      </w:tr>
      <w:tr w:rsidR="00961BF5" w:rsidRPr="00961BF5" w14:paraId="58CBAF8D" w14:textId="77777777" w:rsidTr="00961BF5">
        <w:trPr>
          <w:trHeight w:val="225"/>
        </w:trPr>
        <w:tc>
          <w:tcPr>
            <w:tcW w:w="4849" w:type="dxa"/>
            <w:tcBorders>
              <w:top w:val="nil"/>
              <w:left w:val="nil"/>
              <w:bottom w:val="nil"/>
              <w:right w:val="nil"/>
            </w:tcBorders>
            <w:shd w:val="clear" w:color="auto" w:fill="auto"/>
            <w:noWrap/>
            <w:vAlign w:val="bottom"/>
            <w:hideMark/>
          </w:tcPr>
          <w:p w14:paraId="2FE49120" w14:textId="77777777" w:rsidR="00961BF5" w:rsidRPr="00961BF5" w:rsidRDefault="00961BF5" w:rsidP="00961BF5">
            <w:pPr>
              <w:rPr>
                <w:rFonts w:ascii="Arial" w:hAnsi="Arial" w:cs="Arial"/>
                <w:color w:val="000000"/>
                <w:szCs w:val="20"/>
                <w:lang w:eastAsia="en-CA"/>
              </w:rPr>
            </w:pPr>
            <w:r w:rsidRPr="00961BF5">
              <w:rPr>
                <w:rFonts w:ascii="Arial" w:hAnsi="Arial" w:cs="Arial"/>
                <w:color w:val="000000"/>
                <w:szCs w:val="20"/>
                <w:lang w:eastAsia="en-CA"/>
              </w:rPr>
              <w:t>Sub-total</w:t>
            </w:r>
          </w:p>
        </w:tc>
        <w:tc>
          <w:tcPr>
            <w:tcW w:w="2349" w:type="dxa"/>
            <w:tcBorders>
              <w:top w:val="nil"/>
              <w:left w:val="nil"/>
              <w:bottom w:val="nil"/>
              <w:right w:val="nil"/>
            </w:tcBorders>
            <w:shd w:val="clear" w:color="auto" w:fill="auto"/>
            <w:noWrap/>
            <w:vAlign w:val="bottom"/>
            <w:hideMark/>
          </w:tcPr>
          <w:p w14:paraId="6EA04B7E"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53,686 </w:t>
            </w:r>
          </w:p>
        </w:tc>
        <w:tc>
          <w:tcPr>
            <w:tcW w:w="2349" w:type="dxa"/>
            <w:tcBorders>
              <w:top w:val="nil"/>
              <w:left w:val="nil"/>
              <w:bottom w:val="nil"/>
              <w:right w:val="nil"/>
            </w:tcBorders>
            <w:shd w:val="clear" w:color="auto" w:fill="auto"/>
            <w:noWrap/>
            <w:vAlign w:val="bottom"/>
            <w:hideMark/>
          </w:tcPr>
          <w:p w14:paraId="167D1CEF" w14:textId="3886A186"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w:t>
            </w:r>
            <w:r w:rsidR="00B952B9">
              <w:rPr>
                <w:rFonts w:ascii="Arial" w:hAnsi="Arial" w:cs="Arial"/>
                <w:color w:val="000000"/>
                <w:szCs w:val="20"/>
                <w:lang w:eastAsia="en-CA"/>
              </w:rPr>
              <w:t>7,573</w:t>
            </w:r>
            <w:r w:rsidRPr="00961BF5">
              <w:rPr>
                <w:rFonts w:ascii="Arial" w:hAnsi="Arial" w:cs="Arial"/>
                <w:color w:val="000000"/>
                <w:szCs w:val="20"/>
                <w:lang w:eastAsia="en-CA"/>
              </w:rPr>
              <w:t xml:space="preserve"> </w:t>
            </w:r>
          </w:p>
        </w:tc>
      </w:tr>
      <w:tr w:rsidR="00961BF5" w:rsidRPr="00961BF5" w14:paraId="3865CEDF" w14:textId="77777777" w:rsidTr="00961BF5">
        <w:trPr>
          <w:trHeight w:val="225"/>
        </w:trPr>
        <w:tc>
          <w:tcPr>
            <w:tcW w:w="4849" w:type="dxa"/>
            <w:tcBorders>
              <w:top w:val="nil"/>
              <w:left w:val="nil"/>
              <w:bottom w:val="nil"/>
              <w:right w:val="nil"/>
            </w:tcBorders>
            <w:shd w:val="clear" w:color="auto" w:fill="auto"/>
            <w:noWrap/>
            <w:vAlign w:val="bottom"/>
            <w:hideMark/>
          </w:tcPr>
          <w:p w14:paraId="191A8CF1" w14:textId="77777777" w:rsidR="00961BF5" w:rsidRPr="00961BF5" w:rsidRDefault="00961BF5" w:rsidP="00961BF5">
            <w:pPr>
              <w:rPr>
                <w:rFonts w:ascii="Arial" w:hAnsi="Arial" w:cs="Arial"/>
                <w:color w:val="000000"/>
                <w:szCs w:val="20"/>
                <w:lang w:eastAsia="en-CA"/>
              </w:rPr>
            </w:pPr>
            <w:r w:rsidRPr="00961BF5">
              <w:rPr>
                <w:rFonts w:ascii="Arial" w:hAnsi="Arial" w:cs="Arial"/>
                <w:color w:val="000000"/>
                <w:szCs w:val="20"/>
                <w:lang w:eastAsia="en-CA"/>
              </w:rPr>
              <w:t>Share-based payments</w:t>
            </w:r>
          </w:p>
        </w:tc>
        <w:tc>
          <w:tcPr>
            <w:tcW w:w="2349" w:type="dxa"/>
            <w:tcBorders>
              <w:top w:val="nil"/>
              <w:left w:val="nil"/>
              <w:bottom w:val="nil"/>
              <w:right w:val="nil"/>
            </w:tcBorders>
            <w:shd w:val="clear" w:color="auto" w:fill="auto"/>
            <w:noWrap/>
            <w:vAlign w:val="bottom"/>
            <w:hideMark/>
          </w:tcPr>
          <w:p w14:paraId="2A9DAF6D" w14:textId="77777777" w:rsidR="00961BF5" w:rsidRPr="00961BF5" w:rsidRDefault="00961BF5" w:rsidP="000B1B41">
            <w:pPr>
              <w:jc w:val="right"/>
              <w:rPr>
                <w:rFonts w:ascii="Arial" w:hAnsi="Arial" w:cs="Arial"/>
                <w:color w:val="000000"/>
                <w:szCs w:val="20"/>
                <w:lang w:eastAsia="en-CA"/>
              </w:rPr>
            </w:pPr>
          </w:p>
        </w:tc>
        <w:tc>
          <w:tcPr>
            <w:tcW w:w="2349" w:type="dxa"/>
            <w:tcBorders>
              <w:top w:val="nil"/>
              <w:left w:val="nil"/>
              <w:bottom w:val="nil"/>
              <w:right w:val="nil"/>
            </w:tcBorders>
            <w:shd w:val="clear" w:color="auto" w:fill="auto"/>
            <w:noWrap/>
            <w:vAlign w:val="bottom"/>
            <w:hideMark/>
          </w:tcPr>
          <w:p w14:paraId="7E5FB313" w14:textId="77777777" w:rsidR="00961BF5" w:rsidRPr="00961BF5" w:rsidRDefault="00961BF5" w:rsidP="00CC45F2">
            <w:pPr>
              <w:jc w:val="right"/>
              <w:rPr>
                <w:szCs w:val="20"/>
                <w:lang w:eastAsia="en-CA"/>
              </w:rPr>
            </w:pPr>
          </w:p>
        </w:tc>
      </w:tr>
      <w:tr w:rsidR="00961BF5" w:rsidRPr="00961BF5" w14:paraId="5055F326" w14:textId="77777777" w:rsidTr="00961BF5">
        <w:trPr>
          <w:trHeight w:val="225"/>
        </w:trPr>
        <w:tc>
          <w:tcPr>
            <w:tcW w:w="4849" w:type="dxa"/>
            <w:tcBorders>
              <w:top w:val="nil"/>
              <w:left w:val="nil"/>
              <w:bottom w:val="nil"/>
              <w:right w:val="nil"/>
            </w:tcBorders>
            <w:shd w:val="clear" w:color="auto" w:fill="auto"/>
            <w:noWrap/>
            <w:vAlign w:val="bottom"/>
            <w:hideMark/>
          </w:tcPr>
          <w:p w14:paraId="34BE1B4D"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Matt Stang, CEO and Director</w:t>
            </w:r>
          </w:p>
        </w:tc>
        <w:tc>
          <w:tcPr>
            <w:tcW w:w="2349" w:type="dxa"/>
            <w:tcBorders>
              <w:top w:val="nil"/>
              <w:left w:val="nil"/>
              <w:bottom w:val="nil"/>
              <w:right w:val="nil"/>
            </w:tcBorders>
            <w:shd w:val="clear" w:color="auto" w:fill="auto"/>
            <w:noWrap/>
            <w:vAlign w:val="bottom"/>
            <w:hideMark/>
          </w:tcPr>
          <w:p w14:paraId="7C2A2E16"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16,542 </w:t>
            </w:r>
          </w:p>
        </w:tc>
        <w:tc>
          <w:tcPr>
            <w:tcW w:w="2349" w:type="dxa"/>
            <w:tcBorders>
              <w:top w:val="nil"/>
              <w:left w:val="nil"/>
              <w:bottom w:val="nil"/>
              <w:right w:val="nil"/>
            </w:tcBorders>
            <w:shd w:val="clear" w:color="auto" w:fill="auto"/>
            <w:noWrap/>
            <w:vAlign w:val="bottom"/>
            <w:hideMark/>
          </w:tcPr>
          <w:p w14:paraId="79370F61"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7B1CDC65" w14:textId="77777777" w:rsidTr="00961BF5">
        <w:trPr>
          <w:trHeight w:val="225"/>
        </w:trPr>
        <w:tc>
          <w:tcPr>
            <w:tcW w:w="4849" w:type="dxa"/>
            <w:tcBorders>
              <w:top w:val="nil"/>
              <w:left w:val="nil"/>
              <w:bottom w:val="nil"/>
              <w:right w:val="nil"/>
            </w:tcBorders>
            <w:shd w:val="clear" w:color="auto" w:fill="auto"/>
            <w:noWrap/>
            <w:vAlign w:val="bottom"/>
            <w:hideMark/>
          </w:tcPr>
          <w:p w14:paraId="0C5DDCD6"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Mathew Lee, CFO</w:t>
            </w:r>
          </w:p>
        </w:tc>
        <w:tc>
          <w:tcPr>
            <w:tcW w:w="2349" w:type="dxa"/>
            <w:tcBorders>
              <w:top w:val="nil"/>
              <w:left w:val="nil"/>
              <w:bottom w:val="nil"/>
              <w:right w:val="nil"/>
            </w:tcBorders>
            <w:shd w:val="clear" w:color="auto" w:fill="auto"/>
            <w:noWrap/>
            <w:vAlign w:val="bottom"/>
            <w:hideMark/>
          </w:tcPr>
          <w:p w14:paraId="07EDC407" w14:textId="64B0906A" w:rsidR="00961BF5" w:rsidRPr="00961BF5" w:rsidRDefault="00961BF5" w:rsidP="00E53CA5">
            <w:pPr>
              <w:jc w:val="right"/>
              <w:rPr>
                <w:rFonts w:ascii="Arial" w:hAnsi="Arial" w:cs="Arial"/>
                <w:color w:val="000000"/>
                <w:szCs w:val="20"/>
                <w:lang w:eastAsia="en-CA"/>
              </w:rPr>
            </w:pPr>
            <w:r w:rsidRPr="00961BF5">
              <w:rPr>
                <w:rFonts w:ascii="Arial" w:hAnsi="Arial" w:cs="Arial"/>
                <w:color w:val="000000"/>
                <w:szCs w:val="20"/>
                <w:lang w:eastAsia="en-CA"/>
              </w:rPr>
              <w:t xml:space="preserve">                   12,79</w:t>
            </w:r>
            <w:r w:rsidR="00E53CA5">
              <w:rPr>
                <w:rFonts w:ascii="Arial" w:hAnsi="Arial" w:cs="Arial"/>
                <w:color w:val="000000"/>
                <w:szCs w:val="20"/>
                <w:lang w:eastAsia="en-CA"/>
              </w:rPr>
              <w:t>6</w:t>
            </w:r>
            <w:r w:rsidRPr="00961BF5">
              <w:rPr>
                <w:rFonts w:ascii="Arial" w:hAnsi="Arial" w:cs="Arial"/>
                <w:color w:val="000000"/>
                <w:szCs w:val="20"/>
                <w:lang w:eastAsia="en-CA"/>
              </w:rPr>
              <w:t xml:space="preserve"> </w:t>
            </w:r>
          </w:p>
        </w:tc>
        <w:tc>
          <w:tcPr>
            <w:tcW w:w="2349" w:type="dxa"/>
            <w:tcBorders>
              <w:top w:val="nil"/>
              <w:left w:val="nil"/>
              <w:bottom w:val="nil"/>
              <w:right w:val="nil"/>
            </w:tcBorders>
            <w:shd w:val="clear" w:color="auto" w:fill="auto"/>
            <w:noWrap/>
            <w:vAlign w:val="bottom"/>
            <w:hideMark/>
          </w:tcPr>
          <w:p w14:paraId="4786028E"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5FBDA75F" w14:textId="77777777" w:rsidTr="00961BF5">
        <w:trPr>
          <w:trHeight w:val="225"/>
        </w:trPr>
        <w:tc>
          <w:tcPr>
            <w:tcW w:w="4849" w:type="dxa"/>
            <w:tcBorders>
              <w:top w:val="nil"/>
              <w:left w:val="nil"/>
              <w:bottom w:val="nil"/>
              <w:right w:val="nil"/>
            </w:tcBorders>
            <w:shd w:val="clear" w:color="auto" w:fill="auto"/>
            <w:noWrap/>
            <w:vAlign w:val="bottom"/>
            <w:hideMark/>
          </w:tcPr>
          <w:p w14:paraId="1D401497"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Sashko Despotovski, Director</w:t>
            </w:r>
          </w:p>
        </w:tc>
        <w:tc>
          <w:tcPr>
            <w:tcW w:w="2349" w:type="dxa"/>
            <w:tcBorders>
              <w:top w:val="nil"/>
              <w:left w:val="nil"/>
              <w:bottom w:val="nil"/>
              <w:right w:val="nil"/>
            </w:tcBorders>
            <w:shd w:val="clear" w:color="auto" w:fill="auto"/>
            <w:noWrap/>
            <w:vAlign w:val="bottom"/>
            <w:hideMark/>
          </w:tcPr>
          <w:p w14:paraId="3E62AF1C"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12,798 </w:t>
            </w:r>
          </w:p>
        </w:tc>
        <w:tc>
          <w:tcPr>
            <w:tcW w:w="2349" w:type="dxa"/>
            <w:tcBorders>
              <w:top w:val="nil"/>
              <w:left w:val="nil"/>
              <w:bottom w:val="nil"/>
              <w:right w:val="nil"/>
            </w:tcBorders>
            <w:shd w:val="clear" w:color="auto" w:fill="auto"/>
            <w:noWrap/>
            <w:vAlign w:val="bottom"/>
            <w:hideMark/>
          </w:tcPr>
          <w:p w14:paraId="6AE49F3C"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6B5277B4" w14:textId="77777777" w:rsidTr="00961BF5">
        <w:trPr>
          <w:trHeight w:val="225"/>
        </w:trPr>
        <w:tc>
          <w:tcPr>
            <w:tcW w:w="4849" w:type="dxa"/>
            <w:tcBorders>
              <w:top w:val="nil"/>
              <w:left w:val="nil"/>
              <w:bottom w:val="nil"/>
              <w:right w:val="nil"/>
            </w:tcBorders>
            <w:shd w:val="clear" w:color="auto" w:fill="auto"/>
            <w:noWrap/>
            <w:vAlign w:val="bottom"/>
            <w:hideMark/>
          </w:tcPr>
          <w:p w14:paraId="09CADAFB"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Martin Tobias, Director</w:t>
            </w:r>
          </w:p>
        </w:tc>
        <w:tc>
          <w:tcPr>
            <w:tcW w:w="2349" w:type="dxa"/>
            <w:tcBorders>
              <w:top w:val="nil"/>
              <w:left w:val="nil"/>
              <w:bottom w:val="nil"/>
              <w:right w:val="nil"/>
            </w:tcBorders>
            <w:shd w:val="clear" w:color="auto" w:fill="auto"/>
            <w:noWrap/>
            <w:vAlign w:val="bottom"/>
            <w:hideMark/>
          </w:tcPr>
          <w:p w14:paraId="463F7F23"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12,798 </w:t>
            </w:r>
          </w:p>
        </w:tc>
        <w:tc>
          <w:tcPr>
            <w:tcW w:w="2349" w:type="dxa"/>
            <w:tcBorders>
              <w:top w:val="nil"/>
              <w:left w:val="nil"/>
              <w:bottom w:val="nil"/>
              <w:right w:val="nil"/>
            </w:tcBorders>
            <w:shd w:val="clear" w:color="auto" w:fill="auto"/>
            <w:noWrap/>
            <w:vAlign w:val="bottom"/>
            <w:hideMark/>
          </w:tcPr>
          <w:p w14:paraId="0CFD4526"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05743D62" w14:textId="77777777" w:rsidTr="00961BF5">
        <w:trPr>
          <w:trHeight w:val="225"/>
        </w:trPr>
        <w:tc>
          <w:tcPr>
            <w:tcW w:w="4849" w:type="dxa"/>
            <w:tcBorders>
              <w:top w:val="nil"/>
              <w:left w:val="nil"/>
              <w:bottom w:val="nil"/>
              <w:right w:val="nil"/>
            </w:tcBorders>
            <w:shd w:val="clear" w:color="auto" w:fill="auto"/>
            <w:noWrap/>
            <w:vAlign w:val="bottom"/>
            <w:hideMark/>
          </w:tcPr>
          <w:p w14:paraId="55C7175F"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Paul Rosen, Director</w:t>
            </w:r>
          </w:p>
        </w:tc>
        <w:tc>
          <w:tcPr>
            <w:tcW w:w="2349" w:type="dxa"/>
            <w:tcBorders>
              <w:top w:val="nil"/>
              <w:left w:val="nil"/>
              <w:bottom w:val="nil"/>
              <w:right w:val="nil"/>
            </w:tcBorders>
            <w:shd w:val="clear" w:color="auto" w:fill="auto"/>
            <w:noWrap/>
            <w:vAlign w:val="bottom"/>
            <w:hideMark/>
          </w:tcPr>
          <w:p w14:paraId="51D86F67"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12,798 </w:t>
            </w:r>
          </w:p>
        </w:tc>
        <w:tc>
          <w:tcPr>
            <w:tcW w:w="2349" w:type="dxa"/>
            <w:tcBorders>
              <w:top w:val="nil"/>
              <w:left w:val="nil"/>
              <w:bottom w:val="nil"/>
              <w:right w:val="nil"/>
            </w:tcBorders>
            <w:shd w:val="clear" w:color="auto" w:fill="auto"/>
            <w:noWrap/>
            <w:vAlign w:val="bottom"/>
            <w:hideMark/>
          </w:tcPr>
          <w:p w14:paraId="77369EBA"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25020639" w14:textId="77777777" w:rsidTr="00961BF5">
        <w:trPr>
          <w:trHeight w:val="225"/>
        </w:trPr>
        <w:tc>
          <w:tcPr>
            <w:tcW w:w="4849" w:type="dxa"/>
            <w:tcBorders>
              <w:top w:val="nil"/>
              <w:left w:val="nil"/>
              <w:bottom w:val="single" w:sz="4" w:space="0" w:color="auto"/>
              <w:right w:val="nil"/>
            </w:tcBorders>
            <w:shd w:val="clear" w:color="auto" w:fill="auto"/>
            <w:noWrap/>
            <w:vAlign w:val="bottom"/>
            <w:hideMark/>
          </w:tcPr>
          <w:p w14:paraId="57639D29" w14:textId="77777777" w:rsidR="00961BF5" w:rsidRPr="00961BF5" w:rsidRDefault="00961BF5" w:rsidP="00961BF5">
            <w:pPr>
              <w:ind w:firstLineChars="100" w:firstLine="200"/>
              <w:rPr>
                <w:rFonts w:ascii="Arial" w:hAnsi="Arial" w:cs="Arial"/>
                <w:color w:val="000000"/>
                <w:szCs w:val="20"/>
                <w:lang w:eastAsia="en-CA"/>
              </w:rPr>
            </w:pPr>
            <w:r w:rsidRPr="00961BF5">
              <w:rPr>
                <w:rFonts w:ascii="Arial" w:hAnsi="Arial" w:cs="Arial"/>
                <w:color w:val="000000"/>
                <w:szCs w:val="20"/>
                <w:lang w:eastAsia="en-CA"/>
              </w:rPr>
              <w:t>Kraig Fox, Director</w:t>
            </w:r>
          </w:p>
        </w:tc>
        <w:tc>
          <w:tcPr>
            <w:tcW w:w="2349" w:type="dxa"/>
            <w:tcBorders>
              <w:top w:val="nil"/>
              <w:left w:val="nil"/>
              <w:bottom w:val="nil"/>
              <w:right w:val="nil"/>
            </w:tcBorders>
            <w:shd w:val="clear" w:color="auto" w:fill="auto"/>
            <w:noWrap/>
            <w:vAlign w:val="bottom"/>
            <w:hideMark/>
          </w:tcPr>
          <w:p w14:paraId="23910F74"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12,798 </w:t>
            </w:r>
          </w:p>
        </w:tc>
        <w:tc>
          <w:tcPr>
            <w:tcW w:w="2349" w:type="dxa"/>
            <w:tcBorders>
              <w:top w:val="nil"/>
              <w:left w:val="nil"/>
              <w:bottom w:val="single" w:sz="4" w:space="0" w:color="auto"/>
              <w:right w:val="nil"/>
            </w:tcBorders>
            <w:shd w:val="clear" w:color="auto" w:fill="auto"/>
            <w:noWrap/>
            <w:vAlign w:val="bottom"/>
            <w:hideMark/>
          </w:tcPr>
          <w:p w14:paraId="0F0A9BA7"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554AD983" w14:textId="77777777" w:rsidTr="00961BF5">
        <w:trPr>
          <w:trHeight w:val="225"/>
        </w:trPr>
        <w:tc>
          <w:tcPr>
            <w:tcW w:w="4849" w:type="dxa"/>
            <w:tcBorders>
              <w:top w:val="nil"/>
              <w:left w:val="nil"/>
              <w:bottom w:val="single" w:sz="4" w:space="0" w:color="auto"/>
              <w:right w:val="nil"/>
            </w:tcBorders>
            <w:shd w:val="clear" w:color="auto" w:fill="auto"/>
            <w:noWrap/>
            <w:vAlign w:val="bottom"/>
            <w:hideMark/>
          </w:tcPr>
          <w:p w14:paraId="59B58728" w14:textId="77777777" w:rsidR="00961BF5" w:rsidRPr="00961BF5" w:rsidRDefault="00961BF5" w:rsidP="00961BF5">
            <w:pPr>
              <w:rPr>
                <w:rFonts w:ascii="Arial" w:hAnsi="Arial" w:cs="Arial"/>
                <w:color w:val="000000"/>
                <w:szCs w:val="20"/>
                <w:lang w:eastAsia="en-CA"/>
              </w:rPr>
            </w:pPr>
            <w:r w:rsidRPr="00961BF5">
              <w:rPr>
                <w:rFonts w:ascii="Arial" w:hAnsi="Arial" w:cs="Arial"/>
                <w:color w:val="000000"/>
                <w:szCs w:val="20"/>
                <w:lang w:eastAsia="en-CA"/>
              </w:rPr>
              <w:t>Sub-total</w:t>
            </w:r>
          </w:p>
        </w:tc>
        <w:tc>
          <w:tcPr>
            <w:tcW w:w="2349" w:type="dxa"/>
            <w:tcBorders>
              <w:top w:val="single" w:sz="4" w:space="0" w:color="auto"/>
              <w:left w:val="nil"/>
              <w:bottom w:val="single" w:sz="4" w:space="0" w:color="auto"/>
              <w:right w:val="nil"/>
            </w:tcBorders>
            <w:shd w:val="clear" w:color="auto" w:fill="auto"/>
            <w:noWrap/>
            <w:vAlign w:val="bottom"/>
            <w:hideMark/>
          </w:tcPr>
          <w:p w14:paraId="240EEA31"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80,530 </w:t>
            </w:r>
          </w:p>
        </w:tc>
        <w:tc>
          <w:tcPr>
            <w:tcW w:w="2349" w:type="dxa"/>
            <w:tcBorders>
              <w:top w:val="nil"/>
              <w:left w:val="nil"/>
              <w:bottom w:val="single" w:sz="4" w:space="0" w:color="auto"/>
              <w:right w:val="nil"/>
            </w:tcBorders>
            <w:shd w:val="clear" w:color="auto" w:fill="auto"/>
            <w:noWrap/>
            <w:vAlign w:val="bottom"/>
            <w:hideMark/>
          </w:tcPr>
          <w:p w14:paraId="6B3B196A" w14:textId="77777777"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 </w:t>
            </w:r>
          </w:p>
        </w:tc>
      </w:tr>
      <w:tr w:rsidR="00961BF5" w:rsidRPr="00961BF5" w14:paraId="5EBFBAA7" w14:textId="77777777" w:rsidTr="00961BF5">
        <w:trPr>
          <w:trHeight w:val="235"/>
        </w:trPr>
        <w:tc>
          <w:tcPr>
            <w:tcW w:w="4849" w:type="dxa"/>
            <w:tcBorders>
              <w:top w:val="nil"/>
              <w:left w:val="nil"/>
              <w:bottom w:val="single" w:sz="8" w:space="0" w:color="auto"/>
              <w:right w:val="nil"/>
            </w:tcBorders>
            <w:shd w:val="clear" w:color="auto" w:fill="auto"/>
            <w:noWrap/>
            <w:vAlign w:val="bottom"/>
            <w:hideMark/>
          </w:tcPr>
          <w:p w14:paraId="338766E9" w14:textId="77777777" w:rsidR="00961BF5" w:rsidRPr="00961BF5" w:rsidRDefault="00961BF5" w:rsidP="00961BF5">
            <w:pPr>
              <w:rPr>
                <w:rFonts w:ascii="Arial" w:hAnsi="Arial" w:cs="Arial"/>
                <w:color w:val="000000"/>
                <w:szCs w:val="20"/>
                <w:lang w:eastAsia="en-CA"/>
              </w:rPr>
            </w:pPr>
            <w:r w:rsidRPr="00961BF5">
              <w:rPr>
                <w:rFonts w:ascii="Arial" w:hAnsi="Arial" w:cs="Arial"/>
                <w:color w:val="000000"/>
                <w:szCs w:val="20"/>
                <w:lang w:eastAsia="en-CA"/>
              </w:rPr>
              <w:t>Total</w:t>
            </w:r>
          </w:p>
        </w:tc>
        <w:tc>
          <w:tcPr>
            <w:tcW w:w="2349" w:type="dxa"/>
            <w:tcBorders>
              <w:top w:val="nil"/>
              <w:left w:val="nil"/>
              <w:bottom w:val="single" w:sz="8" w:space="0" w:color="auto"/>
              <w:right w:val="nil"/>
            </w:tcBorders>
            <w:shd w:val="clear" w:color="auto" w:fill="auto"/>
            <w:noWrap/>
            <w:vAlign w:val="bottom"/>
            <w:hideMark/>
          </w:tcPr>
          <w:p w14:paraId="6C83B6D5" w14:textId="77777777" w:rsidR="00961BF5" w:rsidRPr="00961BF5" w:rsidRDefault="00961BF5" w:rsidP="000B1B41">
            <w:pPr>
              <w:jc w:val="right"/>
              <w:rPr>
                <w:rFonts w:ascii="Arial" w:hAnsi="Arial" w:cs="Arial"/>
                <w:color w:val="000000"/>
                <w:szCs w:val="20"/>
                <w:lang w:eastAsia="en-CA"/>
              </w:rPr>
            </w:pPr>
            <w:r w:rsidRPr="00961BF5">
              <w:rPr>
                <w:rFonts w:ascii="Arial" w:hAnsi="Arial" w:cs="Arial"/>
                <w:color w:val="000000"/>
                <w:szCs w:val="20"/>
                <w:lang w:eastAsia="en-CA"/>
              </w:rPr>
              <w:t xml:space="preserve">                 134,216 </w:t>
            </w:r>
          </w:p>
        </w:tc>
        <w:tc>
          <w:tcPr>
            <w:tcW w:w="2349" w:type="dxa"/>
            <w:tcBorders>
              <w:top w:val="nil"/>
              <w:left w:val="nil"/>
              <w:bottom w:val="single" w:sz="8" w:space="0" w:color="auto"/>
              <w:right w:val="nil"/>
            </w:tcBorders>
            <w:shd w:val="clear" w:color="auto" w:fill="auto"/>
            <w:noWrap/>
            <w:vAlign w:val="bottom"/>
            <w:hideMark/>
          </w:tcPr>
          <w:p w14:paraId="140A0071" w14:textId="40168473" w:rsidR="00961BF5" w:rsidRPr="00961BF5" w:rsidRDefault="00961BF5" w:rsidP="00CC45F2">
            <w:pPr>
              <w:jc w:val="right"/>
              <w:rPr>
                <w:rFonts w:ascii="Arial" w:hAnsi="Arial" w:cs="Arial"/>
                <w:color w:val="000000"/>
                <w:szCs w:val="20"/>
                <w:lang w:eastAsia="en-CA"/>
              </w:rPr>
            </w:pPr>
            <w:r w:rsidRPr="00961BF5">
              <w:rPr>
                <w:rFonts w:ascii="Arial" w:hAnsi="Arial" w:cs="Arial"/>
                <w:color w:val="000000"/>
                <w:szCs w:val="20"/>
                <w:lang w:eastAsia="en-CA"/>
              </w:rPr>
              <w:t xml:space="preserve">                           </w:t>
            </w:r>
            <w:r w:rsidR="00B952B9">
              <w:rPr>
                <w:rFonts w:ascii="Arial" w:hAnsi="Arial" w:cs="Arial"/>
                <w:color w:val="000000"/>
                <w:szCs w:val="20"/>
                <w:lang w:eastAsia="en-CA"/>
              </w:rPr>
              <w:t>7,573</w:t>
            </w:r>
          </w:p>
        </w:tc>
      </w:tr>
    </w:tbl>
    <w:p w14:paraId="77AA7F20" w14:textId="77777777" w:rsidR="00961BF5" w:rsidRDefault="00961BF5" w:rsidP="00D130A3">
      <w:pPr>
        <w:jc w:val="both"/>
        <w:rPr>
          <w:rFonts w:ascii="Arial" w:hAnsi="Arial" w:cs="Arial"/>
          <w:szCs w:val="20"/>
        </w:rPr>
      </w:pPr>
    </w:p>
    <w:p w14:paraId="530164D6" w14:textId="5EECAA31" w:rsidR="002B3545" w:rsidRPr="00534ADC" w:rsidRDefault="002B3545" w:rsidP="00DF4EE0">
      <w:pPr>
        <w:pStyle w:val="BodyText"/>
        <w:spacing w:before="0"/>
        <w:rPr>
          <w:rFonts w:ascii="Arial" w:hAnsi="Arial" w:cs="Arial"/>
          <w:b/>
          <w:szCs w:val="20"/>
        </w:rPr>
      </w:pPr>
      <w:r w:rsidRPr="00534ADC">
        <w:rPr>
          <w:rFonts w:ascii="Arial" w:hAnsi="Arial" w:cs="Arial"/>
          <w:b/>
          <w:szCs w:val="20"/>
        </w:rPr>
        <w:t>PROPOSED TRANSACTIONS</w:t>
      </w:r>
    </w:p>
    <w:p w14:paraId="4BA4B709" w14:textId="77777777" w:rsidR="00B75C7A" w:rsidRPr="00534ADC" w:rsidRDefault="00B75C7A" w:rsidP="00B75C7A">
      <w:pPr>
        <w:contextualSpacing/>
        <w:jc w:val="both"/>
        <w:rPr>
          <w:rFonts w:ascii="Arial" w:hAnsi="Arial" w:cs="Arial"/>
          <w:szCs w:val="20"/>
        </w:rPr>
      </w:pPr>
    </w:p>
    <w:p w14:paraId="165228F0" w14:textId="458544E4" w:rsidR="00992709" w:rsidRPr="00534ADC" w:rsidRDefault="00123835" w:rsidP="00992709">
      <w:pPr>
        <w:contextualSpacing/>
        <w:jc w:val="both"/>
        <w:rPr>
          <w:rFonts w:ascii="Arial" w:hAnsi="Arial" w:cs="Arial"/>
          <w:szCs w:val="20"/>
        </w:rPr>
      </w:pPr>
      <w:r>
        <w:rPr>
          <w:rFonts w:ascii="Arial" w:hAnsi="Arial" w:cs="Arial"/>
          <w:szCs w:val="20"/>
        </w:rPr>
        <w:t xml:space="preserve">There </w:t>
      </w:r>
      <w:r w:rsidR="00E660BB">
        <w:rPr>
          <w:rFonts w:ascii="Arial" w:hAnsi="Arial" w:cs="Arial"/>
          <w:szCs w:val="20"/>
        </w:rPr>
        <w:t>are</w:t>
      </w:r>
      <w:r>
        <w:rPr>
          <w:rFonts w:ascii="Arial" w:hAnsi="Arial" w:cs="Arial"/>
          <w:szCs w:val="20"/>
        </w:rPr>
        <w:t xml:space="preserve"> no proposed transaction</w:t>
      </w:r>
      <w:r w:rsidR="00E660BB">
        <w:rPr>
          <w:rFonts w:ascii="Arial" w:hAnsi="Arial" w:cs="Arial"/>
          <w:szCs w:val="20"/>
        </w:rPr>
        <w:t>s</w:t>
      </w:r>
      <w:r>
        <w:rPr>
          <w:rFonts w:ascii="Arial" w:hAnsi="Arial" w:cs="Arial"/>
          <w:szCs w:val="20"/>
        </w:rPr>
        <w:t xml:space="preserve"> </w:t>
      </w:r>
      <w:proofErr w:type="gramStart"/>
      <w:r>
        <w:rPr>
          <w:rFonts w:ascii="Arial" w:hAnsi="Arial" w:cs="Arial"/>
          <w:szCs w:val="20"/>
        </w:rPr>
        <w:t>at this time</w:t>
      </w:r>
      <w:proofErr w:type="gramEnd"/>
      <w:r>
        <w:rPr>
          <w:rFonts w:ascii="Arial" w:hAnsi="Arial" w:cs="Arial"/>
          <w:szCs w:val="20"/>
        </w:rPr>
        <w:t xml:space="preserve">. </w:t>
      </w:r>
    </w:p>
    <w:p w14:paraId="6F7FC59C" w14:textId="77777777" w:rsidR="00F23768" w:rsidRPr="00534ADC" w:rsidRDefault="00F23768" w:rsidP="001A4956">
      <w:pPr>
        <w:pStyle w:val="ListParagraph"/>
        <w:tabs>
          <w:tab w:val="left" w:pos="567"/>
        </w:tabs>
        <w:spacing w:line="240" w:lineRule="auto"/>
        <w:ind w:left="567" w:right="0"/>
        <w:rPr>
          <w:rFonts w:ascii="Arial" w:hAnsi="Arial" w:cs="Arial"/>
          <w:b/>
          <w:szCs w:val="20"/>
        </w:rPr>
      </w:pPr>
    </w:p>
    <w:p w14:paraId="348436C6" w14:textId="77777777" w:rsidR="00C042B0" w:rsidRPr="00534ADC" w:rsidRDefault="00C042B0" w:rsidP="00DA3EEB">
      <w:pPr>
        <w:pStyle w:val="BodyText"/>
        <w:spacing w:before="0"/>
        <w:rPr>
          <w:rFonts w:ascii="Arial" w:hAnsi="Arial" w:cs="Arial"/>
          <w:b/>
          <w:szCs w:val="20"/>
        </w:rPr>
      </w:pPr>
      <w:r w:rsidRPr="00534ADC">
        <w:rPr>
          <w:rFonts w:ascii="Arial" w:hAnsi="Arial" w:cs="Arial"/>
          <w:b/>
          <w:szCs w:val="20"/>
        </w:rPr>
        <w:t>FINANCIAL INSTRUMENTS AND OTHER INSTRUMENTS</w:t>
      </w:r>
    </w:p>
    <w:p w14:paraId="4F361023" w14:textId="641D70A1" w:rsidR="008D3B27" w:rsidRPr="00534ADC" w:rsidRDefault="00C042B0" w:rsidP="00E32828">
      <w:pPr>
        <w:pStyle w:val="BodyText"/>
        <w:rPr>
          <w:rFonts w:ascii="Arial" w:hAnsi="Arial" w:cs="Arial"/>
          <w:color w:val="000000"/>
          <w:szCs w:val="20"/>
        </w:rPr>
      </w:pPr>
      <w:r w:rsidRPr="00534ADC">
        <w:rPr>
          <w:rFonts w:ascii="Arial" w:hAnsi="Arial" w:cs="Arial"/>
          <w:color w:val="000000"/>
          <w:szCs w:val="20"/>
        </w:rPr>
        <w:t xml:space="preserve">The Company’s financial instruments </w:t>
      </w:r>
      <w:r w:rsidR="001560AC" w:rsidRPr="009F228C">
        <w:rPr>
          <w:rFonts w:ascii="Arial" w:hAnsi="Arial" w:cs="Arial"/>
          <w:bCs/>
          <w:szCs w:val="20"/>
        </w:rPr>
        <w:t>consisted of cash</w:t>
      </w:r>
      <w:r w:rsidR="001560AC">
        <w:rPr>
          <w:rFonts w:ascii="Arial" w:hAnsi="Arial" w:cs="Arial"/>
          <w:bCs/>
          <w:szCs w:val="20"/>
        </w:rPr>
        <w:t xml:space="preserve">, accounts receivable, </w:t>
      </w:r>
      <w:r w:rsidR="001560AC" w:rsidRPr="009F228C">
        <w:rPr>
          <w:rFonts w:ascii="Arial" w:hAnsi="Arial" w:cs="Arial"/>
          <w:bCs/>
          <w:szCs w:val="20"/>
        </w:rPr>
        <w:t>accounts payable</w:t>
      </w:r>
      <w:r w:rsidR="001560AC">
        <w:rPr>
          <w:rFonts w:ascii="Arial" w:hAnsi="Arial" w:cs="Arial"/>
          <w:bCs/>
          <w:szCs w:val="20"/>
        </w:rPr>
        <w:t xml:space="preserve"> and accrued liabilities, and the CEBA loan</w:t>
      </w:r>
      <w:r w:rsidR="001560AC" w:rsidRPr="009F228C">
        <w:rPr>
          <w:rFonts w:ascii="Arial" w:hAnsi="Arial" w:cs="Arial"/>
          <w:bCs/>
          <w:szCs w:val="20"/>
        </w:rPr>
        <w:t>.</w:t>
      </w:r>
      <w:r w:rsidR="002B5819" w:rsidRPr="00534ADC">
        <w:rPr>
          <w:rFonts w:ascii="Arial" w:hAnsi="Arial" w:cs="Arial"/>
          <w:color w:val="000000"/>
          <w:szCs w:val="20"/>
        </w:rPr>
        <w:t xml:space="preserve">  </w:t>
      </w:r>
      <w:r w:rsidRPr="00534ADC">
        <w:rPr>
          <w:rFonts w:ascii="Arial" w:hAnsi="Arial" w:cs="Arial"/>
          <w:color w:val="000000"/>
          <w:szCs w:val="20"/>
        </w:rPr>
        <w:t>Unless otherwise noted, it is management’s opinion that the Company is not exposed to significant interest rate, currency or credit risks arising from these financial instruments.  The fair values of these financial instruments approximate their carrying values due to the relatively short-term maturity of these instruments.</w:t>
      </w:r>
      <w:r w:rsidR="00DC203B" w:rsidRPr="00534ADC">
        <w:rPr>
          <w:rFonts w:ascii="Arial" w:hAnsi="Arial" w:cs="Arial"/>
          <w:color w:val="000000"/>
          <w:szCs w:val="20"/>
        </w:rPr>
        <w:t xml:space="preserve">  Refer to Note </w:t>
      </w:r>
      <w:r w:rsidR="005125CA">
        <w:rPr>
          <w:rFonts w:ascii="Arial" w:hAnsi="Arial" w:cs="Arial"/>
          <w:color w:val="000000"/>
          <w:szCs w:val="20"/>
        </w:rPr>
        <w:t>1</w:t>
      </w:r>
      <w:r w:rsidR="001560AC">
        <w:rPr>
          <w:rFonts w:ascii="Arial" w:hAnsi="Arial" w:cs="Arial"/>
          <w:color w:val="000000"/>
          <w:szCs w:val="20"/>
        </w:rPr>
        <w:t>3</w:t>
      </w:r>
      <w:r w:rsidR="00DC203B" w:rsidRPr="00534ADC">
        <w:rPr>
          <w:rFonts w:ascii="Arial" w:hAnsi="Arial" w:cs="Arial"/>
          <w:color w:val="000000"/>
          <w:szCs w:val="20"/>
        </w:rPr>
        <w:t xml:space="preserve"> of the Company’s</w:t>
      </w:r>
      <w:r w:rsidR="00337036" w:rsidRPr="00534ADC">
        <w:rPr>
          <w:rFonts w:ascii="Arial" w:hAnsi="Arial" w:cs="Arial"/>
          <w:color w:val="000000"/>
          <w:szCs w:val="20"/>
        </w:rPr>
        <w:t xml:space="preserve"> </w:t>
      </w:r>
      <w:r w:rsidR="00D130A3">
        <w:rPr>
          <w:rFonts w:ascii="Arial" w:hAnsi="Arial" w:cs="Arial"/>
          <w:color w:val="000000"/>
          <w:szCs w:val="20"/>
        </w:rPr>
        <w:t xml:space="preserve">condensed </w:t>
      </w:r>
      <w:r w:rsidR="005125CA">
        <w:rPr>
          <w:rFonts w:ascii="Arial" w:hAnsi="Arial" w:cs="Arial"/>
          <w:color w:val="000000"/>
          <w:szCs w:val="20"/>
        </w:rPr>
        <w:t>consolidated</w:t>
      </w:r>
      <w:r w:rsidR="00D130A3">
        <w:rPr>
          <w:rFonts w:ascii="Arial" w:hAnsi="Arial" w:cs="Arial"/>
          <w:color w:val="000000"/>
          <w:szCs w:val="20"/>
        </w:rPr>
        <w:t xml:space="preserve"> interim</w:t>
      </w:r>
      <w:r w:rsidR="000E1CF4" w:rsidRPr="00534ADC">
        <w:rPr>
          <w:rFonts w:ascii="Arial" w:hAnsi="Arial" w:cs="Arial"/>
          <w:color w:val="000000"/>
          <w:szCs w:val="20"/>
        </w:rPr>
        <w:t xml:space="preserve"> </w:t>
      </w:r>
      <w:r w:rsidR="00DC203B" w:rsidRPr="00534ADC">
        <w:rPr>
          <w:rFonts w:ascii="Arial" w:hAnsi="Arial" w:cs="Arial"/>
          <w:color w:val="000000"/>
          <w:szCs w:val="20"/>
        </w:rPr>
        <w:t>financial statements for further information on the Company’s financial instruments.</w:t>
      </w:r>
    </w:p>
    <w:p w14:paraId="1092E42B" w14:textId="77777777" w:rsidR="009F4176" w:rsidRDefault="009F4176" w:rsidP="009F4176">
      <w:pPr>
        <w:pStyle w:val="BodyText"/>
        <w:spacing w:before="0"/>
        <w:rPr>
          <w:rFonts w:ascii="Arial" w:hAnsi="Arial" w:cs="Arial"/>
          <w:b/>
          <w:szCs w:val="20"/>
        </w:rPr>
      </w:pPr>
    </w:p>
    <w:p w14:paraId="197BD7EB" w14:textId="4C0C57D8" w:rsidR="00337036" w:rsidRPr="00534ADC" w:rsidRDefault="00337036" w:rsidP="009F4176">
      <w:pPr>
        <w:pStyle w:val="BodyText"/>
        <w:spacing w:before="0"/>
        <w:rPr>
          <w:rFonts w:ascii="Arial" w:hAnsi="Arial" w:cs="Arial"/>
          <w:b/>
          <w:szCs w:val="20"/>
        </w:rPr>
      </w:pPr>
      <w:r w:rsidRPr="00534ADC">
        <w:rPr>
          <w:rFonts w:ascii="Arial" w:hAnsi="Arial" w:cs="Arial"/>
          <w:b/>
          <w:szCs w:val="20"/>
        </w:rPr>
        <w:t>CRITICAL ACCOUNTING ESTIMATES</w:t>
      </w:r>
    </w:p>
    <w:p w14:paraId="3F171DAD" w14:textId="2F35C74A" w:rsidR="00337036" w:rsidRPr="00534ADC" w:rsidRDefault="00337036" w:rsidP="00E32828">
      <w:pPr>
        <w:pStyle w:val="BodyText"/>
        <w:rPr>
          <w:rFonts w:ascii="Arial" w:hAnsi="Arial" w:cs="Arial"/>
          <w:szCs w:val="20"/>
        </w:rPr>
      </w:pPr>
      <w:r w:rsidRPr="00534ADC">
        <w:rPr>
          <w:rFonts w:ascii="Arial" w:hAnsi="Arial" w:cs="Arial"/>
          <w:szCs w:val="20"/>
        </w:rPr>
        <w:t xml:space="preserve">Refer to Note 2 of the Company’s </w:t>
      </w:r>
      <w:r w:rsidR="00E17EC2">
        <w:rPr>
          <w:rFonts w:ascii="Arial" w:hAnsi="Arial" w:cs="Arial"/>
          <w:szCs w:val="20"/>
        </w:rPr>
        <w:t xml:space="preserve">condensed </w:t>
      </w:r>
      <w:r w:rsidR="00CB7CC8">
        <w:rPr>
          <w:rFonts w:ascii="Arial" w:hAnsi="Arial" w:cs="Arial"/>
          <w:szCs w:val="20"/>
        </w:rPr>
        <w:t>consolidated</w:t>
      </w:r>
      <w:r w:rsidR="00E17EC2">
        <w:rPr>
          <w:rFonts w:ascii="Arial" w:hAnsi="Arial" w:cs="Arial"/>
          <w:szCs w:val="20"/>
        </w:rPr>
        <w:t xml:space="preserve"> interim</w:t>
      </w:r>
      <w:r w:rsidR="00CB7CC8">
        <w:rPr>
          <w:rFonts w:ascii="Arial" w:hAnsi="Arial" w:cs="Arial"/>
          <w:szCs w:val="20"/>
        </w:rPr>
        <w:t xml:space="preserve"> </w:t>
      </w:r>
      <w:r w:rsidRPr="00534ADC">
        <w:rPr>
          <w:rFonts w:ascii="Arial" w:hAnsi="Arial" w:cs="Arial"/>
          <w:szCs w:val="20"/>
        </w:rPr>
        <w:t xml:space="preserve">financial statements for further information on the Company’s accounting estimates. </w:t>
      </w:r>
    </w:p>
    <w:p w14:paraId="7200BB16" w14:textId="1F9C4B75" w:rsidR="00F23768" w:rsidRPr="00534ADC" w:rsidRDefault="00F23768" w:rsidP="00F23768">
      <w:pPr>
        <w:pStyle w:val="BodyText"/>
        <w:rPr>
          <w:rFonts w:ascii="Arial" w:hAnsi="Arial" w:cs="Arial"/>
          <w:b/>
          <w:szCs w:val="20"/>
        </w:rPr>
      </w:pPr>
      <w:r w:rsidRPr="00534ADC">
        <w:rPr>
          <w:rFonts w:ascii="Arial" w:hAnsi="Arial" w:cs="Arial"/>
          <w:b/>
          <w:szCs w:val="20"/>
        </w:rPr>
        <w:t>CHANGES IN ACCOUNTING POLICIES INCLUDING INITIAL ADOPTION</w:t>
      </w:r>
    </w:p>
    <w:p w14:paraId="21163474" w14:textId="02C39A61" w:rsidR="00F23768" w:rsidRPr="00534ADC" w:rsidRDefault="0097753A" w:rsidP="00F23768">
      <w:pPr>
        <w:pStyle w:val="BodyText"/>
        <w:rPr>
          <w:rFonts w:ascii="Arial" w:hAnsi="Arial" w:cs="Arial"/>
          <w:szCs w:val="20"/>
        </w:rPr>
      </w:pPr>
      <w:r>
        <w:rPr>
          <w:rFonts w:ascii="Arial" w:hAnsi="Arial" w:cs="Arial"/>
          <w:szCs w:val="20"/>
        </w:rPr>
        <w:t xml:space="preserve">There was no change in accounting policies for the </w:t>
      </w:r>
      <w:r w:rsidR="00D130A3">
        <w:rPr>
          <w:rFonts w:ascii="Arial" w:hAnsi="Arial" w:cs="Arial"/>
          <w:szCs w:val="20"/>
        </w:rPr>
        <w:t>period</w:t>
      </w:r>
      <w:r>
        <w:rPr>
          <w:rFonts w:ascii="Arial" w:hAnsi="Arial" w:cs="Arial"/>
          <w:szCs w:val="20"/>
        </w:rPr>
        <w:t xml:space="preserve"> ended </w:t>
      </w:r>
      <w:r w:rsidR="00F32987">
        <w:rPr>
          <w:rFonts w:ascii="Arial" w:hAnsi="Arial" w:cs="Arial"/>
          <w:szCs w:val="20"/>
        </w:rPr>
        <w:t>June 30</w:t>
      </w:r>
      <w:r w:rsidR="00D130A3">
        <w:rPr>
          <w:rFonts w:ascii="Arial" w:hAnsi="Arial" w:cs="Arial"/>
          <w:szCs w:val="20"/>
        </w:rPr>
        <w:t>, 2021</w:t>
      </w:r>
      <w:r>
        <w:rPr>
          <w:rFonts w:ascii="Arial" w:hAnsi="Arial" w:cs="Arial"/>
          <w:szCs w:val="20"/>
        </w:rPr>
        <w:t>.</w:t>
      </w:r>
    </w:p>
    <w:p w14:paraId="0F89F568" w14:textId="77777777" w:rsidR="009061E5" w:rsidRDefault="009061E5" w:rsidP="00E17EC2">
      <w:pPr>
        <w:pStyle w:val="BodyText"/>
        <w:spacing w:before="0"/>
        <w:rPr>
          <w:rFonts w:ascii="Arial" w:hAnsi="Arial" w:cs="Arial"/>
          <w:b/>
          <w:szCs w:val="20"/>
        </w:rPr>
      </w:pPr>
    </w:p>
    <w:p w14:paraId="6815F01F" w14:textId="4578B298" w:rsidR="00C042B0" w:rsidRPr="00534ADC" w:rsidRDefault="00056520" w:rsidP="00E17EC2">
      <w:pPr>
        <w:pStyle w:val="BodyText"/>
        <w:spacing w:before="0"/>
        <w:rPr>
          <w:rFonts w:ascii="Arial" w:hAnsi="Arial" w:cs="Arial"/>
          <w:b/>
          <w:szCs w:val="20"/>
        </w:rPr>
      </w:pPr>
      <w:r>
        <w:rPr>
          <w:rFonts w:ascii="Arial" w:hAnsi="Arial" w:cs="Arial"/>
          <w:b/>
          <w:szCs w:val="20"/>
        </w:rPr>
        <w:t>D</w:t>
      </w:r>
      <w:r w:rsidR="00C042B0" w:rsidRPr="00534ADC">
        <w:rPr>
          <w:rFonts w:ascii="Arial" w:hAnsi="Arial" w:cs="Arial"/>
          <w:b/>
          <w:szCs w:val="20"/>
        </w:rPr>
        <w:t>ISCLOSURE OF OUTSTANDING SHARE DATA</w:t>
      </w:r>
    </w:p>
    <w:p w14:paraId="3C150529" w14:textId="77777777" w:rsidR="00871061" w:rsidRPr="00534ADC" w:rsidRDefault="00871061" w:rsidP="00871061">
      <w:pPr>
        <w:pStyle w:val="BodyText"/>
        <w:spacing w:before="0"/>
        <w:rPr>
          <w:rFonts w:ascii="Arial" w:hAnsi="Arial" w:cs="Arial"/>
          <w:b/>
          <w:szCs w:val="20"/>
        </w:rPr>
      </w:pPr>
    </w:p>
    <w:p w14:paraId="2CA9B433" w14:textId="77777777" w:rsidR="00C042B0" w:rsidRPr="00534ADC" w:rsidRDefault="00C042B0" w:rsidP="00EB4FD7">
      <w:pPr>
        <w:tabs>
          <w:tab w:val="left" w:pos="0"/>
        </w:tabs>
        <w:jc w:val="both"/>
        <w:outlineLvl w:val="0"/>
        <w:rPr>
          <w:rFonts w:ascii="Arial" w:hAnsi="Arial" w:cs="Arial"/>
          <w:b/>
          <w:szCs w:val="20"/>
        </w:rPr>
      </w:pPr>
      <w:r w:rsidRPr="00534ADC">
        <w:rPr>
          <w:rFonts w:ascii="Arial" w:hAnsi="Arial" w:cs="Arial"/>
          <w:b/>
          <w:szCs w:val="20"/>
        </w:rPr>
        <w:t>Common Shares</w:t>
      </w:r>
    </w:p>
    <w:p w14:paraId="2F067032" w14:textId="77777777" w:rsidR="00871061" w:rsidRPr="00534ADC" w:rsidRDefault="00871061" w:rsidP="00EB4FD7">
      <w:pPr>
        <w:tabs>
          <w:tab w:val="left" w:pos="0"/>
        </w:tabs>
        <w:jc w:val="both"/>
        <w:rPr>
          <w:rFonts w:ascii="Arial" w:hAnsi="Arial" w:cs="Arial"/>
          <w:szCs w:val="20"/>
        </w:rPr>
      </w:pPr>
    </w:p>
    <w:p w14:paraId="2C1F411D" w14:textId="25A3DBD2" w:rsidR="00EB4FD7" w:rsidRDefault="00C8329C" w:rsidP="00CB7CC8">
      <w:pPr>
        <w:tabs>
          <w:tab w:val="left" w:pos="0"/>
        </w:tabs>
        <w:jc w:val="both"/>
        <w:rPr>
          <w:rFonts w:ascii="Arial" w:hAnsi="Arial" w:cs="Arial"/>
          <w:szCs w:val="20"/>
          <w:lang w:val="en-GB"/>
        </w:rPr>
      </w:pPr>
      <w:r w:rsidRPr="00534ADC">
        <w:rPr>
          <w:rFonts w:ascii="Arial" w:hAnsi="Arial" w:cs="Arial"/>
          <w:szCs w:val="20"/>
        </w:rPr>
        <w:t>The Company is authorized to issue the following</w:t>
      </w:r>
      <w:r w:rsidR="00CB7CC8">
        <w:rPr>
          <w:rFonts w:ascii="Arial" w:hAnsi="Arial" w:cs="Arial"/>
          <w:szCs w:val="20"/>
        </w:rPr>
        <w:t xml:space="preserve"> an unlimited number of common shares with no par value.  A</w:t>
      </w:r>
      <w:r w:rsidR="00EB4FD7" w:rsidRPr="00534ADC">
        <w:rPr>
          <w:rFonts w:ascii="Arial" w:hAnsi="Arial" w:cs="Arial"/>
          <w:szCs w:val="20"/>
          <w:lang w:val="en-GB"/>
        </w:rPr>
        <w:t>s of the date of this MD&amp;A, the Company had issued and outstanding</w:t>
      </w:r>
      <w:r w:rsidR="00B1129C" w:rsidRPr="00534ADC">
        <w:rPr>
          <w:rFonts w:ascii="Arial" w:hAnsi="Arial" w:cs="Arial"/>
          <w:szCs w:val="20"/>
          <w:lang w:val="en-GB"/>
        </w:rPr>
        <w:t xml:space="preserve"> </w:t>
      </w:r>
      <w:r w:rsidR="00F32987">
        <w:rPr>
          <w:rFonts w:ascii="Arial" w:hAnsi="Arial" w:cs="Arial"/>
          <w:szCs w:val="20"/>
          <w:lang w:val="en-GB"/>
        </w:rPr>
        <w:t>59,865,526</w:t>
      </w:r>
      <w:r w:rsidR="00831BC0">
        <w:rPr>
          <w:rFonts w:ascii="Arial" w:hAnsi="Arial" w:cs="Arial"/>
          <w:szCs w:val="20"/>
          <w:lang w:val="en-GB"/>
        </w:rPr>
        <w:t xml:space="preserve"> subordinate voting shares, </w:t>
      </w:r>
      <w:r w:rsidR="00F32987">
        <w:rPr>
          <w:rFonts w:ascii="Arial" w:hAnsi="Arial" w:cs="Arial"/>
          <w:szCs w:val="20"/>
          <w:lang w:val="en-GB"/>
        </w:rPr>
        <w:t>259,913</w:t>
      </w:r>
      <w:r w:rsidR="00831BC0">
        <w:rPr>
          <w:rFonts w:ascii="Arial" w:hAnsi="Arial" w:cs="Arial"/>
          <w:szCs w:val="20"/>
          <w:lang w:val="en-GB"/>
        </w:rPr>
        <w:t xml:space="preserve"> multiple voting shares, </w:t>
      </w:r>
      <w:r w:rsidR="00F32987">
        <w:rPr>
          <w:rFonts w:ascii="Arial" w:hAnsi="Arial" w:cs="Arial"/>
          <w:szCs w:val="20"/>
          <w:lang w:val="en-GB"/>
        </w:rPr>
        <w:t>5,003,887</w:t>
      </w:r>
      <w:r w:rsidR="001120DA">
        <w:rPr>
          <w:rFonts w:ascii="Arial" w:hAnsi="Arial" w:cs="Arial"/>
          <w:szCs w:val="20"/>
          <w:lang w:val="en-GB"/>
        </w:rPr>
        <w:t xml:space="preserve"> stock options, and </w:t>
      </w:r>
      <w:r w:rsidR="00F32987">
        <w:rPr>
          <w:rFonts w:ascii="Arial" w:hAnsi="Arial" w:cs="Arial"/>
          <w:szCs w:val="20"/>
          <w:lang w:val="en-GB"/>
        </w:rPr>
        <w:t>12,221,140</w:t>
      </w:r>
      <w:r w:rsidR="001120DA">
        <w:rPr>
          <w:rFonts w:ascii="Arial" w:hAnsi="Arial" w:cs="Arial"/>
          <w:szCs w:val="20"/>
          <w:lang w:val="en-GB"/>
        </w:rPr>
        <w:t xml:space="preserve"> warrants</w:t>
      </w:r>
      <w:r w:rsidR="00EB4FD7" w:rsidRPr="00534ADC">
        <w:rPr>
          <w:rFonts w:ascii="Arial" w:hAnsi="Arial" w:cs="Arial"/>
          <w:szCs w:val="20"/>
          <w:lang w:val="en-GB"/>
        </w:rPr>
        <w:t xml:space="preserve">. </w:t>
      </w:r>
    </w:p>
    <w:p w14:paraId="34F8281C" w14:textId="1A54B519" w:rsidR="00831BC0" w:rsidRDefault="00831BC0" w:rsidP="00CB7CC8">
      <w:pPr>
        <w:tabs>
          <w:tab w:val="left" w:pos="0"/>
        </w:tabs>
        <w:jc w:val="both"/>
        <w:rPr>
          <w:rFonts w:ascii="Arial" w:hAnsi="Arial" w:cs="Arial"/>
          <w:bCs/>
          <w:szCs w:val="20"/>
          <w:lang w:val="en-GB"/>
        </w:rPr>
      </w:pPr>
    </w:p>
    <w:p w14:paraId="3EB4428B" w14:textId="2469ACC2" w:rsidR="00A50FBF" w:rsidRDefault="00A50FBF" w:rsidP="00CB7CC8">
      <w:pPr>
        <w:tabs>
          <w:tab w:val="left" w:pos="0"/>
        </w:tabs>
        <w:jc w:val="both"/>
        <w:rPr>
          <w:rFonts w:ascii="Arial" w:hAnsi="Arial" w:cs="Arial"/>
          <w:bCs/>
          <w:szCs w:val="20"/>
          <w:lang w:val="en-GB"/>
        </w:rPr>
      </w:pPr>
    </w:p>
    <w:p w14:paraId="0515554A" w14:textId="1E759DF3" w:rsidR="00A50FBF" w:rsidRDefault="00A50FBF" w:rsidP="00CB7CC8">
      <w:pPr>
        <w:tabs>
          <w:tab w:val="left" w:pos="0"/>
        </w:tabs>
        <w:jc w:val="both"/>
        <w:rPr>
          <w:rFonts w:ascii="Arial" w:hAnsi="Arial" w:cs="Arial"/>
          <w:bCs/>
          <w:szCs w:val="20"/>
          <w:lang w:val="en-GB"/>
        </w:rPr>
      </w:pPr>
    </w:p>
    <w:p w14:paraId="2139313F" w14:textId="77777777" w:rsidR="00A50FBF" w:rsidRPr="00534ADC" w:rsidRDefault="00A50FBF" w:rsidP="00CB7CC8">
      <w:pPr>
        <w:tabs>
          <w:tab w:val="left" w:pos="0"/>
        </w:tabs>
        <w:jc w:val="both"/>
        <w:rPr>
          <w:rFonts w:ascii="Arial" w:hAnsi="Arial" w:cs="Arial"/>
          <w:bCs/>
          <w:szCs w:val="20"/>
          <w:lang w:val="en-GB"/>
        </w:rPr>
      </w:pPr>
    </w:p>
    <w:p w14:paraId="7795B033" w14:textId="291469AD" w:rsidR="00C042B0" w:rsidRPr="00534ADC" w:rsidRDefault="00C042B0" w:rsidP="00BC4AD3">
      <w:pPr>
        <w:pStyle w:val="Heading1"/>
        <w:numPr>
          <w:ilvl w:val="0"/>
          <w:numId w:val="0"/>
        </w:numPr>
        <w:spacing w:before="0"/>
        <w:rPr>
          <w:rFonts w:ascii="Arial" w:hAnsi="Arial" w:cs="Arial"/>
          <w:b/>
          <w:szCs w:val="20"/>
          <w:lang w:val="en-GB"/>
        </w:rPr>
      </w:pPr>
      <w:r w:rsidRPr="00534ADC">
        <w:rPr>
          <w:rFonts w:ascii="Arial" w:hAnsi="Arial" w:cs="Arial"/>
          <w:b/>
          <w:szCs w:val="20"/>
          <w:lang w:val="en-GB"/>
        </w:rPr>
        <w:t>RISK FACTORS</w:t>
      </w:r>
    </w:p>
    <w:p w14:paraId="140E0265" w14:textId="77777777" w:rsidR="003539FC" w:rsidRPr="00534ADC" w:rsidRDefault="003539FC" w:rsidP="004C37D0">
      <w:pPr>
        <w:pStyle w:val="OHHParagraph"/>
        <w:spacing w:after="0"/>
        <w:ind w:firstLine="0"/>
        <w:rPr>
          <w:rFonts w:ascii="Arial" w:hAnsi="Arial" w:cs="Arial"/>
          <w:lang w:val="en-CA"/>
        </w:rPr>
      </w:pPr>
    </w:p>
    <w:p w14:paraId="787E8659" w14:textId="3BE5C960" w:rsidR="003539FC" w:rsidRPr="00534ADC" w:rsidRDefault="003539FC" w:rsidP="004C37D0">
      <w:pPr>
        <w:pStyle w:val="OHHParagraph"/>
        <w:spacing w:after="0"/>
        <w:ind w:firstLine="0"/>
        <w:rPr>
          <w:rFonts w:ascii="Arial" w:hAnsi="Arial" w:cs="Arial"/>
        </w:rPr>
      </w:pPr>
      <w:r w:rsidRPr="00534ADC">
        <w:rPr>
          <w:rFonts w:ascii="Arial" w:hAnsi="Arial" w:cs="Arial"/>
          <w:lang w:val="en"/>
        </w:rPr>
        <w:t xml:space="preserve">The Company’s business, operating results and financial condition could be adversely affected by any of the risks outlined below. These risks and uncertainties are not the only ones facing the Company. Additional risks and uncertainties not currently known to the Company, or that the Company currently deems immaterial, may also impair the operations of the Company. If any such risks </w:t>
      </w:r>
      <w:proofErr w:type="gramStart"/>
      <w:r w:rsidRPr="00534ADC">
        <w:rPr>
          <w:rFonts w:ascii="Arial" w:hAnsi="Arial" w:cs="Arial"/>
          <w:lang w:val="en"/>
        </w:rPr>
        <w:t>actually occur</w:t>
      </w:r>
      <w:proofErr w:type="gramEnd"/>
      <w:r w:rsidRPr="00534ADC">
        <w:rPr>
          <w:rFonts w:ascii="Arial" w:hAnsi="Arial" w:cs="Arial"/>
          <w:lang w:val="en"/>
        </w:rPr>
        <w:t xml:space="preserve">, the financial condition, liquidity and results of operations of the Company could be materially adversely affected and the ability of the Company to implement its growth plans could be adversely affected. </w:t>
      </w:r>
    </w:p>
    <w:p w14:paraId="28F5043D" w14:textId="77777777" w:rsidR="003539FC" w:rsidRPr="00534ADC" w:rsidRDefault="003539FC" w:rsidP="004C37D0">
      <w:pPr>
        <w:pStyle w:val="OHHParagraph"/>
        <w:spacing w:after="0"/>
        <w:ind w:firstLine="0"/>
        <w:rPr>
          <w:rFonts w:ascii="Arial" w:hAnsi="Arial" w:cs="Arial"/>
        </w:rPr>
      </w:pPr>
    </w:p>
    <w:p w14:paraId="5AB04E08" w14:textId="64D77D52" w:rsidR="003539FC" w:rsidRPr="00534ADC" w:rsidRDefault="003539FC" w:rsidP="004C37D0">
      <w:pPr>
        <w:pStyle w:val="OHHParagraph"/>
        <w:spacing w:after="0"/>
        <w:ind w:firstLine="0"/>
        <w:rPr>
          <w:rFonts w:ascii="Arial" w:hAnsi="Arial" w:cs="Arial"/>
          <w:lang w:val="en"/>
        </w:rPr>
      </w:pPr>
      <w:r w:rsidRPr="00534ADC">
        <w:rPr>
          <w:rFonts w:ascii="Arial" w:hAnsi="Arial" w:cs="Arial"/>
          <w:lang w:val="en"/>
        </w:rPr>
        <w:t>An investment in the Company’s Shares is speculative and will be subject to material risks; and investors should not invest in securities of the Company unless they can afford to lose their entire investment.</w:t>
      </w:r>
    </w:p>
    <w:p w14:paraId="24719C67" w14:textId="77777777" w:rsidR="003539FC" w:rsidRPr="00534ADC" w:rsidRDefault="003539FC" w:rsidP="004C37D0">
      <w:pPr>
        <w:pStyle w:val="OHHParagraph"/>
        <w:spacing w:after="0"/>
        <w:ind w:firstLine="0"/>
        <w:rPr>
          <w:rFonts w:ascii="Arial" w:hAnsi="Arial" w:cs="Arial"/>
          <w:lang w:val="en"/>
        </w:rPr>
      </w:pPr>
    </w:p>
    <w:p w14:paraId="3589D68A" w14:textId="77777777" w:rsidR="003539FC" w:rsidRPr="00534ADC" w:rsidRDefault="003539FC" w:rsidP="004C37D0">
      <w:pPr>
        <w:pStyle w:val="OHHParagraph"/>
        <w:spacing w:after="0"/>
        <w:ind w:firstLine="0"/>
        <w:rPr>
          <w:rFonts w:ascii="Arial" w:hAnsi="Arial" w:cs="Arial"/>
          <w:b/>
          <w:bCs/>
        </w:rPr>
      </w:pPr>
      <w:r w:rsidRPr="00534ADC">
        <w:rPr>
          <w:rFonts w:ascii="Arial" w:hAnsi="Arial" w:cs="Arial"/>
          <w:b/>
          <w:bCs/>
          <w:lang w:val="en"/>
        </w:rPr>
        <w:t xml:space="preserve">Additional Funding Requirements </w:t>
      </w:r>
    </w:p>
    <w:p w14:paraId="03F82BAD" w14:textId="01D11353" w:rsidR="003539FC" w:rsidRPr="00534ADC" w:rsidRDefault="003539FC" w:rsidP="004C37D0">
      <w:pPr>
        <w:pStyle w:val="OHHParagraph"/>
        <w:spacing w:after="0"/>
        <w:ind w:firstLine="0"/>
        <w:rPr>
          <w:rFonts w:ascii="Arial" w:hAnsi="Arial" w:cs="Arial"/>
          <w:lang w:val="en"/>
        </w:rPr>
      </w:pPr>
      <w:r w:rsidRPr="00534ADC">
        <w:rPr>
          <w:rFonts w:ascii="Arial" w:hAnsi="Arial" w:cs="Arial"/>
          <w:lang w:val="en"/>
        </w:rPr>
        <w:t xml:space="preserve">Further expansion of the Company’s business, in Canada and internationally, will require additional capital; and the ongoing costs of operations may not generate positive cash flow for the near or long term. Although the Company has adequate funds to operate for the next 12 months, there is no assurance that it will be successful in obtaining the required financing for these or other purposes, including for general working capital. The Company’s ability to secure any required financing to sustain operations will depend in part upon prevailing capital market conditions and business success. There can be no assurance that the Company will be successful in its efforts to secure any additional financing or additional financing on terms satisfactory to management. If additional financing is raised by issuance of additional shares from treasury, control may </w:t>
      </w:r>
      <w:proofErr w:type="gramStart"/>
      <w:r w:rsidRPr="00534ADC">
        <w:rPr>
          <w:rFonts w:ascii="Arial" w:hAnsi="Arial" w:cs="Arial"/>
          <w:lang w:val="en"/>
        </w:rPr>
        <w:t>change</w:t>
      </w:r>
      <w:proofErr w:type="gramEnd"/>
      <w:r w:rsidRPr="00534ADC">
        <w:rPr>
          <w:rFonts w:ascii="Arial" w:hAnsi="Arial" w:cs="Arial"/>
          <w:lang w:val="en"/>
        </w:rPr>
        <w:t xml:space="preserve"> and shareholders may suffer dilution. If adequate funds are not available, or are not available on acceptable terms, the Company may be required to scale back its current business plan or cease operating.</w:t>
      </w:r>
    </w:p>
    <w:p w14:paraId="4CDF0947" w14:textId="2373D67E" w:rsidR="0026256D" w:rsidRPr="00534ADC" w:rsidRDefault="0026256D" w:rsidP="004C37D0">
      <w:pPr>
        <w:pStyle w:val="OHHParagraph"/>
        <w:spacing w:after="0"/>
        <w:ind w:firstLine="0"/>
        <w:rPr>
          <w:rFonts w:ascii="Arial" w:hAnsi="Arial" w:cs="Arial"/>
          <w:lang w:val="en"/>
        </w:rPr>
      </w:pPr>
    </w:p>
    <w:p w14:paraId="33F4AD67" w14:textId="77777777" w:rsidR="0026256D" w:rsidRPr="00534ADC" w:rsidRDefault="0026256D" w:rsidP="004C37D0">
      <w:pPr>
        <w:pStyle w:val="OHHParagraph"/>
        <w:spacing w:after="0"/>
        <w:ind w:firstLine="0"/>
        <w:rPr>
          <w:rFonts w:ascii="Arial" w:hAnsi="Arial" w:cs="Arial"/>
          <w:b/>
          <w:bCs/>
        </w:rPr>
      </w:pPr>
      <w:r w:rsidRPr="00534ADC">
        <w:rPr>
          <w:rFonts w:ascii="Arial" w:hAnsi="Arial" w:cs="Arial"/>
          <w:b/>
          <w:bCs/>
          <w:lang w:val="en"/>
        </w:rPr>
        <w:t xml:space="preserve">Market Risk for Securities </w:t>
      </w:r>
    </w:p>
    <w:p w14:paraId="4CAD0BF7" w14:textId="47FBA25D" w:rsidR="0026256D" w:rsidRPr="00534ADC" w:rsidRDefault="0026256D" w:rsidP="004C37D0">
      <w:pPr>
        <w:pStyle w:val="OHHParagraph"/>
        <w:spacing w:after="0"/>
        <w:ind w:firstLine="0"/>
        <w:rPr>
          <w:rFonts w:ascii="Arial" w:hAnsi="Arial" w:cs="Arial"/>
          <w:lang w:val="en"/>
        </w:rPr>
      </w:pPr>
      <w:r w:rsidRPr="00534ADC">
        <w:rPr>
          <w:rFonts w:ascii="Arial" w:hAnsi="Arial" w:cs="Arial"/>
          <w:lang w:val="en"/>
        </w:rPr>
        <w:t xml:space="preserve">There can be no assurance that an active trading market for the Company’s Shares will be sustained. The market price for the Company’s Shares may be subject to wide fluctuations. Factors such as government regulation, share price movements of peer companies and competitors, as well as overall market movements, may have a significant impact on the market price of the Company’s securities. The stock market has from </w:t>
      </w:r>
      <w:proofErr w:type="gramStart"/>
      <w:r w:rsidRPr="00534ADC">
        <w:rPr>
          <w:rFonts w:ascii="Arial" w:hAnsi="Arial" w:cs="Arial"/>
          <w:lang w:val="en"/>
        </w:rPr>
        <w:t>time to time</w:t>
      </w:r>
      <w:proofErr w:type="gramEnd"/>
      <w:r w:rsidRPr="00534ADC">
        <w:rPr>
          <w:rFonts w:ascii="Arial" w:hAnsi="Arial" w:cs="Arial"/>
          <w:lang w:val="en"/>
        </w:rPr>
        <w:t xml:space="preserve"> experienced extreme price and volume fluctuations, which have often been unrelated to the operating performance of particular companies.</w:t>
      </w:r>
    </w:p>
    <w:p w14:paraId="583CD219" w14:textId="3054DF07" w:rsidR="0026256D" w:rsidRPr="00534ADC" w:rsidRDefault="0026256D" w:rsidP="004C37D0">
      <w:pPr>
        <w:pStyle w:val="OHHParagraph"/>
        <w:spacing w:after="0"/>
        <w:ind w:firstLine="0"/>
        <w:rPr>
          <w:rFonts w:ascii="Arial" w:hAnsi="Arial" w:cs="Arial"/>
          <w:lang w:val="en"/>
        </w:rPr>
      </w:pPr>
    </w:p>
    <w:p w14:paraId="2B9C9677" w14:textId="77777777" w:rsidR="0026256D" w:rsidRPr="00534ADC" w:rsidRDefault="0026256D" w:rsidP="004C37D0">
      <w:pPr>
        <w:pStyle w:val="OHHParagraph"/>
        <w:spacing w:after="0"/>
        <w:ind w:firstLine="0"/>
        <w:rPr>
          <w:rFonts w:ascii="Arial" w:hAnsi="Arial" w:cs="Arial"/>
          <w:b/>
          <w:bCs/>
        </w:rPr>
      </w:pPr>
      <w:r w:rsidRPr="00534ADC">
        <w:rPr>
          <w:rFonts w:ascii="Arial" w:hAnsi="Arial" w:cs="Arial"/>
          <w:b/>
          <w:bCs/>
          <w:lang w:val="en"/>
        </w:rPr>
        <w:t xml:space="preserve">Limited Operating History </w:t>
      </w:r>
    </w:p>
    <w:p w14:paraId="31451DC9" w14:textId="5E0E0E4E" w:rsidR="0026256D" w:rsidRPr="00534ADC" w:rsidRDefault="0026256D" w:rsidP="004C37D0">
      <w:pPr>
        <w:pStyle w:val="OHHParagraph"/>
        <w:spacing w:after="0"/>
        <w:ind w:firstLine="0"/>
        <w:rPr>
          <w:rFonts w:ascii="Arial" w:hAnsi="Arial" w:cs="Arial"/>
          <w:lang w:val="en"/>
        </w:rPr>
      </w:pPr>
      <w:r w:rsidRPr="00534ADC">
        <w:rPr>
          <w:rFonts w:ascii="Arial" w:hAnsi="Arial" w:cs="Arial"/>
          <w:lang w:val="en"/>
        </w:rPr>
        <w:t xml:space="preserve">The Company is in the early stage of development and has limited history of operations. </w:t>
      </w:r>
      <w:r w:rsidR="0070187D" w:rsidRPr="00534ADC">
        <w:rPr>
          <w:rFonts w:ascii="Arial" w:hAnsi="Arial" w:cs="Arial"/>
          <w:lang w:val="en"/>
        </w:rPr>
        <w:t xml:space="preserve">The Company </w:t>
      </w:r>
      <w:r w:rsidRPr="00534ADC">
        <w:rPr>
          <w:rFonts w:ascii="Arial" w:hAnsi="Arial" w:cs="Arial"/>
          <w:lang w:val="en"/>
        </w:rPr>
        <w:t>will be subject to many risks common to start-up enterprises and its viability must be viewed against the background of the risks, expenses and problems frequently encountered by companies in the early stages of development in new and rapidly evolving markets</w:t>
      </w:r>
      <w:r w:rsidR="0070187D" w:rsidRPr="00534ADC">
        <w:rPr>
          <w:rFonts w:ascii="Arial" w:hAnsi="Arial" w:cs="Arial"/>
          <w:lang w:val="en"/>
        </w:rPr>
        <w:t xml:space="preserve">. </w:t>
      </w:r>
      <w:r w:rsidRPr="00534ADC">
        <w:rPr>
          <w:rFonts w:ascii="Arial" w:hAnsi="Arial" w:cs="Arial"/>
          <w:lang w:val="en"/>
        </w:rPr>
        <w:t>This includes under-capitalization, cash shortages, limitations with respect to personnel, lack of revenues and financial and other resources. There is no assurance that the Company will develop its business profitably, and the likelihood of success of the Com</w:t>
      </w:r>
      <w:r w:rsidR="0070187D" w:rsidRPr="00534ADC">
        <w:rPr>
          <w:rFonts w:ascii="Arial" w:hAnsi="Arial" w:cs="Arial"/>
          <w:lang w:val="en"/>
        </w:rPr>
        <w:t>p</w:t>
      </w:r>
      <w:r w:rsidRPr="00534ADC">
        <w:rPr>
          <w:rFonts w:ascii="Arial" w:hAnsi="Arial" w:cs="Arial"/>
          <w:lang w:val="en"/>
        </w:rPr>
        <w:t xml:space="preserve">any must be considered </w:t>
      </w:r>
      <w:proofErr w:type="gramStart"/>
      <w:r w:rsidRPr="00534ADC">
        <w:rPr>
          <w:rFonts w:ascii="Arial" w:hAnsi="Arial" w:cs="Arial"/>
          <w:lang w:val="en"/>
        </w:rPr>
        <w:t>in light of</w:t>
      </w:r>
      <w:proofErr w:type="gramEnd"/>
      <w:r w:rsidRPr="00534ADC">
        <w:rPr>
          <w:rFonts w:ascii="Arial" w:hAnsi="Arial" w:cs="Arial"/>
          <w:lang w:val="en"/>
        </w:rPr>
        <w:t xml:space="preserve"> the Company’s early stage of operations. There is no assurance that the </w:t>
      </w:r>
      <w:r w:rsidR="00C004AD" w:rsidRPr="00534ADC">
        <w:rPr>
          <w:rFonts w:ascii="Arial" w:hAnsi="Arial" w:cs="Arial"/>
          <w:lang w:val="en"/>
        </w:rPr>
        <w:t>Company</w:t>
      </w:r>
      <w:r w:rsidRPr="00534ADC">
        <w:rPr>
          <w:rFonts w:ascii="Arial" w:hAnsi="Arial" w:cs="Arial"/>
          <w:lang w:val="en"/>
        </w:rPr>
        <w:t xml:space="preserve"> will be successful in achieving a return on shareholders’ investment.</w:t>
      </w:r>
    </w:p>
    <w:p w14:paraId="48F19739" w14:textId="774352BA" w:rsidR="00996EBC" w:rsidRPr="00534ADC" w:rsidRDefault="00996EBC" w:rsidP="004C37D0">
      <w:pPr>
        <w:pStyle w:val="OHHParagraph"/>
        <w:spacing w:after="0"/>
        <w:ind w:firstLine="0"/>
        <w:rPr>
          <w:rFonts w:ascii="Arial" w:hAnsi="Arial" w:cs="Arial"/>
          <w:lang w:val="en"/>
        </w:rPr>
      </w:pPr>
    </w:p>
    <w:p w14:paraId="7BF99B3B" w14:textId="77777777" w:rsidR="00DB18C1" w:rsidRPr="00534ADC" w:rsidRDefault="00DB18C1" w:rsidP="00C004AD">
      <w:pPr>
        <w:pStyle w:val="BodyText"/>
        <w:keepNext/>
        <w:spacing w:before="0"/>
        <w:rPr>
          <w:rFonts w:ascii="Arial" w:hAnsi="Arial" w:cs="Arial"/>
          <w:b/>
          <w:bCs/>
          <w:szCs w:val="20"/>
        </w:rPr>
      </w:pPr>
      <w:r w:rsidRPr="00534ADC">
        <w:rPr>
          <w:rFonts w:ascii="Arial" w:hAnsi="Arial" w:cs="Arial"/>
          <w:b/>
          <w:bCs/>
          <w:szCs w:val="20"/>
        </w:rPr>
        <w:t xml:space="preserve">Uninsured or Uninsurable Risks </w:t>
      </w:r>
    </w:p>
    <w:p w14:paraId="1286F78C" w14:textId="27FA1B7C" w:rsidR="00DB18C1" w:rsidRPr="00534ADC" w:rsidRDefault="00DB18C1" w:rsidP="00C004AD">
      <w:pPr>
        <w:pStyle w:val="BodyText"/>
        <w:keepNext/>
        <w:spacing w:before="0"/>
        <w:rPr>
          <w:rFonts w:ascii="Arial" w:hAnsi="Arial" w:cs="Arial"/>
          <w:b/>
          <w:szCs w:val="20"/>
        </w:rPr>
      </w:pPr>
      <w:r w:rsidRPr="00534ADC">
        <w:rPr>
          <w:rFonts w:ascii="Arial" w:hAnsi="Arial" w:cs="Arial"/>
          <w:szCs w:val="20"/>
        </w:rPr>
        <w:t>The Company intends to insure its operations in accordance with industry practice. However, given the novelty of the proposed business, such insurance may not be available, uneconomical for the Company, or the nature or level may be insufficient to provide adequate insurance cover. The Company may become subject to liability for hazards against which it cannot insure or against which it may elect not to insure because of high premium costs or for other reasons. The payment of any such liabilities would reduce or eliminate the funds available for operations. Payments of liabilities for which the Company does not carry insurance may have a material adverse effect on its financial position.</w:t>
      </w:r>
    </w:p>
    <w:p w14:paraId="3819DBD0" w14:textId="77777777" w:rsidR="00C042B0" w:rsidRPr="00534ADC" w:rsidRDefault="00C042B0" w:rsidP="003E3104">
      <w:pPr>
        <w:pStyle w:val="BodyText"/>
        <w:keepNext/>
        <w:rPr>
          <w:rFonts w:ascii="Arial" w:hAnsi="Arial" w:cs="Arial"/>
          <w:b/>
          <w:szCs w:val="20"/>
        </w:rPr>
      </w:pPr>
      <w:r w:rsidRPr="00534ADC">
        <w:rPr>
          <w:rFonts w:ascii="Arial" w:hAnsi="Arial" w:cs="Arial"/>
          <w:b/>
          <w:szCs w:val="20"/>
        </w:rPr>
        <w:t>BOARD APPROVAL</w:t>
      </w:r>
    </w:p>
    <w:p w14:paraId="53128A10" w14:textId="77777777" w:rsidR="00C04159" w:rsidRPr="00534ADC" w:rsidRDefault="00C042B0" w:rsidP="003E3104">
      <w:pPr>
        <w:pStyle w:val="BodyText"/>
        <w:rPr>
          <w:rFonts w:ascii="Arial" w:hAnsi="Arial" w:cs="Arial"/>
          <w:szCs w:val="20"/>
        </w:rPr>
      </w:pPr>
      <w:r w:rsidRPr="00534ADC">
        <w:rPr>
          <w:rFonts w:ascii="Arial" w:hAnsi="Arial" w:cs="Arial"/>
          <w:szCs w:val="20"/>
        </w:rPr>
        <w:t>The board of directors of the Company has approved this MD&amp;A.</w:t>
      </w:r>
    </w:p>
    <w:sectPr w:rsidR="00C04159" w:rsidRPr="00534ADC" w:rsidSect="008F702C">
      <w:headerReference w:type="default" r:id="rId8"/>
      <w:footerReference w:type="default" r:id="rId9"/>
      <w:footerReference w:type="first" r:id="rId10"/>
      <w:pgSz w:w="12240" w:h="15840" w:code="1"/>
      <w:pgMar w:top="1440" w:right="1440" w:bottom="1008" w:left="1440" w:header="720"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69D4" w14:textId="77777777" w:rsidR="00C54B65" w:rsidRDefault="00C54B65">
      <w:pPr>
        <w:pStyle w:val="BodyText"/>
      </w:pPr>
      <w:r>
        <w:separator/>
      </w:r>
    </w:p>
  </w:endnote>
  <w:endnote w:type="continuationSeparator" w:id="0">
    <w:p w14:paraId="5C7AF498" w14:textId="77777777" w:rsidR="00C54B65" w:rsidRDefault="00C54B6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auto"/>
    <w:pitch w:val="variable"/>
    <w:sig w:usb0="80000067"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5015"/>
      <w:docPartObj>
        <w:docPartGallery w:val="Page Numbers (Bottom of Page)"/>
        <w:docPartUnique/>
      </w:docPartObj>
    </w:sdtPr>
    <w:sdtEndPr>
      <w:rPr>
        <w:noProof/>
      </w:rPr>
    </w:sdtEndPr>
    <w:sdtContent>
      <w:p w14:paraId="21DBF5B4" w14:textId="5910A250" w:rsidR="004C37D0" w:rsidRDefault="004C37D0">
        <w:pPr>
          <w:pStyle w:val="Footer"/>
          <w:jc w:val="center"/>
        </w:pPr>
        <w:r>
          <w:fldChar w:fldCharType="begin"/>
        </w:r>
        <w:r>
          <w:instrText xml:space="preserve"> PAGE   \* MERGEFORMAT </w:instrText>
        </w:r>
        <w:r>
          <w:fldChar w:fldCharType="separate"/>
        </w:r>
        <w:r w:rsidR="00F84957">
          <w:rPr>
            <w:noProof/>
          </w:rPr>
          <w:t>7</w:t>
        </w:r>
        <w:r>
          <w:rPr>
            <w:noProof/>
          </w:rPr>
          <w:fldChar w:fldCharType="end"/>
        </w:r>
      </w:p>
    </w:sdtContent>
  </w:sdt>
  <w:p w14:paraId="181DF3F9" w14:textId="57CC0FF1" w:rsidR="004C37D0" w:rsidRDefault="004C3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81134"/>
      <w:docPartObj>
        <w:docPartGallery w:val="Page Numbers (Bottom of Page)"/>
        <w:docPartUnique/>
      </w:docPartObj>
    </w:sdtPr>
    <w:sdtEndPr>
      <w:rPr>
        <w:noProof/>
      </w:rPr>
    </w:sdtEndPr>
    <w:sdtContent>
      <w:p w14:paraId="1F8C4930" w14:textId="3682ED99" w:rsidR="004C37D0" w:rsidRDefault="004C37D0">
        <w:pPr>
          <w:pStyle w:val="Footer"/>
          <w:jc w:val="center"/>
        </w:pPr>
        <w:r>
          <w:fldChar w:fldCharType="begin"/>
        </w:r>
        <w:r>
          <w:instrText xml:space="preserve"> PAGE   \* MERGEFORMAT </w:instrText>
        </w:r>
        <w:r>
          <w:fldChar w:fldCharType="separate"/>
        </w:r>
        <w:r w:rsidR="00F84957">
          <w:rPr>
            <w:noProof/>
          </w:rPr>
          <w:t>0</w:t>
        </w:r>
        <w:r>
          <w:rPr>
            <w:noProof/>
          </w:rPr>
          <w:fldChar w:fldCharType="end"/>
        </w:r>
      </w:p>
    </w:sdtContent>
  </w:sdt>
  <w:p w14:paraId="1BDF6B9F" w14:textId="135784BF" w:rsidR="004C37D0" w:rsidRDefault="004C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96EB" w14:textId="77777777" w:rsidR="00C54B65" w:rsidRDefault="00C54B65">
      <w:pPr>
        <w:pStyle w:val="BodyText"/>
      </w:pPr>
      <w:r>
        <w:separator/>
      </w:r>
    </w:p>
  </w:footnote>
  <w:footnote w:type="continuationSeparator" w:id="0">
    <w:p w14:paraId="7182E262" w14:textId="77777777" w:rsidR="00C54B65" w:rsidRDefault="00C54B65">
      <w:pPr>
        <w:pStyle w:val="BodyText"/>
      </w:pPr>
      <w:r>
        <w:continuationSeparator/>
      </w:r>
    </w:p>
  </w:footnote>
  <w:footnote w:id="1">
    <w:p w14:paraId="5B676D9A" w14:textId="77777777" w:rsidR="0075140A" w:rsidRDefault="0075140A" w:rsidP="0075140A">
      <w:pPr>
        <w:pStyle w:val="FootnoteText"/>
        <w:rPr>
          <w:sz w:val="16"/>
          <w:szCs w:val="16"/>
          <w:lang w:val="en-US"/>
        </w:rPr>
      </w:pPr>
      <w:r>
        <w:rPr>
          <w:rStyle w:val="FootnoteReference"/>
          <w:sz w:val="16"/>
          <w:szCs w:val="16"/>
        </w:rPr>
        <w:footnoteRef/>
      </w:r>
      <w:r>
        <w:rPr>
          <w:sz w:val="16"/>
          <w:szCs w:val="16"/>
        </w:rPr>
        <w:t xml:space="preserve"> ‎"U.S. Psychedelic Drugs Market – Industry Trends and Forecast to 2027," Data Bridge Market ‎Research, January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C1B1" w14:textId="73995B65" w:rsidR="004C37D0" w:rsidRPr="009E6ADB" w:rsidRDefault="00A603CE" w:rsidP="00677BB4">
    <w:pPr>
      <w:pStyle w:val="BodyText"/>
      <w:spacing w:before="0"/>
      <w:rPr>
        <w:rFonts w:ascii="Arial" w:hAnsi="Arial" w:cs="Arial"/>
        <w:b/>
        <w:sz w:val="22"/>
        <w:szCs w:val="22"/>
      </w:rPr>
    </w:pPr>
    <w:r w:rsidRPr="009E6ADB">
      <w:rPr>
        <w:rFonts w:ascii="Arial" w:hAnsi="Arial" w:cs="Arial"/>
        <w:b/>
        <w:sz w:val="22"/>
        <w:szCs w:val="22"/>
      </w:rPr>
      <w:t xml:space="preserve">DELIC HOLDINGS INC. </w:t>
    </w:r>
  </w:p>
  <w:p w14:paraId="7B1CC831" w14:textId="7EAFE9BC" w:rsidR="004C37D0" w:rsidRPr="009E6ADB" w:rsidRDefault="004C37D0" w:rsidP="00656723">
    <w:pPr>
      <w:pStyle w:val="BodyText"/>
      <w:spacing w:before="0"/>
      <w:jc w:val="left"/>
      <w:rPr>
        <w:rFonts w:ascii="Arial" w:hAnsi="Arial" w:cs="Arial"/>
        <w:sz w:val="22"/>
        <w:szCs w:val="22"/>
        <w:lang w:val="en-US"/>
      </w:rPr>
    </w:pPr>
    <w:r w:rsidRPr="009E6ADB">
      <w:rPr>
        <w:rFonts w:ascii="Arial" w:hAnsi="Arial" w:cs="Arial"/>
        <w:b/>
        <w:sz w:val="22"/>
        <w:szCs w:val="22"/>
      </w:rPr>
      <w:t>MANAGEMENT’S DISCUSSION AND ANALYSIS</w:t>
    </w:r>
    <w:r w:rsidRPr="009E6ADB">
      <w:rPr>
        <w:rFonts w:ascii="Arial" w:hAnsi="Arial" w:cs="Arial"/>
        <w:b/>
        <w:sz w:val="22"/>
        <w:szCs w:val="22"/>
      </w:rPr>
      <w:br/>
    </w:r>
    <w:r w:rsidRPr="009E6ADB">
      <w:rPr>
        <w:rFonts w:ascii="Arial" w:hAnsi="Arial" w:cs="Arial"/>
        <w:b/>
        <w:sz w:val="22"/>
        <w:szCs w:val="22"/>
        <w:u w:val="single"/>
      </w:rPr>
      <w:t xml:space="preserve">For the </w:t>
    </w:r>
    <w:r w:rsidR="00F36391">
      <w:rPr>
        <w:rFonts w:ascii="Arial" w:hAnsi="Arial" w:cs="Arial"/>
        <w:b/>
        <w:sz w:val="22"/>
        <w:szCs w:val="22"/>
        <w:u w:val="single"/>
      </w:rPr>
      <w:t>six</w:t>
    </w:r>
    <w:r w:rsidR="00FE1B4C" w:rsidRPr="009E6ADB">
      <w:rPr>
        <w:rFonts w:ascii="Arial" w:hAnsi="Arial" w:cs="Arial"/>
        <w:b/>
        <w:sz w:val="22"/>
        <w:szCs w:val="22"/>
        <w:u w:val="single"/>
      </w:rPr>
      <w:t xml:space="preserve"> months</w:t>
    </w:r>
    <w:r w:rsidR="00607DF5" w:rsidRPr="009E6ADB">
      <w:rPr>
        <w:rFonts w:ascii="Arial" w:hAnsi="Arial" w:cs="Arial"/>
        <w:b/>
        <w:sz w:val="22"/>
        <w:szCs w:val="22"/>
        <w:u w:val="single"/>
      </w:rPr>
      <w:t xml:space="preserve"> </w:t>
    </w:r>
    <w:r w:rsidR="00AB52E5" w:rsidRPr="009E6ADB">
      <w:rPr>
        <w:rFonts w:ascii="Arial" w:hAnsi="Arial" w:cs="Arial"/>
        <w:b/>
        <w:sz w:val="22"/>
        <w:szCs w:val="22"/>
        <w:u w:val="single"/>
      </w:rPr>
      <w:t xml:space="preserve">ended </w:t>
    </w:r>
    <w:r w:rsidR="00F36391">
      <w:rPr>
        <w:rFonts w:ascii="Arial" w:hAnsi="Arial" w:cs="Arial"/>
        <w:b/>
        <w:sz w:val="22"/>
        <w:szCs w:val="22"/>
        <w:u w:val="single"/>
      </w:rPr>
      <w:t>June 30</w:t>
    </w:r>
    <w:r w:rsidR="00607DF5" w:rsidRPr="009E6ADB">
      <w:rPr>
        <w:rFonts w:ascii="Arial" w:hAnsi="Arial" w:cs="Arial"/>
        <w:b/>
        <w:sz w:val="22"/>
        <w:szCs w:val="22"/>
        <w:u w:val="single"/>
      </w:rPr>
      <w:t>, 202</w:t>
    </w:r>
    <w:r w:rsidR="00656723" w:rsidRPr="009E6ADB">
      <w:rPr>
        <w:rFonts w:ascii="Arial" w:hAnsi="Arial" w:cs="Arial"/>
        <w:b/>
        <w:sz w:val="22"/>
        <w:szCs w:val="22"/>
        <w:u w:val="single"/>
      </w:rPr>
      <w:t>1</w:t>
    </w:r>
    <w:r w:rsidR="00656723" w:rsidRPr="009E6ADB">
      <w:rPr>
        <w:rFonts w:ascii="Arial" w:hAnsi="Arial" w:cs="Arial"/>
        <w:b/>
        <w:sz w:val="22"/>
        <w:szCs w:val="22"/>
        <w:u w:val="single"/>
      </w:rPr>
      <w:tab/>
    </w:r>
    <w:r w:rsidR="00656723" w:rsidRPr="009E6ADB">
      <w:rPr>
        <w:rFonts w:ascii="Arial" w:hAnsi="Arial" w:cs="Arial"/>
        <w:b/>
        <w:sz w:val="22"/>
        <w:szCs w:val="22"/>
        <w:u w:val="single"/>
      </w:rPr>
      <w:tab/>
    </w:r>
    <w:r w:rsidR="00656723" w:rsidRPr="009E6ADB">
      <w:rPr>
        <w:rFonts w:ascii="Arial" w:hAnsi="Arial" w:cs="Arial"/>
        <w:b/>
        <w:sz w:val="22"/>
        <w:szCs w:val="22"/>
        <w:u w:val="single"/>
      </w:rPr>
      <w:tab/>
    </w:r>
    <w:r w:rsidR="00656723" w:rsidRPr="009E6ADB">
      <w:rPr>
        <w:rFonts w:ascii="Arial" w:hAnsi="Arial" w:cs="Arial"/>
        <w:b/>
        <w:sz w:val="22"/>
        <w:szCs w:val="22"/>
        <w:u w:val="single"/>
      </w:rPr>
      <w:tab/>
    </w:r>
    <w:r w:rsidR="00656723" w:rsidRPr="009E6ADB">
      <w:rPr>
        <w:rFonts w:ascii="Arial" w:hAnsi="Arial" w:cs="Arial"/>
        <w:b/>
        <w:sz w:val="22"/>
        <w:szCs w:val="22"/>
        <w:u w:val="single"/>
      </w:rPr>
      <w:tab/>
    </w:r>
    <w:r w:rsidR="00656723" w:rsidRPr="009E6ADB">
      <w:rPr>
        <w:rFonts w:ascii="Arial" w:hAnsi="Arial" w:cs="Arial"/>
        <w:b/>
        <w:sz w:val="22"/>
        <w:szCs w:val="22"/>
        <w:u w:val="single"/>
      </w:rPr>
      <w:tab/>
    </w:r>
    <w:r w:rsidR="00656723" w:rsidRPr="009E6ADB">
      <w:rPr>
        <w:rFonts w:ascii="Arial" w:hAnsi="Arial" w:cs="Arial"/>
        <w:b/>
        <w:sz w:val="22"/>
        <w:szCs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BD1EE6"/>
    <w:multiLevelType w:val="multilevel"/>
    <w:tmpl w:val="B22A6D04"/>
    <w:lvl w:ilvl="0">
      <w:start w:val="1"/>
      <w:numFmt w:val="none"/>
      <w:pStyle w:val="ProspectusL1"/>
      <w:suff w:val="nothing"/>
      <w:lvlText w:val=""/>
      <w:lvlJc w:val="left"/>
      <w:pPr>
        <w:tabs>
          <w:tab w:val="num" w:pos="0"/>
        </w:tabs>
        <w:ind w:left="0" w:firstLine="0"/>
      </w:pPr>
      <w:rPr>
        <w:b/>
        <w:i w:val="0"/>
        <w:caps/>
        <w:smallCaps w:val="0"/>
        <w:u w:val="none"/>
      </w:rPr>
    </w:lvl>
    <w:lvl w:ilvl="1">
      <w:start w:val="1"/>
      <w:numFmt w:val="none"/>
      <w:lvlRestart w:val="0"/>
      <w:pStyle w:val="ProspectusL2"/>
      <w:suff w:val="nothing"/>
      <w:lvlText w:val=""/>
      <w:lvlJc w:val="left"/>
      <w:pPr>
        <w:tabs>
          <w:tab w:val="num" w:pos="720"/>
        </w:tabs>
        <w:ind w:left="0" w:firstLine="0"/>
      </w:pPr>
      <w:rPr>
        <w:b/>
        <w:i w:val="0"/>
        <w:caps w:val="0"/>
        <w:color w:val="auto"/>
        <w:u w:val="none"/>
      </w:rPr>
    </w:lvl>
    <w:lvl w:ilvl="2">
      <w:start w:val="1"/>
      <w:numFmt w:val="none"/>
      <w:lvlRestart w:val="0"/>
      <w:pStyle w:val="ProspectusL3"/>
      <w:suff w:val="nothing"/>
      <w:lvlText w:val=""/>
      <w:lvlJc w:val="left"/>
      <w:pPr>
        <w:tabs>
          <w:tab w:val="num" w:pos="720"/>
        </w:tabs>
        <w:ind w:left="0" w:firstLine="0"/>
      </w:pPr>
      <w:rPr>
        <w:b/>
        <w:i/>
        <w:caps w:val="0"/>
        <w:color w:val="auto"/>
        <w:u w:val="none"/>
      </w:rPr>
    </w:lvl>
    <w:lvl w:ilvl="3">
      <w:start w:val="1"/>
      <w:numFmt w:val="none"/>
      <w:lvlRestart w:val="0"/>
      <w:pStyle w:val="ProspectusL4"/>
      <w:suff w:val="nothing"/>
      <w:lvlText w:val=""/>
      <w:lvlJc w:val="left"/>
      <w:pPr>
        <w:tabs>
          <w:tab w:val="num" w:pos="720"/>
        </w:tabs>
        <w:ind w:left="0" w:firstLine="0"/>
      </w:pPr>
      <w:rPr>
        <w:b w:val="0"/>
        <w:i/>
        <w:caps w:val="0"/>
        <w:color w:val="auto"/>
        <w:u w:val="none"/>
      </w:rPr>
    </w:lvl>
    <w:lvl w:ilvl="4">
      <w:start w:val="1"/>
      <w:numFmt w:val="none"/>
      <w:lvlRestart w:val="0"/>
      <w:pStyle w:val="ProspectusL5"/>
      <w:suff w:val="nothing"/>
      <w:lvlText w:val=""/>
      <w:lvlJc w:val="left"/>
      <w:pPr>
        <w:tabs>
          <w:tab w:val="num" w:pos="1152"/>
        </w:tabs>
        <w:ind w:left="432" w:firstLine="0"/>
      </w:pPr>
      <w:rPr>
        <w:b w:val="0"/>
        <w:i/>
        <w:caps w:val="0"/>
        <w:color w:val="auto"/>
        <w:u w:val="single"/>
      </w:rPr>
    </w:lvl>
    <w:lvl w:ilvl="5">
      <w:start w:val="1"/>
      <w:numFmt w:val="lowerLetter"/>
      <w:pStyle w:val="ProspectusL6"/>
      <w:lvlText w:val="(%6)"/>
      <w:lvlJc w:val="left"/>
      <w:pPr>
        <w:tabs>
          <w:tab w:val="num" w:pos="1152"/>
        </w:tabs>
        <w:ind w:left="1152" w:hanging="720"/>
      </w:pPr>
      <w:rPr>
        <w:b w:val="0"/>
        <w:i w:val="0"/>
        <w:caps w:val="0"/>
        <w:color w:val="auto"/>
        <w:u w:val="none"/>
      </w:rPr>
    </w:lvl>
    <w:lvl w:ilvl="6">
      <w:start w:val="1"/>
      <w:numFmt w:val="upperRoman"/>
      <w:pStyle w:val="ProspectusL7"/>
      <w:lvlText w:val="%7."/>
      <w:lvlJc w:val="left"/>
      <w:pPr>
        <w:tabs>
          <w:tab w:val="num" w:pos="5040"/>
        </w:tabs>
        <w:ind w:left="5040" w:hanging="720"/>
      </w:pPr>
      <w:rPr>
        <w:b w:val="0"/>
        <w:i w:val="0"/>
        <w:caps w:val="0"/>
        <w:color w:val="auto"/>
        <w:u w:val="none"/>
      </w:rPr>
    </w:lvl>
    <w:lvl w:ilvl="7">
      <w:start w:val="1"/>
      <w:numFmt w:val="lowerLetter"/>
      <w:pStyle w:val="ProspectusL8"/>
      <w:lvlText w:val="%8)"/>
      <w:lvlJc w:val="left"/>
      <w:pPr>
        <w:tabs>
          <w:tab w:val="num" w:pos="5760"/>
        </w:tabs>
        <w:ind w:left="5760" w:hanging="720"/>
      </w:pPr>
      <w:rPr>
        <w:b w:val="0"/>
        <w:i w:val="0"/>
        <w:caps w:val="0"/>
        <w:color w:val="auto"/>
        <w:u w:val="none"/>
      </w:rPr>
    </w:lvl>
    <w:lvl w:ilvl="8">
      <w:start w:val="1"/>
      <w:numFmt w:val="lowerRoman"/>
      <w:pStyle w:val="ProspectusL9"/>
      <w:lvlText w:val="%9)"/>
      <w:lvlJc w:val="left"/>
      <w:pPr>
        <w:tabs>
          <w:tab w:val="num" w:pos="6480"/>
        </w:tabs>
        <w:ind w:left="6480" w:hanging="720"/>
      </w:pPr>
      <w:rPr>
        <w:b w:val="0"/>
        <w:i w:val="0"/>
        <w:caps w:val="0"/>
        <w:color w:val="auto"/>
        <w:u w:val="none"/>
      </w:rPr>
    </w:lvl>
  </w:abstractNum>
  <w:abstractNum w:abstractNumId="10" w15:restartNumberingAfterBreak="0">
    <w:nsid w:val="0C2C34B6"/>
    <w:multiLevelType w:val="hybridMultilevel"/>
    <w:tmpl w:val="E996C9D6"/>
    <w:lvl w:ilvl="0" w:tplc="7EAC0CF8">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9F15A6"/>
    <w:multiLevelType w:val="hybridMultilevel"/>
    <w:tmpl w:val="74D81E5E"/>
    <w:lvl w:ilvl="0" w:tplc="746245A0">
      <w:start w:val="1"/>
      <w:numFmt w:val="lowerRoman"/>
      <w:lvlText w:val="%1)"/>
      <w:lvlJc w:val="left"/>
      <w:pPr>
        <w:ind w:left="720" w:hanging="360"/>
      </w:pPr>
      <w:rPr>
        <w:rFonts w:ascii="Proxima Nova" w:eastAsia="Times New Roman" w:hAnsi="Proxima Nova"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7C2954"/>
    <w:multiLevelType w:val="hybridMultilevel"/>
    <w:tmpl w:val="5F98B0E0"/>
    <w:name w:val="Art-418047034-F2"/>
    <w:lvl w:ilvl="0" w:tplc="024446BE">
      <w:start w:val="1"/>
      <w:numFmt w:val="lowerLetter"/>
      <w:pStyle w:val="Bullet"/>
      <w:lvlText w:val="(%1)"/>
      <w:lvlJc w:val="left"/>
      <w:pPr>
        <w:ind w:left="720" w:hanging="360"/>
      </w:pPr>
      <w:rPr>
        <w:rFonts w:ascii="Times New Roman" w:hAnsi="Times New Roman" w:cs="Times New Roman" w:hint="default"/>
        <w:snapToGrid/>
        <w:spacing w:val="1"/>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DF7EBF"/>
    <w:multiLevelType w:val="hybridMultilevel"/>
    <w:tmpl w:val="AA98FEF8"/>
    <w:lvl w:ilvl="0" w:tplc="26A29AB6">
      <w:start w:val="1"/>
      <w:numFmt w:val="lowerRoman"/>
      <w:lvlText w:val="%1)"/>
      <w:lvlJc w:val="left"/>
      <w:pPr>
        <w:ind w:left="1494" w:hanging="360"/>
      </w:pPr>
      <w:rPr>
        <w:rFonts w:ascii="Proxima Nova" w:eastAsia="Times New Roman" w:hAnsi="Proxima Nova" w:cs="Times New Roman"/>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15:restartNumberingAfterBreak="0">
    <w:nsid w:val="10204ADE"/>
    <w:multiLevelType w:val="hybridMultilevel"/>
    <w:tmpl w:val="DD8A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2254FAF"/>
    <w:multiLevelType w:val="hybridMultilevel"/>
    <w:tmpl w:val="F6220AB4"/>
    <w:lvl w:ilvl="0" w:tplc="8924CAB0">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40B0BF6"/>
    <w:multiLevelType w:val="multilevel"/>
    <w:tmpl w:val="142E7068"/>
    <w:lvl w:ilvl="0">
      <w:start w:val="1"/>
      <w:numFmt w:val="decimal"/>
      <w:lvlRestart w:val="0"/>
      <w:pStyle w:val="ArtL1"/>
      <w:lvlText w:val="%1."/>
      <w:lvlJc w:val="left"/>
      <w:pPr>
        <w:tabs>
          <w:tab w:val="num" w:pos="720"/>
        </w:tabs>
        <w:ind w:left="0" w:firstLine="0"/>
      </w:pPr>
      <w:rPr>
        <w:rFonts w:ascii="Arial" w:hAnsi="Arial" w:cs="Arial" w:hint="default"/>
        <w:b/>
        <w:caps w:val="0"/>
        <w:smallCaps w:val="0"/>
        <w:sz w:val="24"/>
      </w:rPr>
    </w:lvl>
    <w:lvl w:ilvl="1">
      <w:start w:val="1"/>
      <w:numFmt w:val="decimal"/>
      <w:pStyle w:val="ArtL2"/>
      <w:isLgl/>
      <w:lvlText w:val="%1.%2"/>
      <w:lvlJc w:val="left"/>
      <w:pPr>
        <w:tabs>
          <w:tab w:val="num" w:pos="720"/>
        </w:tabs>
        <w:ind w:left="720" w:hanging="720"/>
      </w:pPr>
      <w:rPr>
        <w:rFonts w:ascii="Arial" w:hAnsi="Arial" w:cs="Arial" w:hint="default"/>
        <w:sz w:val="22"/>
      </w:rPr>
    </w:lvl>
    <w:lvl w:ilvl="2">
      <w:start w:val="1"/>
      <w:numFmt w:val="decimal"/>
      <w:pStyle w:val="ArtL3"/>
      <w:lvlText w:val="(%3)"/>
      <w:lvlJc w:val="left"/>
      <w:pPr>
        <w:tabs>
          <w:tab w:val="num" w:pos="720"/>
        </w:tabs>
        <w:ind w:left="720" w:hanging="720"/>
      </w:pPr>
      <w:rPr>
        <w:rFonts w:ascii="Arial" w:hAnsi="Arial" w:cs="Arial" w:hint="default"/>
        <w:sz w:val="22"/>
      </w:rPr>
    </w:lvl>
    <w:lvl w:ilvl="3">
      <w:start w:val="1"/>
      <w:numFmt w:val="none"/>
      <w:pStyle w:val="ArtL4"/>
      <w:suff w:val="nothing"/>
      <w:lvlText w:val="%4"/>
      <w:lvlJc w:val="left"/>
      <w:pPr>
        <w:ind w:left="0" w:firstLine="0"/>
      </w:pPr>
      <w:rPr>
        <w:rFonts w:ascii="Arial" w:hAnsi="Arial" w:cs="Arial" w:hint="default"/>
        <w:sz w:val="22"/>
      </w:rPr>
    </w:lvl>
    <w:lvl w:ilvl="4">
      <w:start w:val="1"/>
      <w:numFmt w:val="none"/>
      <w:pStyle w:val="ArtL5"/>
      <w:suff w:val="nothing"/>
      <w:lvlText w:val="%5"/>
      <w:lvlJc w:val="left"/>
      <w:pPr>
        <w:ind w:left="0" w:firstLine="0"/>
      </w:pPr>
      <w:rPr>
        <w:rFonts w:ascii="Arial" w:hAnsi="Arial" w:cs="Arial" w:hint="default"/>
        <w:sz w:val="22"/>
      </w:rPr>
    </w:lvl>
    <w:lvl w:ilvl="5">
      <w:start w:val="1"/>
      <w:numFmt w:val="none"/>
      <w:pStyle w:val="ArtL6"/>
      <w:suff w:val="nothing"/>
      <w:lvlText w:val="%6"/>
      <w:lvlJc w:val="left"/>
      <w:pPr>
        <w:ind w:left="0" w:firstLine="0"/>
      </w:pPr>
      <w:rPr>
        <w:rFonts w:ascii="Arial" w:hAnsi="Arial" w:cs="Arial" w:hint="default"/>
        <w:sz w:val="22"/>
      </w:rPr>
    </w:lvl>
    <w:lvl w:ilvl="6">
      <w:start w:val="1"/>
      <w:numFmt w:val="lowerLetter"/>
      <w:pStyle w:val="ArtL7"/>
      <w:lvlText w:val="(%7)"/>
      <w:lvlJc w:val="left"/>
      <w:pPr>
        <w:tabs>
          <w:tab w:val="num" w:pos="1440"/>
        </w:tabs>
        <w:ind w:left="1440" w:hanging="720"/>
      </w:pPr>
      <w:rPr>
        <w:rFonts w:ascii="Arial" w:hAnsi="Arial" w:cs="Arial" w:hint="default"/>
        <w:sz w:val="22"/>
      </w:rPr>
    </w:lvl>
    <w:lvl w:ilvl="7">
      <w:start w:val="1"/>
      <w:numFmt w:val="lowerRoman"/>
      <w:pStyle w:val="ArtL8"/>
      <w:lvlText w:val="(%8)"/>
      <w:lvlJc w:val="left"/>
      <w:pPr>
        <w:tabs>
          <w:tab w:val="num" w:pos="2160"/>
        </w:tabs>
        <w:ind w:left="2160" w:hanging="720"/>
      </w:pPr>
      <w:rPr>
        <w:rFonts w:ascii="Arial" w:hAnsi="Arial" w:cs="Arial" w:hint="default"/>
        <w:sz w:val="22"/>
      </w:rPr>
    </w:lvl>
    <w:lvl w:ilvl="8">
      <w:start w:val="1"/>
      <w:numFmt w:val="lowerRoman"/>
      <w:pStyle w:val="ArtL9"/>
      <w:lvlText w:val="%9."/>
      <w:lvlJc w:val="right"/>
      <w:pPr>
        <w:tabs>
          <w:tab w:val="num" w:pos="5760"/>
        </w:tabs>
        <w:ind w:left="5760" w:hanging="432"/>
      </w:pPr>
      <w:rPr>
        <w:rFonts w:ascii="Arial" w:hAnsi="Arial" w:cs="Arial" w:hint="default"/>
        <w:sz w:val="22"/>
      </w:rPr>
    </w:lvl>
  </w:abstractNum>
  <w:abstractNum w:abstractNumId="17" w15:restartNumberingAfterBreak="0">
    <w:nsid w:val="14594FBF"/>
    <w:multiLevelType w:val="hybridMultilevel"/>
    <w:tmpl w:val="10A83F74"/>
    <w:lvl w:ilvl="0" w:tplc="65D4D0C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6B140E3"/>
    <w:multiLevelType w:val="multilevel"/>
    <w:tmpl w:val="1200D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6D75959"/>
    <w:multiLevelType w:val="hybridMultilevel"/>
    <w:tmpl w:val="E8F0C2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9EF0F15"/>
    <w:multiLevelType w:val="multilevel"/>
    <w:tmpl w:val="BEEE2F54"/>
    <w:lvl w:ilvl="0">
      <w:start w:val="1"/>
      <w:numFmt w:val="decimal"/>
      <w:pStyle w:val="LegalL1"/>
      <w:lvlText w:val="%1."/>
      <w:lvlJc w:val="left"/>
      <w:pPr>
        <w:tabs>
          <w:tab w:val="num" w:pos="720"/>
        </w:tabs>
        <w:ind w:left="720" w:hanging="720"/>
      </w:pPr>
      <w:rPr>
        <w:b/>
        <w:i w:val="0"/>
        <w:u w:val="none"/>
      </w:rPr>
    </w:lvl>
    <w:lvl w:ilvl="1">
      <w:start w:val="1"/>
      <w:numFmt w:val="decimal"/>
      <w:pStyle w:val="LegalL2"/>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3"/>
      <w:lvlText w:val="%1.%2.%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galL4"/>
      <w:lvlText w:val="%4)"/>
      <w:lvlJc w:val="left"/>
      <w:pPr>
        <w:tabs>
          <w:tab w:val="num" w:pos="2160"/>
        </w:tabs>
        <w:ind w:left="21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L5"/>
      <w:lvlText w:val="%1.%2.%3.%4.%5"/>
      <w:lvlJc w:val="left"/>
      <w:pPr>
        <w:tabs>
          <w:tab w:val="num" w:pos="4320"/>
        </w:tabs>
        <w:ind w:left="4320" w:hanging="1152"/>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4528B0"/>
    <w:multiLevelType w:val="hybridMultilevel"/>
    <w:tmpl w:val="EA78B7A4"/>
    <w:lvl w:ilvl="0" w:tplc="84AAD1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27BBC"/>
    <w:multiLevelType w:val="hybridMultilevel"/>
    <w:tmpl w:val="12DCD524"/>
    <w:lvl w:ilvl="0" w:tplc="599E9694">
      <w:start w:val="1"/>
      <w:numFmt w:val="decimal"/>
      <w:pStyle w:val="NumLis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862FF0"/>
    <w:multiLevelType w:val="hybridMultilevel"/>
    <w:tmpl w:val="A824F61E"/>
    <w:lvl w:ilvl="0" w:tplc="5F84A584">
      <w:start w:val="1"/>
      <w:numFmt w:val="lowerLetter"/>
      <w:pStyle w:val="NumList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282BB3"/>
    <w:multiLevelType w:val="hybridMultilevel"/>
    <w:tmpl w:val="53148826"/>
    <w:lvl w:ilvl="0" w:tplc="8924CAB0">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2BA94038"/>
    <w:multiLevelType w:val="hybridMultilevel"/>
    <w:tmpl w:val="8B28F554"/>
    <w:lvl w:ilvl="0" w:tplc="8440F9F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1B4089"/>
    <w:multiLevelType w:val="hybridMultilevel"/>
    <w:tmpl w:val="335A6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327DC9"/>
    <w:multiLevelType w:val="hybridMultilevel"/>
    <w:tmpl w:val="983238E4"/>
    <w:lvl w:ilvl="0" w:tplc="E81AD79E">
      <w:start w:val="1"/>
      <w:numFmt w:val="lowerLetter"/>
      <w:pStyle w:val="NumListA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4A609C"/>
    <w:multiLevelType w:val="multilevel"/>
    <w:tmpl w:val="D45A1ED8"/>
    <w:lvl w:ilvl="0">
      <w:start w:val="3"/>
      <w:numFmt w:val="decimal"/>
      <w:lvlText w:val="%1."/>
      <w:lvlJc w:val="left"/>
      <w:pPr>
        <w:ind w:left="360" w:hanging="360"/>
      </w:pPr>
      <w:rPr>
        <w:rFonts w:ascii="Times New Roman" w:hAnsi="Times New Roman" w:cs="Times New Roman"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590E4131"/>
    <w:multiLevelType w:val="hybridMultilevel"/>
    <w:tmpl w:val="3F283E18"/>
    <w:lvl w:ilvl="0" w:tplc="EFB8172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8172EC"/>
    <w:multiLevelType w:val="hybridMultilevel"/>
    <w:tmpl w:val="33800F9E"/>
    <w:lvl w:ilvl="0" w:tplc="7A7EB3E2">
      <w:start w:val="1"/>
      <w:numFmt w:val="bullet"/>
      <w:lvlRestart w:val="0"/>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375C9A"/>
    <w:multiLevelType w:val="hybridMultilevel"/>
    <w:tmpl w:val="B02067FC"/>
    <w:lvl w:ilvl="0" w:tplc="10090001">
      <w:start w:val="1"/>
      <w:numFmt w:val="bullet"/>
      <w:lvlText w:val=""/>
      <w:lvlJc w:val="left"/>
      <w:pPr>
        <w:ind w:left="3987" w:hanging="360"/>
      </w:pPr>
      <w:rPr>
        <w:rFonts w:ascii="Symbol" w:hAnsi="Symbol" w:hint="default"/>
      </w:rPr>
    </w:lvl>
    <w:lvl w:ilvl="1" w:tplc="10090003">
      <w:start w:val="1"/>
      <w:numFmt w:val="bullet"/>
      <w:lvlText w:val="o"/>
      <w:lvlJc w:val="left"/>
      <w:pPr>
        <w:ind w:left="4707" w:hanging="360"/>
      </w:pPr>
      <w:rPr>
        <w:rFonts w:ascii="Courier New" w:hAnsi="Courier New" w:cs="Courier New" w:hint="default"/>
      </w:rPr>
    </w:lvl>
    <w:lvl w:ilvl="2" w:tplc="10090005">
      <w:start w:val="1"/>
      <w:numFmt w:val="bullet"/>
      <w:lvlText w:val=""/>
      <w:lvlJc w:val="left"/>
      <w:pPr>
        <w:ind w:left="5427" w:hanging="360"/>
      </w:pPr>
      <w:rPr>
        <w:rFonts w:ascii="Wingdings" w:hAnsi="Wingdings" w:hint="default"/>
      </w:rPr>
    </w:lvl>
    <w:lvl w:ilvl="3" w:tplc="10090001">
      <w:start w:val="1"/>
      <w:numFmt w:val="bullet"/>
      <w:lvlText w:val=""/>
      <w:lvlJc w:val="left"/>
      <w:pPr>
        <w:ind w:left="6147" w:hanging="360"/>
      </w:pPr>
      <w:rPr>
        <w:rFonts w:ascii="Symbol" w:hAnsi="Symbol" w:hint="default"/>
      </w:rPr>
    </w:lvl>
    <w:lvl w:ilvl="4" w:tplc="10090003">
      <w:start w:val="1"/>
      <w:numFmt w:val="bullet"/>
      <w:lvlText w:val="o"/>
      <w:lvlJc w:val="left"/>
      <w:pPr>
        <w:ind w:left="6867" w:hanging="360"/>
      </w:pPr>
      <w:rPr>
        <w:rFonts w:ascii="Courier New" w:hAnsi="Courier New" w:cs="Courier New" w:hint="default"/>
      </w:rPr>
    </w:lvl>
    <w:lvl w:ilvl="5" w:tplc="10090005">
      <w:start w:val="1"/>
      <w:numFmt w:val="bullet"/>
      <w:lvlText w:val=""/>
      <w:lvlJc w:val="left"/>
      <w:pPr>
        <w:ind w:left="7587" w:hanging="360"/>
      </w:pPr>
      <w:rPr>
        <w:rFonts w:ascii="Wingdings" w:hAnsi="Wingdings" w:hint="default"/>
      </w:rPr>
    </w:lvl>
    <w:lvl w:ilvl="6" w:tplc="10090001">
      <w:start w:val="1"/>
      <w:numFmt w:val="bullet"/>
      <w:lvlText w:val=""/>
      <w:lvlJc w:val="left"/>
      <w:pPr>
        <w:ind w:left="8307" w:hanging="360"/>
      </w:pPr>
      <w:rPr>
        <w:rFonts w:ascii="Symbol" w:hAnsi="Symbol" w:hint="default"/>
      </w:rPr>
    </w:lvl>
    <w:lvl w:ilvl="7" w:tplc="10090003">
      <w:start w:val="1"/>
      <w:numFmt w:val="bullet"/>
      <w:lvlText w:val="o"/>
      <w:lvlJc w:val="left"/>
      <w:pPr>
        <w:ind w:left="9027" w:hanging="360"/>
      </w:pPr>
      <w:rPr>
        <w:rFonts w:ascii="Courier New" w:hAnsi="Courier New" w:cs="Courier New" w:hint="default"/>
      </w:rPr>
    </w:lvl>
    <w:lvl w:ilvl="8" w:tplc="10090005">
      <w:start w:val="1"/>
      <w:numFmt w:val="bullet"/>
      <w:lvlText w:val=""/>
      <w:lvlJc w:val="left"/>
      <w:pPr>
        <w:ind w:left="9747" w:hanging="360"/>
      </w:pPr>
      <w:rPr>
        <w:rFonts w:ascii="Wingdings" w:hAnsi="Wingdings" w:hint="default"/>
      </w:rPr>
    </w:lvl>
  </w:abstractNum>
  <w:abstractNum w:abstractNumId="34" w15:restartNumberingAfterBreak="0">
    <w:nsid w:val="66882FE4"/>
    <w:multiLevelType w:val="hybridMultilevel"/>
    <w:tmpl w:val="7A28EE86"/>
    <w:lvl w:ilvl="0" w:tplc="D34A6032">
      <w:start w:val="1"/>
      <w:numFmt w:val="bullet"/>
      <w:pStyle w:val="BulletL1"/>
      <w:lvlText w:val=""/>
      <w:lvlJc w:val="left"/>
      <w:pPr>
        <w:ind w:left="720" w:hanging="360"/>
      </w:pPr>
      <w:rPr>
        <w:rFonts w:ascii="Symbol" w:hAnsi="Symbol" w:hint="default"/>
        <w:b w:val="0"/>
        <w:i w:val="0"/>
        <w:strike w:val="0"/>
        <w:dstrike w:val="0"/>
        <w:color w:val="181717"/>
        <w:sz w:val="20"/>
        <w:szCs w:val="20"/>
        <w:u w:val="none" w:color="000000"/>
        <w:bdr w:val="none" w:sz="0" w:space="0" w:color="auto"/>
        <w:shd w:val="clear" w:color="auto" w:fill="auto"/>
        <w:vertAlign w:val="baseline"/>
      </w:rPr>
    </w:lvl>
    <w:lvl w:ilvl="1" w:tplc="E1784DD2">
      <w:start w:val="1"/>
      <w:numFmt w:val="bullet"/>
      <w:lvlText w:val="o"/>
      <w:lvlJc w:val="left"/>
      <w:pPr>
        <w:ind w:left="1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8EED660">
      <w:start w:val="1"/>
      <w:numFmt w:val="bullet"/>
      <w:lvlText w:val="▪"/>
      <w:lvlJc w:val="left"/>
      <w:pPr>
        <w:ind w:left="2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04E3B50">
      <w:start w:val="1"/>
      <w:numFmt w:val="bullet"/>
      <w:lvlText w:val="•"/>
      <w:lvlJc w:val="left"/>
      <w:pPr>
        <w:ind w:left="3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3BE4102">
      <w:start w:val="1"/>
      <w:numFmt w:val="bullet"/>
      <w:lvlText w:val="o"/>
      <w:lvlJc w:val="left"/>
      <w:pPr>
        <w:ind w:left="3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97C5330">
      <w:start w:val="1"/>
      <w:numFmt w:val="bullet"/>
      <w:lvlText w:val="▪"/>
      <w:lvlJc w:val="left"/>
      <w:pPr>
        <w:ind w:left="4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AAC5C60">
      <w:start w:val="1"/>
      <w:numFmt w:val="bullet"/>
      <w:lvlText w:val="•"/>
      <w:lvlJc w:val="left"/>
      <w:pPr>
        <w:ind w:left="51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89CDDFE">
      <w:start w:val="1"/>
      <w:numFmt w:val="bullet"/>
      <w:lvlText w:val="o"/>
      <w:lvlJc w:val="left"/>
      <w:pPr>
        <w:ind w:left="59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FFC892E">
      <w:start w:val="1"/>
      <w:numFmt w:val="bullet"/>
      <w:lvlText w:val="▪"/>
      <w:lvlJc w:val="left"/>
      <w:pPr>
        <w:ind w:left="66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6D6037F8"/>
    <w:multiLevelType w:val="hybridMultilevel"/>
    <w:tmpl w:val="9DDCA178"/>
    <w:lvl w:ilvl="0" w:tplc="F65269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E20C45"/>
    <w:multiLevelType w:val="hybridMultilevel"/>
    <w:tmpl w:val="94DC65D8"/>
    <w:lvl w:ilvl="0" w:tplc="8924CAB0">
      <w:start w:val="1"/>
      <w:numFmt w:val="lowerRoman"/>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706D460D"/>
    <w:multiLevelType w:val="hybridMultilevel"/>
    <w:tmpl w:val="62C21FA8"/>
    <w:lvl w:ilvl="0" w:tplc="FFFFFFFF">
      <w:start w:val="1"/>
      <w:numFmt w:val="lowerLetter"/>
      <w:lvlText w:val="(%1)"/>
      <w:lvlJc w:val="left"/>
      <w:pPr>
        <w:ind w:left="720" w:hanging="360"/>
      </w:pPr>
      <w:rPr>
        <w:rFonts w:cs="Times New Roman"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71AB769B"/>
    <w:multiLevelType w:val="multilevel"/>
    <w:tmpl w:val="F2A07A5E"/>
    <w:lvl w:ilvl="0">
      <w:start w:val="4"/>
      <w:numFmt w:val="decimal"/>
      <w:lvlText w:val="%1."/>
      <w:lvlJc w:val="left"/>
      <w:pPr>
        <w:ind w:left="990" w:hanging="360"/>
      </w:pPr>
      <w:rPr>
        <w:rFonts w:cs="Times New Roman" w:hint="default"/>
        <w:b/>
        <w:i w:val="0"/>
      </w:rPr>
    </w:lvl>
    <w:lvl w:ilvl="1">
      <w:start w:val="1"/>
      <w:numFmt w:val="decimal"/>
      <w:lvlText w:val="4.%2"/>
      <w:lvlJc w:val="left"/>
      <w:pPr>
        <w:ind w:left="1422" w:hanging="432"/>
      </w:pPr>
      <w:rPr>
        <w:rFonts w:cs="Times New Roman" w:hint="default"/>
        <w:b/>
        <w:i w:val="0"/>
        <w:sz w:val="22"/>
        <w:szCs w:val="22"/>
      </w:rPr>
    </w:lvl>
    <w:lvl w:ilvl="2">
      <w:start w:val="1"/>
      <w:numFmt w:val="decimal"/>
      <w:lvlText w:val="%1.%2.%3."/>
      <w:lvlJc w:val="left"/>
      <w:pPr>
        <w:ind w:left="1854" w:hanging="504"/>
      </w:pPr>
      <w:rPr>
        <w:rFonts w:cs="Times New Roman" w:hint="default"/>
      </w:rPr>
    </w:lvl>
    <w:lvl w:ilvl="3">
      <w:start w:val="1"/>
      <w:numFmt w:val="lowerRoman"/>
      <w:lvlText w:val="%4."/>
      <w:lvlJc w:val="right"/>
      <w:pPr>
        <w:ind w:left="2358" w:hanging="648"/>
      </w:pPr>
      <w:rPr>
        <w:rFonts w:cs="Times New Roman" w:hint="default"/>
      </w:rPr>
    </w:lvl>
    <w:lvl w:ilvl="4">
      <w:start w:val="1"/>
      <w:numFmt w:val="decimal"/>
      <w:lvlText w:val="%1.%2.%3.%4.%5."/>
      <w:lvlJc w:val="left"/>
      <w:pPr>
        <w:ind w:left="2862" w:hanging="792"/>
      </w:pPr>
      <w:rPr>
        <w:rFonts w:cs="Times New Roman" w:hint="default"/>
      </w:rPr>
    </w:lvl>
    <w:lvl w:ilvl="5">
      <w:start w:val="1"/>
      <w:numFmt w:val="decimal"/>
      <w:lvlText w:val="%1.%2.%3.%4.%5.%6."/>
      <w:lvlJc w:val="left"/>
      <w:pPr>
        <w:ind w:left="3366" w:hanging="936"/>
      </w:pPr>
      <w:rPr>
        <w:rFonts w:cs="Times New Roman" w:hint="default"/>
      </w:rPr>
    </w:lvl>
    <w:lvl w:ilvl="6">
      <w:start w:val="1"/>
      <w:numFmt w:val="decimal"/>
      <w:lvlText w:val="%1.%2.%3.%4.%5.%6.%7."/>
      <w:lvlJc w:val="left"/>
      <w:pPr>
        <w:ind w:left="3870" w:hanging="1080"/>
      </w:pPr>
      <w:rPr>
        <w:rFonts w:cs="Times New Roman" w:hint="default"/>
      </w:rPr>
    </w:lvl>
    <w:lvl w:ilvl="7">
      <w:start w:val="1"/>
      <w:numFmt w:val="decimal"/>
      <w:lvlText w:val="%1.%2.%3.%4.%5.%6.%7.%8."/>
      <w:lvlJc w:val="left"/>
      <w:pPr>
        <w:ind w:left="4374" w:hanging="1224"/>
      </w:pPr>
      <w:rPr>
        <w:rFonts w:cs="Times New Roman" w:hint="default"/>
      </w:rPr>
    </w:lvl>
    <w:lvl w:ilvl="8">
      <w:start w:val="1"/>
      <w:numFmt w:val="decimal"/>
      <w:lvlText w:val="%1.%2.%3.%4.%5.%6.%7.%8.%9."/>
      <w:lvlJc w:val="left"/>
      <w:pPr>
        <w:ind w:left="4950" w:hanging="1440"/>
      </w:pPr>
      <w:rPr>
        <w:rFonts w:cs="Times New Roman" w:hint="default"/>
      </w:rPr>
    </w:lvl>
  </w:abstractNum>
  <w:abstractNum w:abstractNumId="39" w15:restartNumberingAfterBreak="0">
    <w:nsid w:val="73A83F1A"/>
    <w:multiLevelType w:val="multilevel"/>
    <w:tmpl w:val="87F43418"/>
    <w:lvl w:ilvl="0">
      <w:start w:val="4"/>
      <w:numFmt w:val="decimal"/>
      <w:lvlText w:val="%1."/>
      <w:lvlJc w:val="left"/>
      <w:pPr>
        <w:ind w:left="360" w:hanging="360"/>
      </w:pPr>
      <w:rPr>
        <w:rFonts w:cs="Times New Roman" w:hint="default"/>
        <w:b/>
        <w:i w:val="0"/>
      </w:rPr>
    </w:lvl>
    <w:lvl w:ilvl="1">
      <w:start w:val="1"/>
      <w:numFmt w:val="decimal"/>
      <w:lvlText w:val="4.%2"/>
      <w:lvlJc w:val="left"/>
      <w:pPr>
        <w:ind w:left="792" w:hanging="432"/>
      </w:pPr>
      <w:rPr>
        <w:rFonts w:cs="Times New Roman" w:hint="default"/>
        <w:b/>
        <w:i w:val="0"/>
        <w:sz w:val="22"/>
        <w:szCs w:val="22"/>
      </w:rPr>
    </w:lvl>
    <w:lvl w:ilvl="2">
      <w:start w:val="1"/>
      <w:numFmt w:val="decimal"/>
      <w:lvlText w:val="%1.%2.%3."/>
      <w:lvlJc w:val="left"/>
      <w:pPr>
        <w:ind w:left="1224" w:hanging="504"/>
      </w:pPr>
      <w:rPr>
        <w:rFonts w:cs="Times New Roman" w:hint="default"/>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662CE7"/>
    <w:multiLevelType w:val="hybridMultilevel"/>
    <w:tmpl w:val="A666467C"/>
    <w:lvl w:ilvl="0" w:tplc="74FAFE9E">
      <w:start w:val="1"/>
      <w:numFmt w:val="bullet"/>
      <w:lvlText w:val="-"/>
      <w:lvlJc w:val="left"/>
      <w:pPr>
        <w:ind w:left="720" w:hanging="360"/>
      </w:pPr>
      <w:rPr>
        <w:rFonts w:ascii="Proxima Nova" w:eastAsia="Times New Roman" w:hAnsi="Proxima Nov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7"/>
  </w:num>
  <w:num w:numId="11">
    <w:abstractNumId w:val="42"/>
  </w:num>
  <w:num w:numId="12">
    <w:abstractNumId w:val="40"/>
  </w:num>
  <w:num w:numId="13">
    <w:abstractNumId w:val="22"/>
  </w:num>
  <w:num w:numId="14">
    <w:abstractNumId w:val="23"/>
  </w:num>
  <w:num w:numId="15">
    <w:abstractNumId w:val="28"/>
  </w:num>
  <w:num w:numId="16">
    <w:abstractNumId w:val="12"/>
  </w:num>
  <w:num w:numId="17">
    <w:abstractNumId w:val="16"/>
  </w:num>
  <w:num w:numId="18">
    <w:abstractNumId w:val="26"/>
  </w:num>
  <w:num w:numId="19">
    <w:abstractNumId w:val="14"/>
  </w:num>
  <w:num w:numId="20">
    <w:abstractNumId w:val="24"/>
  </w:num>
  <w:num w:numId="21">
    <w:abstractNumId w:val="31"/>
  </w:num>
  <w:num w:numId="22">
    <w:abstractNumId w:val="34"/>
  </w:num>
  <w:num w:numId="23">
    <w:abstractNumId w:val="20"/>
  </w:num>
  <w:num w:numId="24">
    <w:abstractNumId w:val="9"/>
  </w:num>
  <w:num w:numId="25">
    <w:abstractNumId w:val="37"/>
  </w:num>
  <w:num w:numId="26">
    <w:abstractNumId w:val="30"/>
  </w:num>
  <w:num w:numId="27">
    <w:abstractNumId w:val="25"/>
  </w:num>
  <w:num w:numId="28">
    <w:abstractNumId w:val="11"/>
  </w:num>
  <w:num w:numId="29">
    <w:abstractNumId w:val="21"/>
  </w:num>
  <w:num w:numId="30">
    <w:abstractNumId w:val="13"/>
  </w:num>
  <w:num w:numId="31">
    <w:abstractNumId w:val="36"/>
  </w:num>
  <w:num w:numId="32">
    <w:abstractNumId w:val="15"/>
  </w:num>
  <w:num w:numId="33">
    <w:abstractNumId w:val="10"/>
  </w:num>
  <w:num w:numId="34">
    <w:abstractNumId w:val="41"/>
  </w:num>
  <w:num w:numId="35">
    <w:abstractNumId w:val="35"/>
  </w:num>
  <w:num w:numId="36">
    <w:abstractNumId w:val="33"/>
  </w:num>
  <w:num w:numId="37">
    <w:abstractNumId w:val="39"/>
  </w:num>
  <w:num w:numId="38">
    <w:abstractNumId w:val="38"/>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9"/>
  </w:num>
  <w:num w:numId="43">
    <w:abstractNumId w:val="32"/>
  </w:num>
  <w:num w:numId="4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8ED"/>
    <w:rsid w:val="0000024D"/>
    <w:rsid w:val="000005D3"/>
    <w:rsid w:val="00003613"/>
    <w:rsid w:val="00003712"/>
    <w:rsid w:val="000048E6"/>
    <w:rsid w:val="0000558D"/>
    <w:rsid w:val="000102DC"/>
    <w:rsid w:val="00012024"/>
    <w:rsid w:val="00014CFB"/>
    <w:rsid w:val="00017B80"/>
    <w:rsid w:val="00024C60"/>
    <w:rsid w:val="000268E0"/>
    <w:rsid w:val="000362E4"/>
    <w:rsid w:val="00040024"/>
    <w:rsid w:val="00040B72"/>
    <w:rsid w:val="00045CEF"/>
    <w:rsid w:val="000465E8"/>
    <w:rsid w:val="00046726"/>
    <w:rsid w:val="00050EFD"/>
    <w:rsid w:val="000518D5"/>
    <w:rsid w:val="00053303"/>
    <w:rsid w:val="00056520"/>
    <w:rsid w:val="000567E1"/>
    <w:rsid w:val="00060576"/>
    <w:rsid w:val="000609E5"/>
    <w:rsid w:val="000618E7"/>
    <w:rsid w:val="00061A8D"/>
    <w:rsid w:val="00070D5B"/>
    <w:rsid w:val="00073D07"/>
    <w:rsid w:val="00077D98"/>
    <w:rsid w:val="00080D3C"/>
    <w:rsid w:val="00080FB9"/>
    <w:rsid w:val="00084765"/>
    <w:rsid w:val="0008714F"/>
    <w:rsid w:val="00090FF1"/>
    <w:rsid w:val="00091616"/>
    <w:rsid w:val="000926C3"/>
    <w:rsid w:val="00093126"/>
    <w:rsid w:val="00093474"/>
    <w:rsid w:val="00097211"/>
    <w:rsid w:val="00097C14"/>
    <w:rsid w:val="000A1830"/>
    <w:rsid w:val="000A2F96"/>
    <w:rsid w:val="000B02A2"/>
    <w:rsid w:val="000B07C5"/>
    <w:rsid w:val="000B1B41"/>
    <w:rsid w:val="000B34D8"/>
    <w:rsid w:val="000B3A34"/>
    <w:rsid w:val="000B6B2A"/>
    <w:rsid w:val="000C07E5"/>
    <w:rsid w:val="000C0CFF"/>
    <w:rsid w:val="000C1B9E"/>
    <w:rsid w:val="000C2ED5"/>
    <w:rsid w:val="000C303E"/>
    <w:rsid w:val="000C70C7"/>
    <w:rsid w:val="000D07E3"/>
    <w:rsid w:val="000D2C31"/>
    <w:rsid w:val="000D2E69"/>
    <w:rsid w:val="000D3EED"/>
    <w:rsid w:val="000D7D01"/>
    <w:rsid w:val="000E1163"/>
    <w:rsid w:val="000E1CF4"/>
    <w:rsid w:val="000E36DD"/>
    <w:rsid w:val="000F219D"/>
    <w:rsid w:val="000F32EA"/>
    <w:rsid w:val="000F4BCF"/>
    <w:rsid w:val="000F69EC"/>
    <w:rsid w:val="00100725"/>
    <w:rsid w:val="00100ACE"/>
    <w:rsid w:val="00102CA8"/>
    <w:rsid w:val="00104ABB"/>
    <w:rsid w:val="00105DAB"/>
    <w:rsid w:val="00106A37"/>
    <w:rsid w:val="001105C9"/>
    <w:rsid w:val="001120DA"/>
    <w:rsid w:val="00112D05"/>
    <w:rsid w:val="0011302D"/>
    <w:rsid w:val="00116361"/>
    <w:rsid w:val="001179DD"/>
    <w:rsid w:val="001215CC"/>
    <w:rsid w:val="001222F1"/>
    <w:rsid w:val="00122780"/>
    <w:rsid w:val="00123835"/>
    <w:rsid w:val="00124336"/>
    <w:rsid w:val="001249D5"/>
    <w:rsid w:val="00124AB7"/>
    <w:rsid w:val="00124D53"/>
    <w:rsid w:val="001261EF"/>
    <w:rsid w:val="00126531"/>
    <w:rsid w:val="0013044C"/>
    <w:rsid w:val="00130E5D"/>
    <w:rsid w:val="00131C06"/>
    <w:rsid w:val="00132A59"/>
    <w:rsid w:val="00134A06"/>
    <w:rsid w:val="0013702F"/>
    <w:rsid w:val="00141A31"/>
    <w:rsid w:val="00143A5A"/>
    <w:rsid w:val="001460D6"/>
    <w:rsid w:val="0014721B"/>
    <w:rsid w:val="001478F9"/>
    <w:rsid w:val="00153482"/>
    <w:rsid w:val="00153739"/>
    <w:rsid w:val="001539BF"/>
    <w:rsid w:val="00153A5B"/>
    <w:rsid w:val="00154853"/>
    <w:rsid w:val="001560AC"/>
    <w:rsid w:val="001573F5"/>
    <w:rsid w:val="0015753B"/>
    <w:rsid w:val="00157B37"/>
    <w:rsid w:val="00166CD5"/>
    <w:rsid w:val="00167CB9"/>
    <w:rsid w:val="00170696"/>
    <w:rsid w:val="00173839"/>
    <w:rsid w:val="001751FB"/>
    <w:rsid w:val="00175864"/>
    <w:rsid w:val="001758D6"/>
    <w:rsid w:val="00177440"/>
    <w:rsid w:val="001810C2"/>
    <w:rsid w:val="00181D14"/>
    <w:rsid w:val="00182FBC"/>
    <w:rsid w:val="00183298"/>
    <w:rsid w:val="001838DF"/>
    <w:rsid w:val="0018439F"/>
    <w:rsid w:val="001847E1"/>
    <w:rsid w:val="00185609"/>
    <w:rsid w:val="00186CB9"/>
    <w:rsid w:val="00190009"/>
    <w:rsid w:val="00190F6E"/>
    <w:rsid w:val="00191C56"/>
    <w:rsid w:val="00192443"/>
    <w:rsid w:val="001926D3"/>
    <w:rsid w:val="00193E14"/>
    <w:rsid w:val="00195278"/>
    <w:rsid w:val="001A14A8"/>
    <w:rsid w:val="001A4956"/>
    <w:rsid w:val="001A5DD2"/>
    <w:rsid w:val="001A6558"/>
    <w:rsid w:val="001A7783"/>
    <w:rsid w:val="001B1014"/>
    <w:rsid w:val="001B491D"/>
    <w:rsid w:val="001B6941"/>
    <w:rsid w:val="001B70C7"/>
    <w:rsid w:val="001C02F3"/>
    <w:rsid w:val="001C24B6"/>
    <w:rsid w:val="001C297E"/>
    <w:rsid w:val="001C5221"/>
    <w:rsid w:val="001C6471"/>
    <w:rsid w:val="001C6506"/>
    <w:rsid w:val="001C66CD"/>
    <w:rsid w:val="001D10C0"/>
    <w:rsid w:val="001D41F8"/>
    <w:rsid w:val="001D454C"/>
    <w:rsid w:val="001D4A28"/>
    <w:rsid w:val="001D4C77"/>
    <w:rsid w:val="001D6377"/>
    <w:rsid w:val="001D6641"/>
    <w:rsid w:val="001E372B"/>
    <w:rsid w:val="001E3EED"/>
    <w:rsid w:val="001E4893"/>
    <w:rsid w:val="001E532F"/>
    <w:rsid w:val="001E5DDC"/>
    <w:rsid w:val="001F1C84"/>
    <w:rsid w:val="001F49D8"/>
    <w:rsid w:val="001F5469"/>
    <w:rsid w:val="001F6442"/>
    <w:rsid w:val="0020042C"/>
    <w:rsid w:val="00200EED"/>
    <w:rsid w:val="00203F7A"/>
    <w:rsid w:val="00210142"/>
    <w:rsid w:val="00211AA5"/>
    <w:rsid w:val="002175ED"/>
    <w:rsid w:val="002177CB"/>
    <w:rsid w:val="002205D4"/>
    <w:rsid w:val="002213C3"/>
    <w:rsid w:val="002214E2"/>
    <w:rsid w:val="002225D3"/>
    <w:rsid w:val="0022488E"/>
    <w:rsid w:val="00224F22"/>
    <w:rsid w:val="002259D4"/>
    <w:rsid w:val="00225C32"/>
    <w:rsid w:val="002266AF"/>
    <w:rsid w:val="00227F69"/>
    <w:rsid w:val="00231D60"/>
    <w:rsid w:val="0023616D"/>
    <w:rsid w:val="00236C1F"/>
    <w:rsid w:val="00236F2D"/>
    <w:rsid w:val="00244FCF"/>
    <w:rsid w:val="00245D27"/>
    <w:rsid w:val="002517D2"/>
    <w:rsid w:val="00251AA8"/>
    <w:rsid w:val="00254DDF"/>
    <w:rsid w:val="00254EA8"/>
    <w:rsid w:val="00256FC4"/>
    <w:rsid w:val="00257628"/>
    <w:rsid w:val="00260BF2"/>
    <w:rsid w:val="00260DDC"/>
    <w:rsid w:val="0026256D"/>
    <w:rsid w:val="0026676B"/>
    <w:rsid w:val="0026755F"/>
    <w:rsid w:val="00267D61"/>
    <w:rsid w:val="00272951"/>
    <w:rsid w:val="002745BE"/>
    <w:rsid w:val="00275C2E"/>
    <w:rsid w:val="00276A63"/>
    <w:rsid w:val="00280ECE"/>
    <w:rsid w:val="0028286F"/>
    <w:rsid w:val="00282878"/>
    <w:rsid w:val="00283659"/>
    <w:rsid w:val="00287528"/>
    <w:rsid w:val="002909C5"/>
    <w:rsid w:val="00291189"/>
    <w:rsid w:val="00293BF7"/>
    <w:rsid w:val="00295909"/>
    <w:rsid w:val="00295E1F"/>
    <w:rsid w:val="002A0842"/>
    <w:rsid w:val="002A6D5B"/>
    <w:rsid w:val="002B3545"/>
    <w:rsid w:val="002B538B"/>
    <w:rsid w:val="002B5819"/>
    <w:rsid w:val="002C0633"/>
    <w:rsid w:val="002C11DA"/>
    <w:rsid w:val="002C1C50"/>
    <w:rsid w:val="002C6711"/>
    <w:rsid w:val="002C7130"/>
    <w:rsid w:val="002D3AF2"/>
    <w:rsid w:val="002D5CCE"/>
    <w:rsid w:val="002D62E8"/>
    <w:rsid w:val="002E157F"/>
    <w:rsid w:val="002E1827"/>
    <w:rsid w:val="002E5EF3"/>
    <w:rsid w:val="002F451C"/>
    <w:rsid w:val="002F541E"/>
    <w:rsid w:val="002F7F74"/>
    <w:rsid w:val="00301027"/>
    <w:rsid w:val="00304F78"/>
    <w:rsid w:val="003112B7"/>
    <w:rsid w:val="003148EB"/>
    <w:rsid w:val="00317131"/>
    <w:rsid w:val="00321A23"/>
    <w:rsid w:val="00321C54"/>
    <w:rsid w:val="00322C78"/>
    <w:rsid w:val="00323544"/>
    <w:rsid w:val="00323A84"/>
    <w:rsid w:val="00324C01"/>
    <w:rsid w:val="00324D82"/>
    <w:rsid w:val="00326563"/>
    <w:rsid w:val="0033054B"/>
    <w:rsid w:val="0033256D"/>
    <w:rsid w:val="00332608"/>
    <w:rsid w:val="0033424D"/>
    <w:rsid w:val="0033478E"/>
    <w:rsid w:val="003356B6"/>
    <w:rsid w:val="00336E77"/>
    <w:rsid w:val="00337036"/>
    <w:rsid w:val="00341071"/>
    <w:rsid w:val="003447F7"/>
    <w:rsid w:val="00351E62"/>
    <w:rsid w:val="003539FC"/>
    <w:rsid w:val="0035533B"/>
    <w:rsid w:val="00357E47"/>
    <w:rsid w:val="00361FBC"/>
    <w:rsid w:val="003640B7"/>
    <w:rsid w:val="0036729A"/>
    <w:rsid w:val="003703E8"/>
    <w:rsid w:val="0037086F"/>
    <w:rsid w:val="00373EC8"/>
    <w:rsid w:val="00374162"/>
    <w:rsid w:val="003766B9"/>
    <w:rsid w:val="00380271"/>
    <w:rsid w:val="00382094"/>
    <w:rsid w:val="00383839"/>
    <w:rsid w:val="00384477"/>
    <w:rsid w:val="0038653B"/>
    <w:rsid w:val="00386CBA"/>
    <w:rsid w:val="00390929"/>
    <w:rsid w:val="0039502B"/>
    <w:rsid w:val="003A25D4"/>
    <w:rsid w:val="003A5B85"/>
    <w:rsid w:val="003B2B74"/>
    <w:rsid w:val="003B48F4"/>
    <w:rsid w:val="003B73D4"/>
    <w:rsid w:val="003B7B52"/>
    <w:rsid w:val="003C2DF0"/>
    <w:rsid w:val="003C3FE6"/>
    <w:rsid w:val="003C45AD"/>
    <w:rsid w:val="003C4921"/>
    <w:rsid w:val="003C5FAE"/>
    <w:rsid w:val="003C6D94"/>
    <w:rsid w:val="003C6E1B"/>
    <w:rsid w:val="003D0C8A"/>
    <w:rsid w:val="003D22A7"/>
    <w:rsid w:val="003D2441"/>
    <w:rsid w:val="003D2E62"/>
    <w:rsid w:val="003D4457"/>
    <w:rsid w:val="003E1766"/>
    <w:rsid w:val="003E2508"/>
    <w:rsid w:val="003E3104"/>
    <w:rsid w:val="003E3698"/>
    <w:rsid w:val="003E403B"/>
    <w:rsid w:val="003E4F4D"/>
    <w:rsid w:val="003E75FA"/>
    <w:rsid w:val="003E7B7D"/>
    <w:rsid w:val="003E7E40"/>
    <w:rsid w:val="003F2670"/>
    <w:rsid w:val="003F4E83"/>
    <w:rsid w:val="003F5B53"/>
    <w:rsid w:val="003F7180"/>
    <w:rsid w:val="003F7E38"/>
    <w:rsid w:val="00400571"/>
    <w:rsid w:val="00407E51"/>
    <w:rsid w:val="00413594"/>
    <w:rsid w:val="004200DE"/>
    <w:rsid w:val="004232B5"/>
    <w:rsid w:val="0043001C"/>
    <w:rsid w:val="00430213"/>
    <w:rsid w:val="00430FD3"/>
    <w:rsid w:val="00432359"/>
    <w:rsid w:val="00432EF8"/>
    <w:rsid w:val="00436CDD"/>
    <w:rsid w:val="004378EB"/>
    <w:rsid w:val="00437DBD"/>
    <w:rsid w:val="00440F5C"/>
    <w:rsid w:val="004454A9"/>
    <w:rsid w:val="00445BF2"/>
    <w:rsid w:val="00452B18"/>
    <w:rsid w:val="00453747"/>
    <w:rsid w:val="004538F9"/>
    <w:rsid w:val="004540D8"/>
    <w:rsid w:val="00464F81"/>
    <w:rsid w:val="00466B2F"/>
    <w:rsid w:val="00467E6A"/>
    <w:rsid w:val="00467EA9"/>
    <w:rsid w:val="00470182"/>
    <w:rsid w:val="0047305A"/>
    <w:rsid w:val="0047307E"/>
    <w:rsid w:val="00473177"/>
    <w:rsid w:val="00475F54"/>
    <w:rsid w:val="00480A11"/>
    <w:rsid w:val="00481527"/>
    <w:rsid w:val="00483A34"/>
    <w:rsid w:val="00483D47"/>
    <w:rsid w:val="004926A3"/>
    <w:rsid w:val="004A2F90"/>
    <w:rsid w:val="004A4F3C"/>
    <w:rsid w:val="004A7692"/>
    <w:rsid w:val="004B1CFC"/>
    <w:rsid w:val="004B3E5C"/>
    <w:rsid w:val="004B72B0"/>
    <w:rsid w:val="004C0778"/>
    <w:rsid w:val="004C37D0"/>
    <w:rsid w:val="004C3E1E"/>
    <w:rsid w:val="004C3E70"/>
    <w:rsid w:val="004D4038"/>
    <w:rsid w:val="004D4FF8"/>
    <w:rsid w:val="004D68C3"/>
    <w:rsid w:val="004E0114"/>
    <w:rsid w:val="004E0254"/>
    <w:rsid w:val="004E0AAF"/>
    <w:rsid w:val="004E1ED8"/>
    <w:rsid w:val="004E2D01"/>
    <w:rsid w:val="004F1BCB"/>
    <w:rsid w:val="004F5D8E"/>
    <w:rsid w:val="004F61A1"/>
    <w:rsid w:val="00502C94"/>
    <w:rsid w:val="00510E86"/>
    <w:rsid w:val="005125CA"/>
    <w:rsid w:val="00512840"/>
    <w:rsid w:val="00512B9C"/>
    <w:rsid w:val="00513739"/>
    <w:rsid w:val="00514D0E"/>
    <w:rsid w:val="00516BDB"/>
    <w:rsid w:val="00517E5E"/>
    <w:rsid w:val="0052336A"/>
    <w:rsid w:val="00524B63"/>
    <w:rsid w:val="00525C8D"/>
    <w:rsid w:val="0052681D"/>
    <w:rsid w:val="00526EFF"/>
    <w:rsid w:val="005271DA"/>
    <w:rsid w:val="0053222B"/>
    <w:rsid w:val="0053240F"/>
    <w:rsid w:val="0053444B"/>
    <w:rsid w:val="00534ADC"/>
    <w:rsid w:val="00540536"/>
    <w:rsid w:val="005410BB"/>
    <w:rsid w:val="005415BD"/>
    <w:rsid w:val="0054550D"/>
    <w:rsid w:val="005465D0"/>
    <w:rsid w:val="00550D93"/>
    <w:rsid w:val="00551E3E"/>
    <w:rsid w:val="00553763"/>
    <w:rsid w:val="005552EC"/>
    <w:rsid w:val="005559AC"/>
    <w:rsid w:val="005579C5"/>
    <w:rsid w:val="00557FEC"/>
    <w:rsid w:val="00560CC4"/>
    <w:rsid w:val="005636E8"/>
    <w:rsid w:val="00564174"/>
    <w:rsid w:val="005657AF"/>
    <w:rsid w:val="00566F99"/>
    <w:rsid w:val="005679FB"/>
    <w:rsid w:val="0057043A"/>
    <w:rsid w:val="00571F62"/>
    <w:rsid w:val="00573642"/>
    <w:rsid w:val="005740FD"/>
    <w:rsid w:val="0057414D"/>
    <w:rsid w:val="00575DBA"/>
    <w:rsid w:val="00577798"/>
    <w:rsid w:val="005800E1"/>
    <w:rsid w:val="00582B8E"/>
    <w:rsid w:val="0058419F"/>
    <w:rsid w:val="00586875"/>
    <w:rsid w:val="00587A77"/>
    <w:rsid w:val="005903A7"/>
    <w:rsid w:val="005905DC"/>
    <w:rsid w:val="00592242"/>
    <w:rsid w:val="00592AFD"/>
    <w:rsid w:val="005938CF"/>
    <w:rsid w:val="00596237"/>
    <w:rsid w:val="00596D63"/>
    <w:rsid w:val="00597C08"/>
    <w:rsid w:val="005A271F"/>
    <w:rsid w:val="005A401D"/>
    <w:rsid w:val="005B052A"/>
    <w:rsid w:val="005B3D7D"/>
    <w:rsid w:val="005B66DD"/>
    <w:rsid w:val="005B6F9A"/>
    <w:rsid w:val="005C1A37"/>
    <w:rsid w:val="005C1D94"/>
    <w:rsid w:val="005C6B65"/>
    <w:rsid w:val="005D0BA9"/>
    <w:rsid w:val="005D6135"/>
    <w:rsid w:val="005D6C07"/>
    <w:rsid w:val="005E1CA6"/>
    <w:rsid w:val="005E5408"/>
    <w:rsid w:val="005E731B"/>
    <w:rsid w:val="005F03BA"/>
    <w:rsid w:val="005F63B2"/>
    <w:rsid w:val="005F651B"/>
    <w:rsid w:val="006001E2"/>
    <w:rsid w:val="00602D19"/>
    <w:rsid w:val="0060616F"/>
    <w:rsid w:val="00607DF5"/>
    <w:rsid w:val="0061038F"/>
    <w:rsid w:val="00611EF0"/>
    <w:rsid w:val="00613093"/>
    <w:rsid w:val="0061331C"/>
    <w:rsid w:val="0061375A"/>
    <w:rsid w:val="00614827"/>
    <w:rsid w:val="006150BC"/>
    <w:rsid w:val="00616A0B"/>
    <w:rsid w:val="006200D7"/>
    <w:rsid w:val="00626EF3"/>
    <w:rsid w:val="00632337"/>
    <w:rsid w:val="00633D7C"/>
    <w:rsid w:val="00634898"/>
    <w:rsid w:val="00634AE5"/>
    <w:rsid w:val="00636505"/>
    <w:rsid w:val="00637E90"/>
    <w:rsid w:val="00646CFC"/>
    <w:rsid w:val="00646DF3"/>
    <w:rsid w:val="00646EB8"/>
    <w:rsid w:val="006471CF"/>
    <w:rsid w:val="00651805"/>
    <w:rsid w:val="006543CE"/>
    <w:rsid w:val="00654F37"/>
    <w:rsid w:val="0065520C"/>
    <w:rsid w:val="00656723"/>
    <w:rsid w:val="00662391"/>
    <w:rsid w:val="006631B6"/>
    <w:rsid w:val="00670B80"/>
    <w:rsid w:val="00670E89"/>
    <w:rsid w:val="00673344"/>
    <w:rsid w:val="00677047"/>
    <w:rsid w:val="00677595"/>
    <w:rsid w:val="00677BB4"/>
    <w:rsid w:val="00677EF8"/>
    <w:rsid w:val="0068044B"/>
    <w:rsid w:val="0068063E"/>
    <w:rsid w:val="00680E8E"/>
    <w:rsid w:val="00681B59"/>
    <w:rsid w:val="00682F6F"/>
    <w:rsid w:val="006839DA"/>
    <w:rsid w:val="00685C95"/>
    <w:rsid w:val="00687969"/>
    <w:rsid w:val="0069031F"/>
    <w:rsid w:val="00693209"/>
    <w:rsid w:val="00694F9D"/>
    <w:rsid w:val="006951FB"/>
    <w:rsid w:val="00695CA1"/>
    <w:rsid w:val="00697CFA"/>
    <w:rsid w:val="006A1EE3"/>
    <w:rsid w:val="006A2C05"/>
    <w:rsid w:val="006A5B61"/>
    <w:rsid w:val="006B2540"/>
    <w:rsid w:val="006B6F8F"/>
    <w:rsid w:val="006B7415"/>
    <w:rsid w:val="006C3591"/>
    <w:rsid w:val="006C3B8F"/>
    <w:rsid w:val="006C3CCA"/>
    <w:rsid w:val="006C3DDB"/>
    <w:rsid w:val="006C497E"/>
    <w:rsid w:val="006D0917"/>
    <w:rsid w:val="006D1A4C"/>
    <w:rsid w:val="006D3163"/>
    <w:rsid w:val="006E1823"/>
    <w:rsid w:val="006E54E9"/>
    <w:rsid w:val="006E6C93"/>
    <w:rsid w:val="006F13E5"/>
    <w:rsid w:val="006F395C"/>
    <w:rsid w:val="006F4B77"/>
    <w:rsid w:val="006F6C35"/>
    <w:rsid w:val="0070187D"/>
    <w:rsid w:val="007054F8"/>
    <w:rsid w:val="007062ED"/>
    <w:rsid w:val="007069B5"/>
    <w:rsid w:val="00710478"/>
    <w:rsid w:val="007106AE"/>
    <w:rsid w:val="00711CD3"/>
    <w:rsid w:val="00715C71"/>
    <w:rsid w:val="007229DE"/>
    <w:rsid w:val="00723015"/>
    <w:rsid w:val="00723687"/>
    <w:rsid w:val="00723892"/>
    <w:rsid w:val="00724B89"/>
    <w:rsid w:val="00725E5A"/>
    <w:rsid w:val="0073078B"/>
    <w:rsid w:val="007309B1"/>
    <w:rsid w:val="007316C2"/>
    <w:rsid w:val="00731955"/>
    <w:rsid w:val="0073315F"/>
    <w:rsid w:val="007358E8"/>
    <w:rsid w:val="00735C1E"/>
    <w:rsid w:val="00740875"/>
    <w:rsid w:val="00740C66"/>
    <w:rsid w:val="0074417A"/>
    <w:rsid w:val="00744756"/>
    <w:rsid w:val="00747B77"/>
    <w:rsid w:val="0075140A"/>
    <w:rsid w:val="00752867"/>
    <w:rsid w:val="00754CA4"/>
    <w:rsid w:val="0076181E"/>
    <w:rsid w:val="007618E8"/>
    <w:rsid w:val="0076213F"/>
    <w:rsid w:val="00762C5F"/>
    <w:rsid w:val="0076606A"/>
    <w:rsid w:val="007674FA"/>
    <w:rsid w:val="00767B1E"/>
    <w:rsid w:val="00770742"/>
    <w:rsid w:val="00770F2C"/>
    <w:rsid w:val="00772C2F"/>
    <w:rsid w:val="0077373C"/>
    <w:rsid w:val="007737B2"/>
    <w:rsid w:val="00780042"/>
    <w:rsid w:val="007804A5"/>
    <w:rsid w:val="00780B39"/>
    <w:rsid w:val="00784117"/>
    <w:rsid w:val="007867B7"/>
    <w:rsid w:val="00790C39"/>
    <w:rsid w:val="00791B1C"/>
    <w:rsid w:val="0079453D"/>
    <w:rsid w:val="007962B6"/>
    <w:rsid w:val="0079674D"/>
    <w:rsid w:val="007A0D17"/>
    <w:rsid w:val="007A1236"/>
    <w:rsid w:val="007A4AD9"/>
    <w:rsid w:val="007A50AF"/>
    <w:rsid w:val="007A57B6"/>
    <w:rsid w:val="007A5D66"/>
    <w:rsid w:val="007B06FC"/>
    <w:rsid w:val="007B0DDA"/>
    <w:rsid w:val="007B4E1E"/>
    <w:rsid w:val="007B797C"/>
    <w:rsid w:val="007C0F23"/>
    <w:rsid w:val="007C10D3"/>
    <w:rsid w:val="007C1112"/>
    <w:rsid w:val="007C4176"/>
    <w:rsid w:val="007C47C8"/>
    <w:rsid w:val="007D0820"/>
    <w:rsid w:val="007D6238"/>
    <w:rsid w:val="007D6AD3"/>
    <w:rsid w:val="007E0BC7"/>
    <w:rsid w:val="007E1862"/>
    <w:rsid w:val="007E1B2E"/>
    <w:rsid w:val="007E33DC"/>
    <w:rsid w:val="007E444A"/>
    <w:rsid w:val="007E57C8"/>
    <w:rsid w:val="007E69CC"/>
    <w:rsid w:val="007E6DAE"/>
    <w:rsid w:val="007E7D71"/>
    <w:rsid w:val="007F0401"/>
    <w:rsid w:val="00800E6D"/>
    <w:rsid w:val="00805DC4"/>
    <w:rsid w:val="0081402D"/>
    <w:rsid w:val="00815C3B"/>
    <w:rsid w:val="00821873"/>
    <w:rsid w:val="00823E23"/>
    <w:rsid w:val="00830AD6"/>
    <w:rsid w:val="00831030"/>
    <w:rsid w:val="00831BC0"/>
    <w:rsid w:val="00832F75"/>
    <w:rsid w:val="00833906"/>
    <w:rsid w:val="008347C4"/>
    <w:rsid w:val="008349DF"/>
    <w:rsid w:val="008349E4"/>
    <w:rsid w:val="008367E2"/>
    <w:rsid w:val="00842556"/>
    <w:rsid w:val="00843616"/>
    <w:rsid w:val="00844993"/>
    <w:rsid w:val="0085430A"/>
    <w:rsid w:val="00857146"/>
    <w:rsid w:val="00857694"/>
    <w:rsid w:val="0086118F"/>
    <w:rsid w:val="00862A32"/>
    <w:rsid w:val="00862E55"/>
    <w:rsid w:val="00862F6D"/>
    <w:rsid w:val="00863A62"/>
    <w:rsid w:val="008653A7"/>
    <w:rsid w:val="00866CDB"/>
    <w:rsid w:val="00867CDE"/>
    <w:rsid w:val="00871061"/>
    <w:rsid w:val="00871F2E"/>
    <w:rsid w:val="00875073"/>
    <w:rsid w:val="0087520C"/>
    <w:rsid w:val="0087578E"/>
    <w:rsid w:val="00875790"/>
    <w:rsid w:val="00875E78"/>
    <w:rsid w:val="008828CA"/>
    <w:rsid w:val="008853DD"/>
    <w:rsid w:val="0088552F"/>
    <w:rsid w:val="008867F0"/>
    <w:rsid w:val="00893B65"/>
    <w:rsid w:val="0089628D"/>
    <w:rsid w:val="00896D82"/>
    <w:rsid w:val="008A47AB"/>
    <w:rsid w:val="008A496B"/>
    <w:rsid w:val="008A59C1"/>
    <w:rsid w:val="008A5DAA"/>
    <w:rsid w:val="008A6C9A"/>
    <w:rsid w:val="008B2190"/>
    <w:rsid w:val="008B3260"/>
    <w:rsid w:val="008B4BCA"/>
    <w:rsid w:val="008C05EA"/>
    <w:rsid w:val="008C35A5"/>
    <w:rsid w:val="008D04F1"/>
    <w:rsid w:val="008D32EA"/>
    <w:rsid w:val="008D34F4"/>
    <w:rsid w:val="008D3B27"/>
    <w:rsid w:val="008D4231"/>
    <w:rsid w:val="008D4DCD"/>
    <w:rsid w:val="008D50A4"/>
    <w:rsid w:val="008D58D0"/>
    <w:rsid w:val="008E0F66"/>
    <w:rsid w:val="008E191F"/>
    <w:rsid w:val="008E24BB"/>
    <w:rsid w:val="008E271B"/>
    <w:rsid w:val="008F0EBD"/>
    <w:rsid w:val="008F1B48"/>
    <w:rsid w:val="008F1FCB"/>
    <w:rsid w:val="008F2664"/>
    <w:rsid w:val="008F5565"/>
    <w:rsid w:val="008F56C2"/>
    <w:rsid w:val="008F6F69"/>
    <w:rsid w:val="008F702C"/>
    <w:rsid w:val="00903176"/>
    <w:rsid w:val="009033FD"/>
    <w:rsid w:val="00904B60"/>
    <w:rsid w:val="00905204"/>
    <w:rsid w:val="009061E5"/>
    <w:rsid w:val="00906E82"/>
    <w:rsid w:val="00907BC5"/>
    <w:rsid w:val="00907C80"/>
    <w:rsid w:val="00912A69"/>
    <w:rsid w:val="00912AFF"/>
    <w:rsid w:val="00917A6A"/>
    <w:rsid w:val="00925BB4"/>
    <w:rsid w:val="009273DC"/>
    <w:rsid w:val="00927C8B"/>
    <w:rsid w:val="0093005E"/>
    <w:rsid w:val="0093033D"/>
    <w:rsid w:val="0093564F"/>
    <w:rsid w:val="00937AD7"/>
    <w:rsid w:val="009405D7"/>
    <w:rsid w:val="0094148C"/>
    <w:rsid w:val="00941ED4"/>
    <w:rsid w:val="00942379"/>
    <w:rsid w:val="00942A21"/>
    <w:rsid w:val="009478FA"/>
    <w:rsid w:val="00950B3F"/>
    <w:rsid w:val="00953F66"/>
    <w:rsid w:val="009553C6"/>
    <w:rsid w:val="0095775D"/>
    <w:rsid w:val="00961BF5"/>
    <w:rsid w:val="00962858"/>
    <w:rsid w:val="0096309A"/>
    <w:rsid w:val="00965670"/>
    <w:rsid w:val="00967B23"/>
    <w:rsid w:val="00970E09"/>
    <w:rsid w:val="00970F17"/>
    <w:rsid w:val="009713F7"/>
    <w:rsid w:val="009716BA"/>
    <w:rsid w:val="00971936"/>
    <w:rsid w:val="0097282D"/>
    <w:rsid w:val="00975B35"/>
    <w:rsid w:val="0097753A"/>
    <w:rsid w:val="0097753F"/>
    <w:rsid w:val="00977B62"/>
    <w:rsid w:val="00977C3B"/>
    <w:rsid w:val="00983093"/>
    <w:rsid w:val="0098627A"/>
    <w:rsid w:val="00987FD6"/>
    <w:rsid w:val="00992023"/>
    <w:rsid w:val="00992709"/>
    <w:rsid w:val="0099293A"/>
    <w:rsid w:val="00992DF4"/>
    <w:rsid w:val="0099388E"/>
    <w:rsid w:val="0099496D"/>
    <w:rsid w:val="00996DF0"/>
    <w:rsid w:val="00996EBC"/>
    <w:rsid w:val="00997235"/>
    <w:rsid w:val="009A0427"/>
    <w:rsid w:val="009A36CC"/>
    <w:rsid w:val="009A3EB8"/>
    <w:rsid w:val="009A55DB"/>
    <w:rsid w:val="009B488A"/>
    <w:rsid w:val="009B5AEA"/>
    <w:rsid w:val="009B604E"/>
    <w:rsid w:val="009C14E1"/>
    <w:rsid w:val="009C25E6"/>
    <w:rsid w:val="009C5531"/>
    <w:rsid w:val="009C5D6C"/>
    <w:rsid w:val="009C679D"/>
    <w:rsid w:val="009D0A4B"/>
    <w:rsid w:val="009D1F38"/>
    <w:rsid w:val="009D1F3E"/>
    <w:rsid w:val="009D272C"/>
    <w:rsid w:val="009D311A"/>
    <w:rsid w:val="009D3D14"/>
    <w:rsid w:val="009D47F0"/>
    <w:rsid w:val="009D6101"/>
    <w:rsid w:val="009D74DA"/>
    <w:rsid w:val="009E0D7F"/>
    <w:rsid w:val="009E1079"/>
    <w:rsid w:val="009E2E4F"/>
    <w:rsid w:val="009E5E44"/>
    <w:rsid w:val="009E619F"/>
    <w:rsid w:val="009E6ADB"/>
    <w:rsid w:val="009F137C"/>
    <w:rsid w:val="009F185B"/>
    <w:rsid w:val="009F3121"/>
    <w:rsid w:val="009F4176"/>
    <w:rsid w:val="009F54D4"/>
    <w:rsid w:val="009F610C"/>
    <w:rsid w:val="009F7516"/>
    <w:rsid w:val="00A00F63"/>
    <w:rsid w:val="00A061D1"/>
    <w:rsid w:val="00A068D4"/>
    <w:rsid w:val="00A06AEF"/>
    <w:rsid w:val="00A10364"/>
    <w:rsid w:val="00A12B7E"/>
    <w:rsid w:val="00A16DBF"/>
    <w:rsid w:val="00A22DEE"/>
    <w:rsid w:val="00A25906"/>
    <w:rsid w:val="00A3169F"/>
    <w:rsid w:val="00A33E47"/>
    <w:rsid w:val="00A3423C"/>
    <w:rsid w:val="00A34DD2"/>
    <w:rsid w:val="00A35831"/>
    <w:rsid w:val="00A37A8B"/>
    <w:rsid w:val="00A401E4"/>
    <w:rsid w:val="00A4690B"/>
    <w:rsid w:val="00A46B05"/>
    <w:rsid w:val="00A46CC3"/>
    <w:rsid w:val="00A50FBF"/>
    <w:rsid w:val="00A5124D"/>
    <w:rsid w:val="00A51CDC"/>
    <w:rsid w:val="00A54522"/>
    <w:rsid w:val="00A54578"/>
    <w:rsid w:val="00A55448"/>
    <w:rsid w:val="00A56388"/>
    <w:rsid w:val="00A56F3F"/>
    <w:rsid w:val="00A603CE"/>
    <w:rsid w:val="00A60692"/>
    <w:rsid w:val="00A608A5"/>
    <w:rsid w:val="00A63EED"/>
    <w:rsid w:val="00A649BE"/>
    <w:rsid w:val="00A64EFB"/>
    <w:rsid w:val="00A65BED"/>
    <w:rsid w:val="00A67792"/>
    <w:rsid w:val="00A706CB"/>
    <w:rsid w:val="00A72A7B"/>
    <w:rsid w:val="00A72BBE"/>
    <w:rsid w:val="00A7354F"/>
    <w:rsid w:val="00A7451B"/>
    <w:rsid w:val="00A75323"/>
    <w:rsid w:val="00A77FAF"/>
    <w:rsid w:val="00A80723"/>
    <w:rsid w:val="00A81740"/>
    <w:rsid w:val="00A81C18"/>
    <w:rsid w:val="00A81F90"/>
    <w:rsid w:val="00A832B0"/>
    <w:rsid w:val="00A83B42"/>
    <w:rsid w:val="00A95ED5"/>
    <w:rsid w:val="00A9726D"/>
    <w:rsid w:val="00A979BA"/>
    <w:rsid w:val="00A97CAC"/>
    <w:rsid w:val="00AA145A"/>
    <w:rsid w:val="00AA3DC2"/>
    <w:rsid w:val="00AB1C74"/>
    <w:rsid w:val="00AB2759"/>
    <w:rsid w:val="00AB44C3"/>
    <w:rsid w:val="00AB5114"/>
    <w:rsid w:val="00AB52E5"/>
    <w:rsid w:val="00AB763A"/>
    <w:rsid w:val="00AB7E9E"/>
    <w:rsid w:val="00AC0492"/>
    <w:rsid w:val="00AC45FC"/>
    <w:rsid w:val="00AC59BB"/>
    <w:rsid w:val="00AC607E"/>
    <w:rsid w:val="00AD0956"/>
    <w:rsid w:val="00AD0DBC"/>
    <w:rsid w:val="00AD3021"/>
    <w:rsid w:val="00AD395D"/>
    <w:rsid w:val="00AD39C1"/>
    <w:rsid w:val="00AD4275"/>
    <w:rsid w:val="00AD4516"/>
    <w:rsid w:val="00AD49EC"/>
    <w:rsid w:val="00AD678D"/>
    <w:rsid w:val="00AD6C82"/>
    <w:rsid w:val="00AE13FD"/>
    <w:rsid w:val="00AE265C"/>
    <w:rsid w:val="00AE3943"/>
    <w:rsid w:val="00AF1781"/>
    <w:rsid w:val="00AF4547"/>
    <w:rsid w:val="00AF4566"/>
    <w:rsid w:val="00AF5C13"/>
    <w:rsid w:val="00B10E58"/>
    <w:rsid w:val="00B1129C"/>
    <w:rsid w:val="00B11365"/>
    <w:rsid w:val="00B139CA"/>
    <w:rsid w:val="00B14397"/>
    <w:rsid w:val="00B2182A"/>
    <w:rsid w:val="00B221BE"/>
    <w:rsid w:val="00B22719"/>
    <w:rsid w:val="00B228FF"/>
    <w:rsid w:val="00B234CC"/>
    <w:rsid w:val="00B23610"/>
    <w:rsid w:val="00B2490E"/>
    <w:rsid w:val="00B25968"/>
    <w:rsid w:val="00B3179C"/>
    <w:rsid w:val="00B33BFC"/>
    <w:rsid w:val="00B364A5"/>
    <w:rsid w:val="00B41613"/>
    <w:rsid w:val="00B421CA"/>
    <w:rsid w:val="00B43A5C"/>
    <w:rsid w:val="00B44DFB"/>
    <w:rsid w:val="00B46936"/>
    <w:rsid w:val="00B47674"/>
    <w:rsid w:val="00B50432"/>
    <w:rsid w:val="00B505AA"/>
    <w:rsid w:val="00B52F8E"/>
    <w:rsid w:val="00B56269"/>
    <w:rsid w:val="00B63887"/>
    <w:rsid w:val="00B63A96"/>
    <w:rsid w:val="00B65666"/>
    <w:rsid w:val="00B65992"/>
    <w:rsid w:val="00B674CA"/>
    <w:rsid w:val="00B727BD"/>
    <w:rsid w:val="00B75C7A"/>
    <w:rsid w:val="00B76AEA"/>
    <w:rsid w:val="00B76BA3"/>
    <w:rsid w:val="00B7712E"/>
    <w:rsid w:val="00B77830"/>
    <w:rsid w:val="00B80840"/>
    <w:rsid w:val="00B82FCA"/>
    <w:rsid w:val="00B85A28"/>
    <w:rsid w:val="00B865E6"/>
    <w:rsid w:val="00B86BD7"/>
    <w:rsid w:val="00B90492"/>
    <w:rsid w:val="00B9079C"/>
    <w:rsid w:val="00B92C9B"/>
    <w:rsid w:val="00B952B9"/>
    <w:rsid w:val="00B962A9"/>
    <w:rsid w:val="00BA0A55"/>
    <w:rsid w:val="00BA1277"/>
    <w:rsid w:val="00BA4A1B"/>
    <w:rsid w:val="00BA5995"/>
    <w:rsid w:val="00BA6A0B"/>
    <w:rsid w:val="00BA7089"/>
    <w:rsid w:val="00BA798C"/>
    <w:rsid w:val="00BB23E1"/>
    <w:rsid w:val="00BB772F"/>
    <w:rsid w:val="00BB7AF1"/>
    <w:rsid w:val="00BC3E1F"/>
    <w:rsid w:val="00BC4AD3"/>
    <w:rsid w:val="00BC5B58"/>
    <w:rsid w:val="00BD0926"/>
    <w:rsid w:val="00BD0CDA"/>
    <w:rsid w:val="00BD7216"/>
    <w:rsid w:val="00BE0C9E"/>
    <w:rsid w:val="00BE2999"/>
    <w:rsid w:val="00BE3041"/>
    <w:rsid w:val="00BE5463"/>
    <w:rsid w:val="00BF0CFF"/>
    <w:rsid w:val="00BF246E"/>
    <w:rsid w:val="00BF28EF"/>
    <w:rsid w:val="00BF4AD3"/>
    <w:rsid w:val="00BF591F"/>
    <w:rsid w:val="00BF623A"/>
    <w:rsid w:val="00C00213"/>
    <w:rsid w:val="00C004AD"/>
    <w:rsid w:val="00C02B68"/>
    <w:rsid w:val="00C04159"/>
    <w:rsid w:val="00C042B0"/>
    <w:rsid w:val="00C05306"/>
    <w:rsid w:val="00C059FA"/>
    <w:rsid w:val="00C13FF7"/>
    <w:rsid w:val="00C15035"/>
    <w:rsid w:val="00C15AE4"/>
    <w:rsid w:val="00C21328"/>
    <w:rsid w:val="00C223CF"/>
    <w:rsid w:val="00C2268F"/>
    <w:rsid w:val="00C2385B"/>
    <w:rsid w:val="00C30D09"/>
    <w:rsid w:val="00C316B1"/>
    <w:rsid w:val="00C32DCC"/>
    <w:rsid w:val="00C34AD4"/>
    <w:rsid w:val="00C34C0A"/>
    <w:rsid w:val="00C37A2A"/>
    <w:rsid w:val="00C403CB"/>
    <w:rsid w:val="00C40544"/>
    <w:rsid w:val="00C41AA6"/>
    <w:rsid w:val="00C41CE9"/>
    <w:rsid w:val="00C421E2"/>
    <w:rsid w:val="00C43748"/>
    <w:rsid w:val="00C4706D"/>
    <w:rsid w:val="00C501C4"/>
    <w:rsid w:val="00C51F20"/>
    <w:rsid w:val="00C523DF"/>
    <w:rsid w:val="00C54B65"/>
    <w:rsid w:val="00C55B56"/>
    <w:rsid w:val="00C5637D"/>
    <w:rsid w:val="00C5710D"/>
    <w:rsid w:val="00C6268A"/>
    <w:rsid w:val="00C63132"/>
    <w:rsid w:val="00C63EE6"/>
    <w:rsid w:val="00C67B5F"/>
    <w:rsid w:val="00C72DEC"/>
    <w:rsid w:val="00C7485A"/>
    <w:rsid w:val="00C74940"/>
    <w:rsid w:val="00C76405"/>
    <w:rsid w:val="00C7650A"/>
    <w:rsid w:val="00C7744B"/>
    <w:rsid w:val="00C8222D"/>
    <w:rsid w:val="00C829D6"/>
    <w:rsid w:val="00C8329C"/>
    <w:rsid w:val="00C83D33"/>
    <w:rsid w:val="00C83E49"/>
    <w:rsid w:val="00C90386"/>
    <w:rsid w:val="00C908A2"/>
    <w:rsid w:val="00C90DCB"/>
    <w:rsid w:val="00C91131"/>
    <w:rsid w:val="00C91336"/>
    <w:rsid w:val="00C91AAD"/>
    <w:rsid w:val="00C96752"/>
    <w:rsid w:val="00C968AF"/>
    <w:rsid w:val="00CA0F33"/>
    <w:rsid w:val="00CA1709"/>
    <w:rsid w:val="00CA5A76"/>
    <w:rsid w:val="00CA5ADE"/>
    <w:rsid w:val="00CA668F"/>
    <w:rsid w:val="00CA6D80"/>
    <w:rsid w:val="00CB2590"/>
    <w:rsid w:val="00CB4115"/>
    <w:rsid w:val="00CB416F"/>
    <w:rsid w:val="00CB47EE"/>
    <w:rsid w:val="00CB59A2"/>
    <w:rsid w:val="00CB7CC8"/>
    <w:rsid w:val="00CC18D1"/>
    <w:rsid w:val="00CC1D0B"/>
    <w:rsid w:val="00CC29AF"/>
    <w:rsid w:val="00CC3C37"/>
    <w:rsid w:val="00CC45F2"/>
    <w:rsid w:val="00CC4BA2"/>
    <w:rsid w:val="00CC752B"/>
    <w:rsid w:val="00CD1883"/>
    <w:rsid w:val="00CD45A3"/>
    <w:rsid w:val="00CD6434"/>
    <w:rsid w:val="00CD7B81"/>
    <w:rsid w:val="00CE05EE"/>
    <w:rsid w:val="00CE241F"/>
    <w:rsid w:val="00CE4103"/>
    <w:rsid w:val="00CE60AB"/>
    <w:rsid w:val="00CF02BB"/>
    <w:rsid w:val="00CF6765"/>
    <w:rsid w:val="00CF7C4A"/>
    <w:rsid w:val="00D0084E"/>
    <w:rsid w:val="00D01F27"/>
    <w:rsid w:val="00D03300"/>
    <w:rsid w:val="00D04ED4"/>
    <w:rsid w:val="00D12BB5"/>
    <w:rsid w:val="00D130A3"/>
    <w:rsid w:val="00D13B15"/>
    <w:rsid w:val="00D15FE5"/>
    <w:rsid w:val="00D16462"/>
    <w:rsid w:val="00D172BD"/>
    <w:rsid w:val="00D2001B"/>
    <w:rsid w:val="00D2518F"/>
    <w:rsid w:val="00D253D8"/>
    <w:rsid w:val="00D25DB4"/>
    <w:rsid w:val="00D26313"/>
    <w:rsid w:val="00D279D3"/>
    <w:rsid w:val="00D30783"/>
    <w:rsid w:val="00D30FF7"/>
    <w:rsid w:val="00D32298"/>
    <w:rsid w:val="00D324BB"/>
    <w:rsid w:val="00D35292"/>
    <w:rsid w:val="00D41F71"/>
    <w:rsid w:val="00D427A5"/>
    <w:rsid w:val="00D447C1"/>
    <w:rsid w:val="00D462A9"/>
    <w:rsid w:val="00D47B4E"/>
    <w:rsid w:val="00D51D6E"/>
    <w:rsid w:val="00D52884"/>
    <w:rsid w:val="00D53547"/>
    <w:rsid w:val="00D54113"/>
    <w:rsid w:val="00D60296"/>
    <w:rsid w:val="00D6229E"/>
    <w:rsid w:val="00D625D2"/>
    <w:rsid w:val="00D63092"/>
    <w:rsid w:val="00D63391"/>
    <w:rsid w:val="00D66813"/>
    <w:rsid w:val="00D724A5"/>
    <w:rsid w:val="00D72B69"/>
    <w:rsid w:val="00D762DC"/>
    <w:rsid w:val="00D827F0"/>
    <w:rsid w:val="00D829E6"/>
    <w:rsid w:val="00D840EE"/>
    <w:rsid w:val="00D843B8"/>
    <w:rsid w:val="00D846BC"/>
    <w:rsid w:val="00D8791A"/>
    <w:rsid w:val="00D90EF6"/>
    <w:rsid w:val="00D91358"/>
    <w:rsid w:val="00D9153F"/>
    <w:rsid w:val="00D934F0"/>
    <w:rsid w:val="00D948F2"/>
    <w:rsid w:val="00D9520B"/>
    <w:rsid w:val="00D95694"/>
    <w:rsid w:val="00D97942"/>
    <w:rsid w:val="00DA0B15"/>
    <w:rsid w:val="00DA12A9"/>
    <w:rsid w:val="00DA1E9A"/>
    <w:rsid w:val="00DA20CB"/>
    <w:rsid w:val="00DA232B"/>
    <w:rsid w:val="00DA3656"/>
    <w:rsid w:val="00DA3EEB"/>
    <w:rsid w:val="00DA4987"/>
    <w:rsid w:val="00DA58CD"/>
    <w:rsid w:val="00DB18C1"/>
    <w:rsid w:val="00DB2B7F"/>
    <w:rsid w:val="00DB2D97"/>
    <w:rsid w:val="00DB3A06"/>
    <w:rsid w:val="00DB47D4"/>
    <w:rsid w:val="00DB5818"/>
    <w:rsid w:val="00DC203B"/>
    <w:rsid w:val="00DC375A"/>
    <w:rsid w:val="00DC5586"/>
    <w:rsid w:val="00DC68ED"/>
    <w:rsid w:val="00DD0A8D"/>
    <w:rsid w:val="00DD100D"/>
    <w:rsid w:val="00DD1C71"/>
    <w:rsid w:val="00DD23B0"/>
    <w:rsid w:val="00DD2BBC"/>
    <w:rsid w:val="00DD411F"/>
    <w:rsid w:val="00DD4652"/>
    <w:rsid w:val="00DD5F45"/>
    <w:rsid w:val="00DD7DC6"/>
    <w:rsid w:val="00DE109C"/>
    <w:rsid w:val="00DE4F3A"/>
    <w:rsid w:val="00DE5940"/>
    <w:rsid w:val="00DE7905"/>
    <w:rsid w:val="00DE7E1C"/>
    <w:rsid w:val="00DF1990"/>
    <w:rsid w:val="00DF1D45"/>
    <w:rsid w:val="00DF3382"/>
    <w:rsid w:val="00DF3835"/>
    <w:rsid w:val="00DF4EE0"/>
    <w:rsid w:val="00DF572B"/>
    <w:rsid w:val="00E01378"/>
    <w:rsid w:val="00E02079"/>
    <w:rsid w:val="00E02D0E"/>
    <w:rsid w:val="00E04D44"/>
    <w:rsid w:val="00E05364"/>
    <w:rsid w:val="00E108AF"/>
    <w:rsid w:val="00E115C8"/>
    <w:rsid w:val="00E12049"/>
    <w:rsid w:val="00E1303A"/>
    <w:rsid w:val="00E137D0"/>
    <w:rsid w:val="00E1502B"/>
    <w:rsid w:val="00E151D9"/>
    <w:rsid w:val="00E1735B"/>
    <w:rsid w:val="00E17EC2"/>
    <w:rsid w:val="00E20C7E"/>
    <w:rsid w:val="00E21DEE"/>
    <w:rsid w:val="00E25023"/>
    <w:rsid w:val="00E263A7"/>
    <w:rsid w:val="00E27EBD"/>
    <w:rsid w:val="00E320EC"/>
    <w:rsid w:val="00E32828"/>
    <w:rsid w:val="00E32EC1"/>
    <w:rsid w:val="00E34E81"/>
    <w:rsid w:val="00E3759F"/>
    <w:rsid w:val="00E42949"/>
    <w:rsid w:val="00E458E4"/>
    <w:rsid w:val="00E47748"/>
    <w:rsid w:val="00E509E9"/>
    <w:rsid w:val="00E510E7"/>
    <w:rsid w:val="00E5188A"/>
    <w:rsid w:val="00E51C31"/>
    <w:rsid w:val="00E53CA5"/>
    <w:rsid w:val="00E64B2D"/>
    <w:rsid w:val="00E660BB"/>
    <w:rsid w:val="00E66496"/>
    <w:rsid w:val="00E71087"/>
    <w:rsid w:val="00E71909"/>
    <w:rsid w:val="00E73509"/>
    <w:rsid w:val="00E7393F"/>
    <w:rsid w:val="00E73970"/>
    <w:rsid w:val="00E75101"/>
    <w:rsid w:val="00E7757B"/>
    <w:rsid w:val="00E82717"/>
    <w:rsid w:val="00E84027"/>
    <w:rsid w:val="00E8415A"/>
    <w:rsid w:val="00E85E9B"/>
    <w:rsid w:val="00E905A4"/>
    <w:rsid w:val="00E93510"/>
    <w:rsid w:val="00E9432F"/>
    <w:rsid w:val="00E9564E"/>
    <w:rsid w:val="00E96635"/>
    <w:rsid w:val="00E975C0"/>
    <w:rsid w:val="00EA31FC"/>
    <w:rsid w:val="00EA56DB"/>
    <w:rsid w:val="00EA57DF"/>
    <w:rsid w:val="00EA5A8A"/>
    <w:rsid w:val="00EB0246"/>
    <w:rsid w:val="00EB03B8"/>
    <w:rsid w:val="00EB0C8F"/>
    <w:rsid w:val="00EB0E2E"/>
    <w:rsid w:val="00EB313A"/>
    <w:rsid w:val="00EB43CE"/>
    <w:rsid w:val="00EB4A42"/>
    <w:rsid w:val="00EB4E40"/>
    <w:rsid w:val="00EB4FD7"/>
    <w:rsid w:val="00EB561D"/>
    <w:rsid w:val="00EB6255"/>
    <w:rsid w:val="00EB73EF"/>
    <w:rsid w:val="00EC2B46"/>
    <w:rsid w:val="00EC2E45"/>
    <w:rsid w:val="00EC3DD5"/>
    <w:rsid w:val="00EC5218"/>
    <w:rsid w:val="00EC5346"/>
    <w:rsid w:val="00EC754D"/>
    <w:rsid w:val="00EC77FE"/>
    <w:rsid w:val="00ED0AC8"/>
    <w:rsid w:val="00ED2A4C"/>
    <w:rsid w:val="00ED30A9"/>
    <w:rsid w:val="00ED41B4"/>
    <w:rsid w:val="00ED4D51"/>
    <w:rsid w:val="00ED5EEC"/>
    <w:rsid w:val="00ED6738"/>
    <w:rsid w:val="00EE32EE"/>
    <w:rsid w:val="00EE3DEA"/>
    <w:rsid w:val="00EE4967"/>
    <w:rsid w:val="00EE6442"/>
    <w:rsid w:val="00EF0100"/>
    <w:rsid w:val="00EF128F"/>
    <w:rsid w:val="00EF3CA7"/>
    <w:rsid w:val="00EF4733"/>
    <w:rsid w:val="00EF4CE2"/>
    <w:rsid w:val="00EF663D"/>
    <w:rsid w:val="00EF6CFE"/>
    <w:rsid w:val="00EF7F3D"/>
    <w:rsid w:val="00F01D11"/>
    <w:rsid w:val="00F05B1C"/>
    <w:rsid w:val="00F130BC"/>
    <w:rsid w:val="00F1329E"/>
    <w:rsid w:val="00F167D4"/>
    <w:rsid w:val="00F169B3"/>
    <w:rsid w:val="00F17F90"/>
    <w:rsid w:val="00F21027"/>
    <w:rsid w:val="00F210FC"/>
    <w:rsid w:val="00F23768"/>
    <w:rsid w:val="00F251DD"/>
    <w:rsid w:val="00F2570E"/>
    <w:rsid w:val="00F26150"/>
    <w:rsid w:val="00F26D65"/>
    <w:rsid w:val="00F278ED"/>
    <w:rsid w:val="00F32987"/>
    <w:rsid w:val="00F329A5"/>
    <w:rsid w:val="00F33878"/>
    <w:rsid w:val="00F36391"/>
    <w:rsid w:val="00F37F03"/>
    <w:rsid w:val="00F37FED"/>
    <w:rsid w:val="00F4192B"/>
    <w:rsid w:val="00F453C2"/>
    <w:rsid w:val="00F455EF"/>
    <w:rsid w:val="00F45ABD"/>
    <w:rsid w:val="00F46298"/>
    <w:rsid w:val="00F51365"/>
    <w:rsid w:val="00F51788"/>
    <w:rsid w:val="00F55362"/>
    <w:rsid w:val="00F56C84"/>
    <w:rsid w:val="00F57A7E"/>
    <w:rsid w:val="00F62068"/>
    <w:rsid w:val="00F64EA2"/>
    <w:rsid w:val="00F736F0"/>
    <w:rsid w:val="00F80CC4"/>
    <w:rsid w:val="00F82E5B"/>
    <w:rsid w:val="00F83DA0"/>
    <w:rsid w:val="00F842D3"/>
    <w:rsid w:val="00F84957"/>
    <w:rsid w:val="00F90333"/>
    <w:rsid w:val="00F928EB"/>
    <w:rsid w:val="00F93A27"/>
    <w:rsid w:val="00F94DF8"/>
    <w:rsid w:val="00F965A8"/>
    <w:rsid w:val="00FA3FD2"/>
    <w:rsid w:val="00FA6685"/>
    <w:rsid w:val="00FA7EE6"/>
    <w:rsid w:val="00FB0373"/>
    <w:rsid w:val="00FB1D29"/>
    <w:rsid w:val="00FB2116"/>
    <w:rsid w:val="00FB2544"/>
    <w:rsid w:val="00FB3133"/>
    <w:rsid w:val="00FB31CF"/>
    <w:rsid w:val="00FB6D14"/>
    <w:rsid w:val="00FB6E8D"/>
    <w:rsid w:val="00FC1514"/>
    <w:rsid w:val="00FC20A5"/>
    <w:rsid w:val="00FC646A"/>
    <w:rsid w:val="00FD2FAB"/>
    <w:rsid w:val="00FD3AE1"/>
    <w:rsid w:val="00FD437B"/>
    <w:rsid w:val="00FD6CE7"/>
    <w:rsid w:val="00FE03C2"/>
    <w:rsid w:val="00FE03F6"/>
    <w:rsid w:val="00FE0B00"/>
    <w:rsid w:val="00FE1B4C"/>
    <w:rsid w:val="00FE459D"/>
    <w:rsid w:val="00FE5201"/>
    <w:rsid w:val="00FE7677"/>
    <w:rsid w:val="00FF2D43"/>
    <w:rsid w:val="00FF3C3C"/>
    <w:rsid w:val="00FF47D5"/>
    <w:rsid w:val="00FF5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8E64E"/>
  <w15:docId w15:val="{9A04B333-CD9B-4B2C-86EF-6DA5DE9A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113"/>
    <w:rPr>
      <w:szCs w:val="24"/>
      <w:lang w:val="en-CA"/>
    </w:rPr>
  </w:style>
  <w:style w:type="paragraph" w:styleId="Heading1">
    <w:name w:val="heading 1"/>
    <w:basedOn w:val="BodyText"/>
    <w:link w:val="Heading1Char"/>
    <w:qFormat/>
    <w:pPr>
      <w:numPr>
        <w:numId w:val="11"/>
      </w:numPr>
      <w:outlineLvl w:val="0"/>
    </w:pPr>
    <w:rPr>
      <w:bCs/>
    </w:rPr>
  </w:style>
  <w:style w:type="paragraph" w:styleId="Heading2">
    <w:name w:val="heading 2"/>
    <w:basedOn w:val="BodyText"/>
    <w:link w:val="Heading2Char"/>
    <w:qFormat/>
    <w:pPr>
      <w:numPr>
        <w:ilvl w:val="1"/>
        <w:numId w:val="11"/>
      </w:numPr>
      <w:outlineLvl w:val="1"/>
    </w:pPr>
    <w:rPr>
      <w:rFonts w:cs="Arial"/>
      <w:bCs/>
      <w:iCs/>
    </w:rPr>
  </w:style>
  <w:style w:type="paragraph" w:styleId="Heading3">
    <w:name w:val="heading 3"/>
    <w:basedOn w:val="BodyText"/>
    <w:link w:val="Heading3Char"/>
    <w:qFormat/>
    <w:pPr>
      <w:numPr>
        <w:ilvl w:val="2"/>
        <w:numId w:val="11"/>
      </w:numPr>
      <w:outlineLvl w:val="2"/>
    </w:pPr>
    <w:rPr>
      <w:bCs/>
    </w:rPr>
  </w:style>
  <w:style w:type="paragraph" w:styleId="Heading4">
    <w:name w:val="heading 4"/>
    <w:basedOn w:val="BodyText"/>
    <w:qFormat/>
    <w:pPr>
      <w:numPr>
        <w:ilvl w:val="3"/>
        <w:numId w:val="11"/>
      </w:numPr>
      <w:outlineLvl w:val="3"/>
    </w:pPr>
    <w:rPr>
      <w:bCs/>
    </w:rPr>
  </w:style>
  <w:style w:type="paragraph" w:styleId="Heading5">
    <w:name w:val="heading 5"/>
    <w:basedOn w:val="BodyText"/>
    <w:qFormat/>
    <w:pPr>
      <w:numPr>
        <w:ilvl w:val="4"/>
        <w:numId w:val="11"/>
      </w:numPr>
      <w:outlineLvl w:val="4"/>
    </w:pPr>
    <w:rPr>
      <w:bCs/>
      <w:iCs/>
    </w:rPr>
  </w:style>
  <w:style w:type="paragraph" w:styleId="Heading6">
    <w:name w:val="heading 6"/>
    <w:basedOn w:val="BodyText"/>
    <w:qFormat/>
    <w:pPr>
      <w:numPr>
        <w:ilvl w:val="5"/>
        <w:numId w:val="11"/>
      </w:numPr>
      <w:outlineLvl w:val="5"/>
    </w:pPr>
    <w:rPr>
      <w:bCs/>
    </w:rPr>
  </w:style>
  <w:style w:type="paragraph" w:styleId="Heading7">
    <w:name w:val="heading 7"/>
    <w:basedOn w:val="BodyText"/>
    <w:qFormat/>
    <w:pPr>
      <w:numPr>
        <w:ilvl w:val="6"/>
        <w:numId w:val="11"/>
      </w:numPr>
      <w:outlineLvl w:val="6"/>
    </w:pPr>
  </w:style>
  <w:style w:type="paragraph" w:styleId="Heading8">
    <w:name w:val="heading 8"/>
    <w:basedOn w:val="Normal"/>
    <w:next w:val="BodyText"/>
    <w:qFormat/>
    <w:pPr>
      <w:keepNext/>
      <w:keepLines/>
      <w:numPr>
        <w:ilvl w:val="7"/>
        <w:numId w:val="11"/>
      </w:numPr>
      <w:spacing w:before="240"/>
      <w:jc w:val="center"/>
      <w:outlineLvl w:val="7"/>
    </w:pPr>
    <w:rPr>
      <w:b/>
      <w:iCs/>
      <w:caps/>
    </w:rPr>
  </w:style>
  <w:style w:type="paragraph" w:styleId="Heading9">
    <w:name w:val="heading 9"/>
    <w:basedOn w:val="BodyText"/>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rPr>
      <w:lang w:eastAsia="x-none"/>
    </w:rPr>
  </w:style>
  <w:style w:type="paragraph" w:styleId="BodyTextIndent">
    <w:name w:val="Body Text Indent"/>
    <w:basedOn w:val="BodyText"/>
    <w:pPr>
      <w:ind w:left="72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character" w:styleId="FootnoteReference">
    <w:name w:val="footnote reference"/>
    <w:uiPriority w:val="99"/>
    <w:rPr>
      <w:vertAlign w:val="superscript"/>
    </w:rPr>
  </w:style>
  <w:style w:type="paragraph" w:styleId="FootnoteText">
    <w:name w:val="footnote text"/>
    <w:basedOn w:val="Normal"/>
    <w:link w:val="FootnoteTextChar"/>
    <w:rPr>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paragraph" w:styleId="TableofAuthorities">
    <w:name w:val="table of authorities"/>
    <w:basedOn w:val="Normal"/>
    <w:next w:val="BodyText"/>
    <w:semiHidden/>
    <w:pPr>
      <w:keepLines/>
      <w:tabs>
        <w:tab w:val="left" w:pos="720"/>
        <w:tab w:val="right" w:leader="dot" w:pos="9360"/>
      </w:tabs>
      <w:spacing w:before="240"/>
      <w:ind w:left="720" w:right="1440" w:hanging="720"/>
    </w:pPr>
  </w:style>
  <w:style w:type="paragraph" w:styleId="TableofFigures">
    <w:name w:val="table of figures"/>
    <w:basedOn w:val="Normal"/>
    <w:next w:val="Normal"/>
    <w:semiHidden/>
    <w:pPr>
      <w:ind w:left="475" w:hanging="475"/>
    </w:pPr>
  </w:style>
  <w:style w:type="paragraph" w:styleId="TOAHeading">
    <w:name w:val="toa heading"/>
    <w:basedOn w:val="Normal"/>
    <w:next w:val="Normal"/>
    <w:semiHidden/>
    <w:pPr>
      <w:keepNext/>
      <w:spacing w:before="240"/>
    </w:pPr>
    <w:rPr>
      <w:rFonts w:cs="Arial"/>
      <w:b/>
      <w:bCs/>
    </w:rPr>
  </w:style>
  <w:style w:type="paragraph" w:styleId="TOC1">
    <w:name w:val="toc 1"/>
    <w:basedOn w:val="Normal"/>
    <w:next w:val="Normal"/>
    <w:autoRedefine/>
    <w:semiHidden/>
    <w:pPr>
      <w:keepNext/>
      <w:tabs>
        <w:tab w:val="left" w:pos="720"/>
        <w:tab w:val="right" w:leader="dot" w:pos="9360"/>
      </w:tabs>
      <w:spacing w:before="360"/>
    </w:pPr>
    <w:rPr>
      <w:caps/>
    </w:rPr>
  </w:style>
  <w:style w:type="paragraph" w:styleId="TOC2">
    <w:name w:val="toc 2"/>
    <w:basedOn w:val="Normal"/>
    <w:next w:val="Normal"/>
    <w:autoRedefine/>
    <w:semiHidden/>
    <w:pPr>
      <w:tabs>
        <w:tab w:val="left" w:pos="1440"/>
        <w:tab w:val="right" w:leader="dot" w:pos="9360"/>
      </w:tabs>
      <w:spacing w:before="120"/>
      <w:ind w:left="1440" w:hanging="720"/>
    </w:pPr>
  </w:style>
  <w:style w:type="paragraph" w:styleId="TOC3">
    <w:name w:val="toc 3"/>
    <w:basedOn w:val="Normal"/>
    <w:next w:val="Normal"/>
    <w:autoRedefine/>
    <w:semiHidden/>
    <w:pPr>
      <w:tabs>
        <w:tab w:val="left" w:pos="2160"/>
        <w:tab w:val="right" w:leader="dot" w:pos="9360"/>
      </w:tabs>
      <w:spacing w:before="120"/>
      <w:ind w:left="2160" w:hanging="720"/>
    </w:pPr>
  </w:style>
  <w:style w:type="paragraph" w:styleId="TOC4">
    <w:name w:val="toc 4"/>
    <w:basedOn w:val="Normal"/>
    <w:next w:val="Normal"/>
    <w:autoRedefine/>
    <w:semiHidden/>
    <w:pPr>
      <w:tabs>
        <w:tab w:val="left" w:pos="2880"/>
        <w:tab w:val="right" w:leader="dot" w:pos="9360"/>
      </w:tabs>
      <w:spacing w:before="120"/>
      <w:ind w:left="2880" w:hanging="720"/>
    </w:pPr>
  </w:style>
  <w:style w:type="paragraph" w:styleId="TOC5">
    <w:name w:val="toc 5"/>
    <w:basedOn w:val="Normal"/>
    <w:next w:val="Normal"/>
    <w:autoRedefine/>
    <w:semiHidden/>
    <w:pPr>
      <w:tabs>
        <w:tab w:val="left" w:pos="3600"/>
        <w:tab w:val="right" w:leader="dot" w:pos="9360"/>
      </w:tabs>
      <w:spacing w:before="120"/>
      <w:ind w:left="3600" w:hanging="720"/>
    </w:pPr>
  </w:style>
  <w:style w:type="paragraph" w:styleId="TOC6">
    <w:name w:val="toc 6"/>
    <w:basedOn w:val="Normal"/>
    <w:next w:val="Normal"/>
    <w:autoRedefine/>
    <w:semiHidden/>
    <w:pPr>
      <w:tabs>
        <w:tab w:val="left" w:pos="4320"/>
        <w:tab w:val="right" w:leader="dot" w:pos="9360"/>
      </w:tabs>
      <w:spacing w:before="120"/>
      <w:ind w:left="4320" w:hanging="720"/>
    </w:pPr>
  </w:style>
  <w:style w:type="paragraph" w:styleId="TOC7">
    <w:name w:val="toc 7"/>
    <w:basedOn w:val="Normal"/>
    <w:next w:val="Normal"/>
    <w:autoRedefine/>
    <w:semiHidden/>
    <w:pPr>
      <w:tabs>
        <w:tab w:val="left" w:pos="5040"/>
        <w:tab w:val="right" w:leader="dot" w:pos="9360"/>
      </w:tabs>
      <w:spacing w:before="120"/>
      <w:ind w:left="5040" w:hanging="72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itation">
    <w:name w:val="Citation"/>
    <w:basedOn w:val="Normal"/>
    <w:pPr>
      <w:keepLines/>
      <w:spacing w:before="240"/>
      <w:ind w:left="1440"/>
    </w:pPr>
  </w:style>
  <w:style w:type="paragraph" w:styleId="Closing">
    <w:name w:val="Closing"/>
    <w:basedOn w:val="Normal"/>
    <w:semiHidden/>
    <w:pPr>
      <w:ind w:left="4320"/>
    </w:pPr>
  </w:style>
  <w:style w:type="character" w:customStyle="1" w:styleId="CommentHidden">
    <w:name w:val="Comment (Hidden)"/>
    <w:rPr>
      <w:rFonts w:ascii="Arial" w:hAnsi="Arial"/>
      <w:caps/>
      <w:vanish/>
      <w:color w:val="0000FF"/>
      <w:sz w:val="18"/>
      <w:szCs w:val="18"/>
    </w:rPr>
  </w:style>
  <w:style w:type="paragraph" w:styleId="EnvelopeAddress">
    <w:name w:val="envelope address"/>
    <w:basedOn w:val="Normal"/>
    <w:semiHidden/>
    <w:pPr>
      <w:framePr w:w="7920" w:h="2880" w:hRule="exact" w:hSpace="187" w:vSpace="187" w:wrap="around" w:hAnchor="page" w:xAlign="center" w:yAlign="bottom"/>
      <w:ind w:left="2880"/>
    </w:pPr>
    <w:rPr>
      <w:rFonts w:cs="Arial"/>
    </w:rPr>
  </w:style>
  <w:style w:type="paragraph" w:styleId="EnvelopeReturn">
    <w:name w:val="envelope return"/>
    <w:basedOn w:val="Normal"/>
    <w:semiHidden/>
    <w:pPr>
      <w:framePr w:w="4320" w:h="1440" w:hRule="exact" w:hSpace="187" w:vSpace="187" w:wrap="around" w:vAnchor="page" w:hAnchor="margin" w:y="1585"/>
    </w:pPr>
    <w:rPr>
      <w:rFonts w:ascii="Arial" w:hAnsi="Arial" w:cs="Arial"/>
      <w:sz w:val="18"/>
      <w:szCs w:val="18"/>
    </w:rPr>
  </w:style>
  <w:style w:type="paragraph" w:styleId="Footer">
    <w:name w:val="footer"/>
    <w:basedOn w:val="Normal"/>
    <w:link w:val="FooterChar"/>
    <w:uiPriority w:val="99"/>
    <w:pPr>
      <w:tabs>
        <w:tab w:val="center" w:pos="4680"/>
        <w:tab w:val="right" w:pos="9360"/>
      </w:tabs>
    </w:pPr>
    <w:rPr>
      <w:sz w:val="14"/>
      <w:szCs w:val="14"/>
    </w:rPr>
  </w:style>
  <w:style w:type="paragraph" w:customStyle="1" w:styleId="HeadAltA">
    <w:name w:val="Head Alt A"/>
    <w:basedOn w:val="BodyText"/>
    <w:pPr>
      <w:numPr>
        <w:numId w:val="10"/>
      </w:numPr>
      <w:tabs>
        <w:tab w:val="clear" w:pos="0"/>
      </w:tabs>
    </w:pPr>
  </w:style>
  <w:style w:type="paragraph" w:customStyle="1" w:styleId="HeadAltB">
    <w:name w:val="Head Alt B"/>
    <w:basedOn w:val="BodyText"/>
    <w:pPr>
      <w:numPr>
        <w:ilvl w:val="1"/>
        <w:numId w:val="10"/>
      </w:numPr>
    </w:pPr>
  </w:style>
  <w:style w:type="paragraph" w:styleId="Header">
    <w:name w:val="header"/>
    <w:basedOn w:val="Normal"/>
    <w:link w:val="HeaderChar"/>
    <w:pPr>
      <w:tabs>
        <w:tab w:val="center" w:pos="4680"/>
        <w:tab w:val="right" w:pos="9360"/>
      </w:tabs>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2"/>
      </w:numPr>
      <w:tabs>
        <w:tab w:val="clear" w:pos="643"/>
        <w:tab w:val="left" w:pos="720"/>
      </w:tabs>
      <w:ind w:left="720"/>
    </w:pPr>
  </w:style>
  <w:style w:type="paragraph" w:styleId="ListBullet3">
    <w:name w:val="List Bullet 3"/>
    <w:basedOn w:val="Normal"/>
    <w:semiHidden/>
    <w:pPr>
      <w:numPr>
        <w:numId w:val="3"/>
      </w:numPr>
      <w:tabs>
        <w:tab w:val="clear" w:pos="926"/>
        <w:tab w:val="left" w:pos="1080"/>
      </w:tabs>
      <w:ind w:left="1080"/>
    </w:pPr>
  </w:style>
  <w:style w:type="paragraph" w:styleId="ListBullet4">
    <w:name w:val="List Bullet 4"/>
    <w:basedOn w:val="Normal"/>
    <w:semiHidden/>
    <w:pPr>
      <w:numPr>
        <w:numId w:val="4"/>
      </w:numPr>
      <w:tabs>
        <w:tab w:val="clear" w:pos="1209"/>
        <w:tab w:val="left" w:pos="1440"/>
      </w:tabs>
      <w:ind w:left="1440"/>
    </w:pPr>
  </w:style>
  <w:style w:type="paragraph" w:styleId="ListBullet5">
    <w:name w:val="List Bullet 5"/>
    <w:basedOn w:val="Normal"/>
    <w:semiHidden/>
    <w:pPr>
      <w:numPr>
        <w:numId w:val="5"/>
      </w:numPr>
      <w:tabs>
        <w:tab w:val="clear" w:pos="1492"/>
        <w:tab w:val="left" w:pos="1800"/>
      </w:tabs>
      <w:ind w:left="1800"/>
    </w:pPr>
  </w:style>
  <w:style w:type="paragraph" w:styleId="ListBullet">
    <w:name w:val="List Bullet"/>
    <w:basedOn w:val="Normal"/>
    <w:semiHidden/>
    <w:pPr>
      <w:numPr>
        <w:numId w:val="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tabs>
        <w:tab w:val="clear" w:pos="643"/>
        <w:tab w:val="left" w:pos="720"/>
      </w:tabs>
      <w:ind w:left="720"/>
    </w:pPr>
  </w:style>
  <w:style w:type="paragraph" w:styleId="ListNumber3">
    <w:name w:val="List Number 3"/>
    <w:basedOn w:val="Normal"/>
    <w:semiHidden/>
    <w:pPr>
      <w:numPr>
        <w:numId w:val="7"/>
      </w:numPr>
      <w:tabs>
        <w:tab w:val="clear" w:pos="926"/>
        <w:tab w:val="left" w:pos="1080"/>
      </w:tabs>
      <w:ind w:left="1080"/>
    </w:pPr>
  </w:style>
  <w:style w:type="paragraph" w:styleId="ListNumber4">
    <w:name w:val="List Number 4"/>
    <w:basedOn w:val="Normal"/>
    <w:semiHidden/>
    <w:pPr>
      <w:numPr>
        <w:numId w:val="8"/>
      </w:numPr>
      <w:tabs>
        <w:tab w:val="clear" w:pos="1209"/>
        <w:tab w:val="left" w:pos="1440"/>
      </w:tabs>
      <w:ind w:left="1440"/>
    </w:pPr>
  </w:style>
  <w:style w:type="paragraph" w:styleId="ListNumber5">
    <w:name w:val="List Number 5"/>
    <w:basedOn w:val="Normal"/>
    <w:semiHidden/>
    <w:pPr>
      <w:numPr>
        <w:numId w:val="9"/>
      </w:numPr>
      <w:tabs>
        <w:tab w:val="clear" w:pos="1492"/>
        <w:tab w:val="left" w:pos="1800"/>
      </w:tabs>
      <w:ind w:left="1800"/>
    </w:pPr>
  </w:style>
  <w:style w:type="paragraph" w:customStyle="1" w:styleId="NumList1">
    <w:name w:val="Num List 1"/>
    <w:basedOn w:val="BodyText"/>
    <w:pPr>
      <w:numPr>
        <w:numId w:val="12"/>
      </w:numPr>
    </w:pPr>
  </w:style>
  <w:style w:type="paragraph" w:customStyle="1" w:styleId="NumList2">
    <w:name w:val="Num List 2"/>
    <w:basedOn w:val="BodyText"/>
    <w:pPr>
      <w:numPr>
        <w:numId w:val="13"/>
      </w:numPr>
    </w:pPr>
  </w:style>
  <w:style w:type="paragraph" w:customStyle="1" w:styleId="NumListA1">
    <w:name w:val="Num List A1"/>
    <w:basedOn w:val="BodyText"/>
    <w:pPr>
      <w:numPr>
        <w:numId w:val="14"/>
      </w:numPr>
    </w:pPr>
  </w:style>
  <w:style w:type="paragraph" w:customStyle="1" w:styleId="NumListA2">
    <w:name w:val="Num List A2"/>
    <w:basedOn w:val="BodyText"/>
    <w:pPr>
      <w:numPr>
        <w:numId w:val="15"/>
      </w:numPr>
    </w:pPr>
  </w:style>
  <w:style w:type="paragraph" w:customStyle="1" w:styleId="Quote1">
    <w:name w:val="Quote 1"/>
    <w:basedOn w:val="Normal"/>
    <w:pPr>
      <w:spacing w:before="240"/>
      <w:ind w:left="1440" w:right="1440"/>
      <w:jc w:val="both"/>
    </w:pPr>
  </w:style>
  <w:style w:type="paragraph" w:customStyle="1" w:styleId="Quote2">
    <w:name w:val="Quote 2"/>
    <w:basedOn w:val="Normal"/>
    <w:pPr>
      <w:spacing w:before="240"/>
      <w:ind w:left="2160" w:right="1440"/>
      <w:jc w:val="both"/>
    </w:pPr>
  </w:style>
  <w:style w:type="paragraph" w:customStyle="1" w:styleId="Quote3">
    <w:name w:val="Quote 3"/>
    <w:basedOn w:val="Normal"/>
    <w:pPr>
      <w:tabs>
        <w:tab w:val="left" w:pos="1440"/>
      </w:tabs>
      <w:spacing w:before="240"/>
      <w:ind w:left="1440" w:right="1440" w:hanging="720"/>
      <w:jc w:val="both"/>
    </w:pPr>
  </w:style>
  <w:style w:type="paragraph" w:customStyle="1" w:styleId="Quote4">
    <w:name w:val="Quote 4"/>
    <w:basedOn w:val="Normal"/>
    <w:pPr>
      <w:spacing w:before="240"/>
      <w:ind w:left="720" w:right="720"/>
      <w:jc w:val="both"/>
    </w:pPr>
  </w:style>
  <w:style w:type="paragraph" w:styleId="Signature">
    <w:name w:val="Signature"/>
    <w:basedOn w:val="Normal"/>
    <w:semiHidden/>
    <w:pPr>
      <w:keepNext/>
      <w:keepLines/>
      <w:spacing w:before="240"/>
      <w:ind w:left="5040"/>
    </w:pPr>
  </w:style>
  <w:style w:type="paragraph" w:customStyle="1" w:styleId="Signatory">
    <w:name w:val="Signatory"/>
    <w:basedOn w:val="Normal"/>
    <w:next w:val="BodyText"/>
    <w:pPr>
      <w:keepNext/>
      <w:keepLines/>
      <w:tabs>
        <w:tab w:val="right" w:pos="4320"/>
        <w:tab w:val="left" w:pos="5040"/>
        <w:tab w:val="right" w:pos="9360"/>
      </w:tabs>
      <w:spacing w:before="240"/>
    </w:pPr>
  </w:style>
  <w:style w:type="paragraph" w:styleId="Title">
    <w:name w:val="Title"/>
    <w:basedOn w:val="Normal"/>
    <w:next w:val="BodyText"/>
    <w:qFormat/>
    <w:pPr>
      <w:keepNext/>
      <w:keepLines/>
      <w:spacing w:after="120"/>
      <w:jc w:val="center"/>
      <w:outlineLvl w:val="0"/>
    </w:pPr>
    <w:rPr>
      <w:rFonts w:cs="Arial"/>
      <w:b/>
      <w:bCs/>
      <w:kern w:val="28"/>
      <w:sz w:val="28"/>
      <w:szCs w:val="28"/>
    </w:rPr>
  </w:style>
  <w:style w:type="table" w:customStyle="1" w:styleId="TableCWNoLineswithHeader">
    <w:name w:val="Table CW No Lines with Header"/>
    <w:basedOn w:val="TableNormal"/>
    <w:pPr>
      <w:spacing w:before="240"/>
    </w:pPr>
    <w:tblPr/>
    <w:trPr>
      <w:cantSplit/>
    </w:trPr>
    <w:tblStylePr w:type="firstRow">
      <w:pPr>
        <w:keepNext/>
        <w:keepLines/>
        <w:wordWrap/>
      </w:pPr>
      <w:rPr>
        <w:b/>
        <w:i w:val="0"/>
      </w:rPr>
      <w:tblPr/>
      <w:trPr>
        <w:cantSplit w:val="0"/>
        <w:tblHeader/>
      </w:trPr>
    </w:tblStylePr>
  </w:style>
  <w:style w:type="character" w:styleId="PageNumber">
    <w:name w:val="page number"/>
    <w:basedOn w:val="DefaultParagraphFont"/>
  </w:style>
  <w:style w:type="paragraph" w:customStyle="1" w:styleId="HeadingTitle1">
    <w:name w:val="Heading Title 1"/>
    <w:basedOn w:val="Normal"/>
    <w:next w:val="BodyText"/>
    <w:pPr>
      <w:keepNext/>
      <w:keepLines/>
      <w:spacing w:before="240"/>
      <w:jc w:val="center"/>
    </w:pPr>
    <w:rPr>
      <w:b/>
      <w:caps/>
    </w:rPr>
  </w:style>
  <w:style w:type="paragraph" w:customStyle="1" w:styleId="HeadingTitle2">
    <w:name w:val="Heading Title 2"/>
    <w:basedOn w:val="Normal"/>
    <w:next w:val="BodyText"/>
    <w:pPr>
      <w:keepNext/>
      <w:keepLines/>
      <w:spacing w:before="240"/>
    </w:pPr>
    <w:rPr>
      <w:b/>
    </w:rPr>
  </w:style>
  <w:style w:type="paragraph" w:customStyle="1" w:styleId="HeadingTitle3">
    <w:name w:val="Heading Title 3"/>
    <w:basedOn w:val="Normal"/>
    <w:next w:val="BodyText"/>
    <w:pPr>
      <w:keepNext/>
      <w:keepLines/>
      <w:spacing w:before="240"/>
    </w:pPr>
    <w:rPr>
      <w:i/>
    </w:rPr>
  </w:style>
  <w:style w:type="paragraph" w:customStyle="1" w:styleId="HeadingTitle4">
    <w:name w:val="Heading Title 4"/>
    <w:basedOn w:val="Normal"/>
    <w:next w:val="BodyText"/>
    <w:pPr>
      <w:keepNext/>
      <w:keepLines/>
      <w:spacing w:before="240"/>
    </w:pPr>
    <w:rPr>
      <w:u w:val="single"/>
    </w:rPr>
  </w:style>
  <w:style w:type="paragraph" w:customStyle="1" w:styleId="HeadingTitle5">
    <w:name w:val="Heading Title 5"/>
    <w:basedOn w:val="Normal"/>
    <w:next w:val="BodyText"/>
    <w:pPr>
      <w:keepNext/>
      <w:keepLines/>
      <w:spacing w:before="24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pPr>
      <w:ind w:firstLine="1440"/>
    </w:pPr>
  </w:style>
  <w:style w:type="character" w:styleId="Hyperlink">
    <w:name w:val="Hyperlink"/>
    <w:rPr>
      <w:color w:val="0000FF"/>
      <w:u w:val="single"/>
    </w:rPr>
  </w:style>
  <w:style w:type="paragraph" w:styleId="NoSpacing">
    <w:name w:val="No Spacing"/>
    <w:next w:val="Normal"/>
    <w:link w:val="NoSpacingChar"/>
    <w:uiPriority w:val="1"/>
    <w:qFormat/>
    <w:pPr>
      <w:autoSpaceDE w:val="0"/>
      <w:autoSpaceDN w:val="0"/>
      <w:adjustRightInd w:val="0"/>
    </w:pPr>
    <w:rPr>
      <w:rFonts w:ascii="Arial" w:hAnsi="Arial"/>
      <w:sz w:val="24"/>
      <w:szCs w:val="24"/>
    </w:rPr>
  </w:style>
  <w:style w:type="paragraph" w:styleId="BodyText2">
    <w:name w:val="Body Text 2"/>
    <w:basedOn w:val="Normal"/>
    <w:pPr>
      <w:spacing w:after="120" w:line="480" w:lineRule="auto"/>
    </w:pPr>
    <w:rPr>
      <w:rFonts w:ascii="Futura Lt BT" w:hAnsi="Futura Lt BT"/>
      <w:sz w:val="22"/>
      <w:szCs w:val="22"/>
      <w:u w:val="single"/>
      <w:lang w:val="en-US"/>
    </w:rPr>
  </w:style>
  <w:style w:type="paragraph" w:customStyle="1" w:styleId="dr">
    <w:name w:val="dr"/>
    <w:pPr>
      <w:jc w:val="both"/>
    </w:pPr>
    <w:rPr>
      <w:sz w:val="22"/>
      <w:lang w:val="en-GB"/>
    </w:rPr>
  </w:style>
  <w:style w:type="paragraph" w:customStyle="1" w:styleId="Pages">
    <w:name w:val="Pages"/>
    <w:basedOn w:val="BodyText"/>
    <w:next w:val="Heading1"/>
    <w:pPr>
      <w:spacing w:before="0" w:after="120"/>
      <w:jc w:val="left"/>
    </w:pPr>
    <w:rPr>
      <w:rFonts w:ascii="Arial" w:hAnsi="Arial"/>
      <w:sz w:val="22"/>
      <w:szCs w:val="20"/>
      <w:lang w:val="en-US"/>
    </w:rPr>
  </w:style>
  <w:style w:type="paragraph" w:customStyle="1" w:styleId="Style1">
    <w:name w:val="Style1"/>
    <w:basedOn w:val="Normal"/>
    <w:pPr>
      <w:jc w:val="both"/>
    </w:pPr>
    <w:rPr>
      <w:sz w:val="22"/>
      <w:szCs w:val="20"/>
      <w:lang w:val="en-GB"/>
    </w:rPr>
  </w:style>
  <w:style w:type="character" w:customStyle="1" w:styleId="Heading1Char">
    <w:name w:val="Heading 1 Char"/>
    <w:link w:val="Heading1"/>
    <w:uiPriority w:val="9"/>
    <w:rPr>
      <w:bCs/>
      <w:szCs w:val="24"/>
      <w:lang w:val="en-CA" w:eastAsia="x-none"/>
    </w:rPr>
  </w:style>
  <w:style w:type="paragraph" w:customStyle="1" w:styleId="Default">
    <w:name w:val="Default"/>
    <w:rsid w:val="00925BB4"/>
    <w:pPr>
      <w:autoSpaceDE w:val="0"/>
      <w:autoSpaceDN w:val="0"/>
      <w:adjustRightInd w:val="0"/>
    </w:pPr>
    <w:rPr>
      <w:color w:val="000000"/>
      <w:sz w:val="24"/>
      <w:szCs w:val="24"/>
    </w:rPr>
  </w:style>
  <w:style w:type="paragraph" w:styleId="BalloonText">
    <w:name w:val="Balloon Text"/>
    <w:basedOn w:val="Normal"/>
    <w:link w:val="BalloonTextChar"/>
    <w:rsid w:val="00A51CDC"/>
    <w:rPr>
      <w:rFonts w:ascii="Tahoma" w:hAnsi="Tahoma"/>
      <w:sz w:val="16"/>
      <w:szCs w:val="16"/>
      <w:lang w:eastAsia="x-none"/>
    </w:rPr>
  </w:style>
  <w:style w:type="character" w:customStyle="1" w:styleId="BalloonTextChar">
    <w:name w:val="Balloon Text Char"/>
    <w:link w:val="BalloonText"/>
    <w:rsid w:val="00A51CDC"/>
    <w:rPr>
      <w:rFonts w:ascii="Tahoma" w:hAnsi="Tahoma" w:cs="Tahoma"/>
      <w:sz w:val="16"/>
      <w:szCs w:val="16"/>
      <w:lang w:val="en-CA"/>
    </w:rPr>
  </w:style>
  <w:style w:type="paragraph" w:styleId="NormalWeb">
    <w:name w:val="Normal (Web)"/>
    <w:basedOn w:val="Normal"/>
    <w:uiPriority w:val="99"/>
    <w:unhideWhenUsed/>
    <w:rsid w:val="00E151D9"/>
    <w:pPr>
      <w:spacing w:before="100" w:beforeAutospacing="1" w:after="100" w:afterAutospacing="1"/>
    </w:pPr>
    <w:rPr>
      <w:sz w:val="24"/>
      <w:lang w:val="en-US"/>
    </w:rPr>
  </w:style>
  <w:style w:type="character" w:customStyle="1" w:styleId="Heading3Char">
    <w:name w:val="Heading 3 Char"/>
    <w:link w:val="Heading3"/>
    <w:rsid w:val="005679FB"/>
    <w:rPr>
      <w:bCs/>
      <w:szCs w:val="24"/>
      <w:lang w:val="en-CA" w:eastAsia="x-none"/>
    </w:rPr>
  </w:style>
  <w:style w:type="character" w:customStyle="1" w:styleId="BodyTextChar">
    <w:name w:val="Body Text Char"/>
    <w:link w:val="BodyText"/>
    <w:rsid w:val="005679FB"/>
    <w:rPr>
      <w:szCs w:val="24"/>
      <w:lang w:val="en-CA"/>
    </w:rPr>
  </w:style>
  <w:style w:type="paragraph" w:styleId="ListParagraph">
    <w:name w:val="List Paragraph"/>
    <w:aliases w:val="Bullets in notes"/>
    <w:basedOn w:val="Normal"/>
    <w:link w:val="ListParagraphChar"/>
    <w:uiPriority w:val="99"/>
    <w:qFormat/>
    <w:rsid w:val="007309B1"/>
    <w:pPr>
      <w:spacing w:line="280" w:lineRule="exact"/>
      <w:ind w:left="720" w:right="144"/>
      <w:contextualSpacing/>
      <w:jc w:val="both"/>
    </w:pPr>
    <w:rPr>
      <w:rFonts w:ascii="Trebuchet MS" w:eastAsia="MS Mincho" w:hAnsi="Trebuchet MS"/>
      <w:sz w:val="22"/>
      <w:szCs w:val="21"/>
    </w:rPr>
  </w:style>
  <w:style w:type="paragraph" w:styleId="Revision">
    <w:name w:val="Revision"/>
    <w:hidden/>
    <w:uiPriority w:val="99"/>
    <w:semiHidden/>
    <w:rsid w:val="00260BF2"/>
    <w:rPr>
      <w:szCs w:val="24"/>
      <w:lang w:val="en-CA"/>
    </w:rPr>
  </w:style>
  <w:style w:type="paragraph" w:styleId="PlainText">
    <w:name w:val="Plain Text"/>
    <w:basedOn w:val="Normal"/>
    <w:link w:val="PlainTextChar"/>
    <w:uiPriority w:val="99"/>
    <w:unhideWhenUsed/>
    <w:rsid w:val="00DA4987"/>
    <w:rPr>
      <w:rFonts w:ascii="Consolas" w:hAnsi="Consolas"/>
      <w:sz w:val="21"/>
      <w:szCs w:val="21"/>
      <w:lang w:val="x-none" w:eastAsia="x-none"/>
    </w:rPr>
  </w:style>
  <w:style w:type="character" w:customStyle="1" w:styleId="PlainTextChar">
    <w:name w:val="Plain Text Char"/>
    <w:link w:val="PlainText"/>
    <w:uiPriority w:val="99"/>
    <w:rsid w:val="00DA4987"/>
    <w:rPr>
      <w:rFonts w:ascii="Consolas" w:hAnsi="Consolas"/>
      <w:sz w:val="21"/>
      <w:szCs w:val="21"/>
    </w:rPr>
  </w:style>
  <w:style w:type="character" w:customStyle="1" w:styleId="Bold">
    <w:name w:val="Bold"/>
    <w:rsid w:val="003E7B7D"/>
    <w:rPr>
      <w:b/>
    </w:rPr>
  </w:style>
  <w:style w:type="paragraph" w:customStyle="1" w:styleId="Bullet">
    <w:name w:val="Bullet"/>
    <w:basedOn w:val="Normal"/>
    <w:qFormat/>
    <w:rsid w:val="003E7B7D"/>
    <w:pPr>
      <w:numPr>
        <w:numId w:val="16"/>
      </w:numPr>
      <w:spacing w:after="240"/>
      <w:jc w:val="both"/>
    </w:pPr>
    <w:rPr>
      <w:rFonts w:ascii="Arial" w:hAnsi="Arial" w:cs="Arial"/>
      <w:color w:val="000000"/>
      <w:sz w:val="22"/>
      <w:szCs w:val="22"/>
    </w:rPr>
  </w:style>
  <w:style w:type="character" w:customStyle="1" w:styleId="HeaderChar">
    <w:name w:val="Header Char"/>
    <w:link w:val="Header"/>
    <w:rsid w:val="00EF4CE2"/>
    <w:rPr>
      <w:szCs w:val="24"/>
      <w:lang w:eastAsia="en-US"/>
    </w:rPr>
  </w:style>
  <w:style w:type="character" w:customStyle="1" w:styleId="Prompt">
    <w:name w:val="Prompt"/>
    <w:rsid w:val="005559AC"/>
    <w:rPr>
      <w:color w:val="auto"/>
    </w:rPr>
  </w:style>
  <w:style w:type="paragraph" w:customStyle="1" w:styleId="ArtL1">
    <w:name w:val="Art L1"/>
    <w:aliases w:val="A1"/>
    <w:basedOn w:val="Normal"/>
    <w:next w:val="ArtL2"/>
    <w:rsid w:val="005559AC"/>
    <w:pPr>
      <w:keepNext/>
      <w:keepLines/>
      <w:numPr>
        <w:numId w:val="17"/>
      </w:numPr>
      <w:spacing w:before="120" w:after="240"/>
      <w:jc w:val="center"/>
      <w:outlineLvl w:val="0"/>
    </w:pPr>
    <w:rPr>
      <w:rFonts w:ascii="Arial" w:hAnsi="Arial" w:cs="Arial"/>
      <w:b/>
      <w:caps/>
      <w:sz w:val="24"/>
      <w:szCs w:val="22"/>
    </w:rPr>
  </w:style>
  <w:style w:type="paragraph" w:customStyle="1" w:styleId="ArtL2">
    <w:name w:val="Art L2"/>
    <w:aliases w:val="A2"/>
    <w:basedOn w:val="Normal"/>
    <w:rsid w:val="005559AC"/>
    <w:pPr>
      <w:keepNext/>
      <w:numPr>
        <w:ilvl w:val="1"/>
        <w:numId w:val="17"/>
      </w:numPr>
      <w:spacing w:after="240"/>
      <w:jc w:val="both"/>
      <w:outlineLvl w:val="1"/>
    </w:pPr>
    <w:rPr>
      <w:rFonts w:ascii="Arial" w:hAnsi="Arial" w:cs="Arial"/>
      <w:b/>
      <w:sz w:val="22"/>
      <w:szCs w:val="22"/>
      <w:u w:val="single"/>
    </w:rPr>
  </w:style>
  <w:style w:type="paragraph" w:customStyle="1" w:styleId="ArtL3">
    <w:name w:val="Art L3"/>
    <w:aliases w:val="A3"/>
    <w:basedOn w:val="Normal"/>
    <w:rsid w:val="005559AC"/>
    <w:pPr>
      <w:keepNext/>
      <w:numPr>
        <w:ilvl w:val="2"/>
        <w:numId w:val="17"/>
      </w:numPr>
      <w:spacing w:after="240"/>
      <w:jc w:val="both"/>
      <w:outlineLvl w:val="2"/>
    </w:pPr>
    <w:rPr>
      <w:rFonts w:ascii="Arial" w:hAnsi="Arial" w:cs="Arial"/>
      <w:b/>
      <w:sz w:val="22"/>
      <w:szCs w:val="22"/>
      <w:u w:val="single"/>
    </w:rPr>
  </w:style>
  <w:style w:type="paragraph" w:customStyle="1" w:styleId="ArtL4">
    <w:name w:val="Art L4"/>
    <w:aliases w:val="A4"/>
    <w:basedOn w:val="Normal"/>
    <w:rsid w:val="005559AC"/>
    <w:pPr>
      <w:keepNext/>
      <w:numPr>
        <w:ilvl w:val="3"/>
        <w:numId w:val="17"/>
      </w:numPr>
      <w:spacing w:after="240"/>
      <w:jc w:val="both"/>
    </w:pPr>
    <w:rPr>
      <w:rFonts w:ascii="Arial" w:hAnsi="Arial" w:cs="Arial"/>
      <w:b/>
      <w:sz w:val="22"/>
      <w:szCs w:val="22"/>
      <w:u w:val="single"/>
    </w:rPr>
  </w:style>
  <w:style w:type="paragraph" w:customStyle="1" w:styleId="ArtL5">
    <w:name w:val="Art L5"/>
    <w:aliases w:val="A5"/>
    <w:basedOn w:val="Normal"/>
    <w:rsid w:val="005559AC"/>
    <w:pPr>
      <w:keepNext/>
      <w:numPr>
        <w:ilvl w:val="4"/>
        <w:numId w:val="17"/>
      </w:numPr>
      <w:spacing w:after="240"/>
      <w:jc w:val="both"/>
    </w:pPr>
    <w:rPr>
      <w:rFonts w:ascii="Arial" w:hAnsi="Arial" w:cs="Arial"/>
      <w:b/>
      <w:sz w:val="22"/>
      <w:szCs w:val="22"/>
    </w:rPr>
  </w:style>
  <w:style w:type="paragraph" w:customStyle="1" w:styleId="ArtL6">
    <w:name w:val="Art L6"/>
    <w:aliases w:val="A6"/>
    <w:basedOn w:val="Normal"/>
    <w:rsid w:val="005559AC"/>
    <w:pPr>
      <w:keepNext/>
      <w:numPr>
        <w:ilvl w:val="5"/>
        <w:numId w:val="17"/>
      </w:numPr>
      <w:spacing w:after="240"/>
      <w:jc w:val="both"/>
    </w:pPr>
    <w:rPr>
      <w:rFonts w:ascii="Arial" w:hAnsi="Arial" w:cs="Arial"/>
      <w:i/>
      <w:sz w:val="22"/>
      <w:szCs w:val="22"/>
    </w:rPr>
  </w:style>
  <w:style w:type="paragraph" w:customStyle="1" w:styleId="ArtL7">
    <w:name w:val="Art L7"/>
    <w:aliases w:val="A7"/>
    <w:basedOn w:val="Normal"/>
    <w:rsid w:val="005559AC"/>
    <w:pPr>
      <w:numPr>
        <w:ilvl w:val="6"/>
        <w:numId w:val="17"/>
      </w:numPr>
      <w:spacing w:after="240"/>
      <w:jc w:val="both"/>
    </w:pPr>
    <w:rPr>
      <w:rFonts w:ascii="Arial" w:hAnsi="Arial" w:cs="Arial"/>
      <w:sz w:val="22"/>
      <w:szCs w:val="22"/>
    </w:rPr>
  </w:style>
  <w:style w:type="paragraph" w:customStyle="1" w:styleId="ArtL8">
    <w:name w:val="Art L8"/>
    <w:aliases w:val="A8"/>
    <w:basedOn w:val="Normal"/>
    <w:rsid w:val="005559AC"/>
    <w:pPr>
      <w:numPr>
        <w:ilvl w:val="7"/>
        <w:numId w:val="17"/>
      </w:numPr>
      <w:spacing w:after="240"/>
      <w:jc w:val="both"/>
    </w:pPr>
    <w:rPr>
      <w:rFonts w:ascii="Arial" w:hAnsi="Arial" w:cs="Arial"/>
      <w:sz w:val="22"/>
      <w:szCs w:val="22"/>
    </w:rPr>
  </w:style>
  <w:style w:type="paragraph" w:customStyle="1" w:styleId="ArtL9">
    <w:name w:val="Art L9"/>
    <w:aliases w:val="A9"/>
    <w:basedOn w:val="Normal"/>
    <w:rsid w:val="005559AC"/>
    <w:pPr>
      <w:numPr>
        <w:ilvl w:val="8"/>
        <w:numId w:val="17"/>
      </w:numPr>
      <w:spacing w:after="240"/>
      <w:jc w:val="both"/>
    </w:pPr>
    <w:rPr>
      <w:rFonts w:ascii="Arial" w:hAnsi="Arial" w:cs="Arial"/>
      <w:sz w:val="22"/>
      <w:szCs w:val="22"/>
    </w:rPr>
  </w:style>
  <w:style w:type="paragraph" w:customStyle="1" w:styleId="NoteHeading2">
    <w:name w:val="Note Heading2"/>
    <w:uiPriority w:val="99"/>
    <w:rsid w:val="007229DE"/>
    <w:pPr>
      <w:widowControl w:val="0"/>
      <w:tabs>
        <w:tab w:val="left" w:pos="432"/>
        <w:tab w:val="left" w:pos="720"/>
        <w:tab w:val="right" w:pos="9360"/>
      </w:tabs>
      <w:autoSpaceDE w:val="0"/>
      <w:autoSpaceDN w:val="0"/>
      <w:adjustRightInd w:val="0"/>
      <w:spacing w:before="201"/>
      <w:ind w:left="432" w:hanging="432"/>
    </w:pPr>
    <w:rPr>
      <w:rFonts w:eastAsia="SimSun"/>
      <w:color w:val="000000"/>
    </w:rPr>
  </w:style>
  <w:style w:type="paragraph" w:customStyle="1" w:styleId="OHHParagraph">
    <w:name w:val="OHHParagraph"/>
    <w:basedOn w:val="Normal"/>
    <w:rsid w:val="000B02A2"/>
    <w:pPr>
      <w:spacing w:after="200"/>
      <w:ind w:firstLine="360"/>
      <w:jc w:val="both"/>
    </w:pPr>
    <w:rPr>
      <w:szCs w:val="20"/>
      <w:lang w:val="fr-CA"/>
    </w:rPr>
  </w:style>
  <w:style w:type="paragraph" w:customStyle="1" w:styleId="DecimalAligned">
    <w:name w:val="Decimal Aligned"/>
    <w:basedOn w:val="Normal"/>
    <w:uiPriority w:val="40"/>
    <w:qFormat/>
    <w:rsid w:val="004B3E5C"/>
    <w:pPr>
      <w:tabs>
        <w:tab w:val="decimal" w:pos="360"/>
      </w:tabs>
      <w:spacing w:after="200"/>
    </w:pPr>
    <w:rPr>
      <w:szCs w:val="22"/>
    </w:rPr>
  </w:style>
  <w:style w:type="character" w:customStyle="1" w:styleId="FooterChar">
    <w:name w:val="Footer Char"/>
    <w:basedOn w:val="DefaultParagraphFont"/>
    <w:link w:val="Footer"/>
    <w:uiPriority w:val="99"/>
    <w:rsid w:val="00061A8D"/>
    <w:rPr>
      <w:sz w:val="14"/>
      <w:szCs w:val="14"/>
      <w:lang w:val="en-CA"/>
    </w:rPr>
  </w:style>
  <w:style w:type="character" w:customStyle="1" w:styleId="NoSpacingChar">
    <w:name w:val="No Spacing Char"/>
    <w:link w:val="NoSpacing"/>
    <w:uiPriority w:val="1"/>
    <w:rsid w:val="00996DF0"/>
    <w:rPr>
      <w:rFonts w:ascii="Arial" w:hAnsi="Arial"/>
      <w:sz w:val="24"/>
      <w:szCs w:val="24"/>
    </w:rPr>
  </w:style>
  <w:style w:type="character" w:customStyle="1" w:styleId="Heading2Char">
    <w:name w:val="Heading 2 Char"/>
    <w:link w:val="Heading2"/>
    <w:rsid w:val="0000558D"/>
    <w:rPr>
      <w:rFonts w:cs="Arial"/>
      <w:bCs/>
      <w:iCs/>
      <w:szCs w:val="24"/>
      <w:lang w:val="en-CA" w:eastAsia="x-none"/>
    </w:rPr>
  </w:style>
  <w:style w:type="character" w:customStyle="1" w:styleId="FootnoteTextChar">
    <w:name w:val="Footnote Text Char"/>
    <w:basedOn w:val="DefaultParagraphFont"/>
    <w:link w:val="FootnoteText"/>
    <w:rsid w:val="00BC4AD3"/>
    <w:rPr>
      <w:lang w:val="en-CA"/>
    </w:rPr>
  </w:style>
  <w:style w:type="paragraph" w:customStyle="1" w:styleId="BulletL1">
    <w:name w:val="Bullet_L1"/>
    <w:basedOn w:val="Normal"/>
    <w:rsid w:val="00BC4AD3"/>
    <w:pPr>
      <w:numPr>
        <w:numId w:val="22"/>
      </w:numPr>
      <w:tabs>
        <w:tab w:val="left" w:pos="720"/>
      </w:tabs>
      <w:spacing w:after="200"/>
      <w:jc w:val="both"/>
    </w:pPr>
    <w:rPr>
      <w:color w:val="000000"/>
      <w:szCs w:val="22"/>
      <w:lang w:eastAsia="en-CA"/>
    </w:rPr>
  </w:style>
  <w:style w:type="paragraph" w:customStyle="1" w:styleId="ProspectusL1">
    <w:name w:val="Prospectus_L1"/>
    <w:basedOn w:val="Normal"/>
    <w:rsid w:val="00BC4AD3"/>
    <w:pPr>
      <w:keepNext/>
      <w:numPr>
        <w:numId w:val="24"/>
      </w:numPr>
      <w:spacing w:before="200" w:after="200"/>
      <w:jc w:val="center"/>
      <w:outlineLvl w:val="0"/>
    </w:pPr>
    <w:rPr>
      <w:rFonts w:ascii="Times New Roman Gras" w:hAnsi="Times New Roman Gras"/>
      <w:b/>
      <w:caps/>
      <w:szCs w:val="20"/>
      <w:lang w:eastAsia="en-CA"/>
    </w:rPr>
  </w:style>
  <w:style w:type="paragraph" w:customStyle="1" w:styleId="ProspectusL2">
    <w:name w:val="Prospectus_L2"/>
    <w:basedOn w:val="ProspectusL1"/>
    <w:link w:val="ProspectusL2Car"/>
    <w:rsid w:val="00BC4AD3"/>
    <w:pPr>
      <w:numPr>
        <w:ilvl w:val="1"/>
      </w:numPr>
      <w:spacing w:before="0"/>
      <w:jc w:val="both"/>
      <w:outlineLvl w:val="1"/>
    </w:pPr>
    <w:rPr>
      <w:caps w:val="0"/>
    </w:rPr>
  </w:style>
  <w:style w:type="character" w:customStyle="1" w:styleId="ProspectusL2Car">
    <w:name w:val="Prospectus_L2 Car"/>
    <w:basedOn w:val="DefaultParagraphFont"/>
    <w:link w:val="ProspectusL2"/>
    <w:rsid w:val="00BC4AD3"/>
    <w:rPr>
      <w:rFonts w:ascii="Times New Roman Gras" w:hAnsi="Times New Roman Gras"/>
      <w:b/>
      <w:lang w:val="en-CA" w:eastAsia="en-CA"/>
    </w:rPr>
  </w:style>
  <w:style w:type="paragraph" w:customStyle="1" w:styleId="ProspectusL3">
    <w:name w:val="Prospectus_L3"/>
    <w:basedOn w:val="ProspectusL2"/>
    <w:link w:val="ProspectusL3Car"/>
    <w:rsid w:val="00BC4AD3"/>
    <w:pPr>
      <w:numPr>
        <w:ilvl w:val="2"/>
      </w:numPr>
      <w:outlineLvl w:val="2"/>
    </w:pPr>
    <w:rPr>
      <w:i/>
    </w:rPr>
  </w:style>
  <w:style w:type="character" w:customStyle="1" w:styleId="ProspectusL3Car">
    <w:name w:val="Prospectus_L3 Car"/>
    <w:basedOn w:val="DefaultParagraphFont"/>
    <w:link w:val="ProspectusL3"/>
    <w:rsid w:val="00BC4AD3"/>
    <w:rPr>
      <w:rFonts w:ascii="Times New Roman Gras" w:hAnsi="Times New Roman Gras"/>
      <w:b/>
      <w:i/>
      <w:lang w:val="en-CA" w:eastAsia="en-CA"/>
    </w:rPr>
  </w:style>
  <w:style w:type="paragraph" w:customStyle="1" w:styleId="ProspectusL4">
    <w:name w:val="Prospectus_L4"/>
    <w:basedOn w:val="ProspectusL3"/>
    <w:rsid w:val="00BC4AD3"/>
    <w:pPr>
      <w:numPr>
        <w:ilvl w:val="3"/>
      </w:numPr>
      <w:tabs>
        <w:tab w:val="clear" w:pos="720"/>
        <w:tab w:val="num" w:pos="1492"/>
      </w:tabs>
      <w:ind w:left="1492" w:hanging="360"/>
      <w:outlineLvl w:val="3"/>
    </w:pPr>
    <w:rPr>
      <w:b w:val="0"/>
    </w:rPr>
  </w:style>
  <w:style w:type="paragraph" w:customStyle="1" w:styleId="ProspectusL5">
    <w:name w:val="Prospectus_L5"/>
    <w:basedOn w:val="ProspectusL4"/>
    <w:rsid w:val="00BC4AD3"/>
    <w:pPr>
      <w:numPr>
        <w:ilvl w:val="4"/>
      </w:numPr>
      <w:tabs>
        <w:tab w:val="clear" w:pos="1152"/>
        <w:tab w:val="num" w:pos="1492"/>
      </w:tabs>
      <w:ind w:left="1492" w:hanging="360"/>
      <w:outlineLvl w:val="4"/>
    </w:pPr>
  </w:style>
  <w:style w:type="paragraph" w:customStyle="1" w:styleId="ProspectusL6">
    <w:name w:val="Prospectus_L6"/>
    <w:basedOn w:val="ProspectusL5"/>
    <w:rsid w:val="00BC4AD3"/>
    <w:pPr>
      <w:keepNext w:val="0"/>
      <w:numPr>
        <w:ilvl w:val="5"/>
      </w:numPr>
      <w:tabs>
        <w:tab w:val="clear" w:pos="1152"/>
        <w:tab w:val="num" w:pos="1492"/>
      </w:tabs>
      <w:ind w:left="1492" w:hanging="360"/>
      <w:outlineLvl w:val="5"/>
    </w:pPr>
    <w:rPr>
      <w:i w:val="0"/>
    </w:rPr>
  </w:style>
  <w:style w:type="paragraph" w:customStyle="1" w:styleId="ProspectusL7">
    <w:name w:val="Prospectus_L7"/>
    <w:basedOn w:val="ProspectusL6"/>
    <w:rsid w:val="00BC4AD3"/>
    <w:pPr>
      <w:numPr>
        <w:ilvl w:val="6"/>
      </w:numPr>
      <w:tabs>
        <w:tab w:val="clear" w:pos="5040"/>
        <w:tab w:val="num" w:pos="1492"/>
      </w:tabs>
      <w:ind w:left="1492" w:hanging="360"/>
      <w:outlineLvl w:val="6"/>
    </w:pPr>
  </w:style>
  <w:style w:type="paragraph" w:customStyle="1" w:styleId="ProspectusL8">
    <w:name w:val="Prospectus_L8"/>
    <w:basedOn w:val="ProspectusL7"/>
    <w:rsid w:val="00BC4AD3"/>
    <w:pPr>
      <w:numPr>
        <w:ilvl w:val="7"/>
      </w:numPr>
      <w:tabs>
        <w:tab w:val="clear" w:pos="5760"/>
        <w:tab w:val="num" w:pos="1492"/>
      </w:tabs>
      <w:spacing w:after="240"/>
      <w:ind w:left="1492" w:hanging="360"/>
      <w:outlineLvl w:val="7"/>
    </w:pPr>
  </w:style>
  <w:style w:type="paragraph" w:customStyle="1" w:styleId="ProspectusL9">
    <w:name w:val="Prospectus_L9"/>
    <w:basedOn w:val="ProspectusL8"/>
    <w:rsid w:val="00BC4AD3"/>
    <w:pPr>
      <w:numPr>
        <w:ilvl w:val="8"/>
      </w:numPr>
      <w:tabs>
        <w:tab w:val="clear" w:pos="6480"/>
        <w:tab w:val="num" w:pos="1492"/>
      </w:tabs>
      <w:ind w:left="1492" w:hanging="360"/>
      <w:outlineLvl w:val="8"/>
    </w:pPr>
  </w:style>
  <w:style w:type="paragraph" w:customStyle="1" w:styleId="OHHpara">
    <w:name w:val="OHHpara"/>
    <w:aliases w:val="P"/>
    <w:basedOn w:val="Normal"/>
    <w:link w:val="OHHparaChar"/>
    <w:rsid w:val="00BC4AD3"/>
    <w:pPr>
      <w:spacing w:after="200"/>
      <w:jc w:val="both"/>
    </w:pPr>
    <w:rPr>
      <w:szCs w:val="20"/>
    </w:rPr>
  </w:style>
  <w:style w:type="paragraph" w:customStyle="1" w:styleId="LegalL1">
    <w:name w:val="Legal_L1"/>
    <w:basedOn w:val="Normal"/>
    <w:next w:val="Normal"/>
    <w:rsid w:val="00BC4AD3"/>
    <w:pPr>
      <w:keepNext/>
      <w:numPr>
        <w:numId w:val="23"/>
      </w:numPr>
      <w:spacing w:after="240"/>
      <w:jc w:val="both"/>
      <w:outlineLvl w:val="0"/>
    </w:pPr>
    <w:rPr>
      <w:rFonts w:ascii="Times New Roman Gras" w:hAnsi="Times New Roman Gras"/>
      <w:b/>
      <w:szCs w:val="20"/>
    </w:rPr>
  </w:style>
  <w:style w:type="paragraph" w:customStyle="1" w:styleId="LegalL2">
    <w:name w:val="Legal_L2"/>
    <w:basedOn w:val="LegalL1"/>
    <w:next w:val="Normal"/>
    <w:rsid w:val="00BC4AD3"/>
    <w:pPr>
      <w:keepNext w:val="0"/>
      <w:numPr>
        <w:ilvl w:val="1"/>
      </w:numPr>
      <w:outlineLvl w:val="1"/>
    </w:pPr>
    <w:rPr>
      <w:b w:val="0"/>
    </w:rPr>
  </w:style>
  <w:style w:type="paragraph" w:customStyle="1" w:styleId="LegalL3">
    <w:name w:val="Legal_L3"/>
    <w:basedOn w:val="LegalL2"/>
    <w:rsid w:val="00BC4AD3"/>
    <w:pPr>
      <w:numPr>
        <w:ilvl w:val="2"/>
      </w:numPr>
      <w:outlineLvl w:val="2"/>
    </w:pPr>
  </w:style>
  <w:style w:type="paragraph" w:customStyle="1" w:styleId="LegalL4">
    <w:name w:val="Legal_L4"/>
    <w:basedOn w:val="LegalL3"/>
    <w:rsid w:val="00BC4AD3"/>
    <w:pPr>
      <w:numPr>
        <w:ilvl w:val="3"/>
      </w:numPr>
      <w:outlineLvl w:val="3"/>
    </w:pPr>
  </w:style>
  <w:style w:type="paragraph" w:customStyle="1" w:styleId="LegalL5">
    <w:name w:val="Legal_L5"/>
    <w:basedOn w:val="LegalL4"/>
    <w:rsid w:val="00BC4AD3"/>
    <w:pPr>
      <w:numPr>
        <w:ilvl w:val="4"/>
      </w:numPr>
      <w:outlineLvl w:val="4"/>
    </w:pPr>
  </w:style>
  <w:style w:type="paragraph" w:customStyle="1" w:styleId="ProspectusNTDShadedBox">
    <w:name w:val="Prospectus_NTD_Shaded_Box"/>
    <w:basedOn w:val="NormalWeb"/>
    <w:rsid w:val="00BC4AD3"/>
    <w:pPr>
      <w:pBdr>
        <w:top w:val="single" w:sz="8" w:space="3" w:color="auto"/>
        <w:left w:val="single" w:sz="8" w:space="3" w:color="auto"/>
        <w:bottom w:val="single" w:sz="8" w:space="3" w:color="auto"/>
        <w:right w:val="single" w:sz="8" w:space="3" w:color="auto"/>
      </w:pBdr>
      <w:shd w:val="clear" w:color="auto" w:fill="D9E2F3" w:themeFill="accent5" w:themeFillTint="33"/>
      <w:spacing w:before="240" w:beforeAutospacing="0" w:after="240" w:afterAutospacing="0"/>
      <w:ind w:left="720" w:right="720"/>
      <w:jc w:val="center"/>
    </w:pPr>
    <w:rPr>
      <w:rFonts w:eastAsiaTheme="minorEastAsia"/>
      <w:b/>
      <w:sz w:val="20"/>
      <w:szCs w:val="22"/>
      <w:lang w:val="en-CA" w:eastAsia="en-CA"/>
    </w:rPr>
  </w:style>
  <w:style w:type="character" w:customStyle="1" w:styleId="OHHparaChar">
    <w:name w:val="OHHpara Char"/>
    <w:aliases w:val="P Char"/>
    <w:basedOn w:val="DefaultParagraphFont"/>
    <w:link w:val="OHHpara"/>
    <w:rsid w:val="00BC4AD3"/>
    <w:rPr>
      <w:lang w:val="en-CA"/>
    </w:rPr>
  </w:style>
  <w:style w:type="character" w:customStyle="1" w:styleId="ListParagraphChar">
    <w:name w:val="List Paragraph Char"/>
    <w:aliases w:val="Bullets in notes Char"/>
    <w:basedOn w:val="DefaultParagraphFont"/>
    <w:link w:val="ListParagraph"/>
    <w:uiPriority w:val="99"/>
    <w:rsid w:val="001A4956"/>
    <w:rPr>
      <w:rFonts w:ascii="Trebuchet MS" w:eastAsia="MS Mincho" w:hAnsi="Trebuchet MS"/>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242">
      <w:bodyDiv w:val="1"/>
      <w:marLeft w:val="0"/>
      <w:marRight w:val="0"/>
      <w:marTop w:val="0"/>
      <w:marBottom w:val="0"/>
      <w:divBdr>
        <w:top w:val="none" w:sz="0" w:space="0" w:color="auto"/>
        <w:left w:val="none" w:sz="0" w:space="0" w:color="auto"/>
        <w:bottom w:val="none" w:sz="0" w:space="0" w:color="auto"/>
        <w:right w:val="none" w:sz="0" w:space="0" w:color="auto"/>
      </w:divBdr>
    </w:div>
    <w:div w:id="121777297">
      <w:bodyDiv w:val="1"/>
      <w:marLeft w:val="0"/>
      <w:marRight w:val="0"/>
      <w:marTop w:val="0"/>
      <w:marBottom w:val="0"/>
      <w:divBdr>
        <w:top w:val="none" w:sz="0" w:space="0" w:color="auto"/>
        <w:left w:val="none" w:sz="0" w:space="0" w:color="auto"/>
        <w:bottom w:val="none" w:sz="0" w:space="0" w:color="auto"/>
        <w:right w:val="none" w:sz="0" w:space="0" w:color="auto"/>
      </w:divBdr>
    </w:div>
    <w:div w:id="210652841">
      <w:bodyDiv w:val="1"/>
      <w:marLeft w:val="0"/>
      <w:marRight w:val="0"/>
      <w:marTop w:val="0"/>
      <w:marBottom w:val="0"/>
      <w:divBdr>
        <w:top w:val="none" w:sz="0" w:space="0" w:color="auto"/>
        <w:left w:val="none" w:sz="0" w:space="0" w:color="auto"/>
        <w:bottom w:val="none" w:sz="0" w:space="0" w:color="auto"/>
        <w:right w:val="none" w:sz="0" w:space="0" w:color="auto"/>
      </w:divBdr>
    </w:div>
    <w:div w:id="232550158">
      <w:bodyDiv w:val="1"/>
      <w:marLeft w:val="0"/>
      <w:marRight w:val="0"/>
      <w:marTop w:val="0"/>
      <w:marBottom w:val="0"/>
      <w:divBdr>
        <w:top w:val="none" w:sz="0" w:space="0" w:color="auto"/>
        <w:left w:val="none" w:sz="0" w:space="0" w:color="auto"/>
        <w:bottom w:val="none" w:sz="0" w:space="0" w:color="auto"/>
        <w:right w:val="none" w:sz="0" w:space="0" w:color="auto"/>
      </w:divBdr>
    </w:div>
    <w:div w:id="240261904">
      <w:bodyDiv w:val="1"/>
      <w:marLeft w:val="0"/>
      <w:marRight w:val="0"/>
      <w:marTop w:val="0"/>
      <w:marBottom w:val="0"/>
      <w:divBdr>
        <w:top w:val="none" w:sz="0" w:space="0" w:color="auto"/>
        <w:left w:val="none" w:sz="0" w:space="0" w:color="auto"/>
        <w:bottom w:val="none" w:sz="0" w:space="0" w:color="auto"/>
        <w:right w:val="none" w:sz="0" w:space="0" w:color="auto"/>
      </w:divBdr>
    </w:div>
    <w:div w:id="244926643">
      <w:bodyDiv w:val="1"/>
      <w:marLeft w:val="0"/>
      <w:marRight w:val="0"/>
      <w:marTop w:val="0"/>
      <w:marBottom w:val="0"/>
      <w:divBdr>
        <w:top w:val="none" w:sz="0" w:space="0" w:color="auto"/>
        <w:left w:val="none" w:sz="0" w:space="0" w:color="auto"/>
        <w:bottom w:val="none" w:sz="0" w:space="0" w:color="auto"/>
        <w:right w:val="none" w:sz="0" w:space="0" w:color="auto"/>
      </w:divBdr>
    </w:div>
    <w:div w:id="291597465">
      <w:bodyDiv w:val="1"/>
      <w:marLeft w:val="0"/>
      <w:marRight w:val="0"/>
      <w:marTop w:val="0"/>
      <w:marBottom w:val="0"/>
      <w:divBdr>
        <w:top w:val="none" w:sz="0" w:space="0" w:color="auto"/>
        <w:left w:val="none" w:sz="0" w:space="0" w:color="auto"/>
        <w:bottom w:val="none" w:sz="0" w:space="0" w:color="auto"/>
        <w:right w:val="none" w:sz="0" w:space="0" w:color="auto"/>
      </w:divBdr>
    </w:div>
    <w:div w:id="423460031">
      <w:bodyDiv w:val="1"/>
      <w:marLeft w:val="0"/>
      <w:marRight w:val="0"/>
      <w:marTop w:val="0"/>
      <w:marBottom w:val="0"/>
      <w:divBdr>
        <w:top w:val="none" w:sz="0" w:space="0" w:color="auto"/>
        <w:left w:val="none" w:sz="0" w:space="0" w:color="auto"/>
        <w:bottom w:val="none" w:sz="0" w:space="0" w:color="auto"/>
        <w:right w:val="none" w:sz="0" w:space="0" w:color="auto"/>
      </w:divBdr>
    </w:div>
    <w:div w:id="427890735">
      <w:bodyDiv w:val="1"/>
      <w:marLeft w:val="0"/>
      <w:marRight w:val="0"/>
      <w:marTop w:val="0"/>
      <w:marBottom w:val="0"/>
      <w:divBdr>
        <w:top w:val="none" w:sz="0" w:space="0" w:color="auto"/>
        <w:left w:val="none" w:sz="0" w:space="0" w:color="auto"/>
        <w:bottom w:val="none" w:sz="0" w:space="0" w:color="auto"/>
        <w:right w:val="none" w:sz="0" w:space="0" w:color="auto"/>
      </w:divBdr>
    </w:div>
    <w:div w:id="455487106">
      <w:bodyDiv w:val="1"/>
      <w:marLeft w:val="0"/>
      <w:marRight w:val="0"/>
      <w:marTop w:val="0"/>
      <w:marBottom w:val="0"/>
      <w:divBdr>
        <w:top w:val="none" w:sz="0" w:space="0" w:color="auto"/>
        <w:left w:val="none" w:sz="0" w:space="0" w:color="auto"/>
        <w:bottom w:val="none" w:sz="0" w:space="0" w:color="auto"/>
        <w:right w:val="none" w:sz="0" w:space="0" w:color="auto"/>
      </w:divBdr>
    </w:div>
    <w:div w:id="474301130">
      <w:bodyDiv w:val="1"/>
      <w:marLeft w:val="0"/>
      <w:marRight w:val="0"/>
      <w:marTop w:val="0"/>
      <w:marBottom w:val="0"/>
      <w:divBdr>
        <w:top w:val="none" w:sz="0" w:space="0" w:color="auto"/>
        <w:left w:val="none" w:sz="0" w:space="0" w:color="auto"/>
        <w:bottom w:val="none" w:sz="0" w:space="0" w:color="auto"/>
        <w:right w:val="none" w:sz="0" w:space="0" w:color="auto"/>
      </w:divBdr>
    </w:div>
    <w:div w:id="495463588">
      <w:bodyDiv w:val="1"/>
      <w:marLeft w:val="0"/>
      <w:marRight w:val="0"/>
      <w:marTop w:val="0"/>
      <w:marBottom w:val="0"/>
      <w:divBdr>
        <w:top w:val="none" w:sz="0" w:space="0" w:color="auto"/>
        <w:left w:val="none" w:sz="0" w:space="0" w:color="auto"/>
        <w:bottom w:val="none" w:sz="0" w:space="0" w:color="auto"/>
        <w:right w:val="none" w:sz="0" w:space="0" w:color="auto"/>
      </w:divBdr>
    </w:div>
    <w:div w:id="520515748">
      <w:bodyDiv w:val="1"/>
      <w:marLeft w:val="0"/>
      <w:marRight w:val="0"/>
      <w:marTop w:val="0"/>
      <w:marBottom w:val="0"/>
      <w:divBdr>
        <w:top w:val="none" w:sz="0" w:space="0" w:color="auto"/>
        <w:left w:val="none" w:sz="0" w:space="0" w:color="auto"/>
        <w:bottom w:val="none" w:sz="0" w:space="0" w:color="auto"/>
        <w:right w:val="none" w:sz="0" w:space="0" w:color="auto"/>
      </w:divBdr>
    </w:div>
    <w:div w:id="573393061">
      <w:bodyDiv w:val="1"/>
      <w:marLeft w:val="0"/>
      <w:marRight w:val="0"/>
      <w:marTop w:val="0"/>
      <w:marBottom w:val="0"/>
      <w:divBdr>
        <w:top w:val="none" w:sz="0" w:space="0" w:color="auto"/>
        <w:left w:val="none" w:sz="0" w:space="0" w:color="auto"/>
        <w:bottom w:val="none" w:sz="0" w:space="0" w:color="auto"/>
        <w:right w:val="none" w:sz="0" w:space="0" w:color="auto"/>
      </w:divBdr>
    </w:div>
    <w:div w:id="573393414">
      <w:bodyDiv w:val="1"/>
      <w:marLeft w:val="0"/>
      <w:marRight w:val="0"/>
      <w:marTop w:val="0"/>
      <w:marBottom w:val="0"/>
      <w:divBdr>
        <w:top w:val="none" w:sz="0" w:space="0" w:color="auto"/>
        <w:left w:val="none" w:sz="0" w:space="0" w:color="auto"/>
        <w:bottom w:val="none" w:sz="0" w:space="0" w:color="auto"/>
        <w:right w:val="none" w:sz="0" w:space="0" w:color="auto"/>
      </w:divBdr>
    </w:div>
    <w:div w:id="594096256">
      <w:bodyDiv w:val="1"/>
      <w:marLeft w:val="0"/>
      <w:marRight w:val="0"/>
      <w:marTop w:val="0"/>
      <w:marBottom w:val="0"/>
      <w:divBdr>
        <w:top w:val="none" w:sz="0" w:space="0" w:color="auto"/>
        <w:left w:val="none" w:sz="0" w:space="0" w:color="auto"/>
        <w:bottom w:val="none" w:sz="0" w:space="0" w:color="auto"/>
        <w:right w:val="none" w:sz="0" w:space="0" w:color="auto"/>
      </w:divBdr>
    </w:div>
    <w:div w:id="719673698">
      <w:bodyDiv w:val="1"/>
      <w:marLeft w:val="0"/>
      <w:marRight w:val="0"/>
      <w:marTop w:val="0"/>
      <w:marBottom w:val="0"/>
      <w:divBdr>
        <w:top w:val="none" w:sz="0" w:space="0" w:color="auto"/>
        <w:left w:val="none" w:sz="0" w:space="0" w:color="auto"/>
        <w:bottom w:val="none" w:sz="0" w:space="0" w:color="auto"/>
        <w:right w:val="none" w:sz="0" w:space="0" w:color="auto"/>
      </w:divBdr>
    </w:div>
    <w:div w:id="729117000">
      <w:bodyDiv w:val="1"/>
      <w:marLeft w:val="0"/>
      <w:marRight w:val="0"/>
      <w:marTop w:val="0"/>
      <w:marBottom w:val="0"/>
      <w:divBdr>
        <w:top w:val="none" w:sz="0" w:space="0" w:color="auto"/>
        <w:left w:val="none" w:sz="0" w:space="0" w:color="auto"/>
        <w:bottom w:val="none" w:sz="0" w:space="0" w:color="auto"/>
        <w:right w:val="none" w:sz="0" w:space="0" w:color="auto"/>
      </w:divBdr>
    </w:div>
    <w:div w:id="820658686">
      <w:bodyDiv w:val="1"/>
      <w:marLeft w:val="0"/>
      <w:marRight w:val="0"/>
      <w:marTop w:val="0"/>
      <w:marBottom w:val="0"/>
      <w:divBdr>
        <w:top w:val="none" w:sz="0" w:space="0" w:color="auto"/>
        <w:left w:val="none" w:sz="0" w:space="0" w:color="auto"/>
        <w:bottom w:val="none" w:sz="0" w:space="0" w:color="auto"/>
        <w:right w:val="none" w:sz="0" w:space="0" w:color="auto"/>
      </w:divBdr>
    </w:div>
    <w:div w:id="926696985">
      <w:bodyDiv w:val="1"/>
      <w:marLeft w:val="0"/>
      <w:marRight w:val="0"/>
      <w:marTop w:val="0"/>
      <w:marBottom w:val="0"/>
      <w:divBdr>
        <w:top w:val="none" w:sz="0" w:space="0" w:color="auto"/>
        <w:left w:val="none" w:sz="0" w:space="0" w:color="auto"/>
        <w:bottom w:val="none" w:sz="0" w:space="0" w:color="auto"/>
        <w:right w:val="none" w:sz="0" w:space="0" w:color="auto"/>
      </w:divBdr>
    </w:div>
    <w:div w:id="939489702">
      <w:bodyDiv w:val="1"/>
      <w:marLeft w:val="0"/>
      <w:marRight w:val="0"/>
      <w:marTop w:val="0"/>
      <w:marBottom w:val="0"/>
      <w:divBdr>
        <w:top w:val="none" w:sz="0" w:space="0" w:color="auto"/>
        <w:left w:val="none" w:sz="0" w:space="0" w:color="auto"/>
        <w:bottom w:val="none" w:sz="0" w:space="0" w:color="auto"/>
        <w:right w:val="none" w:sz="0" w:space="0" w:color="auto"/>
      </w:divBdr>
    </w:div>
    <w:div w:id="942104674">
      <w:bodyDiv w:val="1"/>
      <w:marLeft w:val="0"/>
      <w:marRight w:val="0"/>
      <w:marTop w:val="0"/>
      <w:marBottom w:val="0"/>
      <w:divBdr>
        <w:top w:val="none" w:sz="0" w:space="0" w:color="auto"/>
        <w:left w:val="none" w:sz="0" w:space="0" w:color="auto"/>
        <w:bottom w:val="none" w:sz="0" w:space="0" w:color="auto"/>
        <w:right w:val="none" w:sz="0" w:space="0" w:color="auto"/>
      </w:divBdr>
    </w:div>
    <w:div w:id="1076436794">
      <w:bodyDiv w:val="1"/>
      <w:marLeft w:val="0"/>
      <w:marRight w:val="0"/>
      <w:marTop w:val="0"/>
      <w:marBottom w:val="0"/>
      <w:divBdr>
        <w:top w:val="none" w:sz="0" w:space="0" w:color="auto"/>
        <w:left w:val="none" w:sz="0" w:space="0" w:color="auto"/>
        <w:bottom w:val="none" w:sz="0" w:space="0" w:color="auto"/>
        <w:right w:val="none" w:sz="0" w:space="0" w:color="auto"/>
      </w:divBdr>
    </w:div>
    <w:div w:id="1157069328">
      <w:bodyDiv w:val="1"/>
      <w:marLeft w:val="0"/>
      <w:marRight w:val="0"/>
      <w:marTop w:val="0"/>
      <w:marBottom w:val="0"/>
      <w:divBdr>
        <w:top w:val="none" w:sz="0" w:space="0" w:color="auto"/>
        <w:left w:val="none" w:sz="0" w:space="0" w:color="auto"/>
        <w:bottom w:val="none" w:sz="0" w:space="0" w:color="auto"/>
        <w:right w:val="none" w:sz="0" w:space="0" w:color="auto"/>
      </w:divBdr>
    </w:div>
    <w:div w:id="1184905884">
      <w:bodyDiv w:val="1"/>
      <w:marLeft w:val="0"/>
      <w:marRight w:val="0"/>
      <w:marTop w:val="0"/>
      <w:marBottom w:val="0"/>
      <w:divBdr>
        <w:top w:val="none" w:sz="0" w:space="0" w:color="auto"/>
        <w:left w:val="none" w:sz="0" w:space="0" w:color="auto"/>
        <w:bottom w:val="none" w:sz="0" w:space="0" w:color="auto"/>
        <w:right w:val="none" w:sz="0" w:space="0" w:color="auto"/>
      </w:divBdr>
    </w:div>
    <w:div w:id="1221670012">
      <w:bodyDiv w:val="1"/>
      <w:marLeft w:val="0"/>
      <w:marRight w:val="0"/>
      <w:marTop w:val="0"/>
      <w:marBottom w:val="0"/>
      <w:divBdr>
        <w:top w:val="none" w:sz="0" w:space="0" w:color="auto"/>
        <w:left w:val="none" w:sz="0" w:space="0" w:color="auto"/>
        <w:bottom w:val="none" w:sz="0" w:space="0" w:color="auto"/>
        <w:right w:val="none" w:sz="0" w:space="0" w:color="auto"/>
      </w:divBdr>
    </w:div>
    <w:div w:id="1288050606">
      <w:bodyDiv w:val="1"/>
      <w:marLeft w:val="0"/>
      <w:marRight w:val="0"/>
      <w:marTop w:val="0"/>
      <w:marBottom w:val="0"/>
      <w:divBdr>
        <w:top w:val="none" w:sz="0" w:space="0" w:color="auto"/>
        <w:left w:val="none" w:sz="0" w:space="0" w:color="auto"/>
        <w:bottom w:val="none" w:sz="0" w:space="0" w:color="auto"/>
        <w:right w:val="none" w:sz="0" w:space="0" w:color="auto"/>
      </w:divBdr>
    </w:div>
    <w:div w:id="1299259879">
      <w:bodyDiv w:val="1"/>
      <w:marLeft w:val="0"/>
      <w:marRight w:val="0"/>
      <w:marTop w:val="0"/>
      <w:marBottom w:val="0"/>
      <w:divBdr>
        <w:top w:val="none" w:sz="0" w:space="0" w:color="auto"/>
        <w:left w:val="none" w:sz="0" w:space="0" w:color="auto"/>
        <w:bottom w:val="none" w:sz="0" w:space="0" w:color="auto"/>
        <w:right w:val="none" w:sz="0" w:space="0" w:color="auto"/>
      </w:divBdr>
    </w:div>
    <w:div w:id="1409689073">
      <w:bodyDiv w:val="1"/>
      <w:marLeft w:val="0"/>
      <w:marRight w:val="0"/>
      <w:marTop w:val="0"/>
      <w:marBottom w:val="0"/>
      <w:divBdr>
        <w:top w:val="none" w:sz="0" w:space="0" w:color="auto"/>
        <w:left w:val="none" w:sz="0" w:space="0" w:color="auto"/>
        <w:bottom w:val="none" w:sz="0" w:space="0" w:color="auto"/>
        <w:right w:val="none" w:sz="0" w:space="0" w:color="auto"/>
      </w:divBdr>
    </w:div>
    <w:div w:id="1412921999">
      <w:bodyDiv w:val="1"/>
      <w:marLeft w:val="0"/>
      <w:marRight w:val="0"/>
      <w:marTop w:val="0"/>
      <w:marBottom w:val="0"/>
      <w:divBdr>
        <w:top w:val="none" w:sz="0" w:space="0" w:color="auto"/>
        <w:left w:val="none" w:sz="0" w:space="0" w:color="auto"/>
        <w:bottom w:val="none" w:sz="0" w:space="0" w:color="auto"/>
        <w:right w:val="none" w:sz="0" w:space="0" w:color="auto"/>
      </w:divBdr>
    </w:div>
    <w:div w:id="1444031034">
      <w:bodyDiv w:val="1"/>
      <w:marLeft w:val="0"/>
      <w:marRight w:val="0"/>
      <w:marTop w:val="0"/>
      <w:marBottom w:val="0"/>
      <w:divBdr>
        <w:top w:val="none" w:sz="0" w:space="0" w:color="auto"/>
        <w:left w:val="none" w:sz="0" w:space="0" w:color="auto"/>
        <w:bottom w:val="none" w:sz="0" w:space="0" w:color="auto"/>
        <w:right w:val="none" w:sz="0" w:space="0" w:color="auto"/>
      </w:divBdr>
    </w:div>
    <w:div w:id="1466702626">
      <w:bodyDiv w:val="1"/>
      <w:marLeft w:val="0"/>
      <w:marRight w:val="0"/>
      <w:marTop w:val="0"/>
      <w:marBottom w:val="0"/>
      <w:divBdr>
        <w:top w:val="none" w:sz="0" w:space="0" w:color="auto"/>
        <w:left w:val="none" w:sz="0" w:space="0" w:color="auto"/>
        <w:bottom w:val="none" w:sz="0" w:space="0" w:color="auto"/>
        <w:right w:val="none" w:sz="0" w:space="0" w:color="auto"/>
      </w:divBdr>
    </w:div>
    <w:div w:id="1607614684">
      <w:bodyDiv w:val="1"/>
      <w:marLeft w:val="0"/>
      <w:marRight w:val="0"/>
      <w:marTop w:val="0"/>
      <w:marBottom w:val="0"/>
      <w:divBdr>
        <w:top w:val="none" w:sz="0" w:space="0" w:color="auto"/>
        <w:left w:val="none" w:sz="0" w:space="0" w:color="auto"/>
        <w:bottom w:val="none" w:sz="0" w:space="0" w:color="auto"/>
        <w:right w:val="none" w:sz="0" w:space="0" w:color="auto"/>
      </w:divBdr>
    </w:div>
    <w:div w:id="1647472865">
      <w:bodyDiv w:val="1"/>
      <w:marLeft w:val="0"/>
      <w:marRight w:val="0"/>
      <w:marTop w:val="0"/>
      <w:marBottom w:val="0"/>
      <w:divBdr>
        <w:top w:val="none" w:sz="0" w:space="0" w:color="auto"/>
        <w:left w:val="none" w:sz="0" w:space="0" w:color="auto"/>
        <w:bottom w:val="none" w:sz="0" w:space="0" w:color="auto"/>
        <w:right w:val="none" w:sz="0" w:space="0" w:color="auto"/>
      </w:divBdr>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64957220">
      <w:bodyDiv w:val="1"/>
      <w:marLeft w:val="0"/>
      <w:marRight w:val="0"/>
      <w:marTop w:val="0"/>
      <w:marBottom w:val="0"/>
      <w:divBdr>
        <w:top w:val="none" w:sz="0" w:space="0" w:color="auto"/>
        <w:left w:val="none" w:sz="0" w:space="0" w:color="auto"/>
        <w:bottom w:val="none" w:sz="0" w:space="0" w:color="auto"/>
        <w:right w:val="none" w:sz="0" w:space="0" w:color="auto"/>
      </w:divBdr>
    </w:div>
    <w:div w:id="1938563671">
      <w:bodyDiv w:val="1"/>
      <w:marLeft w:val="0"/>
      <w:marRight w:val="0"/>
      <w:marTop w:val="0"/>
      <w:marBottom w:val="0"/>
      <w:divBdr>
        <w:top w:val="none" w:sz="0" w:space="0" w:color="auto"/>
        <w:left w:val="none" w:sz="0" w:space="0" w:color="auto"/>
        <w:bottom w:val="none" w:sz="0" w:space="0" w:color="auto"/>
        <w:right w:val="none" w:sz="0" w:space="0" w:color="auto"/>
      </w:divBdr>
    </w:div>
    <w:div w:id="1958754343">
      <w:bodyDiv w:val="1"/>
      <w:marLeft w:val="0"/>
      <w:marRight w:val="0"/>
      <w:marTop w:val="0"/>
      <w:marBottom w:val="0"/>
      <w:divBdr>
        <w:top w:val="none" w:sz="0" w:space="0" w:color="auto"/>
        <w:left w:val="none" w:sz="0" w:space="0" w:color="auto"/>
        <w:bottom w:val="none" w:sz="0" w:space="0" w:color="auto"/>
        <w:right w:val="none" w:sz="0" w:space="0" w:color="auto"/>
      </w:divBdr>
    </w:div>
    <w:div w:id="2003660906">
      <w:bodyDiv w:val="1"/>
      <w:marLeft w:val="0"/>
      <w:marRight w:val="0"/>
      <w:marTop w:val="0"/>
      <w:marBottom w:val="0"/>
      <w:divBdr>
        <w:top w:val="none" w:sz="0" w:space="0" w:color="auto"/>
        <w:left w:val="none" w:sz="0" w:space="0" w:color="auto"/>
        <w:bottom w:val="none" w:sz="0" w:space="0" w:color="auto"/>
        <w:right w:val="none" w:sz="0" w:space="0" w:color="auto"/>
      </w:divBdr>
    </w:div>
    <w:div w:id="2009214906">
      <w:bodyDiv w:val="1"/>
      <w:marLeft w:val="0"/>
      <w:marRight w:val="0"/>
      <w:marTop w:val="0"/>
      <w:marBottom w:val="0"/>
      <w:divBdr>
        <w:top w:val="none" w:sz="0" w:space="0" w:color="auto"/>
        <w:left w:val="none" w:sz="0" w:space="0" w:color="auto"/>
        <w:bottom w:val="none" w:sz="0" w:space="0" w:color="auto"/>
        <w:right w:val="none" w:sz="0" w:space="0" w:color="auto"/>
      </w:divBdr>
    </w:div>
    <w:div w:id="2080514339">
      <w:bodyDiv w:val="1"/>
      <w:marLeft w:val="0"/>
      <w:marRight w:val="0"/>
      <w:marTop w:val="0"/>
      <w:marBottom w:val="0"/>
      <w:divBdr>
        <w:top w:val="none" w:sz="0" w:space="0" w:color="auto"/>
        <w:left w:val="none" w:sz="0" w:space="0" w:color="auto"/>
        <w:bottom w:val="none" w:sz="0" w:space="0" w:color="auto"/>
        <w:right w:val="none" w:sz="0" w:space="0" w:color="auto"/>
      </w:divBdr>
    </w:div>
    <w:div w:id="2086343004">
      <w:bodyDiv w:val="1"/>
      <w:marLeft w:val="0"/>
      <w:marRight w:val="0"/>
      <w:marTop w:val="0"/>
      <w:marBottom w:val="0"/>
      <w:divBdr>
        <w:top w:val="none" w:sz="0" w:space="0" w:color="auto"/>
        <w:left w:val="none" w:sz="0" w:space="0" w:color="auto"/>
        <w:bottom w:val="none" w:sz="0" w:space="0" w:color="auto"/>
        <w:right w:val="none" w:sz="0" w:space="0" w:color="auto"/>
      </w:divBdr>
    </w:div>
    <w:div w:id="2109080334">
      <w:bodyDiv w:val="1"/>
      <w:marLeft w:val="0"/>
      <w:marRight w:val="0"/>
      <w:marTop w:val="0"/>
      <w:marBottom w:val="0"/>
      <w:divBdr>
        <w:top w:val="none" w:sz="0" w:space="0" w:color="auto"/>
        <w:left w:val="none" w:sz="0" w:space="0" w:color="auto"/>
        <w:bottom w:val="none" w:sz="0" w:space="0" w:color="auto"/>
        <w:right w:val="none" w:sz="0" w:space="0" w:color="auto"/>
      </w:divBdr>
    </w:div>
    <w:div w:id="2109538961">
      <w:bodyDiv w:val="1"/>
      <w:marLeft w:val="0"/>
      <w:marRight w:val="0"/>
      <w:marTop w:val="0"/>
      <w:marBottom w:val="0"/>
      <w:divBdr>
        <w:top w:val="none" w:sz="0" w:space="0" w:color="auto"/>
        <w:left w:val="none" w:sz="0" w:space="0" w:color="auto"/>
        <w:bottom w:val="none" w:sz="0" w:space="0" w:color="auto"/>
        <w:right w:val="none" w:sz="0" w:space="0" w:color="auto"/>
      </w:divBdr>
    </w:div>
    <w:div w:id="21096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D0A5-0712-4C15-BDD6-D4BDAC39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ETNA RESOURCES INC</vt:lpstr>
    </vt:vector>
  </TitlesOfParts>
  <Company>Toshiba</Company>
  <LinksUpToDate>false</LinksUpToDate>
  <CharactersWithSpaces>30530</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ETNA RESOURCES INC</dc:title>
  <dc:subject/>
  <dc:creator>Pam Petersen</dc:creator>
  <cp:keywords>CW3386441.3</cp:keywords>
  <dc:description>34694-0001</dc:description>
  <cp:lastModifiedBy>Mathew Lee</cp:lastModifiedBy>
  <cp:revision>148</cp:revision>
  <cp:lastPrinted>2021-04-27T00:08:00Z</cp:lastPrinted>
  <dcterms:created xsi:type="dcterms:W3CDTF">2020-08-26T17:01:00Z</dcterms:created>
  <dcterms:modified xsi:type="dcterms:W3CDTF">2021-08-30T20:22:00Z</dcterms:modified>
</cp:coreProperties>
</file>