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213B" w14:textId="77777777" w:rsidR="00C24597" w:rsidRDefault="00C24597" w:rsidP="00C24597">
      <w:pPr>
        <w:widowControl/>
      </w:pPr>
    </w:p>
    <w:p w14:paraId="789B8A87" w14:textId="77777777" w:rsidR="00C24597" w:rsidRDefault="00C24597" w:rsidP="00C24597">
      <w:pPr>
        <w:widowControl/>
      </w:pPr>
    </w:p>
    <w:p w14:paraId="021E62CB" w14:textId="77777777" w:rsidR="00C24597" w:rsidRDefault="00C24597" w:rsidP="00C24597">
      <w:pPr>
        <w:widowControl/>
      </w:pPr>
    </w:p>
    <w:p w14:paraId="62C0C210" w14:textId="77777777" w:rsidR="00C24597" w:rsidRDefault="00C24597" w:rsidP="00C24597">
      <w:pPr>
        <w:widowControl/>
      </w:pPr>
    </w:p>
    <w:p w14:paraId="17E1C220" w14:textId="77777777" w:rsidR="00C24597" w:rsidRDefault="00C24597" w:rsidP="00C24597">
      <w:pPr>
        <w:widowControl/>
      </w:pPr>
    </w:p>
    <w:p w14:paraId="4AE0F5BB" w14:textId="77777777" w:rsidR="00C24597" w:rsidRPr="00665892" w:rsidRDefault="00C24597" w:rsidP="00C24597">
      <w:pPr>
        <w:widowControl/>
      </w:pPr>
    </w:p>
    <w:p w14:paraId="333FD1F0" w14:textId="77777777" w:rsidR="00C24597" w:rsidRPr="00665892" w:rsidRDefault="00C24597" w:rsidP="00C24597">
      <w:pPr>
        <w:widowControl/>
      </w:pPr>
    </w:p>
    <w:p w14:paraId="3265B736" w14:textId="77777777" w:rsidR="00C24597" w:rsidRPr="00665892" w:rsidRDefault="00C24597" w:rsidP="00C24597">
      <w:pPr>
        <w:widowControl/>
      </w:pPr>
    </w:p>
    <w:p w14:paraId="03324FFD" w14:textId="77777777" w:rsidR="00C24597" w:rsidRPr="00665892" w:rsidRDefault="00C24597" w:rsidP="00C24597">
      <w:pPr>
        <w:widowControl/>
      </w:pPr>
    </w:p>
    <w:p w14:paraId="3C334752" w14:textId="77777777" w:rsidR="00C24597" w:rsidRDefault="00C24597" w:rsidP="00C24597">
      <w:pPr>
        <w:jc w:val="center"/>
        <w:rPr>
          <w:b/>
          <w:sz w:val="28"/>
          <w:szCs w:val="28"/>
        </w:rPr>
      </w:pPr>
    </w:p>
    <w:p w14:paraId="1643E74A" w14:textId="77777777" w:rsidR="00C24597" w:rsidRPr="00004257" w:rsidRDefault="000F0FB5" w:rsidP="00CB53BC">
      <w:pPr>
        <w:widowControl/>
        <w:ind w:left="567"/>
        <w:rPr>
          <w:rFonts w:ascii="Arial" w:hAnsi="Arial" w:cs="Arial"/>
          <w:b/>
          <w:szCs w:val="22"/>
        </w:rPr>
      </w:pPr>
      <w:r>
        <w:rPr>
          <w:rFonts w:ascii="Arial" w:hAnsi="Arial" w:cs="Arial"/>
          <w:b/>
          <w:szCs w:val="22"/>
        </w:rPr>
        <w:t xml:space="preserve">DELIC HOLDINGS INC. </w:t>
      </w:r>
    </w:p>
    <w:p w14:paraId="460CCBD6" w14:textId="77777777" w:rsidR="00C24597" w:rsidRPr="00004257" w:rsidRDefault="00A11BD9" w:rsidP="00CB53BC">
      <w:pPr>
        <w:widowControl/>
        <w:ind w:left="567"/>
        <w:outlineLvl w:val="0"/>
        <w:rPr>
          <w:rFonts w:ascii="Arial" w:hAnsi="Arial" w:cs="Arial"/>
          <w:b/>
          <w:bCs/>
          <w:szCs w:val="22"/>
        </w:rPr>
      </w:pPr>
      <w:r>
        <w:rPr>
          <w:rFonts w:ascii="Arial" w:hAnsi="Arial" w:cs="Arial"/>
          <w:b/>
          <w:bCs/>
          <w:szCs w:val="22"/>
        </w:rPr>
        <w:t>Condensed Consolidated Interim</w:t>
      </w:r>
      <w:r w:rsidR="000F0FB5">
        <w:rPr>
          <w:rFonts w:ascii="Arial" w:hAnsi="Arial" w:cs="Arial"/>
          <w:b/>
          <w:bCs/>
          <w:szCs w:val="22"/>
        </w:rPr>
        <w:t xml:space="preserve"> Financial Statements</w:t>
      </w:r>
    </w:p>
    <w:p w14:paraId="73F4B54B" w14:textId="77777777" w:rsidR="00C24597" w:rsidRPr="00004257" w:rsidRDefault="00C24597" w:rsidP="00CB53BC">
      <w:pPr>
        <w:widowControl/>
        <w:ind w:left="567"/>
        <w:rPr>
          <w:rFonts w:ascii="Arial" w:hAnsi="Arial" w:cs="Arial"/>
          <w:b/>
          <w:bCs/>
          <w:szCs w:val="22"/>
        </w:rPr>
      </w:pPr>
    </w:p>
    <w:p w14:paraId="0DDBF54F" w14:textId="682FC9EE" w:rsidR="00A72486" w:rsidRPr="00004257" w:rsidRDefault="00A11BD9" w:rsidP="00CB53BC">
      <w:pPr>
        <w:widowControl/>
        <w:ind w:left="567"/>
        <w:rPr>
          <w:rFonts w:ascii="Arial" w:hAnsi="Arial" w:cs="Arial"/>
          <w:b/>
          <w:szCs w:val="22"/>
        </w:rPr>
      </w:pPr>
      <w:r>
        <w:rPr>
          <w:rFonts w:ascii="Arial" w:hAnsi="Arial" w:cs="Arial"/>
          <w:b/>
          <w:szCs w:val="22"/>
        </w:rPr>
        <w:t xml:space="preserve">For the </w:t>
      </w:r>
      <w:r w:rsidR="0064738D">
        <w:rPr>
          <w:rFonts w:ascii="Arial" w:hAnsi="Arial" w:cs="Arial"/>
          <w:b/>
          <w:szCs w:val="22"/>
        </w:rPr>
        <w:t>six</w:t>
      </w:r>
      <w:r w:rsidR="002D3342">
        <w:rPr>
          <w:rFonts w:ascii="Arial" w:hAnsi="Arial" w:cs="Arial"/>
          <w:b/>
          <w:szCs w:val="22"/>
        </w:rPr>
        <w:t xml:space="preserve"> months</w:t>
      </w:r>
      <w:r>
        <w:rPr>
          <w:rFonts w:ascii="Arial" w:hAnsi="Arial" w:cs="Arial"/>
          <w:b/>
          <w:szCs w:val="22"/>
        </w:rPr>
        <w:t xml:space="preserve"> ended </w:t>
      </w:r>
      <w:r w:rsidR="0064738D">
        <w:rPr>
          <w:rFonts w:ascii="Arial" w:hAnsi="Arial" w:cs="Arial"/>
          <w:b/>
          <w:szCs w:val="22"/>
        </w:rPr>
        <w:t>June 30</w:t>
      </w:r>
      <w:r>
        <w:rPr>
          <w:rFonts w:ascii="Arial" w:hAnsi="Arial" w:cs="Arial"/>
          <w:b/>
          <w:szCs w:val="22"/>
        </w:rPr>
        <w:t xml:space="preserve">, </w:t>
      </w:r>
      <w:proofErr w:type="gramStart"/>
      <w:r>
        <w:rPr>
          <w:rFonts w:ascii="Arial" w:hAnsi="Arial" w:cs="Arial"/>
          <w:b/>
          <w:szCs w:val="22"/>
        </w:rPr>
        <w:t>2021</w:t>
      </w:r>
      <w:proofErr w:type="gramEnd"/>
      <w:r w:rsidR="002D3342">
        <w:rPr>
          <w:rFonts w:ascii="Arial" w:hAnsi="Arial" w:cs="Arial"/>
          <w:b/>
          <w:szCs w:val="22"/>
        </w:rPr>
        <w:t xml:space="preserve"> and 2020</w:t>
      </w:r>
    </w:p>
    <w:p w14:paraId="4A5EA34D" w14:textId="77777777" w:rsidR="00C24597" w:rsidRPr="00004257" w:rsidRDefault="00C24597" w:rsidP="00CB53BC">
      <w:pPr>
        <w:widowControl/>
        <w:ind w:left="567"/>
        <w:rPr>
          <w:rFonts w:ascii="Arial" w:hAnsi="Arial" w:cs="Arial"/>
          <w:b/>
          <w:szCs w:val="22"/>
        </w:rPr>
      </w:pPr>
    </w:p>
    <w:p w14:paraId="2BABA561" w14:textId="77777777" w:rsidR="00C24597" w:rsidRPr="00004257" w:rsidRDefault="00C24597" w:rsidP="00CB53BC">
      <w:pPr>
        <w:widowControl/>
        <w:ind w:left="567"/>
        <w:rPr>
          <w:rFonts w:ascii="Arial" w:hAnsi="Arial" w:cs="Arial"/>
          <w:szCs w:val="22"/>
        </w:rPr>
      </w:pPr>
    </w:p>
    <w:p w14:paraId="72F43CFF" w14:textId="77777777" w:rsidR="00C24597" w:rsidRPr="00004257" w:rsidRDefault="00C24597" w:rsidP="00CB53BC">
      <w:pPr>
        <w:widowControl/>
        <w:ind w:left="567"/>
        <w:rPr>
          <w:rFonts w:ascii="Arial" w:hAnsi="Arial" w:cs="Arial"/>
          <w:szCs w:val="22"/>
        </w:rPr>
      </w:pPr>
    </w:p>
    <w:p w14:paraId="1ED4FCC6" w14:textId="77777777" w:rsidR="00C24597" w:rsidRPr="00004257" w:rsidRDefault="00C24597" w:rsidP="00CB53BC">
      <w:pPr>
        <w:widowControl/>
        <w:ind w:left="567"/>
        <w:rPr>
          <w:rFonts w:ascii="Arial" w:hAnsi="Arial" w:cs="Arial"/>
          <w:szCs w:val="22"/>
        </w:rPr>
      </w:pPr>
    </w:p>
    <w:p w14:paraId="6BF1EE66" w14:textId="77777777" w:rsidR="00C24597" w:rsidRPr="00004257" w:rsidRDefault="00C24597" w:rsidP="00CB53BC">
      <w:pPr>
        <w:widowControl/>
        <w:ind w:left="567"/>
        <w:rPr>
          <w:rFonts w:ascii="Arial" w:hAnsi="Arial" w:cs="Arial"/>
          <w:szCs w:val="22"/>
        </w:rPr>
      </w:pPr>
    </w:p>
    <w:p w14:paraId="3B53C148" w14:textId="77777777" w:rsidR="00C24597" w:rsidRPr="00004257" w:rsidRDefault="00C24597" w:rsidP="00CB53BC">
      <w:pPr>
        <w:widowControl/>
        <w:ind w:left="567"/>
        <w:rPr>
          <w:rFonts w:ascii="Arial" w:hAnsi="Arial" w:cs="Arial"/>
          <w:szCs w:val="22"/>
        </w:rPr>
      </w:pPr>
    </w:p>
    <w:p w14:paraId="172AB54F" w14:textId="77777777" w:rsidR="00C24597" w:rsidRPr="00004257" w:rsidRDefault="00C24597" w:rsidP="00CB53BC">
      <w:pPr>
        <w:widowControl/>
        <w:tabs>
          <w:tab w:val="left" w:pos="720"/>
          <w:tab w:val="decimal" w:pos="8949"/>
        </w:tabs>
        <w:ind w:left="567"/>
        <w:rPr>
          <w:rFonts w:ascii="Arial" w:hAnsi="Arial" w:cs="Arial"/>
          <w:szCs w:val="22"/>
        </w:rPr>
      </w:pPr>
      <w:r w:rsidRPr="00004257">
        <w:rPr>
          <w:rFonts w:ascii="Arial" w:hAnsi="Arial" w:cs="Arial"/>
          <w:b/>
          <w:bCs/>
          <w:szCs w:val="22"/>
          <w:u w:val="single"/>
        </w:rPr>
        <w:t>INDEX</w:t>
      </w:r>
      <w:r w:rsidRPr="00004257">
        <w:rPr>
          <w:rFonts w:ascii="Arial" w:hAnsi="Arial" w:cs="Arial"/>
          <w:szCs w:val="22"/>
        </w:rPr>
        <w:tab/>
      </w:r>
      <w:r w:rsidRPr="00004257">
        <w:rPr>
          <w:rFonts w:ascii="Arial" w:hAnsi="Arial" w:cs="Arial"/>
          <w:b/>
          <w:bCs/>
          <w:szCs w:val="22"/>
          <w:u w:val="single"/>
        </w:rPr>
        <w:t>Page</w:t>
      </w:r>
    </w:p>
    <w:p w14:paraId="5C7A5C7B" w14:textId="77777777" w:rsidR="00C24597" w:rsidRPr="00004257" w:rsidRDefault="00C24597" w:rsidP="00CB53BC">
      <w:pPr>
        <w:widowControl/>
        <w:tabs>
          <w:tab w:val="left" w:pos="720"/>
          <w:tab w:val="decimal" w:pos="8949"/>
        </w:tabs>
        <w:ind w:left="567"/>
        <w:rPr>
          <w:rFonts w:ascii="Arial" w:hAnsi="Arial" w:cs="Arial"/>
          <w:szCs w:val="22"/>
        </w:rPr>
      </w:pPr>
    </w:p>
    <w:p w14:paraId="5D3AD125" w14:textId="77777777" w:rsidR="00C24597" w:rsidRPr="00004257" w:rsidRDefault="00C24597" w:rsidP="00CB53BC">
      <w:pPr>
        <w:widowControl/>
        <w:tabs>
          <w:tab w:val="left" w:pos="720"/>
          <w:tab w:val="decimal" w:pos="8820"/>
        </w:tabs>
        <w:ind w:left="567"/>
        <w:rPr>
          <w:rFonts w:ascii="Arial" w:hAnsi="Arial" w:cs="Arial"/>
          <w:szCs w:val="22"/>
        </w:rPr>
      </w:pPr>
    </w:p>
    <w:p w14:paraId="347658F3" w14:textId="77777777" w:rsidR="00C24597" w:rsidRPr="00004257" w:rsidRDefault="00C24597" w:rsidP="00CB53BC">
      <w:pPr>
        <w:widowControl/>
        <w:tabs>
          <w:tab w:val="left" w:pos="720"/>
          <w:tab w:val="decimal" w:pos="8730"/>
        </w:tabs>
        <w:ind w:left="567"/>
        <w:rPr>
          <w:rFonts w:ascii="Arial" w:hAnsi="Arial" w:cs="Arial"/>
          <w:b/>
          <w:bCs/>
          <w:szCs w:val="22"/>
        </w:rPr>
      </w:pPr>
    </w:p>
    <w:p w14:paraId="3B3F3A52" w14:textId="77777777" w:rsidR="00C24597" w:rsidRDefault="00C24597" w:rsidP="00CB53BC">
      <w:pPr>
        <w:widowControl/>
        <w:tabs>
          <w:tab w:val="left" w:pos="720"/>
          <w:tab w:val="decimal" w:pos="8820"/>
        </w:tabs>
        <w:ind w:left="567"/>
        <w:rPr>
          <w:rFonts w:ascii="Arial" w:hAnsi="Arial" w:cs="Arial"/>
          <w:szCs w:val="22"/>
        </w:rPr>
      </w:pPr>
    </w:p>
    <w:p w14:paraId="03AD1FAE" w14:textId="77777777" w:rsidR="00C24597" w:rsidRDefault="00C24597" w:rsidP="00CB53BC">
      <w:pPr>
        <w:widowControl/>
        <w:tabs>
          <w:tab w:val="left" w:pos="720"/>
          <w:tab w:val="decimal" w:pos="8820"/>
        </w:tabs>
        <w:ind w:left="567"/>
        <w:rPr>
          <w:rFonts w:ascii="Arial" w:hAnsi="Arial" w:cs="Arial"/>
          <w:szCs w:val="22"/>
        </w:rPr>
      </w:pPr>
    </w:p>
    <w:p w14:paraId="23A4F90E" w14:textId="5EAC580D" w:rsidR="00C24597" w:rsidRPr="00004257" w:rsidRDefault="00A11BD9" w:rsidP="00CB53BC">
      <w:pPr>
        <w:widowControl/>
        <w:tabs>
          <w:tab w:val="left" w:pos="720"/>
          <w:tab w:val="decimal" w:pos="8820"/>
        </w:tabs>
        <w:ind w:left="567"/>
        <w:rPr>
          <w:rFonts w:ascii="Arial" w:hAnsi="Arial" w:cs="Arial"/>
          <w:szCs w:val="22"/>
        </w:rPr>
      </w:pPr>
      <w:r>
        <w:rPr>
          <w:rFonts w:ascii="Arial" w:hAnsi="Arial" w:cs="Arial"/>
          <w:szCs w:val="22"/>
        </w:rPr>
        <w:t>Condensed Consolidated Interim</w:t>
      </w:r>
      <w:r w:rsidR="0078102B">
        <w:rPr>
          <w:rFonts w:ascii="Arial" w:hAnsi="Arial" w:cs="Arial"/>
          <w:szCs w:val="22"/>
        </w:rPr>
        <w:t xml:space="preserve"> </w:t>
      </w:r>
      <w:r w:rsidR="00C24597" w:rsidRPr="00004257">
        <w:rPr>
          <w:rFonts w:ascii="Arial" w:hAnsi="Arial" w:cs="Arial"/>
          <w:szCs w:val="22"/>
        </w:rPr>
        <w:t>Statements of Financial Position</w:t>
      </w:r>
      <w:r w:rsidR="00C24597" w:rsidRPr="00004257">
        <w:rPr>
          <w:rFonts w:ascii="Arial" w:hAnsi="Arial" w:cs="Arial"/>
          <w:szCs w:val="22"/>
        </w:rPr>
        <w:tab/>
      </w:r>
      <w:r w:rsidR="00DA68EE">
        <w:rPr>
          <w:rFonts w:ascii="Arial" w:hAnsi="Arial" w:cs="Arial"/>
          <w:szCs w:val="22"/>
        </w:rPr>
        <w:t>2</w:t>
      </w:r>
    </w:p>
    <w:p w14:paraId="0AF35353" w14:textId="77777777" w:rsidR="00C24597" w:rsidRPr="00004257" w:rsidRDefault="00C24597" w:rsidP="00CB53BC">
      <w:pPr>
        <w:widowControl/>
        <w:tabs>
          <w:tab w:val="left" w:pos="720"/>
          <w:tab w:val="decimal" w:pos="8820"/>
        </w:tabs>
        <w:ind w:left="567"/>
        <w:rPr>
          <w:rFonts w:ascii="Arial" w:hAnsi="Arial" w:cs="Arial"/>
          <w:szCs w:val="22"/>
        </w:rPr>
      </w:pPr>
    </w:p>
    <w:p w14:paraId="33D04456" w14:textId="14BAD101" w:rsidR="00C24597" w:rsidRPr="00004257" w:rsidRDefault="00A11BD9" w:rsidP="00CB53BC">
      <w:pPr>
        <w:widowControl/>
        <w:tabs>
          <w:tab w:val="left" w:pos="720"/>
          <w:tab w:val="decimal" w:pos="8820"/>
        </w:tabs>
        <w:ind w:left="567"/>
        <w:rPr>
          <w:rFonts w:ascii="Arial" w:hAnsi="Arial" w:cs="Arial"/>
          <w:szCs w:val="22"/>
        </w:rPr>
      </w:pPr>
      <w:r>
        <w:rPr>
          <w:rFonts w:ascii="Arial" w:hAnsi="Arial" w:cs="Arial"/>
          <w:szCs w:val="22"/>
        </w:rPr>
        <w:t>Condensed Consolidated Interim</w:t>
      </w:r>
      <w:r w:rsidR="0078102B">
        <w:rPr>
          <w:rFonts w:ascii="Arial" w:hAnsi="Arial" w:cs="Arial"/>
          <w:szCs w:val="22"/>
        </w:rPr>
        <w:t xml:space="preserve"> </w:t>
      </w:r>
      <w:r w:rsidR="00C24597" w:rsidRPr="00004257">
        <w:rPr>
          <w:rFonts w:ascii="Arial" w:hAnsi="Arial" w:cs="Arial"/>
          <w:szCs w:val="22"/>
        </w:rPr>
        <w:t>Statements of Comprehensive Loss</w:t>
      </w:r>
      <w:r w:rsidR="00C24597" w:rsidRPr="00004257">
        <w:rPr>
          <w:rFonts w:ascii="Arial" w:hAnsi="Arial" w:cs="Arial"/>
          <w:szCs w:val="22"/>
        </w:rPr>
        <w:tab/>
      </w:r>
      <w:r w:rsidR="00DA68EE">
        <w:rPr>
          <w:rFonts w:ascii="Arial" w:hAnsi="Arial" w:cs="Arial"/>
          <w:szCs w:val="22"/>
        </w:rPr>
        <w:t>3</w:t>
      </w:r>
    </w:p>
    <w:p w14:paraId="57DA5F06" w14:textId="77777777" w:rsidR="00C24597" w:rsidRPr="00004257" w:rsidRDefault="00C24597" w:rsidP="00CB53BC">
      <w:pPr>
        <w:widowControl/>
        <w:tabs>
          <w:tab w:val="left" w:pos="720"/>
          <w:tab w:val="decimal" w:pos="8820"/>
        </w:tabs>
        <w:ind w:left="567"/>
        <w:rPr>
          <w:rFonts w:ascii="Arial" w:hAnsi="Arial" w:cs="Arial"/>
          <w:szCs w:val="22"/>
        </w:rPr>
      </w:pPr>
    </w:p>
    <w:p w14:paraId="6F7C4377" w14:textId="5DF0C484" w:rsidR="00C24597" w:rsidRPr="00004257" w:rsidRDefault="00A11BD9" w:rsidP="00CB53BC">
      <w:pPr>
        <w:widowControl/>
        <w:tabs>
          <w:tab w:val="left" w:pos="720"/>
          <w:tab w:val="decimal" w:pos="8820"/>
        </w:tabs>
        <w:ind w:left="567"/>
        <w:rPr>
          <w:rFonts w:ascii="Arial" w:hAnsi="Arial" w:cs="Arial"/>
          <w:szCs w:val="22"/>
        </w:rPr>
      </w:pPr>
      <w:r>
        <w:rPr>
          <w:rFonts w:ascii="Arial" w:hAnsi="Arial" w:cs="Arial"/>
          <w:szCs w:val="22"/>
        </w:rPr>
        <w:t>Condensed Consolidated Interim</w:t>
      </w:r>
      <w:r w:rsidR="0078102B">
        <w:rPr>
          <w:rFonts w:ascii="Arial" w:hAnsi="Arial" w:cs="Arial"/>
          <w:szCs w:val="22"/>
        </w:rPr>
        <w:t xml:space="preserve"> </w:t>
      </w:r>
      <w:r w:rsidR="00C24597" w:rsidRPr="00004257">
        <w:rPr>
          <w:rFonts w:ascii="Arial" w:hAnsi="Arial" w:cs="Arial"/>
          <w:szCs w:val="22"/>
        </w:rPr>
        <w:t>Statements of Changes in Equity</w:t>
      </w:r>
      <w:r w:rsidR="00C24597" w:rsidRPr="00004257">
        <w:rPr>
          <w:rFonts w:ascii="Arial" w:hAnsi="Arial" w:cs="Arial"/>
          <w:szCs w:val="22"/>
        </w:rPr>
        <w:tab/>
      </w:r>
      <w:r w:rsidR="00DA68EE">
        <w:rPr>
          <w:rFonts w:ascii="Arial" w:hAnsi="Arial" w:cs="Arial"/>
          <w:szCs w:val="22"/>
        </w:rPr>
        <w:t>4</w:t>
      </w:r>
    </w:p>
    <w:p w14:paraId="0D3527B7" w14:textId="77777777" w:rsidR="00C24597" w:rsidRPr="00004257" w:rsidRDefault="00C24597" w:rsidP="00CB53BC">
      <w:pPr>
        <w:widowControl/>
        <w:tabs>
          <w:tab w:val="left" w:pos="720"/>
          <w:tab w:val="decimal" w:pos="8820"/>
        </w:tabs>
        <w:ind w:left="567"/>
        <w:rPr>
          <w:rFonts w:ascii="Arial" w:hAnsi="Arial" w:cs="Arial"/>
          <w:szCs w:val="22"/>
        </w:rPr>
      </w:pPr>
    </w:p>
    <w:p w14:paraId="4B415825" w14:textId="78AFDBC9" w:rsidR="00C24597" w:rsidRPr="00004257" w:rsidRDefault="00A11BD9" w:rsidP="00CB53BC">
      <w:pPr>
        <w:widowControl/>
        <w:tabs>
          <w:tab w:val="left" w:pos="720"/>
          <w:tab w:val="decimal" w:pos="8820"/>
        </w:tabs>
        <w:ind w:left="567"/>
        <w:rPr>
          <w:rFonts w:ascii="Arial" w:hAnsi="Arial" w:cs="Arial"/>
          <w:szCs w:val="22"/>
        </w:rPr>
      </w:pPr>
      <w:r>
        <w:rPr>
          <w:rFonts w:ascii="Arial" w:hAnsi="Arial" w:cs="Arial"/>
          <w:szCs w:val="22"/>
        </w:rPr>
        <w:t>Condensed Consolidated Interim</w:t>
      </w:r>
      <w:r w:rsidR="0078102B">
        <w:rPr>
          <w:rFonts w:ascii="Arial" w:hAnsi="Arial" w:cs="Arial"/>
          <w:szCs w:val="22"/>
        </w:rPr>
        <w:t xml:space="preserve"> </w:t>
      </w:r>
      <w:r w:rsidR="00C24597" w:rsidRPr="00004257">
        <w:rPr>
          <w:rFonts w:ascii="Arial" w:hAnsi="Arial" w:cs="Arial"/>
          <w:szCs w:val="22"/>
        </w:rPr>
        <w:t>Statements of Cash Flows</w:t>
      </w:r>
      <w:r w:rsidR="00C24597" w:rsidRPr="00004257">
        <w:rPr>
          <w:rFonts w:ascii="Arial" w:hAnsi="Arial" w:cs="Arial"/>
          <w:szCs w:val="22"/>
        </w:rPr>
        <w:tab/>
      </w:r>
      <w:r w:rsidR="00DA68EE">
        <w:rPr>
          <w:rFonts w:ascii="Arial" w:hAnsi="Arial" w:cs="Arial"/>
          <w:szCs w:val="22"/>
        </w:rPr>
        <w:t>5</w:t>
      </w:r>
    </w:p>
    <w:p w14:paraId="24DF53EB" w14:textId="77777777" w:rsidR="00C24597" w:rsidRPr="00004257" w:rsidRDefault="00C24597" w:rsidP="00CB53BC">
      <w:pPr>
        <w:widowControl/>
        <w:tabs>
          <w:tab w:val="left" w:pos="720"/>
          <w:tab w:val="decimal" w:pos="8820"/>
        </w:tabs>
        <w:ind w:left="567"/>
        <w:rPr>
          <w:rFonts w:ascii="Arial" w:hAnsi="Arial" w:cs="Arial"/>
          <w:szCs w:val="22"/>
        </w:rPr>
      </w:pPr>
    </w:p>
    <w:p w14:paraId="26A314FF" w14:textId="60A35BAB" w:rsidR="006C5FDC" w:rsidRDefault="00C24597" w:rsidP="00CB53BC">
      <w:pPr>
        <w:widowControl/>
        <w:tabs>
          <w:tab w:val="left" w:pos="720"/>
          <w:tab w:val="decimal" w:pos="8730"/>
        </w:tabs>
        <w:ind w:left="567"/>
        <w:rPr>
          <w:rFonts w:ascii="Arial" w:hAnsi="Arial" w:cs="Arial"/>
          <w:szCs w:val="22"/>
        </w:rPr>
      </w:pPr>
      <w:r w:rsidRPr="00004257">
        <w:rPr>
          <w:rFonts w:ascii="Arial" w:hAnsi="Arial" w:cs="Arial"/>
          <w:szCs w:val="22"/>
        </w:rPr>
        <w:t xml:space="preserve">Notes to </w:t>
      </w:r>
      <w:r>
        <w:rPr>
          <w:rFonts w:ascii="Arial" w:hAnsi="Arial" w:cs="Arial"/>
          <w:szCs w:val="22"/>
        </w:rPr>
        <w:t>the</w:t>
      </w:r>
      <w:r w:rsidR="0078102B">
        <w:rPr>
          <w:rFonts w:ascii="Arial" w:hAnsi="Arial" w:cs="Arial"/>
          <w:szCs w:val="22"/>
        </w:rPr>
        <w:t xml:space="preserve"> </w:t>
      </w:r>
      <w:r w:rsidR="00A11BD9">
        <w:rPr>
          <w:rFonts w:ascii="Arial" w:hAnsi="Arial" w:cs="Arial"/>
          <w:szCs w:val="22"/>
        </w:rPr>
        <w:t>Condensed Consolidated Interim</w:t>
      </w:r>
      <w:r>
        <w:rPr>
          <w:rFonts w:ascii="Arial" w:hAnsi="Arial" w:cs="Arial"/>
          <w:szCs w:val="22"/>
        </w:rPr>
        <w:t xml:space="preserve"> </w:t>
      </w:r>
      <w:r w:rsidRPr="00004257">
        <w:rPr>
          <w:rFonts w:ascii="Arial" w:hAnsi="Arial" w:cs="Arial"/>
          <w:szCs w:val="22"/>
        </w:rPr>
        <w:t>Financial Statements</w:t>
      </w:r>
      <w:r w:rsidRPr="00004257">
        <w:rPr>
          <w:rFonts w:ascii="Arial" w:hAnsi="Arial" w:cs="Arial"/>
          <w:szCs w:val="22"/>
        </w:rPr>
        <w:tab/>
      </w:r>
      <w:r w:rsidR="00F4593F">
        <w:rPr>
          <w:rFonts w:ascii="Arial" w:hAnsi="Arial" w:cs="Arial"/>
          <w:szCs w:val="22"/>
        </w:rPr>
        <w:t>6-20</w:t>
      </w:r>
    </w:p>
    <w:p w14:paraId="59693E12" w14:textId="77777777" w:rsidR="00C24597" w:rsidRDefault="00C24597" w:rsidP="00CB53BC">
      <w:pPr>
        <w:widowControl/>
        <w:tabs>
          <w:tab w:val="left" w:pos="720"/>
          <w:tab w:val="decimal" w:pos="8730"/>
        </w:tabs>
        <w:ind w:left="567"/>
        <w:rPr>
          <w:rFonts w:ascii="Arial" w:hAnsi="Arial" w:cs="Arial"/>
          <w:szCs w:val="22"/>
        </w:rPr>
      </w:pPr>
    </w:p>
    <w:p w14:paraId="357F24A9" w14:textId="77777777" w:rsidR="005B1F55" w:rsidRDefault="005B1F55" w:rsidP="00CB53BC">
      <w:pPr>
        <w:widowControl/>
        <w:tabs>
          <w:tab w:val="left" w:pos="720"/>
          <w:tab w:val="decimal" w:pos="8730"/>
        </w:tabs>
        <w:ind w:left="567"/>
        <w:rPr>
          <w:rFonts w:ascii="Arial" w:hAnsi="Arial" w:cs="Arial"/>
          <w:szCs w:val="22"/>
        </w:rPr>
      </w:pPr>
    </w:p>
    <w:p w14:paraId="69AE455A" w14:textId="77777777" w:rsidR="005B1F55" w:rsidRDefault="005B1F55" w:rsidP="00CB53BC">
      <w:pPr>
        <w:widowControl/>
        <w:tabs>
          <w:tab w:val="left" w:pos="720"/>
          <w:tab w:val="decimal" w:pos="8730"/>
        </w:tabs>
        <w:ind w:left="567"/>
        <w:rPr>
          <w:rFonts w:ascii="Arial" w:hAnsi="Arial" w:cs="Arial"/>
          <w:szCs w:val="22"/>
        </w:rPr>
      </w:pPr>
    </w:p>
    <w:p w14:paraId="5DA7855B" w14:textId="77777777" w:rsidR="005B1F55" w:rsidRDefault="005B1F55" w:rsidP="00CB53BC">
      <w:pPr>
        <w:widowControl/>
        <w:tabs>
          <w:tab w:val="left" w:pos="720"/>
          <w:tab w:val="decimal" w:pos="8730"/>
        </w:tabs>
        <w:ind w:left="567"/>
        <w:rPr>
          <w:rFonts w:ascii="Arial" w:hAnsi="Arial" w:cs="Arial"/>
          <w:szCs w:val="22"/>
        </w:rPr>
      </w:pPr>
    </w:p>
    <w:p w14:paraId="7EB3D0F7" w14:textId="77777777" w:rsidR="005B1F55" w:rsidRDefault="005B1F55" w:rsidP="00C24597">
      <w:pPr>
        <w:widowControl/>
        <w:tabs>
          <w:tab w:val="left" w:pos="720"/>
          <w:tab w:val="decimal" w:pos="8730"/>
        </w:tabs>
        <w:rPr>
          <w:rFonts w:ascii="Arial" w:hAnsi="Arial" w:cs="Arial"/>
          <w:szCs w:val="22"/>
        </w:rPr>
      </w:pPr>
    </w:p>
    <w:p w14:paraId="53649CEC" w14:textId="77777777" w:rsidR="005B1F55" w:rsidRDefault="005B1F55" w:rsidP="00C24597">
      <w:pPr>
        <w:widowControl/>
        <w:tabs>
          <w:tab w:val="left" w:pos="720"/>
          <w:tab w:val="decimal" w:pos="8730"/>
        </w:tabs>
        <w:rPr>
          <w:rFonts w:ascii="Arial" w:hAnsi="Arial" w:cs="Arial"/>
          <w:szCs w:val="22"/>
        </w:rPr>
      </w:pPr>
    </w:p>
    <w:p w14:paraId="55E4FA0D" w14:textId="77777777" w:rsidR="005B1F55" w:rsidRDefault="005B1F55" w:rsidP="00C24597">
      <w:pPr>
        <w:widowControl/>
        <w:tabs>
          <w:tab w:val="left" w:pos="720"/>
          <w:tab w:val="decimal" w:pos="8730"/>
        </w:tabs>
        <w:rPr>
          <w:rFonts w:ascii="Arial" w:hAnsi="Arial" w:cs="Arial"/>
          <w:szCs w:val="22"/>
        </w:rPr>
      </w:pPr>
    </w:p>
    <w:p w14:paraId="4C59A947" w14:textId="77777777" w:rsidR="005B1F55" w:rsidRDefault="005B1F55" w:rsidP="00C24597">
      <w:pPr>
        <w:widowControl/>
        <w:tabs>
          <w:tab w:val="left" w:pos="720"/>
          <w:tab w:val="decimal" w:pos="8730"/>
        </w:tabs>
        <w:rPr>
          <w:rFonts w:ascii="Arial" w:hAnsi="Arial" w:cs="Arial"/>
          <w:szCs w:val="22"/>
        </w:rPr>
      </w:pPr>
    </w:p>
    <w:p w14:paraId="26BFD97E" w14:textId="77777777" w:rsidR="005B1F55" w:rsidRDefault="005B1F55" w:rsidP="00C24597">
      <w:pPr>
        <w:widowControl/>
        <w:tabs>
          <w:tab w:val="left" w:pos="720"/>
          <w:tab w:val="decimal" w:pos="8730"/>
        </w:tabs>
        <w:rPr>
          <w:rFonts w:ascii="Arial" w:hAnsi="Arial" w:cs="Arial"/>
          <w:szCs w:val="22"/>
        </w:rPr>
      </w:pPr>
    </w:p>
    <w:p w14:paraId="2907824E" w14:textId="77777777" w:rsidR="005B1F55" w:rsidRDefault="005B1F55" w:rsidP="00C24597">
      <w:pPr>
        <w:widowControl/>
        <w:tabs>
          <w:tab w:val="left" w:pos="720"/>
          <w:tab w:val="decimal" w:pos="8730"/>
        </w:tabs>
        <w:rPr>
          <w:rFonts w:ascii="Arial" w:hAnsi="Arial" w:cs="Arial"/>
          <w:szCs w:val="22"/>
        </w:rPr>
      </w:pPr>
    </w:p>
    <w:p w14:paraId="201EA169" w14:textId="77777777" w:rsidR="005B1F55" w:rsidRDefault="005B1F55" w:rsidP="00C24597">
      <w:pPr>
        <w:widowControl/>
        <w:tabs>
          <w:tab w:val="left" w:pos="720"/>
          <w:tab w:val="decimal" w:pos="8730"/>
        </w:tabs>
        <w:rPr>
          <w:rFonts w:ascii="Arial" w:hAnsi="Arial" w:cs="Arial"/>
          <w:szCs w:val="22"/>
        </w:rPr>
      </w:pPr>
    </w:p>
    <w:p w14:paraId="52230007" w14:textId="77777777" w:rsidR="005B1F55" w:rsidRDefault="005B1F55" w:rsidP="00C24597">
      <w:pPr>
        <w:widowControl/>
        <w:tabs>
          <w:tab w:val="left" w:pos="720"/>
          <w:tab w:val="decimal" w:pos="8730"/>
        </w:tabs>
        <w:rPr>
          <w:rFonts w:ascii="Arial" w:hAnsi="Arial" w:cs="Arial"/>
          <w:szCs w:val="22"/>
        </w:rPr>
      </w:pPr>
    </w:p>
    <w:p w14:paraId="23C4DFF1" w14:textId="77777777" w:rsidR="005B1F55" w:rsidRDefault="005B1F55" w:rsidP="00C24597">
      <w:pPr>
        <w:widowControl/>
        <w:tabs>
          <w:tab w:val="left" w:pos="720"/>
          <w:tab w:val="decimal" w:pos="8730"/>
        </w:tabs>
        <w:rPr>
          <w:rFonts w:ascii="Arial" w:hAnsi="Arial" w:cs="Arial"/>
          <w:szCs w:val="22"/>
        </w:rPr>
      </w:pPr>
    </w:p>
    <w:p w14:paraId="52CFDA65" w14:textId="77777777" w:rsidR="005B1F55" w:rsidRDefault="005B1F55" w:rsidP="00C24597">
      <w:pPr>
        <w:widowControl/>
        <w:tabs>
          <w:tab w:val="left" w:pos="720"/>
          <w:tab w:val="decimal" w:pos="8730"/>
        </w:tabs>
        <w:rPr>
          <w:rFonts w:ascii="Arial" w:hAnsi="Arial" w:cs="Arial"/>
          <w:szCs w:val="22"/>
        </w:rPr>
      </w:pPr>
    </w:p>
    <w:p w14:paraId="0AFA373A" w14:textId="77777777" w:rsidR="005B1F55" w:rsidRDefault="005B1F55" w:rsidP="00C24597">
      <w:pPr>
        <w:widowControl/>
        <w:tabs>
          <w:tab w:val="left" w:pos="720"/>
          <w:tab w:val="decimal" w:pos="8730"/>
        </w:tabs>
        <w:rPr>
          <w:rFonts w:ascii="Arial" w:hAnsi="Arial" w:cs="Arial"/>
          <w:szCs w:val="22"/>
        </w:rPr>
      </w:pPr>
    </w:p>
    <w:p w14:paraId="3C255A14" w14:textId="77777777" w:rsidR="00A11BD9" w:rsidRDefault="00A11BD9" w:rsidP="00C24597">
      <w:pPr>
        <w:widowControl/>
        <w:tabs>
          <w:tab w:val="left" w:pos="720"/>
          <w:tab w:val="decimal" w:pos="8730"/>
        </w:tabs>
        <w:rPr>
          <w:rFonts w:ascii="Arial" w:hAnsi="Arial" w:cs="Arial"/>
          <w:szCs w:val="22"/>
        </w:rPr>
      </w:pPr>
    </w:p>
    <w:p w14:paraId="7FFD78F8" w14:textId="77777777" w:rsidR="00A11BD9" w:rsidRDefault="00A11BD9" w:rsidP="00C24597">
      <w:pPr>
        <w:widowControl/>
        <w:tabs>
          <w:tab w:val="left" w:pos="720"/>
          <w:tab w:val="decimal" w:pos="8730"/>
        </w:tabs>
        <w:rPr>
          <w:rFonts w:ascii="Arial" w:hAnsi="Arial" w:cs="Arial"/>
          <w:szCs w:val="22"/>
        </w:rPr>
      </w:pPr>
    </w:p>
    <w:p w14:paraId="3A16BBC7" w14:textId="534EBF0E" w:rsidR="00A11BD9" w:rsidRDefault="00A11BD9" w:rsidP="00C24597">
      <w:pPr>
        <w:widowControl/>
        <w:tabs>
          <w:tab w:val="left" w:pos="720"/>
          <w:tab w:val="decimal" w:pos="8730"/>
        </w:tabs>
        <w:rPr>
          <w:rFonts w:ascii="Arial" w:hAnsi="Arial" w:cs="Arial"/>
          <w:szCs w:val="22"/>
        </w:rPr>
      </w:pPr>
    </w:p>
    <w:p w14:paraId="0F046F7B" w14:textId="6C4D8D4D" w:rsidR="00AF535C" w:rsidRDefault="00AF535C" w:rsidP="00C24597">
      <w:pPr>
        <w:widowControl/>
        <w:tabs>
          <w:tab w:val="left" w:pos="720"/>
          <w:tab w:val="decimal" w:pos="8730"/>
        </w:tabs>
        <w:rPr>
          <w:rFonts w:ascii="Arial" w:hAnsi="Arial" w:cs="Arial"/>
          <w:szCs w:val="22"/>
        </w:rPr>
      </w:pPr>
    </w:p>
    <w:p w14:paraId="7632B16A" w14:textId="77777777" w:rsidR="00AF535C" w:rsidRDefault="00AF535C" w:rsidP="00C24597">
      <w:pPr>
        <w:widowControl/>
        <w:tabs>
          <w:tab w:val="left" w:pos="720"/>
          <w:tab w:val="decimal" w:pos="8730"/>
        </w:tabs>
        <w:rPr>
          <w:rFonts w:ascii="Arial" w:hAnsi="Arial" w:cs="Arial"/>
          <w:szCs w:val="22"/>
        </w:rPr>
      </w:pPr>
    </w:p>
    <w:p w14:paraId="152E9A89" w14:textId="77777777" w:rsidR="00933B9F" w:rsidRDefault="00933B9F" w:rsidP="00C24597">
      <w:pPr>
        <w:widowControl/>
        <w:tabs>
          <w:tab w:val="left" w:pos="720"/>
          <w:tab w:val="decimal" w:pos="8730"/>
        </w:tabs>
        <w:rPr>
          <w:rFonts w:ascii="Arial" w:hAnsi="Arial" w:cs="Arial"/>
          <w:szCs w:val="22"/>
        </w:rPr>
      </w:pPr>
    </w:p>
    <w:p w14:paraId="36E39672" w14:textId="77777777" w:rsidR="00C24597" w:rsidRPr="00004257" w:rsidRDefault="00771693" w:rsidP="00C24597">
      <w:pPr>
        <w:widowControl/>
        <w:tabs>
          <w:tab w:val="left" w:pos="720"/>
          <w:tab w:val="decimal" w:pos="8730"/>
        </w:tabs>
        <w:rPr>
          <w:rFonts w:ascii="Arial" w:hAnsi="Arial" w:cs="Arial"/>
          <w:b/>
          <w:bCs/>
          <w:sz w:val="20"/>
          <w:szCs w:val="20"/>
        </w:rPr>
      </w:pPr>
      <w:r>
        <w:rPr>
          <w:rFonts w:ascii="Arial" w:hAnsi="Arial" w:cs="Arial"/>
          <w:b/>
          <w:bCs/>
          <w:sz w:val="20"/>
          <w:szCs w:val="20"/>
        </w:rPr>
        <w:lastRenderedPageBreak/>
        <w:t xml:space="preserve">DELIC HOLDINGS INC. </w:t>
      </w:r>
      <w:r w:rsidR="00C24597" w:rsidRPr="00004257">
        <w:rPr>
          <w:rFonts w:ascii="Arial" w:hAnsi="Arial" w:cs="Arial"/>
          <w:b/>
          <w:bCs/>
          <w:sz w:val="20"/>
          <w:szCs w:val="20"/>
        </w:rPr>
        <w:tab/>
      </w:r>
    </w:p>
    <w:p w14:paraId="540F65FC" w14:textId="77777777" w:rsidR="00C24597" w:rsidRDefault="00A11BD9" w:rsidP="00C24597">
      <w:pPr>
        <w:widowControl/>
        <w:tabs>
          <w:tab w:val="left" w:pos="720"/>
          <w:tab w:val="decimal" w:pos="8880"/>
        </w:tabs>
        <w:outlineLvl w:val="0"/>
        <w:rPr>
          <w:rFonts w:ascii="Arial" w:hAnsi="Arial" w:cs="Arial"/>
          <w:b/>
          <w:bCs/>
          <w:sz w:val="20"/>
          <w:szCs w:val="20"/>
        </w:rPr>
      </w:pPr>
      <w:r>
        <w:rPr>
          <w:rFonts w:ascii="Arial" w:hAnsi="Arial" w:cs="Arial"/>
          <w:b/>
          <w:bCs/>
          <w:sz w:val="20"/>
          <w:szCs w:val="20"/>
        </w:rPr>
        <w:t>Condensed Consolidated Interim</w:t>
      </w:r>
      <w:r w:rsidR="0078102B">
        <w:rPr>
          <w:rFonts w:ascii="Arial" w:hAnsi="Arial" w:cs="Arial"/>
          <w:b/>
          <w:bCs/>
          <w:sz w:val="20"/>
          <w:szCs w:val="20"/>
        </w:rPr>
        <w:t xml:space="preserve"> </w:t>
      </w:r>
      <w:r w:rsidR="00C24597" w:rsidRPr="00004257">
        <w:rPr>
          <w:rFonts w:ascii="Arial" w:hAnsi="Arial" w:cs="Arial"/>
          <w:b/>
          <w:bCs/>
          <w:sz w:val="20"/>
          <w:szCs w:val="20"/>
        </w:rPr>
        <w:t>Statements of Financial Position</w:t>
      </w:r>
    </w:p>
    <w:p w14:paraId="6DC854D4" w14:textId="77777777" w:rsidR="00D32164" w:rsidRPr="00004257" w:rsidRDefault="00D32164" w:rsidP="00C24597">
      <w:pPr>
        <w:widowControl/>
        <w:tabs>
          <w:tab w:val="left" w:pos="720"/>
          <w:tab w:val="decimal" w:pos="8880"/>
        </w:tabs>
        <w:outlineLvl w:val="0"/>
        <w:rPr>
          <w:rFonts w:ascii="Arial" w:hAnsi="Arial" w:cs="Arial"/>
          <w:b/>
          <w:bCs/>
          <w:sz w:val="20"/>
          <w:szCs w:val="20"/>
        </w:rPr>
      </w:pPr>
      <w:r>
        <w:rPr>
          <w:rFonts w:ascii="Arial" w:hAnsi="Arial" w:cs="Arial"/>
          <w:b/>
          <w:bCs/>
          <w:sz w:val="20"/>
          <w:szCs w:val="20"/>
        </w:rPr>
        <w:t xml:space="preserve">As At </w:t>
      </w:r>
    </w:p>
    <w:p w14:paraId="23BB1FCB" w14:textId="77777777" w:rsidR="00DC5642" w:rsidRDefault="00C24597" w:rsidP="00DC5642">
      <w:pPr>
        <w:widowControl/>
        <w:tabs>
          <w:tab w:val="left" w:pos="720"/>
          <w:tab w:val="decimal" w:pos="8880"/>
        </w:tabs>
        <w:rPr>
          <w:rFonts w:ascii="Arial" w:hAnsi="Arial" w:cs="Arial"/>
          <w:bCs/>
          <w:sz w:val="20"/>
          <w:szCs w:val="20"/>
        </w:rPr>
      </w:pPr>
      <w:r w:rsidRPr="00004257">
        <w:rPr>
          <w:rFonts w:ascii="Arial" w:hAnsi="Arial" w:cs="Arial"/>
          <w:bCs/>
          <w:sz w:val="20"/>
          <w:szCs w:val="20"/>
        </w:rPr>
        <w:t>(</w:t>
      </w:r>
      <w:r w:rsidR="00A11BD9">
        <w:rPr>
          <w:rFonts w:ascii="Arial" w:hAnsi="Arial" w:cs="Arial"/>
          <w:bCs/>
          <w:sz w:val="20"/>
          <w:szCs w:val="20"/>
        </w:rPr>
        <w:t xml:space="preserve">Unaudited - </w:t>
      </w:r>
      <w:r w:rsidR="00771693">
        <w:rPr>
          <w:rFonts w:ascii="Arial" w:hAnsi="Arial" w:cs="Arial"/>
          <w:bCs/>
          <w:sz w:val="20"/>
          <w:szCs w:val="20"/>
        </w:rPr>
        <w:t xml:space="preserve">Expressed in </w:t>
      </w:r>
      <w:r w:rsidR="008F7BAF">
        <w:rPr>
          <w:rFonts w:ascii="Arial" w:hAnsi="Arial" w:cs="Arial"/>
          <w:bCs/>
          <w:sz w:val="20"/>
          <w:szCs w:val="20"/>
        </w:rPr>
        <w:t>US dollars</w:t>
      </w:r>
      <w:r w:rsidRPr="00004257">
        <w:rPr>
          <w:rFonts w:ascii="Arial" w:hAnsi="Arial" w:cs="Arial"/>
          <w:bCs/>
          <w:sz w:val="20"/>
          <w:szCs w:val="20"/>
        </w:rPr>
        <w:t>)</w:t>
      </w:r>
    </w:p>
    <w:tbl>
      <w:tblPr>
        <w:tblW w:w="11277" w:type="dxa"/>
        <w:jc w:val="center"/>
        <w:tblLook w:val="04A0" w:firstRow="1" w:lastRow="0" w:firstColumn="1" w:lastColumn="0" w:noHBand="0" w:noVBand="1"/>
      </w:tblPr>
      <w:tblGrid>
        <w:gridCol w:w="4896"/>
        <w:gridCol w:w="846"/>
        <w:gridCol w:w="862"/>
        <w:gridCol w:w="1751"/>
        <w:gridCol w:w="936"/>
        <w:gridCol w:w="1986"/>
      </w:tblGrid>
      <w:tr w:rsidR="00DC5642" w:rsidRPr="00DC5642" w14:paraId="78D31E68" w14:textId="77777777" w:rsidTr="00DC5642">
        <w:trPr>
          <w:trHeight w:val="30"/>
          <w:jc w:val="center"/>
        </w:trPr>
        <w:tc>
          <w:tcPr>
            <w:tcW w:w="5742" w:type="dxa"/>
            <w:gridSpan w:val="2"/>
            <w:tcBorders>
              <w:top w:val="nil"/>
              <w:left w:val="nil"/>
              <w:bottom w:val="nil"/>
              <w:right w:val="nil"/>
            </w:tcBorders>
            <w:shd w:val="clear" w:color="auto" w:fill="auto"/>
            <w:noWrap/>
            <w:vAlign w:val="bottom"/>
            <w:hideMark/>
          </w:tcPr>
          <w:p w14:paraId="6527E577" w14:textId="77777777" w:rsidR="00DC5642" w:rsidRPr="00DC5642" w:rsidRDefault="00DC5642" w:rsidP="00DC5642">
            <w:pPr>
              <w:widowControl/>
              <w:autoSpaceDE/>
              <w:autoSpaceDN/>
              <w:adjustRightInd/>
              <w:jc w:val="left"/>
              <w:rPr>
                <w:sz w:val="24"/>
                <w:szCs w:val="20"/>
                <w:lang w:eastAsia="en-CA"/>
              </w:rPr>
            </w:pPr>
          </w:p>
        </w:tc>
        <w:tc>
          <w:tcPr>
            <w:tcW w:w="862" w:type="dxa"/>
            <w:tcBorders>
              <w:top w:val="nil"/>
              <w:left w:val="nil"/>
              <w:bottom w:val="nil"/>
              <w:right w:val="nil"/>
            </w:tcBorders>
            <w:shd w:val="clear" w:color="auto" w:fill="auto"/>
            <w:noWrap/>
            <w:vAlign w:val="bottom"/>
            <w:hideMark/>
          </w:tcPr>
          <w:p w14:paraId="469AE936" w14:textId="77777777" w:rsidR="00DC5642" w:rsidRPr="00DC5642" w:rsidRDefault="00DC5642" w:rsidP="00DC5642">
            <w:pPr>
              <w:widowControl/>
              <w:autoSpaceDE/>
              <w:autoSpaceDN/>
              <w:adjustRightInd/>
              <w:jc w:val="left"/>
              <w:rPr>
                <w:sz w:val="20"/>
                <w:szCs w:val="20"/>
                <w:lang w:eastAsia="en-CA"/>
              </w:rPr>
            </w:pPr>
          </w:p>
        </w:tc>
        <w:tc>
          <w:tcPr>
            <w:tcW w:w="1751" w:type="dxa"/>
            <w:tcBorders>
              <w:top w:val="nil"/>
              <w:left w:val="nil"/>
              <w:bottom w:val="nil"/>
              <w:right w:val="nil"/>
            </w:tcBorders>
            <w:shd w:val="clear" w:color="auto" w:fill="auto"/>
            <w:noWrap/>
            <w:vAlign w:val="bottom"/>
            <w:hideMark/>
          </w:tcPr>
          <w:p w14:paraId="3FF1946F" w14:textId="77777777" w:rsidR="00DC5642" w:rsidRPr="00DC5642" w:rsidRDefault="00DC5642" w:rsidP="00DC5642">
            <w:pPr>
              <w:widowControl/>
              <w:autoSpaceDE/>
              <w:autoSpaceDN/>
              <w:adjustRightInd/>
              <w:jc w:val="left"/>
              <w:rPr>
                <w:sz w:val="20"/>
                <w:szCs w:val="20"/>
                <w:lang w:eastAsia="en-CA"/>
              </w:rPr>
            </w:pPr>
          </w:p>
        </w:tc>
        <w:tc>
          <w:tcPr>
            <w:tcW w:w="936" w:type="dxa"/>
            <w:tcBorders>
              <w:top w:val="nil"/>
              <w:left w:val="nil"/>
              <w:bottom w:val="nil"/>
              <w:right w:val="nil"/>
            </w:tcBorders>
            <w:shd w:val="clear" w:color="auto" w:fill="auto"/>
            <w:noWrap/>
            <w:vAlign w:val="bottom"/>
            <w:hideMark/>
          </w:tcPr>
          <w:p w14:paraId="31D83BAB"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F75E4B0" w14:textId="77777777" w:rsidR="00DC5642" w:rsidRPr="00DC5642" w:rsidRDefault="00DC5642" w:rsidP="00DC5642">
            <w:pPr>
              <w:widowControl/>
              <w:autoSpaceDE/>
              <w:autoSpaceDN/>
              <w:adjustRightInd/>
              <w:jc w:val="left"/>
              <w:rPr>
                <w:sz w:val="20"/>
                <w:szCs w:val="20"/>
                <w:lang w:eastAsia="en-CA"/>
              </w:rPr>
            </w:pPr>
          </w:p>
        </w:tc>
      </w:tr>
      <w:tr w:rsidR="00DC5642" w:rsidRPr="00DC5642" w14:paraId="3E98ACA9" w14:textId="77777777" w:rsidTr="00DC5642">
        <w:trPr>
          <w:trHeight w:val="30"/>
          <w:jc w:val="center"/>
        </w:trPr>
        <w:tc>
          <w:tcPr>
            <w:tcW w:w="4896" w:type="dxa"/>
            <w:tcBorders>
              <w:top w:val="nil"/>
              <w:left w:val="nil"/>
              <w:bottom w:val="single" w:sz="8" w:space="0" w:color="auto"/>
              <w:right w:val="nil"/>
            </w:tcBorders>
            <w:shd w:val="clear" w:color="auto" w:fill="auto"/>
            <w:noWrap/>
            <w:vAlign w:val="bottom"/>
            <w:hideMark/>
          </w:tcPr>
          <w:p w14:paraId="56428041"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xml:space="preserve">AS AT </w:t>
            </w:r>
          </w:p>
        </w:tc>
        <w:tc>
          <w:tcPr>
            <w:tcW w:w="846" w:type="dxa"/>
            <w:tcBorders>
              <w:top w:val="nil"/>
              <w:left w:val="nil"/>
              <w:bottom w:val="single" w:sz="8" w:space="0" w:color="auto"/>
              <w:right w:val="nil"/>
            </w:tcBorders>
            <w:shd w:val="clear" w:color="auto" w:fill="auto"/>
            <w:noWrap/>
            <w:vAlign w:val="bottom"/>
            <w:hideMark/>
          </w:tcPr>
          <w:p w14:paraId="503F1CD9"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Note</w:t>
            </w:r>
          </w:p>
        </w:tc>
        <w:tc>
          <w:tcPr>
            <w:tcW w:w="862" w:type="dxa"/>
            <w:tcBorders>
              <w:top w:val="nil"/>
              <w:left w:val="nil"/>
              <w:bottom w:val="single" w:sz="8" w:space="0" w:color="auto"/>
              <w:right w:val="nil"/>
            </w:tcBorders>
            <w:shd w:val="clear" w:color="auto" w:fill="auto"/>
            <w:noWrap/>
            <w:vAlign w:val="bottom"/>
            <w:hideMark/>
          </w:tcPr>
          <w:p w14:paraId="20428581"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8" w:space="0" w:color="auto"/>
              <w:right w:val="nil"/>
            </w:tcBorders>
            <w:shd w:val="clear" w:color="auto" w:fill="auto"/>
            <w:noWrap/>
            <w:vAlign w:val="bottom"/>
            <w:hideMark/>
          </w:tcPr>
          <w:p w14:paraId="33086315"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June 30, 2021</w:t>
            </w:r>
          </w:p>
        </w:tc>
        <w:tc>
          <w:tcPr>
            <w:tcW w:w="936" w:type="dxa"/>
            <w:tcBorders>
              <w:top w:val="nil"/>
              <w:left w:val="nil"/>
              <w:bottom w:val="single" w:sz="8" w:space="0" w:color="auto"/>
              <w:right w:val="nil"/>
            </w:tcBorders>
            <w:shd w:val="clear" w:color="auto" w:fill="auto"/>
            <w:noWrap/>
            <w:vAlign w:val="bottom"/>
            <w:hideMark/>
          </w:tcPr>
          <w:p w14:paraId="63CDDF77"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8" w:space="0" w:color="auto"/>
              <w:right w:val="nil"/>
            </w:tcBorders>
            <w:shd w:val="clear" w:color="auto" w:fill="auto"/>
            <w:noWrap/>
            <w:vAlign w:val="bottom"/>
            <w:hideMark/>
          </w:tcPr>
          <w:p w14:paraId="6C02B2F7"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December 31, 2020</w:t>
            </w:r>
          </w:p>
        </w:tc>
      </w:tr>
      <w:tr w:rsidR="00DC5642" w:rsidRPr="00DC5642" w14:paraId="474665E0"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02249DD9"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 </w:t>
            </w:r>
          </w:p>
        </w:tc>
        <w:tc>
          <w:tcPr>
            <w:tcW w:w="846" w:type="dxa"/>
            <w:tcBorders>
              <w:top w:val="nil"/>
              <w:left w:val="nil"/>
              <w:bottom w:val="nil"/>
              <w:right w:val="nil"/>
            </w:tcBorders>
            <w:shd w:val="clear" w:color="auto" w:fill="auto"/>
            <w:noWrap/>
            <w:vAlign w:val="bottom"/>
            <w:hideMark/>
          </w:tcPr>
          <w:p w14:paraId="51C84820" w14:textId="77777777" w:rsidR="00DC5642" w:rsidRPr="00DC5642" w:rsidRDefault="00DC5642" w:rsidP="00DC5642">
            <w:pPr>
              <w:widowControl/>
              <w:autoSpaceDE/>
              <w:autoSpaceDN/>
              <w:adjustRightInd/>
              <w:jc w:val="center"/>
              <w:rPr>
                <w:rFonts w:ascii="Arial" w:hAnsi="Arial" w:cs="Arial"/>
                <w:b/>
                <w:bCs/>
                <w:color w:val="000000"/>
                <w:sz w:val="18"/>
                <w:szCs w:val="18"/>
                <w:lang w:eastAsia="en-CA"/>
              </w:rPr>
            </w:pPr>
            <w:r w:rsidRPr="00DC5642">
              <w:rPr>
                <w:rFonts w:ascii="Arial" w:hAnsi="Arial" w:cs="Arial"/>
                <w:b/>
                <w:bCs/>
                <w:color w:val="000000"/>
                <w:sz w:val="18"/>
                <w:szCs w:val="18"/>
                <w:lang w:eastAsia="en-CA"/>
              </w:rPr>
              <w:t> </w:t>
            </w:r>
          </w:p>
        </w:tc>
        <w:tc>
          <w:tcPr>
            <w:tcW w:w="862" w:type="dxa"/>
            <w:tcBorders>
              <w:top w:val="nil"/>
              <w:left w:val="nil"/>
              <w:bottom w:val="nil"/>
              <w:right w:val="nil"/>
            </w:tcBorders>
            <w:shd w:val="clear" w:color="auto" w:fill="auto"/>
            <w:noWrap/>
            <w:vAlign w:val="bottom"/>
            <w:hideMark/>
          </w:tcPr>
          <w:p w14:paraId="0B83D99C" w14:textId="77777777" w:rsidR="00DC5642" w:rsidRPr="00DC5642" w:rsidRDefault="00DC5642" w:rsidP="00DC5642">
            <w:pPr>
              <w:widowControl/>
              <w:autoSpaceDE/>
              <w:autoSpaceDN/>
              <w:adjustRightInd/>
              <w:jc w:val="center"/>
              <w:rPr>
                <w:rFonts w:ascii="Arial" w:hAnsi="Arial" w:cs="Arial"/>
                <w:b/>
                <w:bCs/>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5C3FE1F4"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19CC34E5"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A15F435" w14:textId="77777777" w:rsidR="00DC5642" w:rsidRPr="00DC5642" w:rsidRDefault="00DC5642" w:rsidP="00DC5642">
            <w:pPr>
              <w:widowControl/>
              <w:autoSpaceDE/>
              <w:autoSpaceDN/>
              <w:adjustRightInd/>
              <w:jc w:val="center"/>
              <w:rPr>
                <w:sz w:val="20"/>
                <w:szCs w:val="20"/>
                <w:lang w:eastAsia="en-CA"/>
              </w:rPr>
            </w:pPr>
          </w:p>
        </w:tc>
      </w:tr>
      <w:tr w:rsidR="00DC5642" w:rsidRPr="00DC5642" w14:paraId="4FB94B92"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72BF2D4B"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ASSETS</w:t>
            </w:r>
          </w:p>
        </w:tc>
        <w:tc>
          <w:tcPr>
            <w:tcW w:w="846" w:type="dxa"/>
            <w:tcBorders>
              <w:top w:val="nil"/>
              <w:left w:val="nil"/>
              <w:bottom w:val="nil"/>
              <w:right w:val="nil"/>
            </w:tcBorders>
            <w:shd w:val="clear" w:color="auto" w:fill="auto"/>
            <w:noWrap/>
            <w:vAlign w:val="bottom"/>
            <w:hideMark/>
          </w:tcPr>
          <w:p w14:paraId="2B399E2B"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5C759E47"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2745EEA6"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40E11C83"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170FAF00" w14:textId="77777777" w:rsidR="00DC5642" w:rsidRPr="00DC5642" w:rsidRDefault="00DC5642" w:rsidP="00DC5642">
            <w:pPr>
              <w:widowControl/>
              <w:autoSpaceDE/>
              <w:autoSpaceDN/>
              <w:adjustRightInd/>
              <w:jc w:val="center"/>
              <w:rPr>
                <w:sz w:val="20"/>
                <w:szCs w:val="20"/>
                <w:lang w:eastAsia="en-CA"/>
              </w:rPr>
            </w:pPr>
          </w:p>
        </w:tc>
      </w:tr>
      <w:tr w:rsidR="00DC5642" w:rsidRPr="00DC5642" w14:paraId="480C95A6"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1294FF33" w14:textId="77777777" w:rsidR="00DC5642" w:rsidRPr="00DC5642" w:rsidRDefault="00DC5642" w:rsidP="00DC5642">
            <w:pPr>
              <w:widowControl/>
              <w:autoSpaceDE/>
              <w:autoSpaceDN/>
              <w:adjustRightInd/>
              <w:jc w:val="right"/>
              <w:rPr>
                <w:sz w:val="20"/>
                <w:szCs w:val="20"/>
                <w:lang w:eastAsia="en-CA"/>
              </w:rPr>
            </w:pPr>
          </w:p>
        </w:tc>
        <w:tc>
          <w:tcPr>
            <w:tcW w:w="846" w:type="dxa"/>
            <w:tcBorders>
              <w:top w:val="nil"/>
              <w:left w:val="nil"/>
              <w:bottom w:val="nil"/>
              <w:right w:val="nil"/>
            </w:tcBorders>
            <w:shd w:val="clear" w:color="auto" w:fill="auto"/>
            <w:noWrap/>
            <w:vAlign w:val="bottom"/>
            <w:hideMark/>
          </w:tcPr>
          <w:p w14:paraId="790F153A"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52AE39C5"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00EB2365"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57B99196"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051314AB" w14:textId="77777777" w:rsidR="00DC5642" w:rsidRPr="00DC5642" w:rsidRDefault="00DC5642" w:rsidP="00DC5642">
            <w:pPr>
              <w:widowControl/>
              <w:autoSpaceDE/>
              <w:autoSpaceDN/>
              <w:adjustRightInd/>
              <w:jc w:val="center"/>
              <w:rPr>
                <w:sz w:val="20"/>
                <w:szCs w:val="20"/>
                <w:lang w:eastAsia="en-CA"/>
              </w:rPr>
            </w:pPr>
          </w:p>
        </w:tc>
      </w:tr>
      <w:tr w:rsidR="00DC5642" w:rsidRPr="00DC5642" w14:paraId="53A943F4"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25D5DD9E"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Current</w:t>
            </w:r>
          </w:p>
        </w:tc>
        <w:tc>
          <w:tcPr>
            <w:tcW w:w="846" w:type="dxa"/>
            <w:tcBorders>
              <w:top w:val="nil"/>
              <w:left w:val="nil"/>
              <w:bottom w:val="nil"/>
              <w:right w:val="nil"/>
            </w:tcBorders>
            <w:shd w:val="clear" w:color="auto" w:fill="auto"/>
            <w:noWrap/>
            <w:vAlign w:val="bottom"/>
            <w:hideMark/>
          </w:tcPr>
          <w:p w14:paraId="18A3C7D9"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5E369451"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6EE4C203"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58F3DE15"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1E9BA22C" w14:textId="77777777" w:rsidR="00DC5642" w:rsidRPr="00DC5642" w:rsidRDefault="00DC5642" w:rsidP="00DC5642">
            <w:pPr>
              <w:widowControl/>
              <w:autoSpaceDE/>
              <w:autoSpaceDN/>
              <w:adjustRightInd/>
              <w:jc w:val="center"/>
              <w:rPr>
                <w:sz w:val="20"/>
                <w:szCs w:val="20"/>
                <w:lang w:eastAsia="en-CA"/>
              </w:rPr>
            </w:pPr>
          </w:p>
        </w:tc>
      </w:tr>
      <w:tr w:rsidR="00DC5642" w:rsidRPr="00DC5642" w14:paraId="639DA5BB"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1FA0DCE8"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Cash</w:t>
            </w:r>
          </w:p>
        </w:tc>
        <w:tc>
          <w:tcPr>
            <w:tcW w:w="846" w:type="dxa"/>
            <w:tcBorders>
              <w:top w:val="nil"/>
              <w:left w:val="nil"/>
              <w:bottom w:val="nil"/>
              <w:right w:val="nil"/>
            </w:tcBorders>
            <w:shd w:val="clear" w:color="auto" w:fill="auto"/>
            <w:noWrap/>
            <w:vAlign w:val="bottom"/>
            <w:hideMark/>
          </w:tcPr>
          <w:p w14:paraId="79476E05"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4454A96E"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751" w:type="dxa"/>
            <w:tcBorders>
              <w:top w:val="nil"/>
              <w:left w:val="nil"/>
              <w:bottom w:val="nil"/>
              <w:right w:val="nil"/>
            </w:tcBorders>
            <w:shd w:val="clear" w:color="auto" w:fill="auto"/>
            <w:noWrap/>
            <w:vAlign w:val="bottom"/>
            <w:hideMark/>
          </w:tcPr>
          <w:p w14:paraId="7EF4C549"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3,555,951 </w:t>
            </w:r>
          </w:p>
        </w:tc>
        <w:tc>
          <w:tcPr>
            <w:tcW w:w="936" w:type="dxa"/>
            <w:tcBorders>
              <w:top w:val="nil"/>
              <w:left w:val="nil"/>
              <w:bottom w:val="nil"/>
              <w:right w:val="nil"/>
            </w:tcBorders>
            <w:shd w:val="clear" w:color="auto" w:fill="auto"/>
            <w:noWrap/>
            <w:vAlign w:val="bottom"/>
            <w:hideMark/>
          </w:tcPr>
          <w:p w14:paraId="0F418A0B"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986" w:type="dxa"/>
            <w:tcBorders>
              <w:top w:val="nil"/>
              <w:left w:val="nil"/>
              <w:bottom w:val="nil"/>
              <w:right w:val="nil"/>
            </w:tcBorders>
            <w:shd w:val="clear" w:color="auto" w:fill="auto"/>
            <w:noWrap/>
            <w:vAlign w:val="bottom"/>
            <w:hideMark/>
          </w:tcPr>
          <w:p w14:paraId="605979AC"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2,082,206 </w:t>
            </w:r>
          </w:p>
        </w:tc>
      </w:tr>
      <w:tr w:rsidR="00DC5642" w:rsidRPr="00DC5642" w14:paraId="51DAF860"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31EBE681"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Accounts receivable</w:t>
            </w:r>
          </w:p>
        </w:tc>
        <w:tc>
          <w:tcPr>
            <w:tcW w:w="846" w:type="dxa"/>
            <w:tcBorders>
              <w:top w:val="nil"/>
              <w:left w:val="nil"/>
              <w:bottom w:val="nil"/>
              <w:right w:val="nil"/>
            </w:tcBorders>
            <w:shd w:val="clear" w:color="auto" w:fill="auto"/>
            <w:noWrap/>
            <w:vAlign w:val="bottom"/>
            <w:hideMark/>
          </w:tcPr>
          <w:p w14:paraId="41F6A819"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2E9B9AA1"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2287DA46"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540,952 </w:t>
            </w:r>
          </w:p>
        </w:tc>
        <w:tc>
          <w:tcPr>
            <w:tcW w:w="936" w:type="dxa"/>
            <w:tcBorders>
              <w:top w:val="nil"/>
              <w:left w:val="nil"/>
              <w:bottom w:val="nil"/>
              <w:right w:val="nil"/>
            </w:tcBorders>
            <w:shd w:val="clear" w:color="auto" w:fill="auto"/>
            <w:noWrap/>
            <w:vAlign w:val="bottom"/>
            <w:hideMark/>
          </w:tcPr>
          <w:p w14:paraId="50CD635B"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72696F2D"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24,792 </w:t>
            </w:r>
          </w:p>
        </w:tc>
      </w:tr>
      <w:tr w:rsidR="00DC5642" w:rsidRPr="00DC5642" w14:paraId="00A13B2C"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58774B6C"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Prepaid expenses</w:t>
            </w:r>
          </w:p>
        </w:tc>
        <w:tc>
          <w:tcPr>
            <w:tcW w:w="846" w:type="dxa"/>
            <w:tcBorders>
              <w:top w:val="nil"/>
              <w:left w:val="nil"/>
              <w:bottom w:val="single" w:sz="4" w:space="0" w:color="auto"/>
              <w:right w:val="nil"/>
            </w:tcBorders>
            <w:shd w:val="clear" w:color="auto" w:fill="auto"/>
            <w:noWrap/>
            <w:vAlign w:val="bottom"/>
            <w:hideMark/>
          </w:tcPr>
          <w:p w14:paraId="73955230"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4" w:space="0" w:color="auto"/>
              <w:right w:val="nil"/>
            </w:tcBorders>
            <w:shd w:val="clear" w:color="auto" w:fill="auto"/>
            <w:noWrap/>
            <w:vAlign w:val="bottom"/>
            <w:hideMark/>
          </w:tcPr>
          <w:p w14:paraId="427EE11E"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188F021C"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164,856 </w:t>
            </w:r>
          </w:p>
        </w:tc>
        <w:tc>
          <w:tcPr>
            <w:tcW w:w="936" w:type="dxa"/>
            <w:tcBorders>
              <w:top w:val="nil"/>
              <w:left w:val="nil"/>
              <w:bottom w:val="single" w:sz="4" w:space="0" w:color="auto"/>
              <w:right w:val="nil"/>
            </w:tcBorders>
            <w:shd w:val="clear" w:color="auto" w:fill="auto"/>
            <w:noWrap/>
            <w:vAlign w:val="bottom"/>
            <w:hideMark/>
          </w:tcPr>
          <w:p w14:paraId="4150A737"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4E2BC7E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82,709 </w:t>
            </w:r>
          </w:p>
        </w:tc>
      </w:tr>
      <w:tr w:rsidR="00DC5642" w:rsidRPr="00DC5642" w14:paraId="1BC13C35"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4467AE52"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5897677D"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436A1AB3"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588F1B45"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05160288"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386BD46D" w14:textId="77777777" w:rsidR="00DC5642" w:rsidRPr="00DC5642" w:rsidRDefault="00DC5642" w:rsidP="00DC5642">
            <w:pPr>
              <w:widowControl/>
              <w:autoSpaceDE/>
              <w:autoSpaceDN/>
              <w:adjustRightInd/>
              <w:jc w:val="center"/>
              <w:rPr>
                <w:sz w:val="20"/>
                <w:szCs w:val="20"/>
                <w:lang w:eastAsia="en-CA"/>
              </w:rPr>
            </w:pPr>
          </w:p>
        </w:tc>
      </w:tr>
      <w:tr w:rsidR="00DC5642" w:rsidRPr="00DC5642" w14:paraId="35D2FDBF"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5F2F723A"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46" w:type="dxa"/>
            <w:tcBorders>
              <w:top w:val="nil"/>
              <w:left w:val="nil"/>
              <w:bottom w:val="single" w:sz="4" w:space="0" w:color="auto"/>
              <w:right w:val="nil"/>
            </w:tcBorders>
            <w:shd w:val="clear" w:color="auto" w:fill="auto"/>
            <w:noWrap/>
            <w:vAlign w:val="bottom"/>
            <w:hideMark/>
          </w:tcPr>
          <w:p w14:paraId="3A3E0505"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4" w:space="0" w:color="auto"/>
              <w:right w:val="nil"/>
            </w:tcBorders>
            <w:shd w:val="clear" w:color="auto" w:fill="auto"/>
            <w:noWrap/>
            <w:vAlign w:val="bottom"/>
            <w:hideMark/>
          </w:tcPr>
          <w:p w14:paraId="78536482"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3243CB4F"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4,261,759 </w:t>
            </w:r>
          </w:p>
        </w:tc>
        <w:tc>
          <w:tcPr>
            <w:tcW w:w="936" w:type="dxa"/>
            <w:tcBorders>
              <w:top w:val="nil"/>
              <w:left w:val="nil"/>
              <w:bottom w:val="single" w:sz="4" w:space="0" w:color="auto"/>
              <w:right w:val="nil"/>
            </w:tcBorders>
            <w:shd w:val="clear" w:color="auto" w:fill="auto"/>
            <w:noWrap/>
            <w:vAlign w:val="bottom"/>
            <w:hideMark/>
          </w:tcPr>
          <w:p w14:paraId="6DDB67BE"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1527E042"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2,189,707 </w:t>
            </w:r>
          </w:p>
        </w:tc>
      </w:tr>
      <w:tr w:rsidR="00DC5642" w:rsidRPr="00DC5642" w14:paraId="57AD2B1C"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7A5D63F2"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6BD039C4"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2E4501F9"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28698B58"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7413794B"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2A2139A5" w14:textId="77777777" w:rsidR="00DC5642" w:rsidRPr="00DC5642" w:rsidRDefault="00DC5642" w:rsidP="00DC5642">
            <w:pPr>
              <w:widowControl/>
              <w:autoSpaceDE/>
              <w:autoSpaceDN/>
              <w:adjustRightInd/>
              <w:jc w:val="center"/>
              <w:rPr>
                <w:sz w:val="20"/>
                <w:szCs w:val="20"/>
                <w:lang w:eastAsia="en-CA"/>
              </w:rPr>
            </w:pPr>
          </w:p>
        </w:tc>
      </w:tr>
      <w:tr w:rsidR="00DC5642" w:rsidRPr="00DC5642" w14:paraId="65CA868D" w14:textId="77777777" w:rsidTr="00DC5642">
        <w:trPr>
          <w:trHeight w:val="30"/>
          <w:jc w:val="center"/>
        </w:trPr>
        <w:tc>
          <w:tcPr>
            <w:tcW w:w="4896" w:type="dxa"/>
            <w:tcBorders>
              <w:top w:val="nil"/>
              <w:left w:val="nil"/>
              <w:bottom w:val="nil"/>
              <w:right w:val="nil"/>
            </w:tcBorders>
            <w:shd w:val="clear" w:color="auto" w:fill="auto"/>
            <w:noWrap/>
            <w:vAlign w:val="bottom"/>
          </w:tcPr>
          <w:p w14:paraId="0C7B74AB"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tcPr>
          <w:p w14:paraId="77378A7A"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tcPr>
          <w:p w14:paraId="28C859AA"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tcPr>
          <w:p w14:paraId="2924A59A"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tcPr>
          <w:p w14:paraId="7DF1CC6C"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tcPr>
          <w:p w14:paraId="403C5660" w14:textId="77777777" w:rsidR="00DC5642" w:rsidRPr="00DC5642" w:rsidRDefault="00DC5642" w:rsidP="00DC5642">
            <w:pPr>
              <w:widowControl/>
              <w:autoSpaceDE/>
              <w:autoSpaceDN/>
              <w:adjustRightInd/>
              <w:jc w:val="center"/>
              <w:rPr>
                <w:sz w:val="20"/>
                <w:szCs w:val="20"/>
                <w:lang w:eastAsia="en-CA"/>
              </w:rPr>
            </w:pPr>
          </w:p>
        </w:tc>
      </w:tr>
      <w:tr w:rsidR="00DC5642" w:rsidRPr="00DC5642" w14:paraId="545D6043"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295BA58B" w14:textId="74592974"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Intangible asset</w:t>
            </w:r>
            <w:r w:rsidR="00996CFA">
              <w:rPr>
                <w:rFonts w:ascii="Arial" w:hAnsi="Arial" w:cs="Arial"/>
                <w:b/>
                <w:bCs/>
                <w:color w:val="000000"/>
                <w:sz w:val="18"/>
                <w:szCs w:val="18"/>
                <w:lang w:eastAsia="en-CA"/>
              </w:rPr>
              <w:t>s</w:t>
            </w:r>
          </w:p>
        </w:tc>
        <w:tc>
          <w:tcPr>
            <w:tcW w:w="846" w:type="dxa"/>
            <w:tcBorders>
              <w:top w:val="nil"/>
              <w:left w:val="nil"/>
              <w:bottom w:val="nil"/>
              <w:right w:val="nil"/>
            </w:tcBorders>
            <w:shd w:val="clear" w:color="auto" w:fill="auto"/>
            <w:noWrap/>
            <w:vAlign w:val="bottom"/>
            <w:hideMark/>
          </w:tcPr>
          <w:p w14:paraId="3BEA8D3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4,5,6</w:t>
            </w:r>
          </w:p>
        </w:tc>
        <w:tc>
          <w:tcPr>
            <w:tcW w:w="862" w:type="dxa"/>
            <w:tcBorders>
              <w:top w:val="nil"/>
              <w:left w:val="nil"/>
              <w:bottom w:val="nil"/>
              <w:right w:val="nil"/>
            </w:tcBorders>
            <w:shd w:val="clear" w:color="auto" w:fill="auto"/>
            <w:noWrap/>
            <w:vAlign w:val="bottom"/>
            <w:hideMark/>
          </w:tcPr>
          <w:p w14:paraId="3037D736"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69480BDB"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5,861,477 </w:t>
            </w:r>
          </w:p>
        </w:tc>
        <w:tc>
          <w:tcPr>
            <w:tcW w:w="936" w:type="dxa"/>
            <w:tcBorders>
              <w:top w:val="nil"/>
              <w:left w:val="nil"/>
              <w:bottom w:val="nil"/>
              <w:right w:val="nil"/>
            </w:tcBorders>
            <w:shd w:val="clear" w:color="auto" w:fill="auto"/>
            <w:noWrap/>
            <w:vAlign w:val="bottom"/>
            <w:hideMark/>
          </w:tcPr>
          <w:p w14:paraId="0BFBB737"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52B0669C"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3 </w:t>
            </w:r>
          </w:p>
        </w:tc>
      </w:tr>
      <w:tr w:rsidR="00DC5642" w:rsidRPr="00DC5642" w14:paraId="3DE0ADC7"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1D42D245"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Right-of-use assets</w:t>
            </w:r>
          </w:p>
        </w:tc>
        <w:tc>
          <w:tcPr>
            <w:tcW w:w="846" w:type="dxa"/>
            <w:tcBorders>
              <w:top w:val="nil"/>
              <w:left w:val="nil"/>
              <w:bottom w:val="nil"/>
              <w:right w:val="nil"/>
            </w:tcBorders>
            <w:shd w:val="clear" w:color="auto" w:fill="auto"/>
            <w:noWrap/>
            <w:vAlign w:val="bottom"/>
            <w:hideMark/>
          </w:tcPr>
          <w:p w14:paraId="27895212"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9</w:t>
            </w:r>
          </w:p>
        </w:tc>
        <w:tc>
          <w:tcPr>
            <w:tcW w:w="862" w:type="dxa"/>
            <w:tcBorders>
              <w:top w:val="nil"/>
              <w:left w:val="nil"/>
              <w:bottom w:val="nil"/>
              <w:right w:val="nil"/>
            </w:tcBorders>
            <w:shd w:val="clear" w:color="auto" w:fill="auto"/>
            <w:noWrap/>
            <w:vAlign w:val="bottom"/>
            <w:hideMark/>
          </w:tcPr>
          <w:p w14:paraId="5A1E4E6F"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57B3E69E"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39,301 </w:t>
            </w:r>
          </w:p>
        </w:tc>
        <w:tc>
          <w:tcPr>
            <w:tcW w:w="936" w:type="dxa"/>
            <w:tcBorders>
              <w:top w:val="nil"/>
              <w:left w:val="nil"/>
              <w:bottom w:val="nil"/>
              <w:right w:val="nil"/>
            </w:tcBorders>
            <w:shd w:val="clear" w:color="auto" w:fill="auto"/>
            <w:noWrap/>
            <w:vAlign w:val="bottom"/>
            <w:hideMark/>
          </w:tcPr>
          <w:p w14:paraId="2BA323A0"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2C9A7E01"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29351E1C"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6F7774B8"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Goodwill</w:t>
            </w:r>
          </w:p>
        </w:tc>
        <w:tc>
          <w:tcPr>
            <w:tcW w:w="846" w:type="dxa"/>
            <w:tcBorders>
              <w:top w:val="nil"/>
              <w:left w:val="nil"/>
              <w:bottom w:val="nil"/>
              <w:right w:val="nil"/>
            </w:tcBorders>
            <w:shd w:val="clear" w:color="auto" w:fill="auto"/>
            <w:noWrap/>
            <w:vAlign w:val="bottom"/>
            <w:hideMark/>
          </w:tcPr>
          <w:p w14:paraId="54C5B758"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4,5</w:t>
            </w:r>
          </w:p>
        </w:tc>
        <w:tc>
          <w:tcPr>
            <w:tcW w:w="862" w:type="dxa"/>
            <w:tcBorders>
              <w:top w:val="nil"/>
              <w:left w:val="nil"/>
              <w:bottom w:val="nil"/>
              <w:right w:val="nil"/>
            </w:tcBorders>
            <w:shd w:val="clear" w:color="auto" w:fill="auto"/>
            <w:noWrap/>
            <w:vAlign w:val="bottom"/>
            <w:hideMark/>
          </w:tcPr>
          <w:p w14:paraId="40179897"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6445A8B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1,451,343 </w:t>
            </w:r>
          </w:p>
        </w:tc>
        <w:tc>
          <w:tcPr>
            <w:tcW w:w="936" w:type="dxa"/>
            <w:tcBorders>
              <w:top w:val="nil"/>
              <w:left w:val="nil"/>
              <w:bottom w:val="nil"/>
              <w:right w:val="nil"/>
            </w:tcBorders>
            <w:shd w:val="clear" w:color="auto" w:fill="auto"/>
            <w:noWrap/>
            <w:vAlign w:val="bottom"/>
            <w:hideMark/>
          </w:tcPr>
          <w:p w14:paraId="5F66D989"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07B4412D"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29C8759A"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75D0EBF0"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Fixed assets</w:t>
            </w:r>
          </w:p>
        </w:tc>
        <w:tc>
          <w:tcPr>
            <w:tcW w:w="846" w:type="dxa"/>
            <w:tcBorders>
              <w:top w:val="nil"/>
              <w:left w:val="nil"/>
              <w:bottom w:val="single" w:sz="4" w:space="0" w:color="auto"/>
              <w:right w:val="nil"/>
            </w:tcBorders>
            <w:shd w:val="clear" w:color="auto" w:fill="auto"/>
            <w:noWrap/>
            <w:vAlign w:val="bottom"/>
            <w:hideMark/>
          </w:tcPr>
          <w:p w14:paraId="6AF8593C"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10</w:t>
            </w:r>
          </w:p>
        </w:tc>
        <w:tc>
          <w:tcPr>
            <w:tcW w:w="862" w:type="dxa"/>
            <w:tcBorders>
              <w:top w:val="nil"/>
              <w:left w:val="nil"/>
              <w:bottom w:val="single" w:sz="4" w:space="0" w:color="auto"/>
              <w:right w:val="nil"/>
            </w:tcBorders>
            <w:shd w:val="clear" w:color="auto" w:fill="auto"/>
            <w:noWrap/>
            <w:vAlign w:val="bottom"/>
            <w:hideMark/>
          </w:tcPr>
          <w:p w14:paraId="54844729"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71AACD2D"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77,658 </w:t>
            </w:r>
          </w:p>
        </w:tc>
        <w:tc>
          <w:tcPr>
            <w:tcW w:w="936" w:type="dxa"/>
            <w:tcBorders>
              <w:top w:val="nil"/>
              <w:left w:val="nil"/>
              <w:bottom w:val="single" w:sz="4" w:space="0" w:color="auto"/>
              <w:right w:val="nil"/>
            </w:tcBorders>
            <w:shd w:val="clear" w:color="auto" w:fill="auto"/>
            <w:noWrap/>
            <w:vAlign w:val="bottom"/>
            <w:hideMark/>
          </w:tcPr>
          <w:p w14:paraId="408E3D05"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2BC7C475"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50077B3A"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0A545829"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60C6CDBF"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45D002B6"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5804D04A"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4BB78E5C"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5BDD3357" w14:textId="77777777" w:rsidR="00DC5642" w:rsidRPr="00DC5642" w:rsidRDefault="00DC5642" w:rsidP="00DC5642">
            <w:pPr>
              <w:widowControl/>
              <w:autoSpaceDE/>
              <w:autoSpaceDN/>
              <w:adjustRightInd/>
              <w:jc w:val="center"/>
              <w:rPr>
                <w:sz w:val="20"/>
                <w:szCs w:val="20"/>
                <w:lang w:eastAsia="en-CA"/>
              </w:rPr>
            </w:pPr>
          </w:p>
        </w:tc>
      </w:tr>
      <w:tr w:rsidR="00DC5642" w:rsidRPr="00DC5642" w14:paraId="5D222546" w14:textId="77777777" w:rsidTr="00DC5642">
        <w:trPr>
          <w:trHeight w:val="30"/>
          <w:jc w:val="center"/>
        </w:trPr>
        <w:tc>
          <w:tcPr>
            <w:tcW w:w="4896" w:type="dxa"/>
            <w:tcBorders>
              <w:top w:val="nil"/>
              <w:left w:val="nil"/>
              <w:bottom w:val="single" w:sz="8" w:space="0" w:color="auto"/>
              <w:right w:val="nil"/>
            </w:tcBorders>
            <w:shd w:val="clear" w:color="auto" w:fill="auto"/>
            <w:noWrap/>
            <w:vAlign w:val="bottom"/>
            <w:hideMark/>
          </w:tcPr>
          <w:p w14:paraId="4A0F4C1E"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Total assets</w:t>
            </w:r>
          </w:p>
        </w:tc>
        <w:tc>
          <w:tcPr>
            <w:tcW w:w="846" w:type="dxa"/>
            <w:tcBorders>
              <w:top w:val="nil"/>
              <w:left w:val="nil"/>
              <w:bottom w:val="single" w:sz="8" w:space="0" w:color="auto"/>
              <w:right w:val="nil"/>
            </w:tcBorders>
            <w:shd w:val="clear" w:color="auto" w:fill="auto"/>
            <w:noWrap/>
            <w:vAlign w:val="bottom"/>
            <w:hideMark/>
          </w:tcPr>
          <w:p w14:paraId="47E7F1E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8" w:space="0" w:color="auto"/>
              <w:right w:val="nil"/>
            </w:tcBorders>
            <w:shd w:val="clear" w:color="auto" w:fill="auto"/>
            <w:noWrap/>
            <w:vAlign w:val="bottom"/>
            <w:hideMark/>
          </w:tcPr>
          <w:p w14:paraId="28378D40"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751" w:type="dxa"/>
            <w:tcBorders>
              <w:top w:val="nil"/>
              <w:left w:val="nil"/>
              <w:bottom w:val="single" w:sz="8" w:space="0" w:color="auto"/>
              <w:right w:val="nil"/>
            </w:tcBorders>
            <w:shd w:val="clear" w:color="auto" w:fill="auto"/>
            <w:noWrap/>
            <w:vAlign w:val="bottom"/>
            <w:hideMark/>
          </w:tcPr>
          <w:p w14:paraId="7632866C"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11,691,538 </w:t>
            </w:r>
          </w:p>
        </w:tc>
        <w:tc>
          <w:tcPr>
            <w:tcW w:w="936" w:type="dxa"/>
            <w:tcBorders>
              <w:top w:val="nil"/>
              <w:left w:val="nil"/>
              <w:bottom w:val="single" w:sz="8" w:space="0" w:color="auto"/>
              <w:right w:val="nil"/>
            </w:tcBorders>
            <w:shd w:val="clear" w:color="auto" w:fill="auto"/>
            <w:noWrap/>
            <w:vAlign w:val="bottom"/>
            <w:hideMark/>
          </w:tcPr>
          <w:p w14:paraId="0B5BC397"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986" w:type="dxa"/>
            <w:tcBorders>
              <w:top w:val="nil"/>
              <w:left w:val="nil"/>
              <w:bottom w:val="single" w:sz="8" w:space="0" w:color="auto"/>
              <w:right w:val="nil"/>
            </w:tcBorders>
            <w:shd w:val="clear" w:color="auto" w:fill="auto"/>
            <w:noWrap/>
            <w:vAlign w:val="bottom"/>
            <w:hideMark/>
          </w:tcPr>
          <w:p w14:paraId="5A6B3020"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2,189,710 </w:t>
            </w:r>
          </w:p>
        </w:tc>
      </w:tr>
      <w:tr w:rsidR="00DC5642" w:rsidRPr="00DC5642" w14:paraId="74AB4421" w14:textId="77777777" w:rsidTr="00DC5642">
        <w:trPr>
          <w:trHeight w:val="30"/>
          <w:jc w:val="center"/>
        </w:trPr>
        <w:tc>
          <w:tcPr>
            <w:tcW w:w="4896" w:type="dxa"/>
            <w:tcBorders>
              <w:top w:val="nil"/>
              <w:left w:val="nil"/>
              <w:bottom w:val="single" w:sz="8" w:space="0" w:color="auto"/>
              <w:right w:val="nil"/>
            </w:tcBorders>
            <w:shd w:val="clear" w:color="auto" w:fill="auto"/>
            <w:noWrap/>
            <w:vAlign w:val="bottom"/>
          </w:tcPr>
          <w:p w14:paraId="343011AD"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46" w:type="dxa"/>
            <w:tcBorders>
              <w:top w:val="nil"/>
              <w:left w:val="nil"/>
              <w:bottom w:val="single" w:sz="8" w:space="0" w:color="auto"/>
              <w:right w:val="nil"/>
            </w:tcBorders>
            <w:shd w:val="clear" w:color="auto" w:fill="auto"/>
            <w:noWrap/>
            <w:vAlign w:val="bottom"/>
          </w:tcPr>
          <w:p w14:paraId="3322DC4F"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862" w:type="dxa"/>
            <w:tcBorders>
              <w:top w:val="nil"/>
              <w:left w:val="nil"/>
              <w:bottom w:val="single" w:sz="8" w:space="0" w:color="auto"/>
              <w:right w:val="nil"/>
            </w:tcBorders>
            <w:shd w:val="clear" w:color="auto" w:fill="auto"/>
            <w:noWrap/>
            <w:vAlign w:val="bottom"/>
          </w:tcPr>
          <w:p w14:paraId="5B6AA0F5"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single" w:sz="8" w:space="0" w:color="auto"/>
              <w:right w:val="nil"/>
            </w:tcBorders>
            <w:shd w:val="clear" w:color="auto" w:fill="auto"/>
            <w:noWrap/>
            <w:vAlign w:val="bottom"/>
          </w:tcPr>
          <w:p w14:paraId="24ADC42D"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936" w:type="dxa"/>
            <w:tcBorders>
              <w:top w:val="nil"/>
              <w:left w:val="nil"/>
              <w:bottom w:val="single" w:sz="8" w:space="0" w:color="auto"/>
              <w:right w:val="nil"/>
            </w:tcBorders>
            <w:shd w:val="clear" w:color="auto" w:fill="auto"/>
            <w:noWrap/>
            <w:vAlign w:val="bottom"/>
          </w:tcPr>
          <w:p w14:paraId="394BBEC6"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986" w:type="dxa"/>
            <w:tcBorders>
              <w:top w:val="nil"/>
              <w:left w:val="nil"/>
              <w:bottom w:val="single" w:sz="8" w:space="0" w:color="auto"/>
              <w:right w:val="nil"/>
            </w:tcBorders>
            <w:shd w:val="clear" w:color="auto" w:fill="auto"/>
            <w:noWrap/>
            <w:vAlign w:val="bottom"/>
          </w:tcPr>
          <w:p w14:paraId="29E29643"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r>
      <w:tr w:rsidR="00DC5642" w:rsidRPr="00DC5642" w14:paraId="1F4B5E32"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01FCCC9E"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5A42893C"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4597B9B6"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68BC4FB6"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1B4AD5BB"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20F62DE5" w14:textId="77777777" w:rsidR="00DC5642" w:rsidRPr="00DC5642" w:rsidRDefault="00DC5642" w:rsidP="00DC5642">
            <w:pPr>
              <w:widowControl/>
              <w:autoSpaceDE/>
              <w:autoSpaceDN/>
              <w:adjustRightInd/>
              <w:jc w:val="center"/>
              <w:rPr>
                <w:sz w:val="20"/>
                <w:szCs w:val="20"/>
                <w:lang w:eastAsia="en-CA"/>
              </w:rPr>
            </w:pPr>
          </w:p>
        </w:tc>
      </w:tr>
      <w:tr w:rsidR="00996CFA" w:rsidRPr="00DC5642" w14:paraId="56D5EEF1" w14:textId="77777777" w:rsidTr="00DC5642">
        <w:trPr>
          <w:trHeight w:val="30"/>
          <w:jc w:val="center"/>
        </w:trPr>
        <w:tc>
          <w:tcPr>
            <w:tcW w:w="4896" w:type="dxa"/>
            <w:tcBorders>
              <w:top w:val="nil"/>
              <w:left w:val="nil"/>
              <w:bottom w:val="nil"/>
              <w:right w:val="nil"/>
            </w:tcBorders>
            <w:shd w:val="clear" w:color="auto" w:fill="auto"/>
            <w:noWrap/>
            <w:vAlign w:val="bottom"/>
          </w:tcPr>
          <w:p w14:paraId="7D1AC35C" w14:textId="77777777" w:rsidR="00996CFA" w:rsidRPr="00DC5642" w:rsidRDefault="00996CFA"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tcPr>
          <w:p w14:paraId="06C5A37A" w14:textId="77777777" w:rsidR="00996CFA" w:rsidRPr="00DC5642" w:rsidRDefault="00996CFA"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tcPr>
          <w:p w14:paraId="671D26F5" w14:textId="77777777" w:rsidR="00996CFA" w:rsidRPr="00DC5642" w:rsidRDefault="00996CFA"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tcPr>
          <w:p w14:paraId="646C6236" w14:textId="77777777" w:rsidR="00996CFA" w:rsidRPr="00DC5642" w:rsidRDefault="00996CFA"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tcPr>
          <w:p w14:paraId="2D00B053" w14:textId="77777777" w:rsidR="00996CFA" w:rsidRPr="00DC5642" w:rsidRDefault="00996CFA"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tcPr>
          <w:p w14:paraId="0E79198D" w14:textId="77777777" w:rsidR="00996CFA" w:rsidRPr="00DC5642" w:rsidRDefault="00996CFA" w:rsidP="00DC5642">
            <w:pPr>
              <w:widowControl/>
              <w:autoSpaceDE/>
              <w:autoSpaceDN/>
              <w:adjustRightInd/>
              <w:jc w:val="center"/>
              <w:rPr>
                <w:sz w:val="20"/>
                <w:szCs w:val="20"/>
                <w:lang w:eastAsia="en-CA"/>
              </w:rPr>
            </w:pPr>
          </w:p>
        </w:tc>
      </w:tr>
      <w:tr w:rsidR="00DC5642" w:rsidRPr="00DC5642" w14:paraId="72F45BE4"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296959E4"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LIABILITIES AND SHAREHOLDERS’ EQUITY</w:t>
            </w:r>
          </w:p>
        </w:tc>
        <w:tc>
          <w:tcPr>
            <w:tcW w:w="846" w:type="dxa"/>
            <w:tcBorders>
              <w:top w:val="nil"/>
              <w:left w:val="nil"/>
              <w:bottom w:val="nil"/>
              <w:right w:val="nil"/>
            </w:tcBorders>
            <w:shd w:val="clear" w:color="auto" w:fill="auto"/>
            <w:noWrap/>
            <w:vAlign w:val="bottom"/>
            <w:hideMark/>
          </w:tcPr>
          <w:p w14:paraId="49AA3C5F"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22DAD95D"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40D177E3"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3EF114A9"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1B25F07" w14:textId="77777777" w:rsidR="00DC5642" w:rsidRPr="00DC5642" w:rsidRDefault="00DC5642" w:rsidP="00DC5642">
            <w:pPr>
              <w:widowControl/>
              <w:autoSpaceDE/>
              <w:autoSpaceDN/>
              <w:adjustRightInd/>
              <w:jc w:val="center"/>
              <w:rPr>
                <w:sz w:val="20"/>
                <w:szCs w:val="20"/>
                <w:lang w:eastAsia="en-CA"/>
              </w:rPr>
            </w:pPr>
          </w:p>
        </w:tc>
      </w:tr>
      <w:tr w:rsidR="00DC5642" w:rsidRPr="00DC5642" w14:paraId="61490019"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23763D8E" w14:textId="77777777" w:rsidR="00DC5642" w:rsidRPr="00DC5642" w:rsidRDefault="00DC5642" w:rsidP="00DC5642">
            <w:pPr>
              <w:widowControl/>
              <w:autoSpaceDE/>
              <w:autoSpaceDN/>
              <w:adjustRightInd/>
              <w:jc w:val="right"/>
              <w:rPr>
                <w:sz w:val="20"/>
                <w:szCs w:val="20"/>
                <w:lang w:eastAsia="en-CA"/>
              </w:rPr>
            </w:pPr>
          </w:p>
        </w:tc>
        <w:tc>
          <w:tcPr>
            <w:tcW w:w="846" w:type="dxa"/>
            <w:tcBorders>
              <w:top w:val="nil"/>
              <w:left w:val="nil"/>
              <w:bottom w:val="nil"/>
              <w:right w:val="nil"/>
            </w:tcBorders>
            <w:shd w:val="clear" w:color="auto" w:fill="auto"/>
            <w:noWrap/>
            <w:vAlign w:val="bottom"/>
            <w:hideMark/>
          </w:tcPr>
          <w:p w14:paraId="0A2430A7"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296B35C2"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10FA2B12"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685311FA"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55E585C0" w14:textId="77777777" w:rsidR="00DC5642" w:rsidRPr="00DC5642" w:rsidRDefault="00DC5642" w:rsidP="00DC5642">
            <w:pPr>
              <w:widowControl/>
              <w:autoSpaceDE/>
              <w:autoSpaceDN/>
              <w:adjustRightInd/>
              <w:jc w:val="center"/>
              <w:rPr>
                <w:sz w:val="20"/>
                <w:szCs w:val="20"/>
                <w:lang w:eastAsia="en-CA"/>
              </w:rPr>
            </w:pPr>
          </w:p>
        </w:tc>
      </w:tr>
      <w:tr w:rsidR="00DC5642" w:rsidRPr="00DC5642" w14:paraId="035755E1"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4895A7C2"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 xml:space="preserve">Current </w:t>
            </w:r>
          </w:p>
        </w:tc>
        <w:tc>
          <w:tcPr>
            <w:tcW w:w="846" w:type="dxa"/>
            <w:tcBorders>
              <w:top w:val="nil"/>
              <w:left w:val="nil"/>
              <w:bottom w:val="nil"/>
              <w:right w:val="nil"/>
            </w:tcBorders>
            <w:shd w:val="clear" w:color="auto" w:fill="auto"/>
            <w:noWrap/>
            <w:vAlign w:val="bottom"/>
            <w:hideMark/>
          </w:tcPr>
          <w:p w14:paraId="30518DCD"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43B9C086"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481BA05B"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66E3AE6E"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7A796F7" w14:textId="77777777" w:rsidR="00DC5642" w:rsidRPr="00DC5642" w:rsidRDefault="00DC5642" w:rsidP="00DC5642">
            <w:pPr>
              <w:widowControl/>
              <w:autoSpaceDE/>
              <w:autoSpaceDN/>
              <w:adjustRightInd/>
              <w:jc w:val="center"/>
              <w:rPr>
                <w:sz w:val="20"/>
                <w:szCs w:val="20"/>
                <w:lang w:eastAsia="en-CA"/>
              </w:rPr>
            </w:pPr>
          </w:p>
        </w:tc>
      </w:tr>
      <w:tr w:rsidR="00DC5642" w:rsidRPr="00DC5642" w14:paraId="65FEB210"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48864B8A"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xml:space="preserve">Accounts payable and accrued liabilities </w:t>
            </w:r>
          </w:p>
        </w:tc>
        <w:tc>
          <w:tcPr>
            <w:tcW w:w="846" w:type="dxa"/>
            <w:tcBorders>
              <w:top w:val="nil"/>
              <w:left w:val="nil"/>
              <w:bottom w:val="nil"/>
              <w:right w:val="nil"/>
            </w:tcBorders>
            <w:shd w:val="clear" w:color="auto" w:fill="auto"/>
            <w:noWrap/>
            <w:vAlign w:val="bottom"/>
            <w:hideMark/>
          </w:tcPr>
          <w:p w14:paraId="630CCCD0" w14:textId="6F6C6EBA"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7D1A460A"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751" w:type="dxa"/>
            <w:tcBorders>
              <w:top w:val="nil"/>
              <w:left w:val="nil"/>
              <w:bottom w:val="nil"/>
              <w:right w:val="nil"/>
            </w:tcBorders>
            <w:shd w:val="clear" w:color="auto" w:fill="auto"/>
            <w:noWrap/>
            <w:vAlign w:val="bottom"/>
            <w:hideMark/>
          </w:tcPr>
          <w:p w14:paraId="73FDDED9"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493,780 </w:t>
            </w:r>
          </w:p>
        </w:tc>
        <w:tc>
          <w:tcPr>
            <w:tcW w:w="936" w:type="dxa"/>
            <w:tcBorders>
              <w:top w:val="nil"/>
              <w:left w:val="nil"/>
              <w:bottom w:val="nil"/>
              <w:right w:val="nil"/>
            </w:tcBorders>
            <w:shd w:val="clear" w:color="auto" w:fill="auto"/>
            <w:noWrap/>
            <w:vAlign w:val="bottom"/>
            <w:hideMark/>
          </w:tcPr>
          <w:p w14:paraId="6D5B165A"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986" w:type="dxa"/>
            <w:tcBorders>
              <w:top w:val="nil"/>
              <w:left w:val="nil"/>
              <w:bottom w:val="nil"/>
              <w:right w:val="nil"/>
            </w:tcBorders>
            <w:shd w:val="clear" w:color="auto" w:fill="auto"/>
            <w:noWrap/>
            <w:vAlign w:val="bottom"/>
            <w:hideMark/>
          </w:tcPr>
          <w:p w14:paraId="5A756DB5"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73,355 </w:t>
            </w:r>
          </w:p>
        </w:tc>
      </w:tr>
      <w:tr w:rsidR="00DC5642" w:rsidRPr="00DC5642" w14:paraId="1767A6F3"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7701EC92"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Deferred revenue</w:t>
            </w:r>
          </w:p>
        </w:tc>
        <w:tc>
          <w:tcPr>
            <w:tcW w:w="846" w:type="dxa"/>
            <w:tcBorders>
              <w:top w:val="nil"/>
              <w:left w:val="nil"/>
              <w:bottom w:val="nil"/>
              <w:right w:val="nil"/>
            </w:tcBorders>
            <w:shd w:val="clear" w:color="auto" w:fill="auto"/>
            <w:noWrap/>
            <w:vAlign w:val="bottom"/>
            <w:hideMark/>
          </w:tcPr>
          <w:p w14:paraId="1FDD984C"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13286DCF"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11095BA5"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6,302 </w:t>
            </w:r>
          </w:p>
        </w:tc>
        <w:tc>
          <w:tcPr>
            <w:tcW w:w="936" w:type="dxa"/>
            <w:tcBorders>
              <w:top w:val="nil"/>
              <w:left w:val="nil"/>
              <w:bottom w:val="nil"/>
              <w:right w:val="nil"/>
            </w:tcBorders>
            <w:shd w:val="clear" w:color="auto" w:fill="auto"/>
            <w:noWrap/>
            <w:vAlign w:val="bottom"/>
            <w:hideMark/>
          </w:tcPr>
          <w:p w14:paraId="2F0D7A52"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331A6A2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400316FB"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7E7C7C02" w14:textId="742025C3"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xml:space="preserve">Lease liability </w:t>
            </w:r>
            <w:r w:rsidR="00996CFA">
              <w:rPr>
                <w:rFonts w:ascii="Arial" w:hAnsi="Arial" w:cs="Arial"/>
                <w:color w:val="000000"/>
                <w:sz w:val="18"/>
                <w:szCs w:val="18"/>
                <w:lang w:eastAsia="en-CA"/>
              </w:rPr>
              <w:t>–</w:t>
            </w:r>
            <w:r w:rsidRPr="00DC5642">
              <w:rPr>
                <w:rFonts w:ascii="Arial" w:hAnsi="Arial" w:cs="Arial"/>
                <w:color w:val="000000"/>
                <w:sz w:val="18"/>
                <w:szCs w:val="18"/>
                <w:lang w:eastAsia="en-CA"/>
              </w:rPr>
              <w:t xml:space="preserve"> current</w:t>
            </w:r>
          </w:p>
        </w:tc>
        <w:tc>
          <w:tcPr>
            <w:tcW w:w="846" w:type="dxa"/>
            <w:tcBorders>
              <w:top w:val="nil"/>
              <w:left w:val="nil"/>
              <w:bottom w:val="nil"/>
              <w:right w:val="nil"/>
            </w:tcBorders>
            <w:shd w:val="clear" w:color="auto" w:fill="auto"/>
            <w:noWrap/>
            <w:vAlign w:val="bottom"/>
            <w:hideMark/>
          </w:tcPr>
          <w:p w14:paraId="08AE60BA"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9</w:t>
            </w:r>
          </w:p>
        </w:tc>
        <w:tc>
          <w:tcPr>
            <w:tcW w:w="862" w:type="dxa"/>
            <w:tcBorders>
              <w:top w:val="nil"/>
              <w:left w:val="nil"/>
              <w:bottom w:val="nil"/>
              <w:right w:val="nil"/>
            </w:tcBorders>
            <w:shd w:val="clear" w:color="auto" w:fill="auto"/>
            <w:noWrap/>
            <w:vAlign w:val="bottom"/>
            <w:hideMark/>
          </w:tcPr>
          <w:p w14:paraId="24C166C3"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2A8FFA3E"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37,804 </w:t>
            </w:r>
          </w:p>
        </w:tc>
        <w:tc>
          <w:tcPr>
            <w:tcW w:w="936" w:type="dxa"/>
            <w:tcBorders>
              <w:top w:val="nil"/>
              <w:left w:val="nil"/>
              <w:bottom w:val="nil"/>
              <w:right w:val="nil"/>
            </w:tcBorders>
            <w:shd w:val="clear" w:color="auto" w:fill="auto"/>
            <w:noWrap/>
            <w:vAlign w:val="bottom"/>
            <w:hideMark/>
          </w:tcPr>
          <w:p w14:paraId="707FE739"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75D67994"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5A91907C"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51956A88"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Contingent liabilities</w:t>
            </w:r>
          </w:p>
        </w:tc>
        <w:tc>
          <w:tcPr>
            <w:tcW w:w="846" w:type="dxa"/>
            <w:tcBorders>
              <w:top w:val="nil"/>
              <w:left w:val="nil"/>
              <w:bottom w:val="single" w:sz="4" w:space="0" w:color="auto"/>
              <w:right w:val="nil"/>
            </w:tcBorders>
            <w:shd w:val="clear" w:color="auto" w:fill="auto"/>
            <w:noWrap/>
            <w:vAlign w:val="bottom"/>
            <w:hideMark/>
          </w:tcPr>
          <w:p w14:paraId="6C24CAF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4,5</w:t>
            </w:r>
          </w:p>
        </w:tc>
        <w:tc>
          <w:tcPr>
            <w:tcW w:w="862" w:type="dxa"/>
            <w:tcBorders>
              <w:top w:val="nil"/>
              <w:left w:val="nil"/>
              <w:bottom w:val="single" w:sz="4" w:space="0" w:color="auto"/>
              <w:right w:val="nil"/>
            </w:tcBorders>
            <w:shd w:val="clear" w:color="auto" w:fill="auto"/>
            <w:noWrap/>
            <w:vAlign w:val="bottom"/>
            <w:hideMark/>
          </w:tcPr>
          <w:p w14:paraId="5A8AF3E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1FBB5868"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1,528,261 </w:t>
            </w:r>
          </w:p>
        </w:tc>
        <w:tc>
          <w:tcPr>
            <w:tcW w:w="936" w:type="dxa"/>
            <w:tcBorders>
              <w:top w:val="nil"/>
              <w:left w:val="nil"/>
              <w:bottom w:val="single" w:sz="4" w:space="0" w:color="auto"/>
              <w:right w:val="nil"/>
            </w:tcBorders>
            <w:shd w:val="clear" w:color="auto" w:fill="auto"/>
            <w:noWrap/>
            <w:vAlign w:val="bottom"/>
            <w:hideMark/>
          </w:tcPr>
          <w:p w14:paraId="713B5ACE"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0D17868D"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26F96CF1"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1D60C6E8"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24BB6E4D"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45834668"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5830D3BB"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64377F81"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0235825" w14:textId="77777777" w:rsidR="00DC5642" w:rsidRPr="00DC5642" w:rsidRDefault="00DC5642" w:rsidP="00DC5642">
            <w:pPr>
              <w:widowControl/>
              <w:autoSpaceDE/>
              <w:autoSpaceDN/>
              <w:adjustRightInd/>
              <w:jc w:val="center"/>
              <w:rPr>
                <w:sz w:val="20"/>
                <w:szCs w:val="20"/>
                <w:lang w:eastAsia="en-CA"/>
              </w:rPr>
            </w:pPr>
          </w:p>
        </w:tc>
      </w:tr>
      <w:tr w:rsidR="00DC5642" w:rsidRPr="00DC5642" w14:paraId="73FA393D"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49D529CC"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46" w:type="dxa"/>
            <w:tcBorders>
              <w:top w:val="nil"/>
              <w:left w:val="nil"/>
              <w:bottom w:val="single" w:sz="4" w:space="0" w:color="auto"/>
              <w:right w:val="nil"/>
            </w:tcBorders>
            <w:shd w:val="clear" w:color="auto" w:fill="auto"/>
            <w:noWrap/>
            <w:vAlign w:val="bottom"/>
            <w:hideMark/>
          </w:tcPr>
          <w:p w14:paraId="11B1658F"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4" w:space="0" w:color="auto"/>
              <w:right w:val="nil"/>
            </w:tcBorders>
            <w:shd w:val="clear" w:color="auto" w:fill="auto"/>
            <w:noWrap/>
            <w:vAlign w:val="bottom"/>
            <w:hideMark/>
          </w:tcPr>
          <w:p w14:paraId="5D91C862"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3CC1429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2,066,147 </w:t>
            </w:r>
          </w:p>
        </w:tc>
        <w:tc>
          <w:tcPr>
            <w:tcW w:w="936" w:type="dxa"/>
            <w:tcBorders>
              <w:top w:val="nil"/>
              <w:left w:val="nil"/>
              <w:bottom w:val="single" w:sz="4" w:space="0" w:color="auto"/>
              <w:right w:val="nil"/>
            </w:tcBorders>
            <w:shd w:val="clear" w:color="auto" w:fill="auto"/>
            <w:noWrap/>
            <w:vAlign w:val="bottom"/>
            <w:hideMark/>
          </w:tcPr>
          <w:p w14:paraId="5D24D01B"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6850848E"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73,355 </w:t>
            </w:r>
          </w:p>
        </w:tc>
      </w:tr>
      <w:tr w:rsidR="00DC5642" w:rsidRPr="00DC5642" w14:paraId="5CD57397"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6172CA73"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0BCD9032"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68218FA6"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6A90CA10"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4FA4C431"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7F0779B8" w14:textId="77777777" w:rsidR="00DC5642" w:rsidRPr="00DC5642" w:rsidRDefault="00DC5642" w:rsidP="00DC5642">
            <w:pPr>
              <w:widowControl/>
              <w:autoSpaceDE/>
              <w:autoSpaceDN/>
              <w:adjustRightInd/>
              <w:jc w:val="center"/>
              <w:rPr>
                <w:sz w:val="20"/>
                <w:szCs w:val="20"/>
                <w:lang w:eastAsia="en-CA"/>
              </w:rPr>
            </w:pPr>
          </w:p>
        </w:tc>
      </w:tr>
      <w:tr w:rsidR="00996CFA" w:rsidRPr="00DC5642" w14:paraId="51B0BF6E" w14:textId="77777777" w:rsidTr="00DC5642">
        <w:trPr>
          <w:trHeight w:val="30"/>
          <w:jc w:val="center"/>
        </w:trPr>
        <w:tc>
          <w:tcPr>
            <w:tcW w:w="4896" w:type="dxa"/>
            <w:tcBorders>
              <w:top w:val="nil"/>
              <w:left w:val="nil"/>
              <w:bottom w:val="nil"/>
              <w:right w:val="nil"/>
            </w:tcBorders>
            <w:shd w:val="clear" w:color="auto" w:fill="auto"/>
            <w:noWrap/>
            <w:vAlign w:val="bottom"/>
          </w:tcPr>
          <w:p w14:paraId="10719210" w14:textId="77777777" w:rsidR="00996CFA" w:rsidRPr="00DC5642" w:rsidRDefault="00996CFA"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tcPr>
          <w:p w14:paraId="6FFD3532" w14:textId="77777777" w:rsidR="00996CFA" w:rsidRPr="00DC5642" w:rsidRDefault="00996CFA"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tcPr>
          <w:p w14:paraId="5FEEA0A5" w14:textId="77777777" w:rsidR="00996CFA" w:rsidRPr="00DC5642" w:rsidRDefault="00996CFA"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tcPr>
          <w:p w14:paraId="6095BFEB" w14:textId="77777777" w:rsidR="00996CFA" w:rsidRPr="00DC5642" w:rsidRDefault="00996CFA"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tcPr>
          <w:p w14:paraId="6BF07C60" w14:textId="77777777" w:rsidR="00996CFA" w:rsidRPr="00DC5642" w:rsidRDefault="00996CFA"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tcPr>
          <w:p w14:paraId="03E05F32" w14:textId="77777777" w:rsidR="00996CFA" w:rsidRPr="00DC5642" w:rsidRDefault="00996CFA" w:rsidP="00DC5642">
            <w:pPr>
              <w:widowControl/>
              <w:autoSpaceDE/>
              <w:autoSpaceDN/>
              <w:adjustRightInd/>
              <w:jc w:val="center"/>
              <w:rPr>
                <w:sz w:val="20"/>
                <w:szCs w:val="20"/>
                <w:lang w:eastAsia="en-CA"/>
              </w:rPr>
            </w:pPr>
          </w:p>
        </w:tc>
      </w:tr>
      <w:tr w:rsidR="00DC5642" w:rsidRPr="00DC5642" w14:paraId="7073EE58"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03C0497E"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Canada Emergency Business Account loan</w:t>
            </w:r>
          </w:p>
        </w:tc>
        <w:tc>
          <w:tcPr>
            <w:tcW w:w="846" w:type="dxa"/>
            <w:tcBorders>
              <w:top w:val="nil"/>
              <w:left w:val="nil"/>
              <w:bottom w:val="nil"/>
              <w:right w:val="nil"/>
            </w:tcBorders>
            <w:shd w:val="clear" w:color="auto" w:fill="auto"/>
            <w:noWrap/>
            <w:vAlign w:val="bottom"/>
            <w:hideMark/>
          </w:tcPr>
          <w:p w14:paraId="02D00DE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11</w:t>
            </w:r>
          </w:p>
        </w:tc>
        <w:tc>
          <w:tcPr>
            <w:tcW w:w="862" w:type="dxa"/>
            <w:tcBorders>
              <w:top w:val="nil"/>
              <w:left w:val="nil"/>
              <w:bottom w:val="nil"/>
              <w:right w:val="nil"/>
            </w:tcBorders>
            <w:shd w:val="clear" w:color="auto" w:fill="auto"/>
            <w:noWrap/>
            <w:vAlign w:val="bottom"/>
            <w:hideMark/>
          </w:tcPr>
          <w:p w14:paraId="02B1904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70F8292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47,372 </w:t>
            </w:r>
          </w:p>
        </w:tc>
        <w:tc>
          <w:tcPr>
            <w:tcW w:w="936" w:type="dxa"/>
            <w:tcBorders>
              <w:top w:val="nil"/>
              <w:left w:val="nil"/>
              <w:bottom w:val="nil"/>
              <w:right w:val="nil"/>
            </w:tcBorders>
            <w:shd w:val="clear" w:color="auto" w:fill="auto"/>
            <w:noWrap/>
            <w:vAlign w:val="bottom"/>
            <w:hideMark/>
          </w:tcPr>
          <w:p w14:paraId="7B502464"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4C90F781"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22A3304C"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2A8BA80C"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Deferred income tax liability</w:t>
            </w:r>
          </w:p>
        </w:tc>
        <w:tc>
          <w:tcPr>
            <w:tcW w:w="846" w:type="dxa"/>
            <w:tcBorders>
              <w:top w:val="nil"/>
              <w:left w:val="nil"/>
              <w:bottom w:val="nil"/>
              <w:right w:val="nil"/>
            </w:tcBorders>
            <w:shd w:val="clear" w:color="auto" w:fill="auto"/>
            <w:noWrap/>
            <w:vAlign w:val="bottom"/>
            <w:hideMark/>
          </w:tcPr>
          <w:p w14:paraId="4ABA946C"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4,5</w:t>
            </w:r>
          </w:p>
        </w:tc>
        <w:tc>
          <w:tcPr>
            <w:tcW w:w="862" w:type="dxa"/>
            <w:tcBorders>
              <w:top w:val="nil"/>
              <w:left w:val="nil"/>
              <w:bottom w:val="nil"/>
              <w:right w:val="nil"/>
            </w:tcBorders>
            <w:shd w:val="clear" w:color="auto" w:fill="auto"/>
            <w:noWrap/>
            <w:vAlign w:val="bottom"/>
            <w:hideMark/>
          </w:tcPr>
          <w:p w14:paraId="72DCD8AF"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1D71AF88"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1,475,820 </w:t>
            </w:r>
          </w:p>
        </w:tc>
        <w:tc>
          <w:tcPr>
            <w:tcW w:w="936" w:type="dxa"/>
            <w:tcBorders>
              <w:top w:val="nil"/>
              <w:left w:val="nil"/>
              <w:bottom w:val="nil"/>
              <w:right w:val="nil"/>
            </w:tcBorders>
            <w:shd w:val="clear" w:color="auto" w:fill="auto"/>
            <w:noWrap/>
            <w:vAlign w:val="bottom"/>
            <w:hideMark/>
          </w:tcPr>
          <w:p w14:paraId="2D67B4EC"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7E948444"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321938E8"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6980965E"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Lease liability - long term</w:t>
            </w:r>
          </w:p>
        </w:tc>
        <w:tc>
          <w:tcPr>
            <w:tcW w:w="846" w:type="dxa"/>
            <w:tcBorders>
              <w:top w:val="nil"/>
              <w:left w:val="nil"/>
              <w:bottom w:val="single" w:sz="4" w:space="0" w:color="auto"/>
              <w:right w:val="nil"/>
            </w:tcBorders>
            <w:shd w:val="clear" w:color="auto" w:fill="auto"/>
            <w:noWrap/>
            <w:vAlign w:val="bottom"/>
            <w:hideMark/>
          </w:tcPr>
          <w:p w14:paraId="05158E49"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9</w:t>
            </w:r>
          </w:p>
        </w:tc>
        <w:tc>
          <w:tcPr>
            <w:tcW w:w="862" w:type="dxa"/>
            <w:tcBorders>
              <w:top w:val="nil"/>
              <w:left w:val="nil"/>
              <w:bottom w:val="single" w:sz="4" w:space="0" w:color="auto"/>
              <w:right w:val="nil"/>
            </w:tcBorders>
            <w:shd w:val="clear" w:color="auto" w:fill="auto"/>
            <w:noWrap/>
            <w:vAlign w:val="bottom"/>
            <w:hideMark/>
          </w:tcPr>
          <w:p w14:paraId="27003CD8"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4F2AF865"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44,866 </w:t>
            </w:r>
          </w:p>
        </w:tc>
        <w:tc>
          <w:tcPr>
            <w:tcW w:w="936" w:type="dxa"/>
            <w:tcBorders>
              <w:top w:val="nil"/>
              <w:left w:val="nil"/>
              <w:bottom w:val="single" w:sz="4" w:space="0" w:color="auto"/>
              <w:right w:val="nil"/>
            </w:tcBorders>
            <w:shd w:val="clear" w:color="auto" w:fill="auto"/>
            <w:noWrap/>
            <w:vAlign w:val="bottom"/>
            <w:hideMark/>
          </w:tcPr>
          <w:p w14:paraId="3E8810EF"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04FE7D4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 </w:t>
            </w:r>
          </w:p>
        </w:tc>
      </w:tr>
      <w:tr w:rsidR="00DC5642" w:rsidRPr="00DC5642" w14:paraId="5962C456" w14:textId="77777777" w:rsidTr="00DC5642">
        <w:trPr>
          <w:trHeight w:val="30"/>
          <w:jc w:val="center"/>
        </w:trPr>
        <w:tc>
          <w:tcPr>
            <w:tcW w:w="4896" w:type="dxa"/>
            <w:tcBorders>
              <w:top w:val="nil"/>
              <w:left w:val="nil"/>
              <w:bottom w:val="nil"/>
              <w:right w:val="nil"/>
            </w:tcBorders>
            <w:shd w:val="clear" w:color="000000" w:fill="FFFFFF"/>
            <w:noWrap/>
            <w:vAlign w:val="bottom"/>
            <w:hideMark/>
          </w:tcPr>
          <w:p w14:paraId="0CA8D887"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46" w:type="dxa"/>
            <w:tcBorders>
              <w:top w:val="nil"/>
              <w:left w:val="nil"/>
              <w:bottom w:val="nil"/>
              <w:right w:val="nil"/>
            </w:tcBorders>
            <w:shd w:val="clear" w:color="000000" w:fill="FFFFFF"/>
            <w:noWrap/>
            <w:vAlign w:val="bottom"/>
            <w:hideMark/>
          </w:tcPr>
          <w:p w14:paraId="44876804"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nil"/>
              <w:right w:val="nil"/>
            </w:tcBorders>
            <w:shd w:val="clear" w:color="000000" w:fill="FFFFFF"/>
            <w:noWrap/>
            <w:vAlign w:val="bottom"/>
            <w:hideMark/>
          </w:tcPr>
          <w:p w14:paraId="19AE4B68"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nil"/>
              <w:right w:val="nil"/>
            </w:tcBorders>
            <w:shd w:val="clear" w:color="000000" w:fill="FFFFFF"/>
            <w:noWrap/>
            <w:vAlign w:val="bottom"/>
            <w:hideMark/>
          </w:tcPr>
          <w:p w14:paraId="4E8F821D"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936" w:type="dxa"/>
            <w:tcBorders>
              <w:top w:val="nil"/>
              <w:left w:val="nil"/>
              <w:bottom w:val="nil"/>
              <w:right w:val="nil"/>
            </w:tcBorders>
            <w:shd w:val="clear" w:color="000000" w:fill="FFFFFF"/>
            <w:noWrap/>
            <w:vAlign w:val="bottom"/>
            <w:hideMark/>
          </w:tcPr>
          <w:p w14:paraId="727F6840"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nil"/>
              <w:right w:val="nil"/>
            </w:tcBorders>
            <w:shd w:val="clear" w:color="000000" w:fill="FFFFFF"/>
            <w:noWrap/>
            <w:vAlign w:val="bottom"/>
            <w:hideMark/>
          </w:tcPr>
          <w:p w14:paraId="1CCF57A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w:t>
            </w:r>
          </w:p>
        </w:tc>
      </w:tr>
      <w:tr w:rsidR="00DC5642" w:rsidRPr="00DC5642" w14:paraId="13EC6838"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3D12FE32"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Total liabilities</w:t>
            </w:r>
          </w:p>
        </w:tc>
        <w:tc>
          <w:tcPr>
            <w:tcW w:w="846" w:type="dxa"/>
            <w:tcBorders>
              <w:top w:val="nil"/>
              <w:left w:val="nil"/>
              <w:bottom w:val="single" w:sz="4" w:space="0" w:color="auto"/>
              <w:right w:val="nil"/>
            </w:tcBorders>
            <w:shd w:val="clear" w:color="auto" w:fill="auto"/>
            <w:noWrap/>
            <w:vAlign w:val="bottom"/>
            <w:hideMark/>
          </w:tcPr>
          <w:p w14:paraId="1CAE8DAC"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4" w:space="0" w:color="auto"/>
              <w:right w:val="nil"/>
            </w:tcBorders>
            <w:shd w:val="clear" w:color="auto" w:fill="auto"/>
            <w:noWrap/>
            <w:vAlign w:val="bottom"/>
            <w:hideMark/>
          </w:tcPr>
          <w:p w14:paraId="6F7DBA3A"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455E2C7F"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3,634,205 </w:t>
            </w:r>
          </w:p>
        </w:tc>
        <w:tc>
          <w:tcPr>
            <w:tcW w:w="936" w:type="dxa"/>
            <w:tcBorders>
              <w:top w:val="nil"/>
              <w:left w:val="nil"/>
              <w:bottom w:val="single" w:sz="4" w:space="0" w:color="auto"/>
              <w:right w:val="nil"/>
            </w:tcBorders>
            <w:shd w:val="clear" w:color="auto" w:fill="auto"/>
            <w:noWrap/>
            <w:vAlign w:val="bottom"/>
            <w:hideMark/>
          </w:tcPr>
          <w:p w14:paraId="48DDCD7E"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00212DF3"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73,355 </w:t>
            </w:r>
          </w:p>
        </w:tc>
      </w:tr>
      <w:tr w:rsidR="00DC5642" w:rsidRPr="00DC5642" w14:paraId="18DE222E"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6F66F4E0"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5BCD16FD"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65F7BD40"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6C243C2E"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45259B2F"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EBF3842" w14:textId="77777777" w:rsidR="00DC5642" w:rsidRPr="00DC5642" w:rsidRDefault="00DC5642" w:rsidP="00DC5642">
            <w:pPr>
              <w:widowControl/>
              <w:autoSpaceDE/>
              <w:autoSpaceDN/>
              <w:adjustRightInd/>
              <w:jc w:val="center"/>
              <w:rPr>
                <w:sz w:val="20"/>
                <w:szCs w:val="20"/>
                <w:lang w:eastAsia="en-CA"/>
              </w:rPr>
            </w:pPr>
          </w:p>
        </w:tc>
      </w:tr>
      <w:tr w:rsidR="00DC5642" w:rsidRPr="00DC5642" w14:paraId="09BD1295" w14:textId="77777777" w:rsidTr="00DC5642">
        <w:trPr>
          <w:trHeight w:val="30"/>
          <w:jc w:val="center"/>
        </w:trPr>
        <w:tc>
          <w:tcPr>
            <w:tcW w:w="4896" w:type="dxa"/>
            <w:tcBorders>
              <w:top w:val="nil"/>
              <w:left w:val="nil"/>
              <w:bottom w:val="nil"/>
              <w:right w:val="nil"/>
            </w:tcBorders>
            <w:shd w:val="clear" w:color="auto" w:fill="auto"/>
            <w:noWrap/>
            <w:vAlign w:val="bottom"/>
          </w:tcPr>
          <w:p w14:paraId="676A3BCF"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46" w:type="dxa"/>
            <w:tcBorders>
              <w:top w:val="nil"/>
              <w:left w:val="nil"/>
              <w:bottom w:val="nil"/>
              <w:right w:val="nil"/>
            </w:tcBorders>
            <w:shd w:val="clear" w:color="auto" w:fill="auto"/>
            <w:noWrap/>
            <w:vAlign w:val="bottom"/>
          </w:tcPr>
          <w:p w14:paraId="71856EC7"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62" w:type="dxa"/>
            <w:tcBorders>
              <w:top w:val="nil"/>
              <w:left w:val="nil"/>
              <w:bottom w:val="nil"/>
              <w:right w:val="nil"/>
            </w:tcBorders>
            <w:shd w:val="clear" w:color="auto" w:fill="auto"/>
            <w:noWrap/>
            <w:vAlign w:val="bottom"/>
          </w:tcPr>
          <w:p w14:paraId="26F7CECB"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tcPr>
          <w:p w14:paraId="0BC4F706"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tcPr>
          <w:p w14:paraId="1E455A47"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tcPr>
          <w:p w14:paraId="65A51900" w14:textId="77777777" w:rsidR="00DC5642" w:rsidRPr="00DC5642" w:rsidRDefault="00DC5642" w:rsidP="00DC5642">
            <w:pPr>
              <w:widowControl/>
              <w:autoSpaceDE/>
              <w:autoSpaceDN/>
              <w:adjustRightInd/>
              <w:jc w:val="center"/>
              <w:rPr>
                <w:sz w:val="20"/>
                <w:szCs w:val="20"/>
                <w:lang w:eastAsia="en-CA"/>
              </w:rPr>
            </w:pPr>
          </w:p>
        </w:tc>
      </w:tr>
      <w:tr w:rsidR="00DC5642" w:rsidRPr="00DC5642" w14:paraId="2F7DEADD"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1CD20F43"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 xml:space="preserve">Shareholders’ equity </w:t>
            </w:r>
          </w:p>
        </w:tc>
        <w:tc>
          <w:tcPr>
            <w:tcW w:w="846" w:type="dxa"/>
            <w:tcBorders>
              <w:top w:val="nil"/>
              <w:left w:val="nil"/>
              <w:bottom w:val="nil"/>
              <w:right w:val="nil"/>
            </w:tcBorders>
            <w:shd w:val="clear" w:color="auto" w:fill="auto"/>
            <w:noWrap/>
            <w:vAlign w:val="bottom"/>
            <w:hideMark/>
          </w:tcPr>
          <w:p w14:paraId="41A03AEE"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3B01A224"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48B60536"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09F2C30F"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4131D324" w14:textId="77777777" w:rsidR="00DC5642" w:rsidRPr="00DC5642" w:rsidRDefault="00DC5642" w:rsidP="00DC5642">
            <w:pPr>
              <w:widowControl/>
              <w:autoSpaceDE/>
              <w:autoSpaceDN/>
              <w:adjustRightInd/>
              <w:jc w:val="center"/>
              <w:rPr>
                <w:sz w:val="20"/>
                <w:szCs w:val="20"/>
                <w:lang w:eastAsia="en-CA"/>
              </w:rPr>
            </w:pPr>
          </w:p>
        </w:tc>
      </w:tr>
      <w:tr w:rsidR="00DC5642" w:rsidRPr="00DC5642" w14:paraId="7A0B6D5E"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0CA7F183"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 xml:space="preserve">Share capital </w:t>
            </w:r>
          </w:p>
        </w:tc>
        <w:tc>
          <w:tcPr>
            <w:tcW w:w="846" w:type="dxa"/>
            <w:tcBorders>
              <w:top w:val="nil"/>
              <w:left w:val="nil"/>
              <w:bottom w:val="nil"/>
              <w:right w:val="nil"/>
            </w:tcBorders>
            <w:shd w:val="clear" w:color="auto" w:fill="auto"/>
            <w:noWrap/>
            <w:vAlign w:val="bottom"/>
            <w:hideMark/>
          </w:tcPr>
          <w:p w14:paraId="21E8DE2C"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7</w:t>
            </w:r>
          </w:p>
        </w:tc>
        <w:tc>
          <w:tcPr>
            <w:tcW w:w="862" w:type="dxa"/>
            <w:tcBorders>
              <w:top w:val="nil"/>
              <w:left w:val="nil"/>
              <w:bottom w:val="nil"/>
              <w:right w:val="nil"/>
            </w:tcBorders>
            <w:shd w:val="clear" w:color="auto" w:fill="auto"/>
            <w:noWrap/>
            <w:vAlign w:val="bottom"/>
            <w:hideMark/>
          </w:tcPr>
          <w:p w14:paraId="7D9FFE92"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7DF616E7"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11,537,629 </w:t>
            </w:r>
          </w:p>
        </w:tc>
        <w:tc>
          <w:tcPr>
            <w:tcW w:w="936" w:type="dxa"/>
            <w:tcBorders>
              <w:top w:val="nil"/>
              <w:left w:val="nil"/>
              <w:bottom w:val="nil"/>
              <w:right w:val="nil"/>
            </w:tcBorders>
            <w:shd w:val="clear" w:color="auto" w:fill="auto"/>
            <w:noWrap/>
            <w:vAlign w:val="bottom"/>
            <w:hideMark/>
          </w:tcPr>
          <w:p w14:paraId="64D9A376"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0C60D657"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4,207,037 </w:t>
            </w:r>
          </w:p>
        </w:tc>
      </w:tr>
      <w:tr w:rsidR="00DC5642" w:rsidRPr="00DC5642" w14:paraId="6F8E671B"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236F9DF8"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Reserves</w:t>
            </w:r>
          </w:p>
        </w:tc>
        <w:tc>
          <w:tcPr>
            <w:tcW w:w="846" w:type="dxa"/>
            <w:tcBorders>
              <w:top w:val="nil"/>
              <w:left w:val="nil"/>
              <w:bottom w:val="nil"/>
              <w:right w:val="nil"/>
            </w:tcBorders>
            <w:shd w:val="clear" w:color="auto" w:fill="auto"/>
            <w:noWrap/>
            <w:vAlign w:val="bottom"/>
            <w:hideMark/>
          </w:tcPr>
          <w:p w14:paraId="0C0BFF73"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7</w:t>
            </w:r>
          </w:p>
        </w:tc>
        <w:tc>
          <w:tcPr>
            <w:tcW w:w="862" w:type="dxa"/>
            <w:tcBorders>
              <w:top w:val="nil"/>
              <w:left w:val="nil"/>
              <w:bottom w:val="nil"/>
              <w:right w:val="nil"/>
            </w:tcBorders>
            <w:shd w:val="clear" w:color="auto" w:fill="auto"/>
            <w:noWrap/>
            <w:vAlign w:val="bottom"/>
            <w:hideMark/>
          </w:tcPr>
          <w:p w14:paraId="435395C6"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p>
        </w:tc>
        <w:tc>
          <w:tcPr>
            <w:tcW w:w="1751" w:type="dxa"/>
            <w:tcBorders>
              <w:top w:val="nil"/>
              <w:left w:val="nil"/>
              <w:bottom w:val="nil"/>
              <w:right w:val="nil"/>
            </w:tcBorders>
            <w:shd w:val="clear" w:color="auto" w:fill="auto"/>
            <w:noWrap/>
            <w:vAlign w:val="bottom"/>
            <w:hideMark/>
          </w:tcPr>
          <w:p w14:paraId="78A5B334"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570,083 </w:t>
            </w:r>
          </w:p>
        </w:tc>
        <w:tc>
          <w:tcPr>
            <w:tcW w:w="936" w:type="dxa"/>
            <w:tcBorders>
              <w:top w:val="nil"/>
              <w:left w:val="nil"/>
              <w:bottom w:val="nil"/>
              <w:right w:val="nil"/>
            </w:tcBorders>
            <w:shd w:val="clear" w:color="auto" w:fill="auto"/>
            <w:noWrap/>
            <w:vAlign w:val="bottom"/>
            <w:hideMark/>
          </w:tcPr>
          <w:p w14:paraId="07D8CFC6"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23A79867"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87,143 </w:t>
            </w:r>
          </w:p>
        </w:tc>
      </w:tr>
      <w:tr w:rsidR="00DC5642" w:rsidRPr="00DC5642" w14:paraId="0FD21475"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45165FC8"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Deficit</w:t>
            </w:r>
          </w:p>
        </w:tc>
        <w:tc>
          <w:tcPr>
            <w:tcW w:w="846" w:type="dxa"/>
            <w:tcBorders>
              <w:top w:val="nil"/>
              <w:left w:val="nil"/>
              <w:bottom w:val="nil"/>
              <w:right w:val="nil"/>
            </w:tcBorders>
            <w:shd w:val="clear" w:color="auto" w:fill="auto"/>
            <w:noWrap/>
            <w:vAlign w:val="bottom"/>
            <w:hideMark/>
          </w:tcPr>
          <w:p w14:paraId="066567EE"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p>
        </w:tc>
        <w:tc>
          <w:tcPr>
            <w:tcW w:w="862" w:type="dxa"/>
            <w:tcBorders>
              <w:top w:val="nil"/>
              <w:left w:val="nil"/>
              <w:bottom w:val="nil"/>
              <w:right w:val="nil"/>
            </w:tcBorders>
            <w:shd w:val="clear" w:color="auto" w:fill="auto"/>
            <w:noWrap/>
            <w:vAlign w:val="bottom"/>
            <w:hideMark/>
          </w:tcPr>
          <w:p w14:paraId="7B50DAFE"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67EE31B1"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(4,392,305)</w:t>
            </w:r>
          </w:p>
        </w:tc>
        <w:tc>
          <w:tcPr>
            <w:tcW w:w="936" w:type="dxa"/>
            <w:tcBorders>
              <w:top w:val="nil"/>
              <w:left w:val="nil"/>
              <w:bottom w:val="nil"/>
              <w:right w:val="nil"/>
            </w:tcBorders>
            <w:shd w:val="clear" w:color="auto" w:fill="auto"/>
            <w:noWrap/>
            <w:vAlign w:val="bottom"/>
            <w:hideMark/>
          </w:tcPr>
          <w:p w14:paraId="37F53109"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1986" w:type="dxa"/>
            <w:tcBorders>
              <w:top w:val="nil"/>
              <w:left w:val="nil"/>
              <w:bottom w:val="nil"/>
              <w:right w:val="nil"/>
            </w:tcBorders>
            <w:shd w:val="clear" w:color="auto" w:fill="auto"/>
            <w:noWrap/>
            <w:vAlign w:val="bottom"/>
            <w:hideMark/>
          </w:tcPr>
          <w:p w14:paraId="54670906"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(2,247,669)</w:t>
            </w:r>
          </w:p>
        </w:tc>
      </w:tr>
      <w:tr w:rsidR="00DC5642" w:rsidRPr="00DC5642" w14:paraId="2BD447FA"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096787DA" w14:textId="77777777" w:rsidR="00DC5642" w:rsidRPr="00DC5642" w:rsidRDefault="00DC5642" w:rsidP="00DC5642">
            <w:pPr>
              <w:widowControl/>
              <w:autoSpaceDE/>
              <w:autoSpaceDN/>
              <w:adjustRightInd/>
              <w:jc w:val="left"/>
              <w:rPr>
                <w:rFonts w:ascii="Arial" w:hAnsi="Arial" w:cs="Arial"/>
                <w:color w:val="000000"/>
                <w:sz w:val="18"/>
                <w:szCs w:val="18"/>
                <w:lang w:eastAsia="en-CA"/>
              </w:rPr>
            </w:pPr>
            <w:r w:rsidRPr="00DC5642">
              <w:rPr>
                <w:rFonts w:ascii="Arial" w:hAnsi="Arial" w:cs="Arial"/>
                <w:color w:val="000000"/>
                <w:sz w:val="18"/>
                <w:szCs w:val="18"/>
                <w:lang w:eastAsia="en-CA"/>
              </w:rPr>
              <w:t>Accumulated other comprehensive income</w:t>
            </w:r>
          </w:p>
        </w:tc>
        <w:tc>
          <w:tcPr>
            <w:tcW w:w="846" w:type="dxa"/>
            <w:tcBorders>
              <w:top w:val="nil"/>
              <w:left w:val="nil"/>
              <w:bottom w:val="single" w:sz="4" w:space="0" w:color="auto"/>
              <w:right w:val="nil"/>
            </w:tcBorders>
            <w:shd w:val="clear" w:color="auto" w:fill="auto"/>
            <w:noWrap/>
            <w:vAlign w:val="bottom"/>
            <w:hideMark/>
          </w:tcPr>
          <w:p w14:paraId="63D36446"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4" w:space="0" w:color="auto"/>
              <w:right w:val="nil"/>
            </w:tcBorders>
            <w:shd w:val="clear" w:color="auto" w:fill="auto"/>
            <w:noWrap/>
            <w:vAlign w:val="bottom"/>
            <w:hideMark/>
          </w:tcPr>
          <w:p w14:paraId="3FBAC678"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7B5CB8CA"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341,926 </w:t>
            </w:r>
          </w:p>
        </w:tc>
        <w:tc>
          <w:tcPr>
            <w:tcW w:w="936" w:type="dxa"/>
            <w:tcBorders>
              <w:top w:val="nil"/>
              <w:left w:val="nil"/>
              <w:bottom w:val="single" w:sz="4" w:space="0" w:color="auto"/>
              <w:right w:val="nil"/>
            </w:tcBorders>
            <w:shd w:val="clear" w:color="auto" w:fill="auto"/>
            <w:noWrap/>
            <w:vAlign w:val="bottom"/>
            <w:hideMark/>
          </w:tcPr>
          <w:p w14:paraId="2F2A1D5D"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7DB5358C"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69,844 </w:t>
            </w:r>
          </w:p>
        </w:tc>
      </w:tr>
      <w:tr w:rsidR="00DC5642" w:rsidRPr="00DC5642" w14:paraId="1DCAD1AC"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09DA0F13"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0D8109CC"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2A618BEF"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7B422BD5"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34988CAE"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5B59C441" w14:textId="77777777" w:rsidR="00DC5642" w:rsidRPr="00DC5642" w:rsidRDefault="00DC5642" w:rsidP="00DC5642">
            <w:pPr>
              <w:widowControl/>
              <w:autoSpaceDE/>
              <w:autoSpaceDN/>
              <w:adjustRightInd/>
              <w:jc w:val="center"/>
              <w:rPr>
                <w:sz w:val="20"/>
                <w:szCs w:val="20"/>
                <w:lang w:eastAsia="en-CA"/>
              </w:rPr>
            </w:pPr>
          </w:p>
        </w:tc>
      </w:tr>
      <w:tr w:rsidR="00DC5642" w:rsidRPr="00DC5642" w14:paraId="0470BA8B" w14:textId="77777777" w:rsidTr="00DC5642">
        <w:trPr>
          <w:trHeight w:val="30"/>
          <w:jc w:val="center"/>
        </w:trPr>
        <w:tc>
          <w:tcPr>
            <w:tcW w:w="4896" w:type="dxa"/>
            <w:tcBorders>
              <w:top w:val="nil"/>
              <w:left w:val="nil"/>
              <w:bottom w:val="single" w:sz="4" w:space="0" w:color="auto"/>
              <w:right w:val="nil"/>
            </w:tcBorders>
            <w:shd w:val="clear" w:color="auto" w:fill="auto"/>
            <w:noWrap/>
            <w:vAlign w:val="bottom"/>
            <w:hideMark/>
          </w:tcPr>
          <w:p w14:paraId="08DA8815"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 xml:space="preserve">Total shareholders' equity </w:t>
            </w:r>
          </w:p>
        </w:tc>
        <w:tc>
          <w:tcPr>
            <w:tcW w:w="846" w:type="dxa"/>
            <w:tcBorders>
              <w:top w:val="nil"/>
              <w:left w:val="nil"/>
              <w:bottom w:val="single" w:sz="4" w:space="0" w:color="auto"/>
              <w:right w:val="nil"/>
            </w:tcBorders>
            <w:shd w:val="clear" w:color="auto" w:fill="auto"/>
            <w:noWrap/>
            <w:vAlign w:val="bottom"/>
            <w:hideMark/>
          </w:tcPr>
          <w:p w14:paraId="42A343E1"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4" w:space="0" w:color="auto"/>
              <w:right w:val="nil"/>
            </w:tcBorders>
            <w:shd w:val="clear" w:color="auto" w:fill="auto"/>
            <w:noWrap/>
            <w:vAlign w:val="bottom"/>
            <w:hideMark/>
          </w:tcPr>
          <w:p w14:paraId="0C6FD5B3"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751" w:type="dxa"/>
            <w:tcBorders>
              <w:top w:val="nil"/>
              <w:left w:val="nil"/>
              <w:bottom w:val="single" w:sz="4" w:space="0" w:color="auto"/>
              <w:right w:val="nil"/>
            </w:tcBorders>
            <w:shd w:val="clear" w:color="auto" w:fill="auto"/>
            <w:noWrap/>
            <w:vAlign w:val="bottom"/>
            <w:hideMark/>
          </w:tcPr>
          <w:p w14:paraId="3965E807"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8,057,333 </w:t>
            </w:r>
          </w:p>
        </w:tc>
        <w:tc>
          <w:tcPr>
            <w:tcW w:w="936" w:type="dxa"/>
            <w:tcBorders>
              <w:top w:val="nil"/>
              <w:left w:val="nil"/>
              <w:bottom w:val="single" w:sz="4" w:space="0" w:color="auto"/>
              <w:right w:val="nil"/>
            </w:tcBorders>
            <w:shd w:val="clear" w:color="auto" w:fill="auto"/>
            <w:noWrap/>
            <w:vAlign w:val="bottom"/>
            <w:hideMark/>
          </w:tcPr>
          <w:p w14:paraId="158330A2"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1986" w:type="dxa"/>
            <w:tcBorders>
              <w:top w:val="nil"/>
              <w:left w:val="nil"/>
              <w:bottom w:val="single" w:sz="4" w:space="0" w:color="auto"/>
              <w:right w:val="nil"/>
            </w:tcBorders>
            <w:shd w:val="clear" w:color="auto" w:fill="auto"/>
            <w:noWrap/>
            <w:vAlign w:val="bottom"/>
            <w:hideMark/>
          </w:tcPr>
          <w:p w14:paraId="64ED7364"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2,116,355 </w:t>
            </w:r>
          </w:p>
        </w:tc>
      </w:tr>
      <w:tr w:rsidR="00DC5642" w:rsidRPr="00DC5642" w14:paraId="6D90A087" w14:textId="77777777" w:rsidTr="00DC5642">
        <w:trPr>
          <w:trHeight w:val="30"/>
          <w:jc w:val="center"/>
        </w:trPr>
        <w:tc>
          <w:tcPr>
            <w:tcW w:w="4896" w:type="dxa"/>
            <w:tcBorders>
              <w:top w:val="nil"/>
              <w:left w:val="nil"/>
              <w:bottom w:val="nil"/>
              <w:right w:val="nil"/>
            </w:tcBorders>
            <w:shd w:val="clear" w:color="auto" w:fill="auto"/>
            <w:noWrap/>
            <w:vAlign w:val="bottom"/>
            <w:hideMark/>
          </w:tcPr>
          <w:p w14:paraId="73B11998"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p>
        </w:tc>
        <w:tc>
          <w:tcPr>
            <w:tcW w:w="846" w:type="dxa"/>
            <w:tcBorders>
              <w:top w:val="nil"/>
              <w:left w:val="nil"/>
              <w:bottom w:val="nil"/>
              <w:right w:val="nil"/>
            </w:tcBorders>
            <w:shd w:val="clear" w:color="auto" w:fill="auto"/>
            <w:noWrap/>
            <w:vAlign w:val="bottom"/>
            <w:hideMark/>
          </w:tcPr>
          <w:p w14:paraId="6C2FD7C6" w14:textId="77777777" w:rsidR="00DC5642" w:rsidRPr="00DC5642" w:rsidRDefault="00DC5642" w:rsidP="00DC5642">
            <w:pPr>
              <w:widowControl/>
              <w:autoSpaceDE/>
              <w:autoSpaceDN/>
              <w:adjustRightInd/>
              <w:jc w:val="left"/>
              <w:rPr>
                <w:sz w:val="20"/>
                <w:szCs w:val="20"/>
                <w:lang w:eastAsia="en-CA"/>
              </w:rPr>
            </w:pPr>
          </w:p>
        </w:tc>
        <w:tc>
          <w:tcPr>
            <w:tcW w:w="862" w:type="dxa"/>
            <w:tcBorders>
              <w:top w:val="nil"/>
              <w:left w:val="nil"/>
              <w:bottom w:val="nil"/>
              <w:right w:val="nil"/>
            </w:tcBorders>
            <w:shd w:val="clear" w:color="auto" w:fill="auto"/>
            <w:noWrap/>
            <w:vAlign w:val="bottom"/>
            <w:hideMark/>
          </w:tcPr>
          <w:p w14:paraId="0275B501" w14:textId="77777777" w:rsidR="00DC5642" w:rsidRPr="00DC5642" w:rsidRDefault="00DC5642" w:rsidP="00DC5642">
            <w:pPr>
              <w:widowControl/>
              <w:autoSpaceDE/>
              <w:autoSpaceDN/>
              <w:adjustRightInd/>
              <w:jc w:val="center"/>
              <w:rPr>
                <w:sz w:val="20"/>
                <w:szCs w:val="20"/>
                <w:lang w:eastAsia="en-CA"/>
              </w:rPr>
            </w:pPr>
          </w:p>
        </w:tc>
        <w:tc>
          <w:tcPr>
            <w:tcW w:w="1751" w:type="dxa"/>
            <w:tcBorders>
              <w:top w:val="nil"/>
              <w:left w:val="nil"/>
              <w:bottom w:val="nil"/>
              <w:right w:val="nil"/>
            </w:tcBorders>
            <w:shd w:val="clear" w:color="auto" w:fill="auto"/>
            <w:noWrap/>
            <w:vAlign w:val="bottom"/>
            <w:hideMark/>
          </w:tcPr>
          <w:p w14:paraId="78AD9464" w14:textId="77777777" w:rsidR="00DC5642" w:rsidRPr="00DC5642" w:rsidRDefault="00DC5642" w:rsidP="00DC5642">
            <w:pPr>
              <w:widowControl/>
              <w:autoSpaceDE/>
              <w:autoSpaceDN/>
              <w:adjustRightInd/>
              <w:jc w:val="center"/>
              <w:rPr>
                <w:sz w:val="20"/>
                <w:szCs w:val="20"/>
                <w:lang w:eastAsia="en-CA"/>
              </w:rPr>
            </w:pPr>
          </w:p>
        </w:tc>
        <w:tc>
          <w:tcPr>
            <w:tcW w:w="936" w:type="dxa"/>
            <w:tcBorders>
              <w:top w:val="nil"/>
              <w:left w:val="nil"/>
              <w:bottom w:val="nil"/>
              <w:right w:val="nil"/>
            </w:tcBorders>
            <w:shd w:val="clear" w:color="auto" w:fill="auto"/>
            <w:noWrap/>
            <w:vAlign w:val="bottom"/>
            <w:hideMark/>
          </w:tcPr>
          <w:p w14:paraId="3622C6E7" w14:textId="77777777" w:rsidR="00DC5642" w:rsidRPr="00DC5642" w:rsidRDefault="00DC5642" w:rsidP="00DC5642">
            <w:pPr>
              <w:widowControl/>
              <w:autoSpaceDE/>
              <w:autoSpaceDN/>
              <w:adjustRightInd/>
              <w:jc w:val="right"/>
              <w:rPr>
                <w:sz w:val="20"/>
                <w:szCs w:val="20"/>
                <w:lang w:eastAsia="en-CA"/>
              </w:rPr>
            </w:pPr>
          </w:p>
        </w:tc>
        <w:tc>
          <w:tcPr>
            <w:tcW w:w="1986" w:type="dxa"/>
            <w:tcBorders>
              <w:top w:val="nil"/>
              <w:left w:val="nil"/>
              <w:bottom w:val="nil"/>
              <w:right w:val="nil"/>
            </w:tcBorders>
            <w:shd w:val="clear" w:color="auto" w:fill="auto"/>
            <w:noWrap/>
            <w:vAlign w:val="bottom"/>
            <w:hideMark/>
          </w:tcPr>
          <w:p w14:paraId="6F355F29" w14:textId="77777777" w:rsidR="00DC5642" w:rsidRPr="00DC5642" w:rsidRDefault="00DC5642" w:rsidP="00DC5642">
            <w:pPr>
              <w:widowControl/>
              <w:autoSpaceDE/>
              <w:autoSpaceDN/>
              <w:adjustRightInd/>
              <w:jc w:val="center"/>
              <w:rPr>
                <w:sz w:val="20"/>
                <w:szCs w:val="20"/>
                <w:lang w:eastAsia="en-CA"/>
              </w:rPr>
            </w:pPr>
          </w:p>
        </w:tc>
      </w:tr>
      <w:tr w:rsidR="00DC5642" w:rsidRPr="00DC5642" w14:paraId="298E3871" w14:textId="77777777" w:rsidTr="00DC5642">
        <w:trPr>
          <w:trHeight w:val="30"/>
          <w:jc w:val="center"/>
        </w:trPr>
        <w:tc>
          <w:tcPr>
            <w:tcW w:w="4896" w:type="dxa"/>
            <w:tcBorders>
              <w:top w:val="nil"/>
              <w:left w:val="nil"/>
              <w:bottom w:val="single" w:sz="8" w:space="0" w:color="auto"/>
              <w:right w:val="nil"/>
            </w:tcBorders>
            <w:shd w:val="clear" w:color="auto" w:fill="auto"/>
            <w:noWrap/>
            <w:vAlign w:val="bottom"/>
            <w:hideMark/>
          </w:tcPr>
          <w:p w14:paraId="606B45F7" w14:textId="77777777" w:rsidR="00DC5642" w:rsidRPr="00DC5642" w:rsidRDefault="00DC5642" w:rsidP="00DC5642">
            <w:pPr>
              <w:widowControl/>
              <w:autoSpaceDE/>
              <w:autoSpaceDN/>
              <w:adjustRightInd/>
              <w:jc w:val="left"/>
              <w:rPr>
                <w:rFonts w:ascii="Arial" w:hAnsi="Arial" w:cs="Arial"/>
                <w:b/>
                <w:bCs/>
                <w:color w:val="000000"/>
                <w:sz w:val="18"/>
                <w:szCs w:val="18"/>
                <w:lang w:eastAsia="en-CA"/>
              </w:rPr>
            </w:pPr>
            <w:r w:rsidRPr="00DC5642">
              <w:rPr>
                <w:rFonts w:ascii="Arial" w:hAnsi="Arial" w:cs="Arial"/>
                <w:b/>
                <w:bCs/>
                <w:color w:val="000000"/>
                <w:sz w:val="18"/>
                <w:szCs w:val="18"/>
                <w:lang w:eastAsia="en-CA"/>
              </w:rPr>
              <w:t xml:space="preserve">Total liabilities and shareholders' equity </w:t>
            </w:r>
          </w:p>
        </w:tc>
        <w:tc>
          <w:tcPr>
            <w:tcW w:w="846" w:type="dxa"/>
            <w:tcBorders>
              <w:top w:val="nil"/>
              <w:left w:val="nil"/>
              <w:bottom w:val="single" w:sz="8" w:space="0" w:color="auto"/>
              <w:right w:val="nil"/>
            </w:tcBorders>
            <w:shd w:val="clear" w:color="auto" w:fill="auto"/>
            <w:noWrap/>
            <w:vAlign w:val="bottom"/>
            <w:hideMark/>
          </w:tcPr>
          <w:p w14:paraId="0E67F65E"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 </w:t>
            </w:r>
          </w:p>
        </w:tc>
        <w:tc>
          <w:tcPr>
            <w:tcW w:w="862" w:type="dxa"/>
            <w:tcBorders>
              <w:top w:val="nil"/>
              <w:left w:val="nil"/>
              <w:bottom w:val="single" w:sz="8" w:space="0" w:color="auto"/>
              <w:right w:val="nil"/>
            </w:tcBorders>
            <w:shd w:val="clear" w:color="auto" w:fill="auto"/>
            <w:noWrap/>
            <w:vAlign w:val="bottom"/>
            <w:hideMark/>
          </w:tcPr>
          <w:p w14:paraId="45631B43"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751" w:type="dxa"/>
            <w:tcBorders>
              <w:top w:val="nil"/>
              <w:left w:val="nil"/>
              <w:bottom w:val="single" w:sz="8" w:space="0" w:color="auto"/>
              <w:right w:val="nil"/>
            </w:tcBorders>
            <w:shd w:val="clear" w:color="auto" w:fill="auto"/>
            <w:noWrap/>
            <w:vAlign w:val="bottom"/>
            <w:hideMark/>
          </w:tcPr>
          <w:p w14:paraId="0619AC24"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11,691,538 </w:t>
            </w:r>
          </w:p>
        </w:tc>
        <w:tc>
          <w:tcPr>
            <w:tcW w:w="936" w:type="dxa"/>
            <w:tcBorders>
              <w:top w:val="nil"/>
              <w:left w:val="nil"/>
              <w:bottom w:val="single" w:sz="8" w:space="0" w:color="auto"/>
              <w:right w:val="nil"/>
            </w:tcBorders>
            <w:shd w:val="clear" w:color="auto" w:fill="auto"/>
            <w:noWrap/>
            <w:vAlign w:val="bottom"/>
            <w:hideMark/>
          </w:tcPr>
          <w:p w14:paraId="21ED898B" w14:textId="77777777" w:rsidR="00DC5642" w:rsidRPr="00DC5642" w:rsidRDefault="00DC5642" w:rsidP="00DC5642">
            <w:pPr>
              <w:widowControl/>
              <w:autoSpaceDE/>
              <w:autoSpaceDN/>
              <w:adjustRightInd/>
              <w:jc w:val="center"/>
              <w:rPr>
                <w:rFonts w:ascii="Arial" w:hAnsi="Arial" w:cs="Arial"/>
                <w:color w:val="000000"/>
                <w:sz w:val="18"/>
                <w:szCs w:val="18"/>
                <w:lang w:eastAsia="en-CA"/>
              </w:rPr>
            </w:pPr>
            <w:r w:rsidRPr="00DC5642">
              <w:rPr>
                <w:rFonts w:ascii="Arial" w:hAnsi="Arial" w:cs="Arial"/>
                <w:color w:val="000000"/>
                <w:sz w:val="18"/>
                <w:szCs w:val="18"/>
                <w:lang w:eastAsia="en-CA"/>
              </w:rPr>
              <w:t>$</w:t>
            </w:r>
          </w:p>
        </w:tc>
        <w:tc>
          <w:tcPr>
            <w:tcW w:w="1986" w:type="dxa"/>
            <w:tcBorders>
              <w:top w:val="nil"/>
              <w:left w:val="nil"/>
              <w:bottom w:val="single" w:sz="8" w:space="0" w:color="auto"/>
              <w:right w:val="nil"/>
            </w:tcBorders>
            <w:shd w:val="clear" w:color="auto" w:fill="auto"/>
            <w:noWrap/>
            <w:vAlign w:val="bottom"/>
            <w:hideMark/>
          </w:tcPr>
          <w:p w14:paraId="30C25045" w14:textId="77777777" w:rsidR="00DC5642" w:rsidRPr="00DC5642" w:rsidRDefault="00DC5642" w:rsidP="00DC5642">
            <w:pPr>
              <w:widowControl/>
              <w:autoSpaceDE/>
              <w:autoSpaceDN/>
              <w:adjustRightInd/>
              <w:jc w:val="right"/>
              <w:rPr>
                <w:rFonts w:ascii="Arial" w:hAnsi="Arial" w:cs="Arial"/>
                <w:color w:val="000000"/>
                <w:sz w:val="18"/>
                <w:szCs w:val="18"/>
                <w:lang w:eastAsia="en-CA"/>
              </w:rPr>
            </w:pPr>
            <w:r w:rsidRPr="00DC5642">
              <w:rPr>
                <w:rFonts w:ascii="Arial" w:hAnsi="Arial" w:cs="Arial"/>
                <w:color w:val="000000"/>
                <w:sz w:val="18"/>
                <w:szCs w:val="18"/>
                <w:lang w:eastAsia="en-CA"/>
              </w:rPr>
              <w:t xml:space="preserve">         2,189,710 </w:t>
            </w:r>
          </w:p>
        </w:tc>
      </w:tr>
    </w:tbl>
    <w:p w14:paraId="24E20D47" w14:textId="6EEE2368" w:rsidR="00D32164" w:rsidRPr="00AD76E8" w:rsidRDefault="00D32164" w:rsidP="00DC5642">
      <w:pPr>
        <w:widowControl/>
        <w:tabs>
          <w:tab w:val="left" w:pos="720"/>
          <w:tab w:val="decimal" w:pos="8880"/>
        </w:tabs>
        <w:rPr>
          <w:rFonts w:eastAsia="PMingLiU"/>
          <w:sz w:val="20"/>
          <w:szCs w:val="20"/>
        </w:rPr>
      </w:pPr>
    </w:p>
    <w:p w14:paraId="0F24203B" w14:textId="77777777" w:rsidR="00C24597" w:rsidRDefault="00C24597" w:rsidP="00C24597">
      <w:pPr>
        <w:widowControl/>
        <w:tabs>
          <w:tab w:val="left" w:pos="720"/>
          <w:tab w:val="decimal" w:pos="8880"/>
        </w:tabs>
        <w:outlineLvl w:val="0"/>
        <w:rPr>
          <w:rFonts w:ascii="Arial" w:hAnsi="Arial" w:cs="Arial"/>
          <w:sz w:val="20"/>
          <w:szCs w:val="20"/>
        </w:rPr>
      </w:pPr>
      <w:r w:rsidRPr="00AD76E8">
        <w:rPr>
          <w:rFonts w:ascii="Arial" w:hAnsi="Arial" w:cs="Arial"/>
          <w:sz w:val="20"/>
          <w:szCs w:val="20"/>
        </w:rPr>
        <w:t>Nature and continuance of op</w:t>
      </w:r>
      <w:r w:rsidRPr="00ED14A5">
        <w:rPr>
          <w:rFonts w:ascii="Arial" w:hAnsi="Arial" w:cs="Arial"/>
          <w:sz w:val="20"/>
          <w:szCs w:val="20"/>
        </w:rPr>
        <w:t>erations (Note 1)</w:t>
      </w:r>
    </w:p>
    <w:p w14:paraId="77F53D30" w14:textId="77777777" w:rsidR="002F23A7" w:rsidRPr="00ED14A5" w:rsidRDefault="002F23A7" w:rsidP="00C24597">
      <w:pPr>
        <w:widowControl/>
        <w:tabs>
          <w:tab w:val="left" w:pos="720"/>
          <w:tab w:val="decimal" w:pos="8880"/>
        </w:tabs>
        <w:outlineLvl w:val="0"/>
        <w:rPr>
          <w:rFonts w:ascii="Arial" w:hAnsi="Arial" w:cs="Arial"/>
          <w:sz w:val="20"/>
          <w:szCs w:val="20"/>
        </w:rPr>
      </w:pPr>
      <w:r>
        <w:rPr>
          <w:rFonts w:ascii="Arial" w:hAnsi="Arial" w:cs="Arial"/>
          <w:sz w:val="20"/>
          <w:szCs w:val="20"/>
        </w:rPr>
        <w:t>Commitments (Note 4)</w:t>
      </w:r>
    </w:p>
    <w:p w14:paraId="264A4B5F" w14:textId="23CC1556" w:rsidR="00C24597" w:rsidRDefault="00C24597" w:rsidP="00C24597">
      <w:pPr>
        <w:widowControl/>
        <w:tabs>
          <w:tab w:val="left" w:pos="720"/>
          <w:tab w:val="decimal" w:pos="8880"/>
        </w:tabs>
        <w:rPr>
          <w:rFonts w:ascii="Arial" w:hAnsi="Arial" w:cs="Arial"/>
          <w:sz w:val="20"/>
          <w:szCs w:val="20"/>
        </w:rPr>
      </w:pPr>
      <w:r w:rsidRPr="002B06D0">
        <w:rPr>
          <w:rFonts w:ascii="Arial" w:hAnsi="Arial" w:cs="Arial"/>
          <w:sz w:val="20"/>
          <w:szCs w:val="20"/>
        </w:rPr>
        <w:t>Approved and authorized by the Board of Directors on</w:t>
      </w:r>
      <w:r w:rsidR="00B83E41">
        <w:rPr>
          <w:rFonts w:ascii="Arial" w:hAnsi="Arial" w:cs="Arial"/>
          <w:sz w:val="20"/>
          <w:szCs w:val="20"/>
        </w:rPr>
        <w:t xml:space="preserve"> </w:t>
      </w:r>
      <w:r w:rsidR="00992567">
        <w:rPr>
          <w:rFonts w:ascii="Arial" w:hAnsi="Arial" w:cs="Arial"/>
          <w:bCs/>
          <w:sz w:val="20"/>
          <w:szCs w:val="20"/>
        </w:rPr>
        <w:t>August 2</w:t>
      </w:r>
      <w:r w:rsidR="008F12D7">
        <w:rPr>
          <w:rFonts w:ascii="Arial" w:hAnsi="Arial" w:cs="Arial"/>
          <w:bCs/>
          <w:sz w:val="20"/>
          <w:szCs w:val="20"/>
        </w:rPr>
        <w:t>9</w:t>
      </w:r>
      <w:r w:rsidR="00D923A3" w:rsidRPr="00D923A3">
        <w:rPr>
          <w:rFonts w:ascii="Arial" w:hAnsi="Arial" w:cs="Arial"/>
          <w:bCs/>
          <w:sz w:val="20"/>
          <w:szCs w:val="20"/>
        </w:rPr>
        <w:t>, 2021</w:t>
      </w:r>
      <w:r w:rsidRPr="002B06D0">
        <w:rPr>
          <w:rFonts w:ascii="Arial" w:hAnsi="Arial" w:cs="Arial"/>
          <w:sz w:val="20"/>
          <w:szCs w:val="20"/>
        </w:rPr>
        <w:t>:</w:t>
      </w:r>
    </w:p>
    <w:p w14:paraId="0B3A2FBE" w14:textId="77777777" w:rsidR="0095293F" w:rsidRPr="002B06D0" w:rsidRDefault="0095293F" w:rsidP="00C24597">
      <w:pPr>
        <w:widowControl/>
        <w:tabs>
          <w:tab w:val="left" w:pos="720"/>
          <w:tab w:val="decimal" w:pos="8880"/>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559"/>
        <w:gridCol w:w="1559"/>
        <w:gridCol w:w="1139"/>
      </w:tblGrid>
      <w:tr w:rsidR="00B20AED" w14:paraId="3A87F092" w14:textId="5795D2AA" w:rsidTr="00F376AE">
        <w:tc>
          <w:tcPr>
            <w:tcW w:w="3823" w:type="dxa"/>
            <w:tcBorders>
              <w:bottom w:val="single" w:sz="4" w:space="0" w:color="auto"/>
            </w:tcBorders>
          </w:tcPr>
          <w:p w14:paraId="5246304A" w14:textId="77777777" w:rsidR="00B20AED" w:rsidRPr="0095293F" w:rsidRDefault="00B20AED" w:rsidP="00B20AED">
            <w:pPr>
              <w:widowControl/>
              <w:tabs>
                <w:tab w:val="left" w:pos="720"/>
                <w:tab w:val="decimal" w:pos="8880"/>
              </w:tabs>
              <w:rPr>
                <w:rFonts w:ascii="Arial" w:hAnsi="Arial" w:cs="Arial"/>
                <w:i/>
                <w:iCs/>
                <w:sz w:val="20"/>
                <w:szCs w:val="20"/>
              </w:rPr>
            </w:pPr>
            <w:r>
              <w:rPr>
                <w:rFonts w:ascii="Arial" w:hAnsi="Arial" w:cs="Arial"/>
                <w:i/>
                <w:iCs/>
                <w:sz w:val="20"/>
                <w:szCs w:val="20"/>
              </w:rPr>
              <w:t>“Sashko Despotovski”</w:t>
            </w:r>
          </w:p>
        </w:tc>
        <w:tc>
          <w:tcPr>
            <w:tcW w:w="1559" w:type="dxa"/>
          </w:tcPr>
          <w:p w14:paraId="69B75D6C" w14:textId="77777777" w:rsidR="00B20AED" w:rsidRDefault="00B20AED" w:rsidP="00B20AED">
            <w:pPr>
              <w:widowControl/>
              <w:tabs>
                <w:tab w:val="left" w:pos="720"/>
                <w:tab w:val="decimal" w:pos="8880"/>
              </w:tabs>
              <w:rPr>
                <w:rFonts w:ascii="Arial" w:hAnsi="Arial" w:cs="Arial"/>
                <w:sz w:val="20"/>
                <w:szCs w:val="20"/>
              </w:rPr>
            </w:pPr>
          </w:p>
        </w:tc>
        <w:tc>
          <w:tcPr>
            <w:tcW w:w="2698" w:type="dxa"/>
            <w:gridSpan w:val="2"/>
            <w:tcBorders>
              <w:bottom w:val="single" w:sz="4" w:space="0" w:color="auto"/>
            </w:tcBorders>
          </w:tcPr>
          <w:p w14:paraId="29BF9967" w14:textId="1BA060E6" w:rsidR="00B20AED" w:rsidRDefault="00B20AED" w:rsidP="00B20AED">
            <w:pPr>
              <w:widowControl/>
              <w:tabs>
                <w:tab w:val="left" w:pos="720"/>
                <w:tab w:val="decimal" w:pos="8880"/>
              </w:tabs>
              <w:rPr>
                <w:rFonts w:ascii="Arial" w:hAnsi="Arial" w:cs="Arial"/>
                <w:sz w:val="20"/>
                <w:szCs w:val="20"/>
              </w:rPr>
            </w:pPr>
            <w:r>
              <w:rPr>
                <w:rFonts w:ascii="Arial" w:hAnsi="Arial" w:cs="Arial"/>
                <w:i/>
                <w:iCs/>
                <w:sz w:val="20"/>
                <w:szCs w:val="20"/>
              </w:rPr>
              <w:t>“Matt Stang”</w:t>
            </w:r>
          </w:p>
        </w:tc>
      </w:tr>
      <w:tr w:rsidR="00B20AED" w14:paraId="5EEFB07F" w14:textId="366CCF7F" w:rsidTr="00DA68EE">
        <w:trPr>
          <w:gridAfter w:val="1"/>
          <w:wAfter w:w="1139" w:type="dxa"/>
        </w:trPr>
        <w:tc>
          <w:tcPr>
            <w:tcW w:w="3823" w:type="dxa"/>
            <w:tcBorders>
              <w:top w:val="single" w:sz="4" w:space="0" w:color="auto"/>
            </w:tcBorders>
          </w:tcPr>
          <w:p w14:paraId="0C24DFF1" w14:textId="77777777" w:rsidR="00B20AED" w:rsidRPr="0095293F" w:rsidRDefault="00B20AED" w:rsidP="00B20AED">
            <w:pPr>
              <w:widowControl/>
              <w:tabs>
                <w:tab w:val="left" w:pos="720"/>
                <w:tab w:val="decimal" w:pos="8880"/>
              </w:tabs>
              <w:rPr>
                <w:rFonts w:ascii="Arial" w:hAnsi="Arial" w:cs="Arial"/>
                <w:sz w:val="20"/>
                <w:szCs w:val="20"/>
              </w:rPr>
            </w:pPr>
            <w:r>
              <w:rPr>
                <w:rFonts w:ascii="Arial" w:hAnsi="Arial" w:cs="Arial"/>
                <w:sz w:val="20"/>
                <w:szCs w:val="20"/>
              </w:rPr>
              <w:t>Director</w:t>
            </w:r>
          </w:p>
        </w:tc>
        <w:tc>
          <w:tcPr>
            <w:tcW w:w="1559" w:type="dxa"/>
          </w:tcPr>
          <w:p w14:paraId="7DAFDE4A" w14:textId="77777777" w:rsidR="00B20AED" w:rsidRDefault="00B20AED" w:rsidP="00B20AED">
            <w:pPr>
              <w:widowControl/>
              <w:tabs>
                <w:tab w:val="left" w:pos="720"/>
                <w:tab w:val="decimal" w:pos="8880"/>
              </w:tabs>
              <w:rPr>
                <w:rFonts w:ascii="Arial" w:hAnsi="Arial" w:cs="Arial"/>
                <w:sz w:val="20"/>
                <w:szCs w:val="20"/>
              </w:rPr>
            </w:pPr>
          </w:p>
        </w:tc>
        <w:tc>
          <w:tcPr>
            <w:tcW w:w="1559" w:type="dxa"/>
          </w:tcPr>
          <w:p w14:paraId="07611521" w14:textId="72B22A46" w:rsidR="00B20AED" w:rsidRDefault="00B20AED" w:rsidP="00B20AED">
            <w:pPr>
              <w:widowControl/>
              <w:tabs>
                <w:tab w:val="left" w:pos="720"/>
                <w:tab w:val="decimal" w:pos="8880"/>
              </w:tabs>
              <w:rPr>
                <w:rFonts w:ascii="Arial" w:hAnsi="Arial" w:cs="Arial"/>
                <w:sz w:val="20"/>
                <w:szCs w:val="20"/>
              </w:rPr>
            </w:pPr>
            <w:r>
              <w:rPr>
                <w:rFonts w:ascii="Arial" w:hAnsi="Arial" w:cs="Arial"/>
                <w:sz w:val="20"/>
                <w:szCs w:val="20"/>
              </w:rPr>
              <w:t>Director</w:t>
            </w:r>
          </w:p>
        </w:tc>
      </w:tr>
      <w:tr w:rsidR="00B20AED" w14:paraId="21E8E4DC" w14:textId="32744C3C" w:rsidTr="00DA68EE">
        <w:trPr>
          <w:gridAfter w:val="1"/>
          <w:wAfter w:w="1139" w:type="dxa"/>
        </w:trPr>
        <w:tc>
          <w:tcPr>
            <w:tcW w:w="3823" w:type="dxa"/>
          </w:tcPr>
          <w:p w14:paraId="2C52DC78" w14:textId="77777777" w:rsidR="00B20AED" w:rsidRDefault="00B20AED" w:rsidP="00B20AED">
            <w:pPr>
              <w:widowControl/>
              <w:tabs>
                <w:tab w:val="left" w:pos="720"/>
                <w:tab w:val="decimal" w:pos="8880"/>
              </w:tabs>
              <w:rPr>
                <w:rFonts w:ascii="Arial" w:hAnsi="Arial" w:cs="Arial"/>
                <w:i/>
                <w:iCs/>
                <w:sz w:val="20"/>
                <w:szCs w:val="20"/>
              </w:rPr>
            </w:pPr>
          </w:p>
        </w:tc>
        <w:tc>
          <w:tcPr>
            <w:tcW w:w="1559" w:type="dxa"/>
          </w:tcPr>
          <w:p w14:paraId="01E0A364" w14:textId="77777777" w:rsidR="00B20AED" w:rsidRDefault="00B20AED" w:rsidP="00B20AED">
            <w:pPr>
              <w:widowControl/>
              <w:tabs>
                <w:tab w:val="left" w:pos="720"/>
                <w:tab w:val="decimal" w:pos="8880"/>
              </w:tabs>
              <w:rPr>
                <w:rFonts w:ascii="Arial" w:hAnsi="Arial" w:cs="Arial"/>
                <w:sz w:val="20"/>
                <w:szCs w:val="20"/>
              </w:rPr>
            </w:pPr>
          </w:p>
        </w:tc>
        <w:tc>
          <w:tcPr>
            <w:tcW w:w="1559" w:type="dxa"/>
          </w:tcPr>
          <w:p w14:paraId="329D6AF2" w14:textId="77777777" w:rsidR="00B20AED" w:rsidRDefault="00B20AED" w:rsidP="00B20AED">
            <w:pPr>
              <w:widowControl/>
              <w:tabs>
                <w:tab w:val="left" w:pos="720"/>
                <w:tab w:val="decimal" w:pos="8880"/>
              </w:tabs>
              <w:rPr>
                <w:rFonts w:ascii="Arial" w:hAnsi="Arial" w:cs="Arial"/>
                <w:sz w:val="20"/>
                <w:szCs w:val="20"/>
              </w:rPr>
            </w:pPr>
          </w:p>
        </w:tc>
      </w:tr>
    </w:tbl>
    <w:p w14:paraId="7540734E" w14:textId="77777777" w:rsidR="00D923A3" w:rsidRDefault="00C24597" w:rsidP="00D923A3">
      <w:pPr>
        <w:widowControl/>
        <w:tabs>
          <w:tab w:val="left" w:pos="720"/>
          <w:tab w:val="decimal" w:pos="8880"/>
        </w:tabs>
        <w:jc w:val="center"/>
        <w:rPr>
          <w:rFonts w:ascii="Arial" w:hAnsi="Arial" w:cs="Arial"/>
          <w:b/>
          <w:bCs/>
          <w:sz w:val="20"/>
          <w:szCs w:val="20"/>
        </w:rPr>
      </w:pPr>
      <w:r w:rsidRPr="00535FCE">
        <w:rPr>
          <w:rFonts w:ascii="Arial" w:hAnsi="Arial" w:cs="Arial"/>
          <w:i/>
          <w:iCs/>
          <w:sz w:val="20"/>
          <w:szCs w:val="20"/>
        </w:rPr>
        <w:t>The accompanying notes are an integral part of these</w:t>
      </w:r>
      <w:r w:rsidR="00F7770A">
        <w:rPr>
          <w:rFonts w:ascii="Arial" w:hAnsi="Arial" w:cs="Arial"/>
          <w:i/>
          <w:iCs/>
          <w:sz w:val="20"/>
          <w:szCs w:val="20"/>
        </w:rPr>
        <w:t xml:space="preserve"> c</w:t>
      </w:r>
      <w:r w:rsidR="00A11BD9">
        <w:rPr>
          <w:rFonts w:ascii="Arial" w:hAnsi="Arial" w:cs="Arial"/>
          <w:i/>
          <w:iCs/>
          <w:sz w:val="20"/>
          <w:szCs w:val="20"/>
        </w:rPr>
        <w:t xml:space="preserve">ondensed </w:t>
      </w:r>
      <w:r w:rsidR="00F7770A">
        <w:rPr>
          <w:rFonts w:ascii="Arial" w:hAnsi="Arial" w:cs="Arial"/>
          <w:i/>
          <w:iCs/>
          <w:sz w:val="20"/>
          <w:szCs w:val="20"/>
        </w:rPr>
        <w:t>c</w:t>
      </w:r>
      <w:r w:rsidR="00A11BD9">
        <w:rPr>
          <w:rFonts w:ascii="Arial" w:hAnsi="Arial" w:cs="Arial"/>
          <w:i/>
          <w:iCs/>
          <w:sz w:val="20"/>
          <w:szCs w:val="20"/>
        </w:rPr>
        <w:t xml:space="preserve">onsolidated </w:t>
      </w:r>
      <w:r w:rsidR="00F7770A">
        <w:rPr>
          <w:rFonts w:ascii="Arial" w:hAnsi="Arial" w:cs="Arial"/>
          <w:i/>
          <w:iCs/>
          <w:sz w:val="20"/>
          <w:szCs w:val="20"/>
        </w:rPr>
        <w:t>i</w:t>
      </w:r>
      <w:r w:rsidR="00A11BD9">
        <w:rPr>
          <w:rFonts w:ascii="Arial" w:hAnsi="Arial" w:cs="Arial"/>
          <w:i/>
          <w:iCs/>
          <w:sz w:val="20"/>
          <w:szCs w:val="20"/>
        </w:rPr>
        <w:t>nterim</w:t>
      </w:r>
      <w:r w:rsidRPr="00535FCE">
        <w:rPr>
          <w:rFonts w:ascii="Arial" w:hAnsi="Arial" w:cs="Arial"/>
          <w:i/>
          <w:iCs/>
          <w:sz w:val="20"/>
          <w:szCs w:val="20"/>
        </w:rPr>
        <w:t xml:space="preserve"> </w:t>
      </w:r>
      <w:r w:rsidR="00F7770A">
        <w:rPr>
          <w:rFonts w:ascii="Arial" w:hAnsi="Arial" w:cs="Arial"/>
          <w:i/>
          <w:iCs/>
          <w:sz w:val="20"/>
          <w:szCs w:val="20"/>
        </w:rPr>
        <w:t>f</w:t>
      </w:r>
      <w:r w:rsidRPr="00535FCE">
        <w:rPr>
          <w:rFonts w:ascii="Arial" w:hAnsi="Arial" w:cs="Arial"/>
          <w:i/>
          <w:iCs/>
          <w:sz w:val="20"/>
          <w:szCs w:val="20"/>
        </w:rPr>
        <w:t>inancial statements.</w:t>
      </w:r>
      <w:r w:rsidR="00D923A3">
        <w:rPr>
          <w:rFonts w:ascii="Arial" w:hAnsi="Arial" w:cs="Arial"/>
          <w:b/>
          <w:bCs/>
          <w:sz w:val="20"/>
          <w:szCs w:val="20"/>
        </w:rPr>
        <w:br w:type="page"/>
      </w:r>
    </w:p>
    <w:p w14:paraId="44945CDD" w14:textId="77777777" w:rsidR="00C24597" w:rsidRPr="00004257" w:rsidRDefault="00091E6F" w:rsidP="00B818D2">
      <w:pPr>
        <w:widowControl/>
        <w:tabs>
          <w:tab w:val="left" w:pos="6825"/>
        </w:tabs>
        <w:outlineLvl w:val="0"/>
        <w:rPr>
          <w:rFonts w:ascii="Arial" w:hAnsi="Arial" w:cs="Arial"/>
          <w:bCs/>
          <w:sz w:val="20"/>
          <w:szCs w:val="20"/>
          <w:u w:val="single"/>
        </w:rPr>
      </w:pPr>
      <w:r>
        <w:rPr>
          <w:rFonts w:ascii="Arial" w:hAnsi="Arial" w:cs="Arial"/>
          <w:b/>
          <w:bCs/>
          <w:sz w:val="20"/>
          <w:szCs w:val="20"/>
        </w:rPr>
        <w:lastRenderedPageBreak/>
        <w:t xml:space="preserve">DELIC HOLDINGS INC. </w:t>
      </w:r>
    </w:p>
    <w:p w14:paraId="0ABB68EC" w14:textId="77777777" w:rsidR="00C24597" w:rsidRPr="00004257" w:rsidRDefault="00A11BD9" w:rsidP="00C24597">
      <w:pPr>
        <w:rPr>
          <w:rFonts w:ascii="Arial" w:hAnsi="Arial" w:cs="Arial"/>
          <w:b/>
          <w:sz w:val="20"/>
          <w:szCs w:val="20"/>
        </w:rPr>
      </w:pPr>
      <w:r>
        <w:rPr>
          <w:rFonts w:ascii="Arial" w:hAnsi="Arial" w:cs="Arial"/>
          <w:b/>
          <w:sz w:val="20"/>
          <w:szCs w:val="20"/>
        </w:rPr>
        <w:t>Condensed Consolidated Interim</w:t>
      </w:r>
      <w:r w:rsidR="00AB0F1E">
        <w:rPr>
          <w:rFonts w:ascii="Arial" w:hAnsi="Arial" w:cs="Arial"/>
          <w:b/>
          <w:sz w:val="20"/>
          <w:szCs w:val="20"/>
        </w:rPr>
        <w:t xml:space="preserve"> </w:t>
      </w:r>
      <w:r w:rsidR="00C24597" w:rsidRPr="00004257">
        <w:rPr>
          <w:rFonts w:ascii="Arial" w:hAnsi="Arial" w:cs="Arial"/>
          <w:b/>
          <w:sz w:val="20"/>
          <w:szCs w:val="20"/>
        </w:rPr>
        <w:t>Statements of Comprehensive Loss</w:t>
      </w:r>
    </w:p>
    <w:p w14:paraId="52B8D4A0" w14:textId="77777777" w:rsidR="008F12D7" w:rsidRDefault="00C24597" w:rsidP="008F12D7">
      <w:pPr>
        <w:widowControl/>
        <w:tabs>
          <w:tab w:val="left" w:pos="720"/>
          <w:tab w:val="decimal" w:pos="8880"/>
        </w:tabs>
        <w:rPr>
          <w:rFonts w:ascii="Arial" w:hAnsi="Arial" w:cs="Arial"/>
          <w:bCs/>
          <w:sz w:val="20"/>
          <w:szCs w:val="20"/>
        </w:rPr>
      </w:pPr>
      <w:r w:rsidRPr="00004257">
        <w:rPr>
          <w:rFonts w:ascii="Arial" w:hAnsi="Arial" w:cs="Arial"/>
          <w:bCs/>
          <w:sz w:val="20"/>
          <w:szCs w:val="20"/>
        </w:rPr>
        <w:t>(</w:t>
      </w:r>
      <w:r w:rsidR="003A4F94">
        <w:rPr>
          <w:rFonts w:ascii="Arial" w:hAnsi="Arial" w:cs="Arial"/>
          <w:bCs/>
          <w:sz w:val="20"/>
          <w:szCs w:val="20"/>
        </w:rPr>
        <w:t xml:space="preserve">Unaudited - </w:t>
      </w:r>
      <w:r w:rsidR="008F7BAF">
        <w:rPr>
          <w:rFonts w:ascii="Arial" w:hAnsi="Arial" w:cs="Arial"/>
          <w:bCs/>
          <w:sz w:val="20"/>
          <w:szCs w:val="20"/>
        </w:rPr>
        <w:t>Expressed</w:t>
      </w:r>
      <w:r w:rsidR="00AB0F1E">
        <w:rPr>
          <w:rFonts w:ascii="Arial" w:hAnsi="Arial" w:cs="Arial"/>
          <w:bCs/>
          <w:sz w:val="20"/>
          <w:szCs w:val="20"/>
        </w:rPr>
        <w:t xml:space="preserve"> </w:t>
      </w:r>
      <w:r w:rsidRPr="00004257">
        <w:rPr>
          <w:rFonts w:ascii="Arial" w:hAnsi="Arial" w:cs="Arial"/>
          <w:bCs/>
          <w:sz w:val="20"/>
          <w:szCs w:val="20"/>
        </w:rPr>
        <w:t xml:space="preserve">in </w:t>
      </w:r>
      <w:r w:rsidR="008F7BAF">
        <w:rPr>
          <w:rFonts w:ascii="Arial" w:hAnsi="Arial" w:cs="Arial"/>
          <w:bCs/>
          <w:sz w:val="20"/>
          <w:szCs w:val="20"/>
        </w:rPr>
        <w:t>US</w:t>
      </w:r>
      <w:r w:rsidRPr="00004257">
        <w:rPr>
          <w:rFonts w:ascii="Arial" w:hAnsi="Arial" w:cs="Arial"/>
          <w:bCs/>
          <w:sz w:val="20"/>
          <w:szCs w:val="20"/>
        </w:rPr>
        <w:t xml:space="preserve"> Dollars)</w:t>
      </w:r>
    </w:p>
    <w:p w14:paraId="463B2179" w14:textId="629B6343" w:rsidR="00C24597" w:rsidRDefault="006E76C2" w:rsidP="008F12D7">
      <w:pPr>
        <w:widowControl/>
        <w:tabs>
          <w:tab w:val="left" w:pos="720"/>
          <w:tab w:val="decimal" w:pos="8880"/>
        </w:tabs>
        <w:rPr>
          <w:b/>
          <w:sz w:val="20"/>
          <w:szCs w:val="20"/>
        </w:rPr>
      </w:pPr>
      <w:bookmarkStart w:id="0" w:name="RANGE!B4"/>
      <w:bookmarkEnd w:id="0"/>
      <w:r w:rsidRPr="006E76C2">
        <w:rPr>
          <w:noProof/>
          <w:lang w:eastAsia="en-CA"/>
        </w:rPr>
        <w:drawing>
          <wp:inline distT="0" distB="0" distL="0" distR="0" wp14:anchorId="047E209D" wp14:editId="407F2C74">
            <wp:extent cx="7088505" cy="57104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8505" cy="5710435"/>
                    </a:xfrm>
                    <a:prstGeom prst="rect">
                      <a:avLst/>
                    </a:prstGeom>
                    <a:noFill/>
                    <a:ln>
                      <a:noFill/>
                    </a:ln>
                  </pic:spPr>
                </pic:pic>
              </a:graphicData>
            </a:graphic>
          </wp:inline>
        </w:drawing>
      </w:r>
      <w:r w:rsidR="008F12D7">
        <w:rPr>
          <w:b/>
          <w:sz w:val="20"/>
          <w:szCs w:val="20"/>
        </w:rPr>
        <w:t xml:space="preserve"> </w:t>
      </w:r>
    </w:p>
    <w:p w14:paraId="657FF712" w14:textId="77777777" w:rsidR="00C24597" w:rsidRDefault="00C24597" w:rsidP="00C24597">
      <w:pPr>
        <w:rPr>
          <w:b/>
          <w:sz w:val="20"/>
          <w:szCs w:val="20"/>
        </w:rPr>
      </w:pPr>
    </w:p>
    <w:p w14:paraId="35DDFD90" w14:textId="77777777" w:rsidR="00434DB6" w:rsidRDefault="00434DB6" w:rsidP="00C24597">
      <w:pPr>
        <w:rPr>
          <w:b/>
          <w:sz w:val="20"/>
          <w:szCs w:val="20"/>
        </w:rPr>
      </w:pPr>
    </w:p>
    <w:p w14:paraId="20554313" w14:textId="77777777" w:rsidR="00434DB6" w:rsidRDefault="00434DB6" w:rsidP="00C24597">
      <w:pPr>
        <w:rPr>
          <w:b/>
          <w:sz w:val="20"/>
          <w:szCs w:val="20"/>
        </w:rPr>
      </w:pPr>
    </w:p>
    <w:p w14:paraId="592F7106" w14:textId="77777777" w:rsidR="00772BED" w:rsidRDefault="00772BED" w:rsidP="00C24597">
      <w:pPr>
        <w:rPr>
          <w:b/>
          <w:sz w:val="20"/>
          <w:szCs w:val="20"/>
        </w:rPr>
      </w:pPr>
    </w:p>
    <w:p w14:paraId="3C70307E" w14:textId="77777777" w:rsidR="00C24597" w:rsidRDefault="00C24597" w:rsidP="00C24597">
      <w:pPr>
        <w:rPr>
          <w:b/>
          <w:sz w:val="20"/>
          <w:szCs w:val="20"/>
        </w:rPr>
      </w:pPr>
    </w:p>
    <w:p w14:paraId="37011775" w14:textId="77777777" w:rsidR="00C24597" w:rsidRDefault="00C24597" w:rsidP="00C24597">
      <w:pPr>
        <w:jc w:val="center"/>
        <w:rPr>
          <w:b/>
          <w:sz w:val="20"/>
          <w:szCs w:val="20"/>
        </w:rPr>
      </w:pPr>
      <w:r w:rsidRPr="00535FCE">
        <w:rPr>
          <w:rFonts w:ascii="Arial" w:hAnsi="Arial" w:cs="Arial"/>
          <w:i/>
          <w:iCs/>
          <w:sz w:val="20"/>
          <w:szCs w:val="20"/>
        </w:rPr>
        <w:t xml:space="preserve">The accompanying notes are an integral part of these </w:t>
      </w:r>
      <w:r w:rsidR="003A4F94">
        <w:rPr>
          <w:rFonts w:ascii="Arial" w:hAnsi="Arial" w:cs="Arial"/>
          <w:i/>
          <w:iCs/>
          <w:sz w:val="20"/>
          <w:szCs w:val="20"/>
        </w:rPr>
        <w:t>c</w:t>
      </w:r>
      <w:r w:rsidR="00A11BD9">
        <w:rPr>
          <w:rFonts w:ascii="Arial" w:hAnsi="Arial" w:cs="Arial"/>
          <w:i/>
          <w:iCs/>
          <w:sz w:val="20"/>
          <w:szCs w:val="20"/>
        </w:rPr>
        <w:t xml:space="preserve">ondensed </w:t>
      </w:r>
      <w:r w:rsidR="003A4F94">
        <w:rPr>
          <w:rFonts w:ascii="Arial" w:hAnsi="Arial" w:cs="Arial"/>
          <w:i/>
          <w:iCs/>
          <w:sz w:val="20"/>
          <w:szCs w:val="20"/>
        </w:rPr>
        <w:t>c</w:t>
      </w:r>
      <w:r w:rsidR="00A11BD9">
        <w:rPr>
          <w:rFonts w:ascii="Arial" w:hAnsi="Arial" w:cs="Arial"/>
          <w:i/>
          <w:iCs/>
          <w:sz w:val="20"/>
          <w:szCs w:val="20"/>
        </w:rPr>
        <w:t xml:space="preserve">onsolidated </w:t>
      </w:r>
      <w:r w:rsidR="003A4F94">
        <w:rPr>
          <w:rFonts w:ascii="Arial" w:hAnsi="Arial" w:cs="Arial"/>
          <w:i/>
          <w:iCs/>
          <w:sz w:val="20"/>
          <w:szCs w:val="20"/>
        </w:rPr>
        <w:t>i</w:t>
      </w:r>
      <w:r w:rsidR="00A11BD9">
        <w:rPr>
          <w:rFonts w:ascii="Arial" w:hAnsi="Arial" w:cs="Arial"/>
          <w:i/>
          <w:iCs/>
          <w:sz w:val="20"/>
          <w:szCs w:val="20"/>
        </w:rPr>
        <w:t>nterim</w:t>
      </w:r>
      <w:r w:rsidRPr="00535FCE">
        <w:rPr>
          <w:rFonts w:ascii="Arial" w:hAnsi="Arial" w:cs="Arial"/>
          <w:i/>
          <w:iCs/>
          <w:sz w:val="20"/>
          <w:szCs w:val="20"/>
        </w:rPr>
        <w:t xml:space="preserve"> financial statements.</w:t>
      </w:r>
    </w:p>
    <w:p w14:paraId="3FEDBA7F" w14:textId="77777777" w:rsidR="00C24597" w:rsidRDefault="00C24597" w:rsidP="00C24597">
      <w:pPr>
        <w:rPr>
          <w:b/>
          <w:sz w:val="20"/>
          <w:szCs w:val="20"/>
        </w:rPr>
      </w:pPr>
    </w:p>
    <w:p w14:paraId="1E186F8F" w14:textId="77777777" w:rsidR="00C24597" w:rsidRDefault="00C24597" w:rsidP="00C24597">
      <w:pPr>
        <w:rPr>
          <w:b/>
          <w:sz w:val="20"/>
          <w:szCs w:val="20"/>
        </w:rPr>
        <w:sectPr w:rsidR="00C24597" w:rsidSect="00C553B7">
          <w:footerReference w:type="default" r:id="rId9"/>
          <w:endnotePr>
            <w:numFmt w:val="decimal"/>
          </w:endnotePr>
          <w:pgSz w:w="12240" w:h="15840" w:code="1"/>
          <w:pgMar w:top="709" w:right="510" w:bottom="794" w:left="567" w:header="340" w:footer="578" w:gutter="0"/>
          <w:pgNumType w:start="1"/>
          <w:cols w:space="720"/>
          <w:noEndnote/>
          <w:titlePg/>
          <w:docGrid w:linePitch="299"/>
        </w:sectPr>
      </w:pPr>
    </w:p>
    <w:p w14:paraId="2A7C7720" w14:textId="77777777" w:rsidR="00C24597" w:rsidRPr="00004257" w:rsidRDefault="00091E6F" w:rsidP="00C24597">
      <w:pPr>
        <w:rPr>
          <w:rFonts w:ascii="Arial" w:hAnsi="Arial" w:cs="Arial"/>
          <w:b/>
          <w:sz w:val="20"/>
          <w:szCs w:val="20"/>
        </w:rPr>
      </w:pPr>
      <w:r>
        <w:rPr>
          <w:rFonts w:ascii="Arial" w:hAnsi="Arial" w:cs="Arial"/>
          <w:b/>
          <w:sz w:val="20"/>
          <w:szCs w:val="20"/>
        </w:rPr>
        <w:lastRenderedPageBreak/>
        <w:t xml:space="preserve">DELIC HOLDINGS INC. </w:t>
      </w:r>
    </w:p>
    <w:p w14:paraId="03F2C69E" w14:textId="77777777" w:rsidR="00C24597" w:rsidRPr="00004257" w:rsidRDefault="00A11BD9" w:rsidP="00C24597">
      <w:pPr>
        <w:rPr>
          <w:rFonts w:ascii="Arial" w:hAnsi="Arial" w:cs="Arial"/>
          <w:b/>
          <w:sz w:val="20"/>
          <w:szCs w:val="20"/>
        </w:rPr>
      </w:pPr>
      <w:r>
        <w:rPr>
          <w:rFonts w:ascii="Arial" w:hAnsi="Arial" w:cs="Arial"/>
          <w:b/>
          <w:sz w:val="20"/>
          <w:szCs w:val="20"/>
        </w:rPr>
        <w:t>Condensed Consolidated Interim</w:t>
      </w:r>
      <w:r w:rsidR="00AB0F1E">
        <w:rPr>
          <w:rFonts w:ascii="Arial" w:hAnsi="Arial" w:cs="Arial"/>
          <w:b/>
          <w:sz w:val="20"/>
          <w:szCs w:val="20"/>
        </w:rPr>
        <w:t xml:space="preserve"> </w:t>
      </w:r>
      <w:r w:rsidR="00C24597" w:rsidRPr="00004257">
        <w:rPr>
          <w:rFonts w:ascii="Arial" w:hAnsi="Arial" w:cs="Arial"/>
          <w:b/>
          <w:sz w:val="20"/>
          <w:szCs w:val="20"/>
        </w:rPr>
        <w:t>Statements of Changes in Equity</w:t>
      </w:r>
    </w:p>
    <w:p w14:paraId="13BA5386" w14:textId="77777777" w:rsidR="00C24597" w:rsidRPr="00004257" w:rsidRDefault="00C24597" w:rsidP="00C24597">
      <w:pPr>
        <w:rPr>
          <w:rFonts w:ascii="Arial" w:hAnsi="Arial" w:cs="Arial"/>
          <w:sz w:val="20"/>
          <w:szCs w:val="20"/>
        </w:rPr>
      </w:pPr>
      <w:r w:rsidRPr="00004257">
        <w:rPr>
          <w:rFonts w:ascii="Arial" w:hAnsi="Arial" w:cs="Arial"/>
          <w:sz w:val="20"/>
          <w:szCs w:val="20"/>
        </w:rPr>
        <w:t>(</w:t>
      </w:r>
      <w:r w:rsidR="003A4F94">
        <w:rPr>
          <w:rFonts w:ascii="Arial" w:hAnsi="Arial" w:cs="Arial"/>
          <w:sz w:val="20"/>
          <w:szCs w:val="20"/>
        </w:rPr>
        <w:t xml:space="preserve">Unaudited - </w:t>
      </w:r>
      <w:r w:rsidR="00990AF5">
        <w:rPr>
          <w:rFonts w:ascii="Arial" w:hAnsi="Arial" w:cs="Arial"/>
          <w:sz w:val="20"/>
          <w:szCs w:val="20"/>
        </w:rPr>
        <w:t xml:space="preserve">Expressed </w:t>
      </w:r>
      <w:r w:rsidRPr="00004257">
        <w:rPr>
          <w:rFonts w:ascii="Arial" w:hAnsi="Arial" w:cs="Arial"/>
          <w:sz w:val="20"/>
          <w:szCs w:val="20"/>
        </w:rPr>
        <w:t xml:space="preserve">in </w:t>
      </w:r>
      <w:r w:rsidR="008F7BAF">
        <w:rPr>
          <w:rFonts w:ascii="Arial" w:hAnsi="Arial" w:cs="Arial"/>
          <w:sz w:val="20"/>
          <w:szCs w:val="20"/>
        </w:rPr>
        <w:t>US</w:t>
      </w:r>
      <w:r w:rsidRPr="00004257">
        <w:rPr>
          <w:rFonts w:ascii="Arial" w:hAnsi="Arial" w:cs="Arial"/>
          <w:sz w:val="20"/>
          <w:szCs w:val="20"/>
        </w:rPr>
        <w:t xml:space="preserve"> Dollars)</w:t>
      </w:r>
    </w:p>
    <w:tbl>
      <w:tblPr>
        <w:tblW w:w="14343" w:type="dxa"/>
        <w:tblInd w:w="-567" w:type="dxa"/>
        <w:tblLayout w:type="fixed"/>
        <w:tblLook w:val="04A0" w:firstRow="1" w:lastRow="0" w:firstColumn="1" w:lastColumn="0" w:noHBand="0" w:noVBand="1"/>
      </w:tblPr>
      <w:tblGrid>
        <w:gridCol w:w="2410"/>
        <w:gridCol w:w="589"/>
        <w:gridCol w:w="1267"/>
        <w:gridCol w:w="288"/>
        <w:gridCol w:w="1264"/>
        <w:gridCol w:w="288"/>
        <w:gridCol w:w="1112"/>
        <w:gridCol w:w="314"/>
        <w:gridCol w:w="1077"/>
        <w:gridCol w:w="314"/>
        <w:gridCol w:w="956"/>
        <w:gridCol w:w="314"/>
        <w:gridCol w:w="1066"/>
        <w:gridCol w:w="314"/>
        <w:gridCol w:w="1468"/>
        <w:gridCol w:w="236"/>
        <w:gridCol w:w="1066"/>
      </w:tblGrid>
      <w:tr w:rsidR="002674CC" w:rsidRPr="002674CC" w14:paraId="0C82AD9B" w14:textId="77777777" w:rsidTr="001D2E70">
        <w:trPr>
          <w:trHeight w:val="151"/>
        </w:trPr>
        <w:tc>
          <w:tcPr>
            <w:tcW w:w="2410" w:type="dxa"/>
            <w:tcBorders>
              <w:top w:val="nil"/>
              <w:left w:val="nil"/>
              <w:bottom w:val="nil"/>
              <w:right w:val="nil"/>
            </w:tcBorders>
            <w:shd w:val="clear" w:color="auto" w:fill="auto"/>
            <w:vAlign w:val="center"/>
            <w:hideMark/>
          </w:tcPr>
          <w:p w14:paraId="401A5CEB" w14:textId="77777777" w:rsidR="002674CC" w:rsidRPr="002674CC" w:rsidRDefault="002674CC" w:rsidP="002674CC">
            <w:pPr>
              <w:widowControl/>
              <w:autoSpaceDE/>
              <w:autoSpaceDN/>
              <w:adjustRightInd/>
              <w:jc w:val="left"/>
              <w:rPr>
                <w:sz w:val="24"/>
                <w:szCs w:val="20"/>
                <w:lang w:eastAsia="en-CA"/>
              </w:rPr>
            </w:pPr>
          </w:p>
        </w:tc>
        <w:tc>
          <w:tcPr>
            <w:tcW w:w="589" w:type="dxa"/>
            <w:tcBorders>
              <w:top w:val="nil"/>
              <w:left w:val="nil"/>
              <w:bottom w:val="nil"/>
              <w:right w:val="nil"/>
            </w:tcBorders>
            <w:shd w:val="clear" w:color="auto" w:fill="auto"/>
            <w:vAlign w:val="center"/>
            <w:hideMark/>
          </w:tcPr>
          <w:p w14:paraId="4E6B6C5A" w14:textId="77777777" w:rsidR="002674CC" w:rsidRPr="002674CC" w:rsidRDefault="002674CC" w:rsidP="002674CC">
            <w:pPr>
              <w:widowControl/>
              <w:autoSpaceDE/>
              <w:autoSpaceDN/>
              <w:adjustRightInd/>
              <w:jc w:val="left"/>
              <w:rPr>
                <w:sz w:val="20"/>
                <w:szCs w:val="20"/>
                <w:lang w:eastAsia="en-CA"/>
              </w:rPr>
            </w:pPr>
          </w:p>
        </w:tc>
        <w:tc>
          <w:tcPr>
            <w:tcW w:w="5610" w:type="dxa"/>
            <w:gridSpan w:val="7"/>
            <w:tcBorders>
              <w:top w:val="nil"/>
              <w:left w:val="nil"/>
              <w:bottom w:val="nil"/>
              <w:right w:val="nil"/>
            </w:tcBorders>
            <w:shd w:val="clear" w:color="auto" w:fill="auto"/>
            <w:vAlign w:val="center"/>
            <w:hideMark/>
          </w:tcPr>
          <w:p w14:paraId="0A288F64"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5111A8DF" w14:textId="77777777" w:rsidR="002674CC" w:rsidRPr="002674CC" w:rsidRDefault="002674CC" w:rsidP="002674CC">
            <w:pPr>
              <w:widowControl/>
              <w:autoSpaceDE/>
              <w:autoSpaceDN/>
              <w:adjustRightInd/>
              <w:jc w:val="center"/>
              <w:rPr>
                <w:sz w:val="20"/>
                <w:szCs w:val="20"/>
                <w:lang w:eastAsia="en-CA"/>
              </w:rPr>
            </w:pPr>
          </w:p>
        </w:tc>
        <w:tc>
          <w:tcPr>
            <w:tcW w:w="956" w:type="dxa"/>
            <w:tcBorders>
              <w:top w:val="nil"/>
              <w:left w:val="nil"/>
              <w:bottom w:val="nil"/>
              <w:right w:val="nil"/>
            </w:tcBorders>
            <w:shd w:val="clear" w:color="auto" w:fill="auto"/>
            <w:vAlign w:val="center"/>
            <w:hideMark/>
          </w:tcPr>
          <w:p w14:paraId="2D886009" w14:textId="77777777" w:rsidR="002674CC" w:rsidRPr="002674CC" w:rsidRDefault="002674CC" w:rsidP="002674CC">
            <w:pPr>
              <w:widowControl/>
              <w:autoSpaceDE/>
              <w:autoSpaceDN/>
              <w:adjustRightInd/>
              <w:jc w:val="center"/>
              <w:rPr>
                <w:sz w:val="20"/>
                <w:szCs w:val="20"/>
                <w:lang w:eastAsia="en-CA"/>
              </w:rPr>
            </w:pPr>
          </w:p>
        </w:tc>
        <w:tc>
          <w:tcPr>
            <w:tcW w:w="314" w:type="dxa"/>
            <w:tcBorders>
              <w:top w:val="nil"/>
              <w:left w:val="nil"/>
              <w:bottom w:val="nil"/>
              <w:right w:val="nil"/>
            </w:tcBorders>
            <w:shd w:val="clear" w:color="auto" w:fill="auto"/>
            <w:vAlign w:val="center"/>
            <w:hideMark/>
          </w:tcPr>
          <w:p w14:paraId="63D8F7C2" w14:textId="77777777" w:rsidR="002674CC" w:rsidRPr="002674CC" w:rsidRDefault="002674CC" w:rsidP="002674CC">
            <w:pPr>
              <w:widowControl/>
              <w:autoSpaceDE/>
              <w:autoSpaceDN/>
              <w:adjustRightInd/>
              <w:jc w:val="center"/>
              <w:rPr>
                <w:sz w:val="20"/>
                <w:szCs w:val="20"/>
                <w:lang w:eastAsia="en-CA"/>
              </w:rPr>
            </w:pPr>
          </w:p>
        </w:tc>
        <w:tc>
          <w:tcPr>
            <w:tcW w:w="1066" w:type="dxa"/>
            <w:tcBorders>
              <w:top w:val="nil"/>
              <w:left w:val="nil"/>
              <w:bottom w:val="nil"/>
              <w:right w:val="nil"/>
            </w:tcBorders>
            <w:shd w:val="clear" w:color="auto" w:fill="auto"/>
            <w:vAlign w:val="center"/>
            <w:hideMark/>
          </w:tcPr>
          <w:p w14:paraId="15A5BA0D" w14:textId="77777777" w:rsidR="002674CC" w:rsidRPr="002674CC" w:rsidRDefault="002674CC" w:rsidP="002674CC">
            <w:pPr>
              <w:widowControl/>
              <w:autoSpaceDE/>
              <w:autoSpaceDN/>
              <w:adjustRightInd/>
              <w:jc w:val="center"/>
              <w:rPr>
                <w:sz w:val="20"/>
                <w:szCs w:val="20"/>
                <w:lang w:eastAsia="en-CA"/>
              </w:rPr>
            </w:pPr>
          </w:p>
        </w:tc>
        <w:tc>
          <w:tcPr>
            <w:tcW w:w="314" w:type="dxa"/>
            <w:tcBorders>
              <w:top w:val="nil"/>
              <w:left w:val="nil"/>
              <w:bottom w:val="nil"/>
              <w:right w:val="nil"/>
            </w:tcBorders>
            <w:shd w:val="clear" w:color="auto" w:fill="auto"/>
            <w:vAlign w:val="center"/>
            <w:hideMark/>
          </w:tcPr>
          <w:p w14:paraId="11DF3FC5" w14:textId="77777777" w:rsidR="002674CC" w:rsidRPr="002674CC" w:rsidRDefault="002674CC" w:rsidP="002674CC">
            <w:pPr>
              <w:widowControl/>
              <w:autoSpaceDE/>
              <w:autoSpaceDN/>
              <w:adjustRightInd/>
              <w:jc w:val="left"/>
              <w:rPr>
                <w:sz w:val="20"/>
                <w:szCs w:val="20"/>
                <w:lang w:eastAsia="en-CA"/>
              </w:rPr>
            </w:pPr>
          </w:p>
        </w:tc>
        <w:tc>
          <w:tcPr>
            <w:tcW w:w="1468" w:type="dxa"/>
            <w:tcBorders>
              <w:top w:val="nil"/>
              <w:left w:val="nil"/>
              <w:bottom w:val="nil"/>
              <w:right w:val="nil"/>
            </w:tcBorders>
            <w:shd w:val="clear" w:color="auto" w:fill="auto"/>
            <w:vAlign w:val="center"/>
            <w:hideMark/>
          </w:tcPr>
          <w:p w14:paraId="3C9E2123" w14:textId="77777777" w:rsidR="002674CC" w:rsidRPr="002674CC" w:rsidRDefault="002674CC" w:rsidP="002674CC">
            <w:pPr>
              <w:widowControl/>
              <w:autoSpaceDE/>
              <w:autoSpaceDN/>
              <w:adjustRightInd/>
              <w:jc w:val="left"/>
              <w:rPr>
                <w:sz w:val="20"/>
                <w:szCs w:val="20"/>
                <w:lang w:eastAsia="en-CA"/>
              </w:rPr>
            </w:pPr>
          </w:p>
        </w:tc>
        <w:tc>
          <w:tcPr>
            <w:tcW w:w="236" w:type="dxa"/>
            <w:tcBorders>
              <w:top w:val="nil"/>
              <w:left w:val="nil"/>
              <w:bottom w:val="nil"/>
              <w:right w:val="nil"/>
            </w:tcBorders>
            <w:shd w:val="clear" w:color="auto" w:fill="auto"/>
            <w:vAlign w:val="center"/>
            <w:hideMark/>
          </w:tcPr>
          <w:p w14:paraId="196A1AE0" w14:textId="77777777" w:rsidR="002674CC" w:rsidRPr="002674CC" w:rsidRDefault="002674CC" w:rsidP="002674CC">
            <w:pPr>
              <w:widowControl/>
              <w:autoSpaceDE/>
              <w:autoSpaceDN/>
              <w:adjustRightInd/>
              <w:jc w:val="left"/>
              <w:rPr>
                <w:sz w:val="20"/>
                <w:szCs w:val="20"/>
                <w:lang w:eastAsia="en-CA"/>
              </w:rPr>
            </w:pPr>
          </w:p>
        </w:tc>
        <w:tc>
          <w:tcPr>
            <w:tcW w:w="1066" w:type="dxa"/>
            <w:tcBorders>
              <w:top w:val="nil"/>
              <w:left w:val="nil"/>
              <w:bottom w:val="nil"/>
              <w:right w:val="nil"/>
            </w:tcBorders>
            <w:shd w:val="clear" w:color="auto" w:fill="auto"/>
            <w:vAlign w:val="center"/>
            <w:hideMark/>
          </w:tcPr>
          <w:p w14:paraId="1695D114" w14:textId="77777777" w:rsidR="002674CC" w:rsidRPr="002674CC" w:rsidRDefault="002674CC" w:rsidP="002674CC">
            <w:pPr>
              <w:widowControl/>
              <w:autoSpaceDE/>
              <w:autoSpaceDN/>
              <w:adjustRightInd/>
              <w:jc w:val="left"/>
              <w:rPr>
                <w:sz w:val="20"/>
                <w:szCs w:val="20"/>
                <w:lang w:eastAsia="en-CA"/>
              </w:rPr>
            </w:pPr>
          </w:p>
        </w:tc>
      </w:tr>
      <w:tr w:rsidR="002674CC" w:rsidRPr="002674CC" w14:paraId="745BB722" w14:textId="77777777" w:rsidTr="001D2E70">
        <w:trPr>
          <w:trHeight w:val="229"/>
        </w:trPr>
        <w:tc>
          <w:tcPr>
            <w:tcW w:w="2410" w:type="dxa"/>
            <w:tcBorders>
              <w:top w:val="nil"/>
              <w:left w:val="nil"/>
              <w:bottom w:val="nil"/>
              <w:right w:val="nil"/>
            </w:tcBorders>
            <w:shd w:val="clear" w:color="auto" w:fill="auto"/>
            <w:vAlign w:val="center"/>
            <w:hideMark/>
          </w:tcPr>
          <w:p w14:paraId="0C4AD5C6" w14:textId="77777777" w:rsidR="002674CC" w:rsidRPr="002674CC" w:rsidRDefault="002674CC" w:rsidP="002674CC">
            <w:pPr>
              <w:widowControl/>
              <w:autoSpaceDE/>
              <w:autoSpaceDN/>
              <w:adjustRightInd/>
              <w:jc w:val="left"/>
              <w:rPr>
                <w:sz w:val="20"/>
                <w:szCs w:val="20"/>
                <w:lang w:eastAsia="en-CA"/>
              </w:rPr>
            </w:pPr>
          </w:p>
        </w:tc>
        <w:tc>
          <w:tcPr>
            <w:tcW w:w="589" w:type="dxa"/>
            <w:tcBorders>
              <w:top w:val="nil"/>
              <w:left w:val="nil"/>
              <w:bottom w:val="nil"/>
              <w:right w:val="nil"/>
            </w:tcBorders>
            <w:shd w:val="clear" w:color="auto" w:fill="auto"/>
            <w:vAlign w:val="center"/>
            <w:hideMark/>
          </w:tcPr>
          <w:p w14:paraId="2DF7C4D4" w14:textId="77777777" w:rsidR="002674CC" w:rsidRPr="002674CC" w:rsidRDefault="002674CC" w:rsidP="002674CC">
            <w:pPr>
              <w:widowControl/>
              <w:autoSpaceDE/>
              <w:autoSpaceDN/>
              <w:adjustRightInd/>
              <w:jc w:val="left"/>
              <w:rPr>
                <w:sz w:val="20"/>
                <w:szCs w:val="20"/>
                <w:lang w:eastAsia="en-CA"/>
              </w:rPr>
            </w:pPr>
          </w:p>
        </w:tc>
        <w:tc>
          <w:tcPr>
            <w:tcW w:w="5610" w:type="dxa"/>
            <w:gridSpan w:val="7"/>
            <w:tcBorders>
              <w:top w:val="nil"/>
              <w:left w:val="nil"/>
              <w:bottom w:val="single" w:sz="4" w:space="0" w:color="auto"/>
              <w:right w:val="nil"/>
            </w:tcBorders>
            <w:shd w:val="clear" w:color="auto" w:fill="auto"/>
            <w:vAlign w:val="center"/>
            <w:hideMark/>
          </w:tcPr>
          <w:p w14:paraId="1546BFD3"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Share Capital</w:t>
            </w:r>
          </w:p>
        </w:tc>
        <w:tc>
          <w:tcPr>
            <w:tcW w:w="314" w:type="dxa"/>
            <w:tcBorders>
              <w:top w:val="nil"/>
              <w:left w:val="nil"/>
              <w:bottom w:val="nil"/>
              <w:right w:val="nil"/>
            </w:tcBorders>
            <w:shd w:val="clear" w:color="auto" w:fill="auto"/>
            <w:vAlign w:val="center"/>
            <w:hideMark/>
          </w:tcPr>
          <w:p w14:paraId="5639CE14"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p>
        </w:tc>
        <w:tc>
          <w:tcPr>
            <w:tcW w:w="956" w:type="dxa"/>
            <w:tcBorders>
              <w:top w:val="nil"/>
              <w:left w:val="nil"/>
              <w:bottom w:val="nil"/>
              <w:right w:val="nil"/>
            </w:tcBorders>
            <w:shd w:val="clear" w:color="auto" w:fill="auto"/>
            <w:vAlign w:val="center"/>
            <w:hideMark/>
          </w:tcPr>
          <w:p w14:paraId="02A3B999" w14:textId="77777777" w:rsidR="002674CC" w:rsidRPr="002674CC" w:rsidRDefault="002674CC" w:rsidP="002674CC">
            <w:pPr>
              <w:widowControl/>
              <w:autoSpaceDE/>
              <w:autoSpaceDN/>
              <w:adjustRightInd/>
              <w:jc w:val="center"/>
              <w:rPr>
                <w:sz w:val="20"/>
                <w:szCs w:val="20"/>
                <w:lang w:eastAsia="en-CA"/>
              </w:rPr>
            </w:pPr>
          </w:p>
        </w:tc>
        <w:tc>
          <w:tcPr>
            <w:tcW w:w="314" w:type="dxa"/>
            <w:tcBorders>
              <w:top w:val="nil"/>
              <w:left w:val="nil"/>
              <w:bottom w:val="nil"/>
              <w:right w:val="nil"/>
            </w:tcBorders>
            <w:shd w:val="clear" w:color="auto" w:fill="auto"/>
            <w:vAlign w:val="center"/>
            <w:hideMark/>
          </w:tcPr>
          <w:p w14:paraId="5E13DE60" w14:textId="77777777" w:rsidR="002674CC" w:rsidRPr="002674CC" w:rsidRDefault="002674CC" w:rsidP="002674CC">
            <w:pPr>
              <w:widowControl/>
              <w:autoSpaceDE/>
              <w:autoSpaceDN/>
              <w:adjustRightInd/>
              <w:jc w:val="center"/>
              <w:rPr>
                <w:sz w:val="20"/>
                <w:szCs w:val="20"/>
                <w:lang w:eastAsia="en-CA"/>
              </w:rPr>
            </w:pPr>
          </w:p>
        </w:tc>
        <w:tc>
          <w:tcPr>
            <w:tcW w:w="1066" w:type="dxa"/>
            <w:tcBorders>
              <w:top w:val="nil"/>
              <w:left w:val="nil"/>
              <w:bottom w:val="nil"/>
              <w:right w:val="nil"/>
            </w:tcBorders>
            <w:shd w:val="clear" w:color="auto" w:fill="auto"/>
            <w:vAlign w:val="center"/>
            <w:hideMark/>
          </w:tcPr>
          <w:p w14:paraId="3B46E0C5" w14:textId="77777777" w:rsidR="002674CC" w:rsidRPr="002674CC" w:rsidRDefault="002674CC" w:rsidP="002674CC">
            <w:pPr>
              <w:widowControl/>
              <w:autoSpaceDE/>
              <w:autoSpaceDN/>
              <w:adjustRightInd/>
              <w:jc w:val="center"/>
              <w:rPr>
                <w:sz w:val="20"/>
                <w:szCs w:val="20"/>
                <w:lang w:eastAsia="en-CA"/>
              </w:rPr>
            </w:pPr>
          </w:p>
        </w:tc>
        <w:tc>
          <w:tcPr>
            <w:tcW w:w="314" w:type="dxa"/>
            <w:tcBorders>
              <w:top w:val="nil"/>
              <w:left w:val="nil"/>
              <w:bottom w:val="nil"/>
              <w:right w:val="nil"/>
            </w:tcBorders>
            <w:shd w:val="clear" w:color="auto" w:fill="auto"/>
            <w:vAlign w:val="center"/>
            <w:hideMark/>
          </w:tcPr>
          <w:p w14:paraId="2929B285" w14:textId="77777777" w:rsidR="002674CC" w:rsidRPr="002674CC" w:rsidRDefault="002674CC" w:rsidP="002674CC">
            <w:pPr>
              <w:widowControl/>
              <w:autoSpaceDE/>
              <w:autoSpaceDN/>
              <w:adjustRightInd/>
              <w:jc w:val="left"/>
              <w:rPr>
                <w:sz w:val="20"/>
                <w:szCs w:val="20"/>
                <w:lang w:eastAsia="en-CA"/>
              </w:rPr>
            </w:pPr>
          </w:p>
        </w:tc>
        <w:tc>
          <w:tcPr>
            <w:tcW w:w="1468" w:type="dxa"/>
            <w:tcBorders>
              <w:top w:val="nil"/>
              <w:left w:val="nil"/>
              <w:bottom w:val="nil"/>
              <w:right w:val="nil"/>
            </w:tcBorders>
            <w:shd w:val="clear" w:color="auto" w:fill="auto"/>
            <w:vAlign w:val="center"/>
            <w:hideMark/>
          </w:tcPr>
          <w:p w14:paraId="3FB260B3" w14:textId="77777777" w:rsidR="002674CC" w:rsidRPr="002674CC" w:rsidRDefault="002674CC" w:rsidP="002674CC">
            <w:pPr>
              <w:widowControl/>
              <w:autoSpaceDE/>
              <w:autoSpaceDN/>
              <w:adjustRightInd/>
              <w:jc w:val="left"/>
              <w:rPr>
                <w:sz w:val="20"/>
                <w:szCs w:val="20"/>
                <w:lang w:eastAsia="en-CA"/>
              </w:rPr>
            </w:pPr>
          </w:p>
        </w:tc>
        <w:tc>
          <w:tcPr>
            <w:tcW w:w="236" w:type="dxa"/>
            <w:tcBorders>
              <w:top w:val="nil"/>
              <w:left w:val="nil"/>
              <w:bottom w:val="nil"/>
              <w:right w:val="nil"/>
            </w:tcBorders>
            <w:shd w:val="clear" w:color="auto" w:fill="auto"/>
            <w:vAlign w:val="center"/>
            <w:hideMark/>
          </w:tcPr>
          <w:p w14:paraId="39347856" w14:textId="77777777" w:rsidR="002674CC" w:rsidRPr="002674CC" w:rsidRDefault="002674CC" w:rsidP="002674CC">
            <w:pPr>
              <w:widowControl/>
              <w:autoSpaceDE/>
              <w:autoSpaceDN/>
              <w:adjustRightInd/>
              <w:jc w:val="left"/>
              <w:rPr>
                <w:sz w:val="20"/>
                <w:szCs w:val="20"/>
                <w:lang w:eastAsia="en-CA"/>
              </w:rPr>
            </w:pPr>
          </w:p>
        </w:tc>
        <w:tc>
          <w:tcPr>
            <w:tcW w:w="1066" w:type="dxa"/>
            <w:tcBorders>
              <w:top w:val="nil"/>
              <w:left w:val="nil"/>
              <w:bottom w:val="nil"/>
              <w:right w:val="nil"/>
            </w:tcBorders>
            <w:shd w:val="clear" w:color="auto" w:fill="auto"/>
            <w:vAlign w:val="center"/>
            <w:hideMark/>
          </w:tcPr>
          <w:p w14:paraId="2CF955C2" w14:textId="77777777" w:rsidR="002674CC" w:rsidRPr="002674CC" w:rsidRDefault="002674CC" w:rsidP="002674CC">
            <w:pPr>
              <w:widowControl/>
              <w:autoSpaceDE/>
              <w:autoSpaceDN/>
              <w:adjustRightInd/>
              <w:jc w:val="left"/>
              <w:rPr>
                <w:sz w:val="20"/>
                <w:szCs w:val="20"/>
                <w:lang w:eastAsia="en-CA"/>
              </w:rPr>
            </w:pPr>
          </w:p>
        </w:tc>
      </w:tr>
      <w:tr w:rsidR="002674CC" w:rsidRPr="002674CC" w14:paraId="56B4D0B7" w14:textId="77777777" w:rsidTr="001D2E70">
        <w:trPr>
          <w:trHeight w:val="151"/>
        </w:trPr>
        <w:tc>
          <w:tcPr>
            <w:tcW w:w="2410" w:type="dxa"/>
            <w:tcBorders>
              <w:top w:val="nil"/>
              <w:left w:val="nil"/>
              <w:bottom w:val="nil"/>
              <w:right w:val="nil"/>
            </w:tcBorders>
            <w:shd w:val="clear" w:color="auto" w:fill="auto"/>
            <w:vAlign w:val="center"/>
            <w:hideMark/>
          </w:tcPr>
          <w:p w14:paraId="7D8D9460" w14:textId="77777777" w:rsidR="002674CC" w:rsidRPr="002674CC" w:rsidRDefault="002674CC" w:rsidP="002674CC">
            <w:pPr>
              <w:widowControl/>
              <w:autoSpaceDE/>
              <w:autoSpaceDN/>
              <w:adjustRightInd/>
              <w:jc w:val="left"/>
              <w:rPr>
                <w:sz w:val="20"/>
                <w:szCs w:val="20"/>
                <w:lang w:eastAsia="en-CA"/>
              </w:rPr>
            </w:pPr>
          </w:p>
        </w:tc>
        <w:tc>
          <w:tcPr>
            <w:tcW w:w="589" w:type="dxa"/>
            <w:tcBorders>
              <w:top w:val="nil"/>
              <w:left w:val="nil"/>
              <w:bottom w:val="nil"/>
              <w:right w:val="nil"/>
            </w:tcBorders>
            <w:shd w:val="clear" w:color="auto" w:fill="auto"/>
            <w:vAlign w:val="center"/>
            <w:hideMark/>
          </w:tcPr>
          <w:p w14:paraId="3B821EFC" w14:textId="77777777" w:rsidR="002674CC" w:rsidRPr="002674CC" w:rsidRDefault="002674CC" w:rsidP="002674CC">
            <w:pPr>
              <w:widowControl/>
              <w:autoSpaceDE/>
              <w:autoSpaceDN/>
              <w:adjustRightInd/>
              <w:jc w:val="left"/>
              <w:rPr>
                <w:sz w:val="20"/>
                <w:szCs w:val="20"/>
                <w:lang w:eastAsia="en-CA"/>
              </w:rPr>
            </w:pPr>
          </w:p>
        </w:tc>
        <w:tc>
          <w:tcPr>
            <w:tcW w:w="1267" w:type="dxa"/>
            <w:tcBorders>
              <w:top w:val="nil"/>
              <w:left w:val="nil"/>
              <w:bottom w:val="nil"/>
              <w:right w:val="nil"/>
            </w:tcBorders>
            <w:shd w:val="clear" w:color="auto" w:fill="auto"/>
            <w:vAlign w:val="center"/>
            <w:hideMark/>
          </w:tcPr>
          <w:p w14:paraId="09EB89FC" w14:textId="77777777" w:rsidR="002674CC" w:rsidRPr="002674CC" w:rsidRDefault="002674CC" w:rsidP="002674CC">
            <w:pPr>
              <w:widowControl/>
              <w:autoSpaceDE/>
              <w:autoSpaceDN/>
              <w:adjustRightInd/>
              <w:jc w:val="left"/>
              <w:rPr>
                <w:sz w:val="20"/>
                <w:szCs w:val="20"/>
                <w:lang w:eastAsia="en-CA"/>
              </w:rPr>
            </w:pPr>
          </w:p>
        </w:tc>
        <w:tc>
          <w:tcPr>
            <w:tcW w:w="288" w:type="dxa"/>
            <w:tcBorders>
              <w:top w:val="nil"/>
              <w:left w:val="nil"/>
              <w:bottom w:val="nil"/>
              <w:right w:val="nil"/>
            </w:tcBorders>
            <w:shd w:val="clear" w:color="auto" w:fill="auto"/>
            <w:vAlign w:val="center"/>
            <w:hideMark/>
          </w:tcPr>
          <w:p w14:paraId="2C193342" w14:textId="77777777" w:rsidR="002674CC" w:rsidRPr="002674CC" w:rsidRDefault="002674CC" w:rsidP="002674CC">
            <w:pPr>
              <w:widowControl/>
              <w:autoSpaceDE/>
              <w:autoSpaceDN/>
              <w:adjustRightInd/>
              <w:jc w:val="center"/>
              <w:rPr>
                <w:sz w:val="20"/>
                <w:szCs w:val="20"/>
                <w:lang w:eastAsia="en-CA"/>
              </w:rPr>
            </w:pPr>
          </w:p>
        </w:tc>
        <w:tc>
          <w:tcPr>
            <w:tcW w:w="1264" w:type="dxa"/>
            <w:tcBorders>
              <w:top w:val="nil"/>
              <w:left w:val="nil"/>
              <w:bottom w:val="nil"/>
              <w:right w:val="nil"/>
            </w:tcBorders>
            <w:shd w:val="clear" w:color="auto" w:fill="auto"/>
            <w:vAlign w:val="center"/>
            <w:hideMark/>
          </w:tcPr>
          <w:p w14:paraId="5DD032FB" w14:textId="77777777" w:rsidR="002674CC" w:rsidRPr="002674CC" w:rsidRDefault="002674CC" w:rsidP="002674CC">
            <w:pPr>
              <w:widowControl/>
              <w:autoSpaceDE/>
              <w:autoSpaceDN/>
              <w:adjustRightInd/>
              <w:jc w:val="left"/>
              <w:rPr>
                <w:sz w:val="20"/>
                <w:szCs w:val="20"/>
                <w:lang w:eastAsia="en-CA"/>
              </w:rPr>
            </w:pPr>
          </w:p>
        </w:tc>
        <w:tc>
          <w:tcPr>
            <w:tcW w:w="288" w:type="dxa"/>
            <w:tcBorders>
              <w:top w:val="nil"/>
              <w:left w:val="nil"/>
              <w:bottom w:val="nil"/>
              <w:right w:val="nil"/>
            </w:tcBorders>
            <w:shd w:val="clear" w:color="auto" w:fill="auto"/>
            <w:vAlign w:val="center"/>
            <w:hideMark/>
          </w:tcPr>
          <w:p w14:paraId="1740B661" w14:textId="77777777" w:rsidR="002674CC" w:rsidRPr="002674CC" w:rsidRDefault="002674CC" w:rsidP="002674CC">
            <w:pPr>
              <w:widowControl/>
              <w:autoSpaceDE/>
              <w:autoSpaceDN/>
              <w:adjustRightInd/>
              <w:jc w:val="left"/>
              <w:rPr>
                <w:sz w:val="20"/>
                <w:szCs w:val="20"/>
                <w:lang w:eastAsia="en-CA"/>
              </w:rPr>
            </w:pPr>
          </w:p>
        </w:tc>
        <w:tc>
          <w:tcPr>
            <w:tcW w:w="1112" w:type="dxa"/>
            <w:tcBorders>
              <w:top w:val="nil"/>
              <w:left w:val="nil"/>
              <w:bottom w:val="nil"/>
              <w:right w:val="nil"/>
            </w:tcBorders>
            <w:shd w:val="clear" w:color="auto" w:fill="auto"/>
            <w:vAlign w:val="center"/>
            <w:hideMark/>
          </w:tcPr>
          <w:p w14:paraId="28A16FFF"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54524B6C" w14:textId="77777777" w:rsidR="002674CC" w:rsidRPr="002674CC" w:rsidRDefault="002674CC" w:rsidP="002674CC">
            <w:pPr>
              <w:widowControl/>
              <w:autoSpaceDE/>
              <w:autoSpaceDN/>
              <w:adjustRightInd/>
              <w:jc w:val="left"/>
              <w:rPr>
                <w:sz w:val="20"/>
                <w:szCs w:val="20"/>
                <w:lang w:eastAsia="en-CA"/>
              </w:rPr>
            </w:pPr>
          </w:p>
        </w:tc>
        <w:tc>
          <w:tcPr>
            <w:tcW w:w="1077" w:type="dxa"/>
            <w:tcBorders>
              <w:top w:val="nil"/>
              <w:left w:val="nil"/>
              <w:bottom w:val="nil"/>
              <w:right w:val="nil"/>
            </w:tcBorders>
            <w:shd w:val="clear" w:color="auto" w:fill="auto"/>
            <w:vAlign w:val="center"/>
            <w:hideMark/>
          </w:tcPr>
          <w:p w14:paraId="74245A81"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31B0F2C3" w14:textId="77777777" w:rsidR="002674CC" w:rsidRPr="002674CC" w:rsidRDefault="002674CC" w:rsidP="002674CC">
            <w:pPr>
              <w:widowControl/>
              <w:autoSpaceDE/>
              <w:autoSpaceDN/>
              <w:adjustRightInd/>
              <w:jc w:val="center"/>
              <w:rPr>
                <w:sz w:val="20"/>
                <w:szCs w:val="20"/>
                <w:lang w:eastAsia="en-CA"/>
              </w:rPr>
            </w:pPr>
          </w:p>
        </w:tc>
        <w:tc>
          <w:tcPr>
            <w:tcW w:w="956" w:type="dxa"/>
            <w:tcBorders>
              <w:top w:val="nil"/>
              <w:left w:val="nil"/>
              <w:bottom w:val="nil"/>
              <w:right w:val="nil"/>
            </w:tcBorders>
            <w:shd w:val="clear" w:color="auto" w:fill="auto"/>
            <w:vAlign w:val="center"/>
            <w:hideMark/>
          </w:tcPr>
          <w:p w14:paraId="6C5DEBE4"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6A2F8DD9" w14:textId="77777777" w:rsidR="002674CC" w:rsidRPr="002674CC" w:rsidRDefault="002674CC" w:rsidP="002674CC">
            <w:pPr>
              <w:widowControl/>
              <w:autoSpaceDE/>
              <w:autoSpaceDN/>
              <w:adjustRightInd/>
              <w:jc w:val="left"/>
              <w:rPr>
                <w:sz w:val="20"/>
                <w:szCs w:val="20"/>
                <w:lang w:eastAsia="en-CA"/>
              </w:rPr>
            </w:pPr>
          </w:p>
        </w:tc>
        <w:tc>
          <w:tcPr>
            <w:tcW w:w="1066" w:type="dxa"/>
            <w:tcBorders>
              <w:top w:val="nil"/>
              <w:left w:val="nil"/>
              <w:bottom w:val="nil"/>
              <w:right w:val="nil"/>
            </w:tcBorders>
            <w:shd w:val="clear" w:color="auto" w:fill="auto"/>
            <w:vAlign w:val="center"/>
            <w:hideMark/>
          </w:tcPr>
          <w:p w14:paraId="3D61C022"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6A14AD51" w14:textId="77777777" w:rsidR="002674CC" w:rsidRPr="002674CC" w:rsidRDefault="002674CC" w:rsidP="002674CC">
            <w:pPr>
              <w:widowControl/>
              <w:autoSpaceDE/>
              <w:autoSpaceDN/>
              <w:adjustRightInd/>
              <w:jc w:val="center"/>
              <w:rPr>
                <w:sz w:val="20"/>
                <w:szCs w:val="20"/>
                <w:lang w:eastAsia="en-CA"/>
              </w:rPr>
            </w:pPr>
          </w:p>
        </w:tc>
        <w:tc>
          <w:tcPr>
            <w:tcW w:w="1468" w:type="dxa"/>
            <w:tcBorders>
              <w:top w:val="nil"/>
              <w:left w:val="nil"/>
              <w:bottom w:val="nil"/>
              <w:right w:val="nil"/>
            </w:tcBorders>
            <w:shd w:val="clear" w:color="auto" w:fill="auto"/>
            <w:vAlign w:val="center"/>
            <w:hideMark/>
          </w:tcPr>
          <w:p w14:paraId="3649FBE1" w14:textId="77777777" w:rsidR="002674CC" w:rsidRPr="002674CC" w:rsidRDefault="002674CC" w:rsidP="002674CC">
            <w:pPr>
              <w:widowControl/>
              <w:autoSpaceDE/>
              <w:autoSpaceDN/>
              <w:adjustRightInd/>
              <w:jc w:val="left"/>
              <w:rPr>
                <w:sz w:val="20"/>
                <w:szCs w:val="20"/>
                <w:lang w:eastAsia="en-CA"/>
              </w:rPr>
            </w:pPr>
          </w:p>
        </w:tc>
        <w:tc>
          <w:tcPr>
            <w:tcW w:w="236" w:type="dxa"/>
            <w:tcBorders>
              <w:top w:val="nil"/>
              <w:left w:val="nil"/>
              <w:bottom w:val="nil"/>
              <w:right w:val="nil"/>
            </w:tcBorders>
            <w:shd w:val="clear" w:color="auto" w:fill="auto"/>
            <w:vAlign w:val="center"/>
            <w:hideMark/>
          </w:tcPr>
          <w:p w14:paraId="4F50BF74" w14:textId="77777777" w:rsidR="002674CC" w:rsidRPr="002674CC" w:rsidRDefault="002674CC" w:rsidP="002674CC">
            <w:pPr>
              <w:widowControl/>
              <w:autoSpaceDE/>
              <w:autoSpaceDN/>
              <w:adjustRightInd/>
              <w:jc w:val="left"/>
              <w:rPr>
                <w:sz w:val="20"/>
                <w:szCs w:val="20"/>
                <w:lang w:eastAsia="en-CA"/>
              </w:rPr>
            </w:pPr>
          </w:p>
        </w:tc>
        <w:tc>
          <w:tcPr>
            <w:tcW w:w="1066" w:type="dxa"/>
            <w:tcBorders>
              <w:top w:val="nil"/>
              <w:left w:val="nil"/>
              <w:bottom w:val="nil"/>
              <w:right w:val="nil"/>
            </w:tcBorders>
            <w:shd w:val="clear" w:color="auto" w:fill="auto"/>
            <w:vAlign w:val="center"/>
            <w:hideMark/>
          </w:tcPr>
          <w:p w14:paraId="67CDA160" w14:textId="77777777" w:rsidR="002674CC" w:rsidRPr="002674CC" w:rsidRDefault="002674CC" w:rsidP="002674CC">
            <w:pPr>
              <w:widowControl/>
              <w:autoSpaceDE/>
              <w:autoSpaceDN/>
              <w:adjustRightInd/>
              <w:jc w:val="left"/>
              <w:rPr>
                <w:sz w:val="20"/>
                <w:szCs w:val="20"/>
                <w:lang w:eastAsia="en-CA"/>
              </w:rPr>
            </w:pPr>
          </w:p>
        </w:tc>
      </w:tr>
      <w:tr w:rsidR="002674CC" w:rsidRPr="002674CC" w14:paraId="72BCCD48" w14:textId="77777777" w:rsidTr="001D2E70">
        <w:trPr>
          <w:trHeight w:val="821"/>
        </w:trPr>
        <w:tc>
          <w:tcPr>
            <w:tcW w:w="2410" w:type="dxa"/>
            <w:tcBorders>
              <w:top w:val="nil"/>
              <w:left w:val="nil"/>
              <w:bottom w:val="single" w:sz="4" w:space="0" w:color="auto"/>
              <w:right w:val="nil"/>
            </w:tcBorders>
            <w:shd w:val="clear" w:color="auto" w:fill="auto"/>
            <w:vAlign w:val="center"/>
            <w:hideMark/>
          </w:tcPr>
          <w:p w14:paraId="71B7EB72"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589" w:type="dxa"/>
            <w:tcBorders>
              <w:top w:val="nil"/>
              <w:left w:val="nil"/>
              <w:bottom w:val="single" w:sz="4" w:space="0" w:color="auto"/>
              <w:right w:val="nil"/>
            </w:tcBorders>
            <w:shd w:val="clear" w:color="auto" w:fill="auto"/>
            <w:vAlign w:val="bottom"/>
            <w:hideMark/>
          </w:tcPr>
          <w:p w14:paraId="37D074FE"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r w:rsidRPr="002674CC">
              <w:rPr>
                <w:rFonts w:ascii="Arial" w:hAnsi="Arial" w:cs="Arial"/>
                <w:b/>
                <w:bCs/>
                <w:color w:val="000000"/>
                <w:sz w:val="16"/>
                <w:szCs w:val="16"/>
                <w:lang w:eastAsia="en-CA"/>
              </w:rPr>
              <w:t>Note</w:t>
            </w:r>
          </w:p>
        </w:tc>
        <w:tc>
          <w:tcPr>
            <w:tcW w:w="1267" w:type="dxa"/>
            <w:tcBorders>
              <w:top w:val="nil"/>
              <w:left w:val="nil"/>
              <w:bottom w:val="single" w:sz="4" w:space="0" w:color="auto"/>
              <w:right w:val="nil"/>
            </w:tcBorders>
            <w:shd w:val="clear" w:color="auto" w:fill="auto"/>
            <w:vAlign w:val="bottom"/>
            <w:hideMark/>
          </w:tcPr>
          <w:p w14:paraId="5325026C"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Pre-reverse takeover common shares</w:t>
            </w:r>
          </w:p>
        </w:tc>
        <w:tc>
          <w:tcPr>
            <w:tcW w:w="288" w:type="dxa"/>
            <w:tcBorders>
              <w:top w:val="nil"/>
              <w:left w:val="nil"/>
              <w:bottom w:val="single" w:sz="4" w:space="0" w:color="auto"/>
              <w:right w:val="nil"/>
            </w:tcBorders>
            <w:shd w:val="clear" w:color="auto" w:fill="auto"/>
            <w:vAlign w:val="bottom"/>
            <w:hideMark/>
          </w:tcPr>
          <w:p w14:paraId="4DDAD462"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264" w:type="dxa"/>
            <w:tcBorders>
              <w:top w:val="nil"/>
              <w:left w:val="nil"/>
              <w:bottom w:val="single" w:sz="4" w:space="0" w:color="auto"/>
              <w:right w:val="nil"/>
            </w:tcBorders>
            <w:shd w:val="clear" w:color="auto" w:fill="auto"/>
            <w:vAlign w:val="bottom"/>
            <w:hideMark/>
          </w:tcPr>
          <w:p w14:paraId="5F1283B3"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Subordinated voting common shares</w:t>
            </w:r>
          </w:p>
        </w:tc>
        <w:tc>
          <w:tcPr>
            <w:tcW w:w="288" w:type="dxa"/>
            <w:tcBorders>
              <w:top w:val="nil"/>
              <w:left w:val="nil"/>
              <w:bottom w:val="single" w:sz="4" w:space="0" w:color="auto"/>
              <w:right w:val="nil"/>
            </w:tcBorders>
            <w:shd w:val="clear" w:color="auto" w:fill="auto"/>
            <w:vAlign w:val="bottom"/>
            <w:hideMark/>
          </w:tcPr>
          <w:p w14:paraId="64534A88"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112" w:type="dxa"/>
            <w:tcBorders>
              <w:top w:val="nil"/>
              <w:left w:val="nil"/>
              <w:bottom w:val="single" w:sz="4" w:space="0" w:color="auto"/>
              <w:right w:val="nil"/>
            </w:tcBorders>
            <w:shd w:val="clear" w:color="auto" w:fill="auto"/>
            <w:vAlign w:val="bottom"/>
            <w:hideMark/>
          </w:tcPr>
          <w:p w14:paraId="6A5F41CF"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Multiple voting common shares</w:t>
            </w:r>
          </w:p>
        </w:tc>
        <w:tc>
          <w:tcPr>
            <w:tcW w:w="314" w:type="dxa"/>
            <w:tcBorders>
              <w:top w:val="nil"/>
              <w:left w:val="nil"/>
              <w:bottom w:val="single" w:sz="4" w:space="0" w:color="auto"/>
              <w:right w:val="nil"/>
            </w:tcBorders>
            <w:shd w:val="clear" w:color="auto" w:fill="auto"/>
            <w:vAlign w:val="bottom"/>
            <w:hideMark/>
          </w:tcPr>
          <w:p w14:paraId="636C8C72"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077" w:type="dxa"/>
            <w:tcBorders>
              <w:top w:val="nil"/>
              <w:left w:val="nil"/>
              <w:bottom w:val="single" w:sz="4" w:space="0" w:color="auto"/>
              <w:right w:val="nil"/>
            </w:tcBorders>
            <w:shd w:val="clear" w:color="auto" w:fill="auto"/>
            <w:vAlign w:val="bottom"/>
            <w:hideMark/>
          </w:tcPr>
          <w:p w14:paraId="5654E0FB"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Share capital</w:t>
            </w:r>
          </w:p>
        </w:tc>
        <w:tc>
          <w:tcPr>
            <w:tcW w:w="314" w:type="dxa"/>
            <w:tcBorders>
              <w:top w:val="nil"/>
              <w:left w:val="nil"/>
              <w:bottom w:val="single" w:sz="4" w:space="0" w:color="auto"/>
              <w:right w:val="nil"/>
            </w:tcBorders>
            <w:shd w:val="clear" w:color="auto" w:fill="auto"/>
            <w:vAlign w:val="bottom"/>
            <w:hideMark/>
          </w:tcPr>
          <w:p w14:paraId="1147E8C9"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956" w:type="dxa"/>
            <w:tcBorders>
              <w:top w:val="nil"/>
              <w:left w:val="nil"/>
              <w:bottom w:val="single" w:sz="4" w:space="0" w:color="auto"/>
              <w:right w:val="nil"/>
            </w:tcBorders>
            <w:shd w:val="clear" w:color="auto" w:fill="auto"/>
            <w:vAlign w:val="bottom"/>
            <w:hideMark/>
          </w:tcPr>
          <w:p w14:paraId="0EBA1434"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Reserves</w:t>
            </w:r>
          </w:p>
        </w:tc>
        <w:tc>
          <w:tcPr>
            <w:tcW w:w="314" w:type="dxa"/>
            <w:tcBorders>
              <w:top w:val="nil"/>
              <w:left w:val="nil"/>
              <w:bottom w:val="single" w:sz="4" w:space="0" w:color="auto"/>
              <w:right w:val="nil"/>
            </w:tcBorders>
            <w:shd w:val="clear" w:color="auto" w:fill="auto"/>
            <w:vAlign w:val="bottom"/>
            <w:hideMark/>
          </w:tcPr>
          <w:p w14:paraId="13A5D6AD"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066" w:type="dxa"/>
            <w:tcBorders>
              <w:top w:val="nil"/>
              <w:left w:val="nil"/>
              <w:bottom w:val="single" w:sz="4" w:space="0" w:color="auto"/>
              <w:right w:val="nil"/>
            </w:tcBorders>
            <w:shd w:val="clear" w:color="auto" w:fill="auto"/>
            <w:vAlign w:val="bottom"/>
            <w:hideMark/>
          </w:tcPr>
          <w:p w14:paraId="5C295EC6"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Deficit</w:t>
            </w:r>
          </w:p>
        </w:tc>
        <w:tc>
          <w:tcPr>
            <w:tcW w:w="314" w:type="dxa"/>
            <w:tcBorders>
              <w:top w:val="nil"/>
              <w:left w:val="nil"/>
              <w:bottom w:val="single" w:sz="4" w:space="0" w:color="auto"/>
              <w:right w:val="nil"/>
            </w:tcBorders>
            <w:shd w:val="clear" w:color="auto" w:fill="auto"/>
            <w:vAlign w:val="bottom"/>
            <w:hideMark/>
          </w:tcPr>
          <w:p w14:paraId="3A25A70D"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468" w:type="dxa"/>
            <w:tcBorders>
              <w:top w:val="nil"/>
              <w:left w:val="nil"/>
              <w:bottom w:val="single" w:sz="4" w:space="0" w:color="auto"/>
              <w:right w:val="nil"/>
            </w:tcBorders>
            <w:shd w:val="clear" w:color="auto" w:fill="auto"/>
            <w:vAlign w:val="bottom"/>
            <w:hideMark/>
          </w:tcPr>
          <w:p w14:paraId="51865E63"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Accumulated other comprehensive income</w:t>
            </w:r>
          </w:p>
        </w:tc>
        <w:tc>
          <w:tcPr>
            <w:tcW w:w="236" w:type="dxa"/>
            <w:tcBorders>
              <w:top w:val="nil"/>
              <w:left w:val="nil"/>
              <w:bottom w:val="single" w:sz="4" w:space="0" w:color="auto"/>
              <w:right w:val="nil"/>
            </w:tcBorders>
            <w:shd w:val="clear" w:color="auto" w:fill="auto"/>
            <w:vAlign w:val="bottom"/>
            <w:hideMark/>
          </w:tcPr>
          <w:p w14:paraId="2ADFCC70"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066" w:type="dxa"/>
            <w:tcBorders>
              <w:top w:val="nil"/>
              <w:left w:val="nil"/>
              <w:bottom w:val="single" w:sz="4" w:space="0" w:color="auto"/>
              <w:right w:val="nil"/>
            </w:tcBorders>
            <w:shd w:val="clear" w:color="auto" w:fill="auto"/>
            <w:vAlign w:val="bottom"/>
            <w:hideMark/>
          </w:tcPr>
          <w:p w14:paraId="66B2C1AC"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r w:rsidRPr="002674CC">
              <w:rPr>
                <w:rFonts w:ascii="Arial" w:hAnsi="Arial" w:cs="Arial"/>
                <w:b/>
                <w:bCs/>
                <w:color w:val="000000"/>
                <w:sz w:val="16"/>
                <w:szCs w:val="16"/>
                <w:lang w:eastAsia="en-CA"/>
              </w:rPr>
              <w:t>Total</w:t>
            </w:r>
          </w:p>
        </w:tc>
      </w:tr>
      <w:tr w:rsidR="002674CC" w:rsidRPr="002674CC" w14:paraId="78AAB662" w14:textId="77777777" w:rsidTr="001D2E70">
        <w:trPr>
          <w:trHeight w:val="151"/>
        </w:trPr>
        <w:tc>
          <w:tcPr>
            <w:tcW w:w="2410" w:type="dxa"/>
            <w:tcBorders>
              <w:top w:val="nil"/>
              <w:left w:val="nil"/>
              <w:bottom w:val="nil"/>
              <w:right w:val="nil"/>
            </w:tcBorders>
            <w:shd w:val="clear" w:color="auto" w:fill="auto"/>
            <w:vAlign w:val="center"/>
            <w:hideMark/>
          </w:tcPr>
          <w:p w14:paraId="501C2F47" w14:textId="77777777" w:rsidR="002674CC" w:rsidRPr="002674CC" w:rsidRDefault="002674CC" w:rsidP="002674CC">
            <w:pPr>
              <w:widowControl/>
              <w:autoSpaceDE/>
              <w:autoSpaceDN/>
              <w:adjustRightInd/>
              <w:jc w:val="center"/>
              <w:rPr>
                <w:rFonts w:ascii="Arial" w:hAnsi="Arial" w:cs="Arial"/>
                <w:b/>
                <w:bCs/>
                <w:color w:val="000000"/>
                <w:sz w:val="16"/>
                <w:szCs w:val="16"/>
                <w:lang w:eastAsia="en-CA"/>
              </w:rPr>
            </w:pPr>
          </w:p>
        </w:tc>
        <w:tc>
          <w:tcPr>
            <w:tcW w:w="589" w:type="dxa"/>
            <w:tcBorders>
              <w:top w:val="nil"/>
              <w:left w:val="nil"/>
              <w:bottom w:val="nil"/>
              <w:right w:val="nil"/>
            </w:tcBorders>
            <w:shd w:val="clear" w:color="auto" w:fill="auto"/>
            <w:vAlign w:val="bottom"/>
            <w:hideMark/>
          </w:tcPr>
          <w:p w14:paraId="644E94D3" w14:textId="77777777" w:rsidR="002674CC" w:rsidRPr="002674CC" w:rsidRDefault="002674CC" w:rsidP="002674CC">
            <w:pPr>
              <w:widowControl/>
              <w:autoSpaceDE/>
              <w:autoSpaceDN/>
              <w:adjustRightInd/>
              <w:jc w:val="left"/>
              <w:rPr>
                <w:sz w:val="20"/>
                <w:szCs w:val="20"/>
                <w:lang w:eastAsia="en-CA"/>
              </w:rPr>
            </w:pPr>
          </w:p>
        </w:tc>
        <w:tc>
          <w:tcPr>
            <w:tcW w:w="1267" w:type="dxa"/>
            <w:tcBorders>
              <w:top w:val="nil"/>
              <w:left w:val="nil"/>
              <w:bottom w:val="nil"/>
              <w:right w:val="nil"/>
            </w:tcBorders>
            <w:shd w:val="clear" w:color="auto" w:fill="auto"/>
            <w:vAlign w:val="center"/>
            <w:hideMark/>
          </w:tcPr>
          <w:p w14:paraId="35B06148" w14:textId="77777777" w:rsidR="002674CC" w:rsidRPr="002674CC" w:rsidRDefault="002674CC" w:rsidP="002674CC">
            <w:pPr>
              <w:widowControl/>
              <w:autoSpaceDE/>
              <w:autoSpaceDN/>
              <w:adjustRightInd/>
              <w:jc w:val="left"/>
              <w:rPr>
                <w:sz w:val="20"/>
                <w:szCs w:val="20"/>
                <w:lang w:eastAsia="en-CA"/>
              </w:rPr>
            </w:pPr>
          </w:p>
        </w:tc>
        <w:tc>
          <w:tcPr>
            <w:tcW w:w="288" w:type="dxa"/>
            <w:tcBorders>
              <w:top w:val="nil"/>
              <w:left w:val="nil"/>
              <w:bottom w:val="nil"/>
              <w:right w:val="nil"/>
            </w:tcBorders>
            <w:shd w:val="clear" w:color="auto" w:fill="auto"/>
            <w:vAlign w:val="center"/>
            <w:hideMark/>
          </w:tcPr>
          <w:p w14:paraId="4A90DFF2" w14:textId="77777777" w:rsidR="002674CC" w:rsidRPr="002674CC" w:rsidRDefault="002674CC" w:rsidP="002674CC">
            <w:pPr>
              <w:widowControl/>
              <w:autoSpaceDE/>
              <w:autoSpaceDN/>
              <w:adjustRightInd/>
              <w:jc w:val="left"/>
              <w:rPr>
                <w:sz w:val="20"/>
                <w:szCs w:val="20"/>
                <w:lang w:eastAsia="en-CA"/>
              </w:rPr>
            </w:pPr>
          </w:p>
        </w:tc>
        <w:tc>
          <w:tcPr>
            <w:tcW w:w="1264" w:type="dxa"/>
            <w:tcBorders>
              <w:top w:val="nil"/>
              <w:left w:val="nil"/>
              <w:bottom w:val="nil"/>
              <w:right w:val="nil"/>
            </w:tcBorders>
            <w:shd w:val="clear" w:color="auto" w:fill="auto"/>
            <w:vAlign w:val="center"/>
            <w:hideMark/>
          </w:tcPr>
          <w:p w14:paraId="32EC2A1F" w14:textId="77777777" w:rsidR="002674CC" w:rsidRPr="002674CC" w:rsidRDefault="002674CC" w:rsidP="002674CC">
            <w:pPr>
              <w:widowControl/>
              <w:autoSpaceDE/>
              <w:autoSpaceDN/>
              <w:adjustRightInd/>
              <w:jc w:val="center"/>
              <w:rPr>
                <w:sz w:val="20"/>
                <w:szCs w:val="20"/>
                <w:lang w:eastAsia="en-CA"/>
              </w:rPr>
            </w:pPr>
          </w:p>
        </w:tc>
        <w:tc>
          <w:tcPr>
            <w:tcW w:w="288" w:type="dxa"/>
            <w:tcBorders>
              <w:top w:val="nil"/>
              <w:left w:val="nil"/>
              <w:bottom w:val="nil"/>
              <w:right w:val="nil"/>
            </w:tcBorders>
            <w:shd w:val="clear" w:color="auto" w:fill="auto"/>
            <w:vAlign w:val="center"/>
            <w:hideMark/>
          </w:tcPr>
          <w:p w14:paraId="2918AD9F" w14:textId="77777777" w:rsidR="002674CC" w:rsidRPr="002674CC" w:rsidRDefault="002674CC" w:rsidP="002674CC">
            <w:pPr>
              <w:widowControl/>
              <w:autoSpaceDE/>
              <w:autoSpaceDN/>
              <w:adjustRightInd/>
              <w:jc w:val="center"/>
              <w:rPr>
                <w:sz w:val="20"/>
                <w:szCs w:val="20"/>
                <w:lang w:eastAsia="en-CA"/>
              </w:rPr>
            </w:pPr>
          </w:p>
        </w:tc>
        <w:tc>
          <w:tcPr>
            <w:tcW w:w="1112" w:type="dxa"/>
            <w:tcBorders>
              <w:top w:val="nil"/>
              <w:left w:val="nil"/>
              <w:bottom w:val="nil"/>
              <w:right w:val="nil"/>
            </w:tcBorders>
            <w:shd w:val="clear" w:color="auto" w:fill="auto"/>
            <w:vAlign w:val="center"/>
            <w:hideMark/>
          </w:tcPr>
          <w:p w14:paraId="32C975BE" w14:textId="77777777" w:rsidR="002674CC" w:rsidRPr="002674CC" w:rsidRDefault="002674CC" w:rsidP="002674CC">
            <w:pPr>
              <w:widowControl/>
              <w:autoSpaceDE/>
              <w:autoSpaceDN/>
              <w:adjustRightInd/>
              <w:jc w:val="center"/>
              <w:rPr>
                <w:sz w:val="20"/>
                <w:szCs w:val="20"/>
                <w:lang w:eastAsia="en-CA"/>
              </w:rPr>
            </w:pPr>
          </w:p>
        </w:tc>
        <w:tc>
          <w:tcPr>
            <w:tcW w:w="314" w:type="dxa"/>
            <w:tcBorders>
              <w:top w:val="nil"/>
              <w:left w:val="nil"/>
              <w:bottom w:val="nil"/>
              <w:right w:val="nil"/>
            </w:tcBorders>
            <w:shd w:val="clear" w:color="auto" w:fill="auto"/>
            <w:vAlign w:val="center"/>
            <w:hideMark/>
          </w:tcPr>
          <w:p w14:paraId="75B6D0B6" w14:textId="77777777" w:rsidR="002674CC" w:rsidRPr="002674CC" w:rsidRDefault="002674CC" w:rsidP="002674CC">
            <w:pPr>
              <w:widowControl/>
              <w:autoSpaceDE/>
              <w:autoSpaceDN/>
              <w:adjustRightInd/>
              <w:jc w:val="center"/>
              <w:rPr>
                <w:sz w:val="20"/>
                <w:szCs w:val="20"/>
                <w:lang w:eastAsia="en-CA"/>
              </w:rPr>
            </w:pPr>
          </w:p>
        </w:tc>
        <w:tc>
          <w:tcPr>
            <w:tcW w:w="1077" w:type="dxa"/>
            <w:tcBorders>
              <w:top w:val="nil"/>
              <w:left w:val="nil"/>
              <w:bottom w:val="nil"/>
              <w:right w:val="nil"/>
            </w:tcBorders>
            <w:shd w:val="clear" w:color="auto" w:fill="auto"/>
            <w:vAlign w:val="center"/>
            <w:hideMark/>
          </w:tcPr>
          <w:p w14:paraId="0171DC65" w14:textId="77777777" w:rsidR="002674CC" w:rsidRPr="002674CC" w:rsidRDefault="002674CC" w:rsidP="002674CC">
            <w:pPr>
              <w:widowControl/>
              <w:autoSpaceDE/>
              <w:autoSpaceDN/>
              <w:adjustRightInd/>
              <w:jc w:val="center"/>
              <w:rPr>
                <w:sz w:val="20"/>
                <w:szCs w:val="20"/>
                <w:lang w:eastAsia="en-CA"/>
              </w:rPr>
            </w:pPr>
          </w:p>
        </w:tc>
        <w:tc>
          <w:tcPr>
            <w:tcW w:w="314" w:type="dxa"/>
            <w:tcBorders>
              <w:top w:val="nil"/>
              <w:left w:val="nil"/>
              <w:bottom w:val="nil"/>
              <w:right w:val="nil"/>
            </w:tcBorders>
            <w:shd w:val="clear" w:color="auto" w:fill="auto"/>
            <w:vAlign w:val="center"/>
            <w:hideMark/>
          </w:tcPr>
          <w:p w14:paraId="0820AEFD" w14:textId="77777777" w:rsidR="002674CC" w:rsidRPr="002674CC" w:rsidRDefault="002674CC" w:rsidP="002674CC">
            <w:pPr>
              <w:widowControl/>
              <w:autoSpaceDE/>
              <w:autoSpaceDN/>
              <w:adjustRightInd/>
              <w:jc w:val="left"/>
              <w:rPr>
                <w:sz w:val="20"/>
                <w:szCs w:val="20"/>
                <w:lang w:eastAsia="en-CA"/>
              </w:rPr>
            </w:pPr>
          </w:p>
        </w:tc>
        <w:tc>
          <w:tcPr>
            <w:tcW w:w="956" w:type="dxa"/>
            <w:tcBorders>
              <w:top w:val="nil"/>
              <w:left w:val="nil"/>
              <w:bottom w:val="nil"/>
              <w:right w:val="nil"/>
            </w:tcBorders>
            <w:shd w:val="clear" w:color="auto" w:fill="auto"/>
            <w:vAlign w:val="center"/>
            <w:hideMark/>
          </w:tcPr>
          <w:p w14:paraId="68E5DE66"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5591E720" w14:textId="77777777" w:rsidR="002674CC" w:rsidRPr="002674CC" w:rsidRDefault="002674CC" w:rsidP="002674CC">
            <w:pPr>
              <w:widowControl/>
              <w:autoSpaceDE/>
              <w:autoSpaceDN/>
              <w:adjustRightInd/>
              <w:jc w:val="left"/>
              <w:rPr>
                <w:sz w:val="20"/>
                <w:szCs w:val="20"/>
                <w:lang w:eastAsia="en-CA"/>
              </w:rPr>
            </w:pPr>
          </w:p>
        </w:tc>
        <w:tc>
          <w:tcPr>
            <w:tcW w:w="1066" w:type="dxa"/>
            <w:tcBorders>
              <w:top w:val="nil"/>
              <w:left w:val="nil"/>
              <w:bottom w:val="nil"/>
              <w:right w:val="nil"/>
            </w:tcBorders>
            <w:shd w:val="clear" w:color="auto" w:fill="auto"/>
            <w:vAlign w:val="center"/>
            <w:hideMark/>
          </w:tcPr>
          <w:p w14:paraId="595CA6B7" w14:textId="77777777" w:rsidR="002674CC" w:rsidRPr="002674CC" w:rsidRDefault="002674CC" w:rsidP="002674CC">
            <w:pPr>
              <w:widowControl/>
              <w:autoSpaceDE/>
              <w:autoSpaceDN/>
              <w:adjustRightInd/>
              <w:jc w:val="left"/>
              <w:rPr>
                <w:sz w:val="20"/>
                <w:szCs w:val="20"/>
                <w:lang w:eastAsia="en-CA"/>
              </w:rPr>
            </w:pPr>
          </w:p>
        </w:tc>
        <w:tc>
          <w:tcPr>
            <w:tcW w:w="314" w:type="dxa"/>
            <w:tcBorders>
              <w:top w:val="nil"/>
              <w:left w:val="nil"/>
              <w:bottom w:val="nil"/>
              <w:right w:val="nil"/>
            </w:tcBorders>
            <w:shd w:val="clear" w:color="auto" w:fill="auto"/>
            <w:vAlign w:val="center"/>
            <w:hideMark/>
          </w:tcPr>
          <w:p w14:paraId="5274B07E" w14:textId="77777777" w:rsidR="002674CC" w:rsidRPr="002674CC" w:rsidRDefault="002674CC" w:rsidP="002674CC">
            <w:pPr>
              <w:widowControl/>
              <w:autoSpaceDE/>
              <w:autoSpaceDN/>
              <w:adjustRightInd/>
              <w:jc w:val="left"/>
              <w:rPr>
                <w:sz w:val="20"/>
                <w:szCs w:val="20"/>
                <w:lang w:eastAsia="en-CA"/>
              </w:rPr>
            </w:pPr>
          </w:p>
        </w:tc>
        <w:tc>
          <w:tcPr>
            <w:tcW w:w="1468" w:type="dxa"/>
            <w:tcBorders>
              <w:top w:val="nil"/>
              <w:left w:val="nil"/>
              <w:bottom w:val="nil"/>
              <w:right w:val="nil"/>
            </w:tcBorders>
            <w:shd w:val="clear" w:color="auto" w:fill="auto"/>
            <w:vAlign w:val="center"/>
            <w:hideMark/>
          </w:tcPr>
          <w:p w14:paraId="61A3AED5" w14:textId="77777777" w:rsidR="002674CC" w:rsidRPr="002674CC" w:rsidRDefault="002674CC" w:rsidP="002674CC">
            <w:pPr>
              <w:widowControl/>
              <w:autoSpaceDE/>
              <w:autoSpaceDN/>
              <w:adjustRightInd/>
              <w:jc w:val="center"/>
              <w:rPr>
                <w:sz w:val="20"/>
                <w:szCs w:val="20"/>
                <w:lang w:eastAsia="en-CA"/>
              </w:rPr>
            </w:pPr>
          </w:p>
        </w:tc>
        <w:tc>
          <w:tcPr>
            <w:tcW w:w="236" w:type="dxa"/>
            <w:tcBorders>
              <w:top w:val="nil"/>
              <w:left w:val="nil"/>
              <w:bottom w:val="nil"/>
              <w:right w:val="nil"/>
            </w:tcBorders>
            <w:shd w:val="clear" w:color="auto" w:fill="auto"/>
            <w:vAlign w:val="center"/>
            <w:hideMark/>
          </w:tcPr>
          <w:p w14:paraId="5F771225" w14:textId="77777777" w:rsidR="002674CC" w:rsidRPr="002674CC" w:rsidRDefault="002674CC" w:rsidP="002674CC">
            <w:pPr>
              <w:widowControl/>
              <w:autoSpaceDE/>
              <w:autoSpaceDN/>
              <w:adjustRightInd/>
              <w:jc w:val="center"/>
              <w:rPr>
                <w:sz w:val="20"/>
                <w:szCs w:val="20"/>
                <w:lang w:eastAsia="en-CA"/>
              </w:rPr>
            </w:pPr>
          </w:p>
        </w:tc>
        <w:tc>
          <w:tcPr>
            <w:tcW w:w="1066" w:type="dxa"/>
            <w:tcBorders>
              <w:top w:val="nil"/>
              <w:left w:val="nil"/>
              <w:bottom w:val="nil"/>
              <w:right w:val="nil"/>
            </w:tcBorders>
            <w:shd w:val="clear" w:color="auto" w:fill="auto"/>
            <w:vAlign w:val="center"/>
            <w:hideMark/>
          </w:tcPr>
          <w:p w14:paraId="75FFFD70" w14:textId="77777777" w:rsidR="002674CC" w:rsidRPr="002674CC" w:rsidRDefault="002674CC" w:rsidP="002674CC">
            <w:pPr>
              <w:widowControl/>
              <w:autoSpaceDE/>
              <w:autoSpaceDN/>
              <w:adjustRightInd/>
              <w:jc w:val="center"/>
              <w:rPr>
                <w:sz w:val="20"/>
                <w:szCs w:val="20"/>
                <w:lang w:eastAsia="en-CA"/>
              </w:rPr>
            </w:pPr>
          </w:p>
        </w:tc>
      </w:tr>
      <w:tr w:rsidR="002674CC" w:rsidRPr="002674CC" w14:paraId="3D76F182" w14:textId="77777777" w:rsidTr="001D2E70">
        <w:trPr>
          <w:trHeight w:val="229"/>
        </w:trPr>
        <w:tc>
          <w:tcPr>
            <w:tcW w:w="2410" w:type="dxa"/>
            <w:tcBorders>
              <w:top w:val="nil"/>
              <w:left w:val="nil"/>
              <w:bottom w:val="nil"/>
              <w:right w:val="nil"/>
            </w:tcBorders>
            <w:shd w:val="clear" w:color="auto" w:fill="auto"/>
            <w:noWrap/>
            <w:vAlign w:val="bottom"/>
            <w:hideMark/>
          </w:tcPr>
          <w:p w14:paraId="4823C1D1"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r w:rsidRPr="002674CC">
              <w:rPr>
                <w:rFonts w:ascii="Arial" w:hAnsi="Arial" w:cs="Arial"/>
                <w:b/>
                <w:bCs/>
                <w:color w:val="000000"/>
                <w:sz w:val="16"/>
                <w:szCs w:val="16"/>
                <w:lang w:eastAsia="en-CA"/>
              </w:rPr>
              <w:t>Balance, December 31, 2019</w:t>
            </w:r>
          </w:p>
        </w:tc>
        <w:tc>
          <w:tcPr>
            <w:tcW w:w="589" w:type="dxa"/>
            <w:tcBorders>
              <w:top w:val="nil"/>
              <w:left w:val="nil"/>
              <w:bottom w:val="nil"/>
              <w:right w:val="nil"/>
            </w:tcBorders>
            <w:shd w:val="clear" w:color="auto" w:fill="auto"/>
            <w:vAlign w:val="bottom"/>
            <w:hideMark/>
          </w:tcPr>
          <w:p w14:paraId="1ECF3E47"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p>
        </w:tc>
        <w:tc>
          <w:tcPr>
            <w:tcW w:w="1267" w:type="dxa"/>
            <w:tcBorders>
              <w:top w:val="nil"/>
              <w:left w:val="nil"/>
              <w:bottom w:val="nil"/>
              <w:right w:val="nil"/>
            </w:tcBorders>
            <w:shd w:val="clear" w:color="auto" w:fill="auto"/>
            <w:noWrap/>
            <w:vAlign w:val="bottom"/>
            <w:hideMark/>
          </w:tcPr>
          <w:p w14:paraId="0F94EAFC" w14:textId="693889F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10,000,000 </w:t>
            </w:r>
          </w:p>
        </w:tc>
        <w:tc>
          <w:tcPr>
            <w:tcW w:w="288" w:type="dxa"/>
            <w:tcBorders>
              <w:top w:val="nil"/>
              <w:left w:val="nil"/>
              <w:bottom w:val="nil"/>
              <w:right w:val="nil"/>
            </w:tcBorders>
            <w:shd w:val="clear" w:color="auto" w:fill="auto"/>
            <w:noWrap/>
            <w:vAlign w:val="bottom"/>
            <w:hideMark/>
          </w:tcPr>
          <w:p w14:paraId="5F077A1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3CE2EB0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685FCB0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3DFDAB8E"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47AB4DC3" w14:textId="1BF22D33" w:rsidR="002674CC" w:rsidRPr="002674CC" w:rsidRDefault="002674CC" w:rsidP="002674CC">
            <w:pPr>
              <w:widowControl/>
              <w:autoSpaceDE/>
              <w:autoSpaceDN/>
              <w:adjustRightInd/>
              <w:jc w:val="right"/>
              <w:rPr>
                <w:rFonts w:ascii="Arial" w:hAnsi="Arial" w:cs="Arial"/>
                <w:color w:val="000000"/>
                <w:sz w:val="16"/>
                <w:szCs w:val="16"/>
                <w:lang w:eastAsia="en-CA"/>
              </w:rPr>
            </w:pPr>
            <w:r>
              <w:rPr>
                <w:rFonts w:ascii="Arial" w:hAnsi="Arial" w:cs="Arial"/>
                <w:color w:val="000000"/>
                <w:sz w:val="16"/>
                <w:szCs w:val="16"/>
                <w:lang w:eastAsia="en-CA"/>
              </w:rPr>
              <w:t>$</w:t>
            </w:r>
            <w:r w:rsidRPr="002674CC">
              <w:rPr>
                <w:rFonts w:ascii="Arial" w:hAnsi="Arial" w:cs="Arial"/>
                <w:color w:val="000000"/>
                <w:sz w:val="16"/>
                <w:szCs w:val="16"/>
                <w:lang w:eastAsia="en-CA"/>
              </w:rPr>
              <w:t xml:space="preserve"> </w:t>
            </w:r>
          </w:p>
        </w:tc>
        <w:tc>
          <w:tcPr>
            <w:tcW w:w="1077" w:type="dxa"/>
            <w:tcBorders>
              <w:top w:val="nil"/>
              <w:left w:val="nil"/>
              <w:bottom w:val="nil"/>
              <w:right w:val="nil"/>
            </w:tcBorders>
            <w:shd w:val="clear" w:color="auto" w:fill="auto"/>
            <w:noWrap/>
            <w:vAlign w:val="bottom"/>
            <w:hideMark/>
          </w:tcPr>
          <w:p w14:paraId="11D31041" w14:textId="34BCB3DA"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100 </w:t>
            </w:r>
          </w:p>
        </w:tc>
        <w:tc>
          <w:tcPr>
            <w:tcW w:w="314" w:type="dxa"/>
            <w:tcBorders>
              <w:top w:val="nil"/>
              <w:left w:val="nil"/>
              <w:bottom w:val="nil"/>
              <w:right w:val="nil"/>
            </w:tcBorders>
            <w:shd w:val="clear" w:color="auto" w:fill="auto"/>
            <w:noWrap/>
            <w:vAlign w:val="bottom"/>
            <w:hideMark/>
          </w:tcPr>
          <w:p w14:paraId="69233BFE" w14:textId="5182A9BE"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956" w:type="dxa"/>
            <w:tcBorders>
              <w:top w:val="nil"/>
              <w:left w:val="nil"/>
              <w:bottom w:val="nil"/>
              <w:right w:val="nil"/>
            </w:tcBorders>
            <w:shd w:val="clear" w:color="auto" w:fill="auto"/>
            <w:noWrap/>
            <w:vAlign w:val="bottom"/>
            <w:hideMark/>
          </w:tcPr>
          <w:p w14:paraId="07C169D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2205825F" w14:textId="10E63EB5"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1066" w:type="dxa"/>
            <w:tcBorders>
              <w:top w:val="nil"/>
              <w:left w:val="nil"/>
              <w:bottom w:val="nil"/>
              <w:right w:val="nil"/>
            </w:tcBorders>
            <w:shd w:val="clear" w:color="auto" w:fill="auto"/>
            <w:noWrap/>
            <w:vAlign w:val="bottom"/>
            <w:hideMark/>
          </w:tcPr>
          <w:p w14:paraId="48672B43" w14:textId="6A05908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(210,143)</w:t>
            </w:r>
          </w:p>
        </w:tc>
        <w:tc>
          <w:tcPr>
            <w:tcW w:w="314" w:type="dxa"/>
            <w:tcBorders>
              <w:top w:val="nil"/>
              <w:left w:val="nil"/>
              <w:bottom w:val="nil"/>
              <w:right w:val="nil"/>
            </w:tcBorders>
            <w:shd w:val="clear" w:color="auto" w:fill="auto"/>
            <w:noWrap/>
            <w:vAlign w:val="bottom"/>
            <w:hideMark/>
          </w:tcPr>
          <w:p w14:paraId="38F37E62" w14:textId="6C007241"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1468" w:type="dxa"/>
            <w:tcBorders>
              <w:top w:val="nil"/>
              <w:left w:val="nil"/>
              <w:bottom w:val="nil"/>
              <w:right w:val="nil"/>
            </w:tcBorders>
            <w:shd w:val="clear" w:color="auto" w:fill="auto"/>
            <w:noWrap/>
            <w:vAlign w:val="bottom"/>
            <w:hideMark/>
          </w:tcPr>
          <w:p w14:paraId="704455A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089708FE" w14:textId="37931615" w:rsidR="002674CC" w:rsidRPr="002674CC" w:rsidRDefault="00EB16F3" w:rsidP="002674CC">
            <w:pPr>
              <w:widowControl/>
              <w:autoSpaceDE/>
              <w:autoSpaceDN/>
              <w:adjustRightInd/>
              <w:jc w:val="right"/>
              <w:rPr>
                <w:rFonts w:ascii="Arial" w:hAnsi="Arial" w:cs="Arial"/>
                <w:color w:val="000000"/>
                <w:sz w:val="16"/>
                <w:szCs w:val="16"/>
                <w:lang w:eastAsia="en-CA"/>
              </w:rPr>
            </w:pPr>
            <w:r>
              <w:rPr>
                <w:rFonts w:ascii="Arial" w:hAnsi="Arial" w:cs="Arial"/>
                <w:color w:val="000000"/>
                <w:sz w:val="16"/>
                <w:szCs w:val="16"/>
                <w:lang w:eastAsia="en-CA"/>
              </w:rPr>
              <w:t>$</w:t>
            </w:r>
          </w:p>
        </w:tc>
        <w:tc>
          <w:tcPr>
            <w:tcW w:w="1066" w:type="dxa"/>
            <w:tcBorders>
              <w:top w:val="nil"/>
              <w:left w:val="nil"/>
              <w:bottom w:val="nil"/>
              <w:right w:val="nil"/>
            </w:tcBorders>
            <w:shd w:val="clear" w:color="auto" w:fill="auto"/>
            <w:noWrap/>
            <w:vAlign w:val="bottom"/>
            <w:hideMark/>
          </w:tcPr>
          <w:p w14:paraId="2540AE9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(210,043)</w:t>
            </w:r>
          </w:p>
        </w:tc>
      </w:tr>
      <w:tr w:rsidR="002674CC" w:rsidRPr="002674CC" w14:paraId="3D446BE4" w14:textId="77777777" w:rsidTr="001D2E70">
        <w:trPr>
          <w:trHeight w:val="229"/>
        </w:trPr>
        <w:tc>
          <w:tcPr>
            <w:tcW w:w="2410" w:type="dxa"/>
            <w:tcBorders>
              <w:top w:val="nil"/>
              <w:left w:val="nil"/>
              <w:bottom w:val="single" w:sz="4" w:space="0" w:color="auto"/>
              <w:right w:val="nil"/>
            </w:tcBorders>
            <w:shd w:val="clear" w:color="auto" w:fill="auto"/>
            <w:noWrap/>
            <w:vAlign w:val="bottom"/>
            <w:hideMark/>
          </w:tcPr>
          <w:p w14:paraId="171BDE79"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Net loss for the period</w:t>
            </w:r>
          </w:p>
        </w:tc>
        <w:tc>
          <w:tcPr>
            <w:tcW w:w="589" w:type="dxa"/>
            <w:tcBorders>
              <w:top w:val="nil"/>
              <w:left w:val="nil"/>
              <w:bottom w:val="single" w:sz="4" w:space="0" w:color="auto"/>
              <w:right w:val="nil"/>
            </w:tcBorders>
            <w:shd w:val="clear" w:color="auto" w:fill="auto"/>
            <w:vAlign w:val="bottom"/>
            <w:hideMark/>
          </w:tcPr>
          <w:p w14:paraId="23327E0F"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7" w:type="dxa"/>
            <w:tcBorders>
              <w:top w:val="nil"/>
              <w:left w:val="nil"/>
              <w:bottom w:val="single" w:sz="4" w:space="0" w:color="auto"/>
              <w:right w:val="nil"/>
            </w:tcBorders>
            <w:shd w:val="clear" w:color="auto" w:fill="auto"/>
            <w:noWrap/>
            <w:vAlign w:val="bottom"/>
            <w:hideMark/>
          </w:tcPr>
          <w:p w14:paraId="631ABE7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single" w:sz="4" w:space="0" w:color="auto"/>
              <w:right w:val="nil"/>
            </w:tcBorders>
            <w:shd w:val="clear" w:color="auto" w:fill="auto"/>
            <w:noWrap/>
            <w:vAlign w:val="bottom"/>
            <w:hideMark/>
          </w:tcPr>
          <w:p w14:paraId="1409E434"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4" w:type="dxa"/>
            <w:tcBorders>
              <w:top w:val="nil"/>
              <w:left w:val="nil"/>
              <w:bottom w:val="single" w:sz="4" w:space="0" w:color="auto"/>
              <w:right w:val="nil"/>
            </w:tcBorders>
            <w:shd w:val="clear" w:color="auto" w:fill="auto"/>
            <w:noWrap/>
            <w:vAlign w:val="bottom"/>
            <w:hideMark/>
          </w:tcPr>
          <w:p w14:paraId="5A8453D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single" w:sz="4" w:space="0" w:color="auto"/>
              <w:right w:val="nil"/>
            </w:tcBorders>
            <w:shd w:val="clear" w:color="auto" w:fill="auto"/>
            <w:noWrap/>
            <w:vAlign w:val="bottom"/>
            <w:hideMark/>
          </w:tcPr>
          <w:p w14:paraId="21922F3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112" w:type="dxa"/>
            <w:tcBorders>
              <w:top w:val="nil"/>
              <w:left w:val="nil"/>
              <w:bottom w:val="single" w:sz="4" w:space="0" w:color="auto"/>
              <w:right w:val="nil"/>
            </w:tcBorders>
            <w:shd w:val="clear" w:color="auto" w:fill="auto"/>
            <w:noWrap/>
            <w:vAlign w:val="bottom"/>
            <w:hideMark/>
          </w:tcPr>
          <w:p w14:paraId="002AE47F"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088C8B7F"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77" w:type="dxa"/>
            <w:tcBorders>
              <w:top w:val="nil"/>
              <w:left w:val="nil"/>
              <w:bottom w:val="single" w:sz="4" w:space="0" w:color="auto"/>
              <w:right w:val="nil"/>
            </w:tcBorders>
            <w:shd w:val="clear" w:color="auto" w:fill="auto"/>
            <w:noWrap/>
            <w:vAlign w:val="bottom"/>
            <w:hideMark/>
          </w:tcPr>
          <w:p w14:paraId="12D032D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583A868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956" w:type="dxa"/>
            <w:tcBorders>
              <w:top w:val="nil"/>
              <w:left w:val="nil"/>
              <w:bottom w:val="single" w:sz="4" w:space="0" w:color="auto"/>
              <w:right w:val="nil"/>
            </w:tcBorders>
            <w:shd w:val="clear" w:color="auto" w:fill="auto"/>
            <w:noWrap/>
            <w:vAlign w:val="bottom"/>
            <w:hideMark/>
          </w:tcPr>
          <w:p w14:paraId="584801B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5D766D4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66" w:type="dxa"/>
            <w:tcBorders>
              <w:top w:val="nil"/>
              <w:left w:val="nil"/>
              <w:bottom w:val="single" w:sz="4" w:space="0" w:color="auto"/>
              <w:right w:val="nil"/>
            </w:tcBorders>
            <w:shd w:val="clear" w:color="auto" w:fill="auto"/>
            <w:noWrap/>
            <w:vAlign w:val="bottom"/>
            <w:hideMark/>
          </w:tcPr>
          <w:p w14:paraId="234BCFB5" w14:textId="7286808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(143,174)</w:t>
            </w:r>
          </w:p>
        </w:tc>
        <w:tc>
          <w:tcPr>
            <w:tcW w:w="314" w:type="dxa"/>
            <w:tcBorders>
              <w:top w:val="nil"/>
              <w:left w:val="nil"/>
              <w:bottom w:val="single" w:sz="4" w:space="0" w:color="auto"/>
              <w:right w:val="nil"/>
            </w:tcBorders>
            <w:shd w:val="clear" w:color="auto" w:fill="auto"/>
            <w:noWrap/>
            <w:vAlign w:val="bottom"/>
            <w:hideMark/>
          </w:tcPr>
          <w:p w14:paraId="2E6C171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468" w:type="dxa"/>
            <w:tcBorders>
              <w:top w:val="nil"/>
              <w:left w:val="nil"/>
              <w:bottom w:val="single" w:sz="4" w:space="0" w:color="auto"/>
              <w:right w:val="nil"/>
            </w:tcBorders>
            <w:shd w:val="clear" w:color="auto" w:fill="auto"/>
            <w:noWrap/>
            <w:vAlign w:val="bottom"/>
            <w:hideMark/>
          </w:tcPr>
          <w:p w14:paraId="03BE9A0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single" w:sz="4" w:space="0" w:color="auto"/>
              <w:right w:val="nil"/>
            </w:tcBorders>
            <w:shd w:val="clear" w:color="auto" w:fill="auto"/>
            <w:noWrap/>
            <w:vAlign w:val="bottom"/>
            <w:hideMark/>
          </w:tcPr>
          <w:p w14:paraId="4227119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66" w:type="dxa"/>
            <w:tcBorders>
              <w:top w:val="nil"/>
              <w:left w:val="nil"/>
              <w:bottom w:val="single" w:sz="4" w:space="0" w:color="auto"/>
              <w:right w:val="nil"/>
            </w:tcBorders>
            <w:shd w:val="clear" w:color="auto" w:fill="auto"/>
            <w:noWrap/>
            <w:vAlign w:val="bottom"/>
            <w:hideMark/>
          </w:tcPr>
          <w:p w14:paraId="6FDAF05F" w14:textId="78EBBA3A"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(143,174)</w:t>
            </w:r>
          </w:p>
        </w:tc>
      </w:tr>
      <w:tr w:rsidR="002674CC" w:rsidRPr="002674CC" w14:paraId="51DD166E" w14:textId="77777777" w:rsidTr="001D2E70">
        <w:trPr>
          <w:trHeight w:val="151"/>
        </w:trPr>
        <w:tc>
          <w:tcPr>
            <w:tcW w:w="2410" w:type="dxa"/>
            <w:tcBorders>
              <w:top w:val="nil"/>
              <w:left w:val="nil"/>
              <w:bottom w:val="nil"/>
              <w:right w:val="nil"/>
            </w:tcBorders>
            <w:shd w:val="clear" w:color="auto" w:fill="auto"/>
            <w:noWrap/>
            <w:vAlign w:val="bottom"/>
            <w:hideMark/>
          </w:tcPr>
          <w:p w14:paraId="04EBDB94"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589" w:type="dxa"/>
            <w:tcBorders>
              <w:top w:val="nil"/>
              <w:left w:val="nil"/>
              <w:bottom w:val="nil"/>
              <w:right w:val="nil"/>
            </w:tcBorders>
            <w:shd w:val="clear" w:color="auto" w:fill="auto"/>
            <w:vAlign w:val="bottom"/>
            <w:hideMark/>
          </w:tcPr>
          <w:p w14:paraId="675376C2" w14:textId="77777777" w:rsidR="002674CC" w:rsidRPr="002674CC" w:rsidRDefault="002674CC" w:rsidP="002674CC">
            <w:pPr>
              <w:widowControl/>
              <w:autoSpaceDE/>
              <w:autoSpaceDN/>
              <w:adjustRightInd/>
              <w:jc w:val="left"/>
              <w:rPr>
                <w:sz w:val="20"/>
                <w:szCs w:val="20"/>
                <w:lang w:eastAsia="en-CA"/>
              </w:rPr>
            </w:pPr>
          </w:p>
        </w:tc>
        <w:tc>
          <w:tcPr>
            <w:tcW w:w="1267" w:type="dxa"/>
            <w:tcBorders>
              <w:top w:val="nil"/>
              <w:left w:val="nil"/>
              <w:bottom w:val="nil"/>
              <w:right w:val="nil"/>
            </w:tcBorders>
            <w:shd w:val="clear" w:color="auto" w:fill="auto"/>
            <w:noWrap/>
            <w:vAlign w:val="bottom"/>
            <w:hideMark/>
          </w:tcPr>
          <w:p w14:paraId="07FFE0F3" w14:textId="77777777" w:rsidR="002674CC" w:rsidRPr="002674CC" w:rsidRDefault="002674CC" w:rsidP="002674CC">
            <w:pPr>
              <w:widowControl/>
              <w:autoSpaceDE/>
              <w:autoSpaceDN/>
              <w:adjustRightInd/>
              <w:jc w:val="right"/>
              <w:rPr>
                <w:sz w:val="20"/>
                <w:szCs w:val="20"/>
                <w:lang w:eastAsia="en-CA"/>
              </w:rPr>
            </w:pPr>
          </w:p>
        </w:tc>
        <w:tc>
          <w:tcPr>
            <w:tcW w:w="288" w:type="dxa"/>
            <w:tcBorders>
              <w:top w:val="nil"/>
              <w:left w:val="nil"/>
              <w:bottom w:val="nil"/>
              <w:right w:val="nil"/>
            </w:tcBorders>
            <w:shd w:val="clear" w:color="auto" w:fill="auto"/>
            <w:noWrap/>
            <w:vAlign w:val="bottom"/>
            <w:hideMark/>
          </w:tcPr>
          <w:p w14:paraId="7E65700A" w14:textId="77777777" w:rsidR="002674CC" w:rsidRPr="002674CC" w:rsidRDefault="002674CC" w:rsidP="002674CC">
            <w:pPr>
              <w:widowControl/>
              <w:autoSpaceDE/>
              <w:autoSpaceDN/>
              <w:adjustRightInd/>
              <w:jc w:val="left"/>
              <w:rPr>
                <w:sz w:val="20"/>
                <w:szCs w:val="20"/>
                <w:lang w:eastAsia="en-CA"/>
              </w:rPr>
            </w:pPr>
          </w:p>
        </w:tc>
        <w:tc>
          <w:tcPr>
            <w:tcW w:w="1264" w:type="dxa"/>
            <w:tcBorders>
              <w:top w:val="nil"/>
              <w:left w:val="nil"/>
              <w:bottom w:val="nil"/>
              <w:right w:val="nil"/>
            </w:tcBorders>
            <w:shd w:val="clear" w:color="auto" w:fill="auto"/>
            <w:noWrap/>
            <w:vAlign w:val="bottom"/>
            <w:hideMark/>
          </w:tcPr>
          <w:p w14:paraId="14881E74" w14:textId="77777777" w:rsidR="002674CC" w:rsidRPr="002674CC" w:rsidRDefault="002674CC" w:rsidP="002674CC">
            <w:pPr>
              <w:widowControl/>
              <w:autoSpaceDE/>
              <w:autoSpaceDN/>
              <w:adjustRightInd/>
              <w:jc w:val="right"/>
              <w:rPr>
                <w:sz w:val="20"/>
                <w:szCs w:val="20"/>
                <w:lang w:eastAsia="en-CA"/>
              </w:rPr>
            </w:pPr>
          </w:p>
        </w:tc>
        <w:tc>
          <w:tcPr>
            <w:tcW w:w="288" w:type="dxa"/>
            <w:tcBorders>
              <w:top w:val="nil"/>
              <w:left w:val="nil"/>
              <w:bottom w:val="nil"/>
              <w:right w:val="nil"/>
            </w:tcBorders>
            <w:shd w:val="clear" w:color="auto" w:fill="auto"/>
            <w:noWrap/>
            <w:vAlign w:val="bottom"/>
            <w:hideMark/>
          </w:tcPr>
          <w:p w14:paraId="4505147E" w14:textId="77777777" w:rsidR="002674CC" w:rsidRPr="002674CC" w:rsidRDefault="002674CC" w:rsidP="002674CC">
            <w:pPr>
              <w:widowControl/>
              <w:autoSpaceDE/>
              <w:autoSpaceDN/>
              <w:adjustRightInd/>
              <w:jc w:val="right"/>
              <w:rPr>
                <w:sz w:val="20"/>
                <w:szCs w:val="20"/>
                <w:lang w:eastAsia="en-CA"/>
              </w:rPr>
            </w:pPr>
          </w:p>
        </w:tc>
        <w:tc>
          <w:tcPr>
            <w:tcW w:w="1112" w:type="dxa"/>
            <w:tcBorders>
              <w:top w:val="nil"/>
              <w:left w:val="nil"/>
              <w:bottom w:val="nil"/>
              <w:right w:val="nil"/>
            </w:tcBorders>
            <w:shd w:val="clear" w:color="auto" w:fill="auto"/>
            <w:noWrap/>
            <w:vAlign w:val="bottom"/>
            <w:hideMark/>
          </w:tcPr>
          <w:p w14:paraId="6EF00322"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08B515A2" w14:textId="77777777" w:rsidR="002674CC" w:rsidRPr="002674CC" w:rsidRDefault="002674CC" w:rsidP="002674CC">
            <w:pPr>
              <w:widowControl/>
              <w:autoSpaceDE/>
              <w:autoSpaceDN/>
              <w:adjustRightInd/>
              <w:jc w:val="right"/>
              <w:rPr>
                <w:sz w:val="20"/>
                <w:szCs w:val="20"/>
                <w:lang w:eastAsia="en-CA"/>
              </w:rPr>
            </w:pPr>
          </w:p>
        </w:tc>
        <w:tc>
          <w:tcPr>
            <w:tcW w:w="1077" w:type="dxa"/>
            <w:tcBorders>
              <w:top w:val="nil"/>
              <w:left w:val="nil"/>
              <w:bottom w:val="nil"/>
              <w:right w:val="nil"/>
            </w:tcBorders>
            <w:shd w:val="clear" w:color="auto" w:fill="auto"/>
            <w:noWrap/>
            <w:vAlign w:val="bottom"/>
            <w:hideMark/>
          </w:tcPr>
          <w:p w14:paraId="260B9915"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25FC7B12" w14:textId="77777777" w:rsidR="002674CC" w:rsidRPr="002674CC" w:rsidRDefault="002674CC" w:rsidP="002674CC">
            <w:pPr>
              <w:widowControl/>
              <w:autoSpaceDE/>
              <w:autoSpaceDN/>
              <w:adjustRightInd/>
              <w:jc w:val="right"/>
              <w:rPr>
                <w:sz w:val="20"/>
                <w:szCs w:val="20"/>
                <w:lang w:eastAsia="en-CA"/>
              </w:rPr>
            </w:pPr>
          </w:p>
        </w:tc>
        <w:tc>
          <w:tcPr>
            <w:tcW w:w="956" w:type="dxa"/>
            <w:tcBorders>
              <w:top w:val="nil"/>
              <w:left w:val="nil"/>
              <w:bottom w:val="nil"/>
              <w:right w:val="nil"/>
            </w:tcBorders>
            <w:shd w:val="clear" w:color="auto" w:fill="auto"/>
            <w:noWrap/>
            <w:vAlign w:val="bottom"/>
            <w:hideMark/>
          </w:tcPr>
          <w:p w14:paraId="620A1D1B"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390B7E29" w14:textId="77777777" w:rsidR="002674CC" w:rsidRPr="002674CC" w:rsidRDefault="002674CC" w:rsidP="002674CC">
            <w:pPr>
              <w:widowControl/>
              <w:autoSpaceDE/>
              <w:autoSpaceDN/>
              <w:adjustRightInd/>
              <w:jc w:val="right"/>
              <w:rPr>
                <w:sz w:val="20"/>
                <w:szCs w:val="20"/>
                <w:lang w:eastAsia="en-CA"/>
              </w:rPr>
            </w:pPr>
          </w:p>
        </w:tc>
        <w:tc>
          <w:tcPr>
            <w:tcW w:w="1066" w:type="dxa"/>
            <w:tcBorders>
              <w:top w:val="nil"/>
              <w:left w:val="nil"/>
              <w:bottom w:val="nil"/>
              <w:right w:val="nil"/>
            </w:tcBorders>
            <w:shd w:val="clear" w:color="auto" w:fill="auto"/>
            <w:noWrap/>
            <w:vAlign w:val="bottom"/>
            <w:hideMark/>
          </w:tcPr>
          <w:p w14:paraId="08F3AD36"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07489A95" w14:textId="77777777" w:rsidR="002674CC" w:rsidRPr="002674CC" w:rsidRDefault="002674CC" w:rsidP="002674CC">
            <w:pPr>
              <w:widowControl/>
              <w:autoSpaceDE/>
              <w:autoSpaceDN/>
              <w:adjustRightInd/>
              <w:jc w:val="right"/>
              <w:rPr>
                <w:sz w:val="20"/>
                <w:szCs w:val="20"/>
                <w:lang w:eastAsia="en-CA"/>
              </w:rPr>
            </w:pPr>
          </w:p>
        </w:tc>
        <w:tc>
          <w:tcPr>
            <w:tcW w:w="1468" w:type="dxa"/>
            <w:tcBorders>
              <w:top w:val="nil"/>
              <w:left w:val="nil"/>
              <w:bottom w:val="nil"/>
              <w:right w:val="nil"/>
            </w:tcBorders>
            <w:shd w:val="clear" w:color="auto" w:fill="auto"/>
            <w:noWrap/>
            <w:vAlign w:val="bottom"/>
            <w:hideMark/>
          </w:tcPr>
          <w:p w14:paraId="075EEED2" w14:textId="77777777" w:rsidR="002674CC" w:rsidRPr="002674CC" w:rsidRDefault="002674CC" w:rsidP="002674CC">
            <w:pPr>
              <w:widowControl/>
              <w:autoSpaceDE/>
              <w:autoSpaceDN/>
              <w:adjustRightInd/>
              <w:jc w:val="right"/>
              <w:rPr>
                <w:sz w:val="20"/>
                <w:szCs w:val="20"/>
                <w:lang w:eastAsia="en-CA"/>
              </w:rPr>
            </w:pPr>
          </w:p>
        </w:tc>
        <w:tc>
          <w:tcPr>
            <w:tcW w:w="236" w:type="dxa"/>
            <w:tcBorders>
              <w:top w:val="nil"/>
              <w:left w:val="nil"/>
              <w:bottom w:val="nil"/>
              <w:right w:val="nil"/>
            </w:tcBorders>
            <w:shd w:val="clear" w:color="auto" w:fill="auto"/>
            <w:noWrap/>
            <w:vAlign w:val="bottom"/>
            <w:hideMark/>
          </w:tcPr>
          <w:p w14:paraId="5FFC939A" w14:textId="77777777" w:rsidR="002674CC" w:rsidRPr="002674CC" w:rsidRDefault="002674CC" w:rsidP="002674CC">
            <w:pPr>
              <w:widowControl/>
              <w:autoSpaceDE/>
              <w:autoSpaceDN/>
              <w:adjustRightInd/>
              <w:jc w:val="right"/>
              <w:rPr>
                <w:sz w:val="20"/>
                <w:szCs w:val="20"/>
                <w:lang w:eastAsia="en-CA"/>
              </w:rPr>
            </w:pPr>
          </w:p>
        </w:tc>
        <w:tc>
          <w:tcPr>
            <w:tcW w:w="1066" w:type="dxa"/>
            <w:tcBorders>
              <w:top w:val="nil"/>
              <w:left w:val="nil"/>
              <w:bottom w:val="nil"/>
              <w:right w:val="nil"/>
            </w:tcBorders>
            <w:shd w:val="clear" w:color="auto" w:fill="auto"/>
            <w:noWrap/>
            <w:vAlign w:val="bottom"/>
            <w:hideMark/>
          </w:tcPr>
          <w:p w14:paraId="77B76651" w14:textId="77777777" w:rsidR="002674CC" w:rsidRPr="002674CC" w:rsidRDefault="002674CC" w:rsidP="002674CC">
            <w:pPr>
              <w:widowControl/>
              <w:autoSpaceDE/>
              <w:autoSpaceDN/>
              <w:adjustRightInd/>
              <w:jc w:val="right"/>
              <w:rPr>
                <w:sz w:val="20"/>
                <w:szCs w:val="20"/>
                <w:lang w:eastAsia="en-CA"/>
              </w:rPr>
            </w:pPr>
          </w:p>
        </w:tc>
      </w:tr>
      <w:tr w:rsidR="002674CC" w:rsidRPr="002674CC" w14:paraId="47030235" w14:textId="77777777" w:rsidTr="001D2E70">
        <w:trPr>
          <w:trHeight w:val="229"/>
        </w:trPr>
        <w:tc>
          <w:tcPr>
            <w:tcW w:w="2410" w:type="dxa"/>
            <w:tcBorders>
              <w:top w:val="nil"/>
              <w:left w:val="nil"/>
              <w:bottom w:val="single" w:sz="4" w:space="0" w:color="auto"/>
              <w:right w:val="nil"/>
            </w:tcBorders>
            <w:shd w:val="clear" w:color="auto" w:fill="auto"/>
            <w:noWrap/>
            <w:vAlign w:val="bottom"/>
            <w:hideMark/>
          </w:tcPr>
          <w:p w14:paraId="29B24E1B"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r w:rsidRPr="002674CC">
              <w:rPr>
                <w:rFonts w:ascii="Arial" w:hAnsi="Arial" w:cs="Arial"/>
                <w:b/>
                <w:bCs/>
                <w:color w:val="000000"/>
                <w:sz w:val="16"/>
                <w:szCs w:val="16"/>
                <w:lang w:eastAsia="en-CA"/>
              </w:rPr>
              <w:t>Balance, June 30, 2020</w:t>
            </w:r>
          </w:p>
        </w:tc>
        <w:tc>
          <w:tcPr>
            <w:tcW w:w="589" w:type="dxa"/>
            <w:tcBorders>
              <w:top w:val="nil"/>
              <w:left w:val="nil"/>
              <w:bottom w:val="single" w:sz="4" w:space="0" w:color="auto"/>
              <w:right w:val="nil"/>
            </w:tcBorders>
            <w:shd w:val="clear" w:color="auto" w:fill="auto"/>
            <w:vAlign w:val="bottom"/>
            <w:hideMark/>
          </w:tcPr>
          <w:p w14:paraId="386B3AF9"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7" w:type="dxa"/>
            <w:tcBorders>
              <w:top w:val="nil"/>
              <w:left w:val="nil"/>
              <w:bottom w:val="single" w:sz="4" w:space="0" w:color="auto"/>
              <w:right w:val="nil"/>
            </w:tcBorders>
            <w:shd w:val="clear" w:color="auto" w:fill="auto"/>
            <w:noWrap/>
            <w:vAlign w:val="bottom"/>
            <w:hideMark/>
          </w:tcPr>
          <w:p w14:paraId="04C24225" w14:textId="78FA7A24"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10,000,000 </w:t>
            </w:r>
          </w:p>
        </w:tc>
        <w:tc>
          <w:tcPr>
            <w:tcW w:w="288" w:type="dxa"/>
            <w:tcBorders>
              <w:top w:val="nil"/>
              <w:left w:val="nil"/>
              <w:bottom w:val="single" w:sz="4" w:space="0" w:color="auto"/>
              <w:right w:val="nil"/>
            </w:tcBorders>
            <w:shd w:val="clear" w:color="auto" w:fill="auto"/>
            <w:noWrap/>
            <w:vAlign w:val="bottom"/>
            <w:hideMark/>
          </w:tcPr>
          <w:p w14:paraId="2B703732"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4" w:type="dxa"/>
            <w:tcBorders>
              <w:top w:val="nil"/>
              <w:left w:val="nil"/>
              <w:bottom w:val="single" w:sz="4" w:space="0" w:color="auto"/>
              <w:right w:val="nil"/>
            </w:tcBorders>
            <w:shd w:val="clear" w:color="auto" w:fill="auto"/>
            <w:noWrap/>
            <w:vAlign w:val="bottom"/>
            <w:hideMark/>
          </w:tcPr>
          <w:p w14:paraId="0B02440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single" w:sz="4" w:space="0" w:color="auto"/>
              <w:right w:val="nil"/>
            </w:tcBorders>
            <w:shd w:val="clear" w:color="auto" w:fill="auto"/>
            <w:noWrap/>
            <w:vAlign w:val="bottom"/>
            <w:hideMark/>
          </w:tcPr>
          <w:p w14:paraId="70F838E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112" w:type="dxa"/>
            <w:tcBorders>
              <w:top w:val="nil"/>
              <w:left w:val="nil"/>
              <w:bottom w:val="single" w:sz="4" w:space="0" w:color="auto"/>
              <w:right w:val="nil"/>
            </w:tcBorders>
            <w:shd w:val="clear" w:color="auto" w:fill="auto"/>
            <w:noWrap/>
            <w:vAlign w:val="bottom"/>
            <w:hideMark/>
          </w:tcPr>
          <w:p w14:paraId="7DABBB8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4045FA2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77" w:type="dxa"/>
            <w:tcBorders>
              <w:top w:val="nil"/>
              <w:left w:val="nil"/>
              <w:bottom w:val="single" w:sz="4" w:space="0" w:color="auto"/>
              <w:right w:val="nil"/>
            </w:tcBorders>
            <w:shd w:val="clear" w:color="auto" w:fill="auto"/>
            <w:noWrap/>
            <w:vAlign w:val="bottom"/>
            <w:hideMark/>
          </w:tcPr>
          <w:p w14:paraId="579A17A9" w14:textId="464C801F"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100 </w:t>
            </w:r>
          </w:p>
        </w:tc>
        <w:tc>
          <w:tcPr>
            <w:tcW w:w="314" w:type="dxa"/>
            <w:tcBorders>
              <w:top w:val="nil"/>
              <w:left w:val="nil"/>
              <w:bottom w:val="single" w:sz="4" w:space="0" w:color="auto"/>
              <w:right w:val="nil"/>
            </w:tcBorders>
            <w:shd w:val="clear" w:color="auto" w:fill="auto"/>
            <w:noWrap/>
            <w:vAlign w:val="bottom"/>
            <w:hideMark/>
          </w:tcPr>
          <w:p w14:paraId="4D8A8D6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956" w:type="dxa"/>
            <w:tcBorders>
              <w:top w:val="nil"/>
              <w:left w:val="nil"/>
              <w:bottom w:val="single" w:sz="4" w:space="0" w:color="auto"/>
              <w:right w:val="nil"/>
            </w:tcBorders>
            <w:shd w:val="clear" w:color="auto" w:fill="auto"/>
            <w:noWrap/>
            <w:vAlign w:val="bottom"/>
            <w:hideMark/>
          </w:tcPr>
          <w:p w14:paraId="575F8E8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07EC5A7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66" w:type="dxa"/>
            <w:tcBorders>
              <w:top w:val="nil"/>
              <w:left w:val="nil"/>
              <w:bottom w:val="single" w:sz="4" w:space="0" w:color="auto"/>
              <w:right w:val="nil"/>
            </w:tcBorders>
            <w:shd w:val="clear" w:color="auto" w:fill="auto"/>
            <w:noWrap/>
            <w:vAlign w:val="bottom"/>
            <w:hideMark/>
          </w:tcPr>
          <w:p w14:paraId="115662C4" w14:textId="2CFDB40E"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(353,317)</w:t>
            </w:r>
          </w:p>
        </w:tc>
        <w:tc>
          <w:tcPr>
            <w:tcW w:w="314" w:type="dxa"/>
            <w:tcBorders>
              <w:top w:val="nil"/>
              <w:left w:val="nil"/>
              <w:bottom w:val="single" w:sz="4" w:space="0" w:color="auto"/>
              <w:right w:val="nil"/>
            </w:tcBorders>
            <w:shd w:val="clear" w:color="auto" w:fill="auto"/>
            <w:noWrap/>
            <w:vAlign w:val="bottom"/>
            <w:hideMark/>
          </w:tcPr>
          <w:p w14:paraId="3A17B82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468" w:type="dxa"/>
            <w:tcBorders>
              <w:top w:val="nil"/>
              <w:left w:val="nil"/>
              <w:bottom w:val="single" w:sz="4" w:space="0" w:color="auto"/>
              <w:right w:val="nil"/>
            </w:tcBorders>
            <w:shd w:val="clear" w:color="auto" w:fill="auto"/>
            <w:noWrap/>
            <w:vAlign w:val="bottom"/>
            <w:hideMark/>
          </w:tcPr>
          <w:p w14:paraId="3B002D1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single" w:sz="4" w:space="0" w:color="auto"/>
              <w:right w:val="nil"/>
            </w:tcBorders>
            <w:shd w:val="clear" w:color="auto" w:fill="auto"/>
            <w:noWrap/>
            <w:vAlign w:val="bottom"/>
            <w:hideMark/>
          </w:tcPr>
          <w:p w14:paraId="10CEE0C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66" w:type="dxa"/>
            <w:tcBorders>
              <w:top w:val="nil"/>
              <w:left w:val="nil"/>
              <w:bottom w:val="single" w:sz="4" w:space="0" w:color="auto"/>
              <w:right w:val="nil"/>
            </w:tcBorders>
            <w:shd w:val="clear" w:color="auto" w:fill="auto"/>
            <w:noWrap/>
            <w:vAlign w:val="bottom"/>
            <w:hideMark/>
          </w:tcPr>
          <w:p w14:paraId="6B917A0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(353,217)</w:t>
            </w:r>
          </w:p>
        </w:tc>
      </w:tr>
      <w:tr w:rsidR="002674CC" w:rsidRPr="002674CC" w14:paraId="0821CD45" w14:textId="77777777" w:rsidTr="001D2E70">
        <w:trPr>
          <w:trHeight w:val="151"/>
        </w:trPr>
        <w:tc>
          <w:tcPr>
            <w:tcW w:w="2410" w:type="dxa"/>
            <w:tcBorders>
              <w:top w:val="nil"/>
              <w:left w:val="nil"/>
              <w:bottom w:val="nil"/>
              <w:right w:val="nil"/>
            </w:tcBorders>
            <w:shd w:val="clear" w:color="auto" w:fill="auto"/>
            <w:noWrap/>
            <w:vAlign w:val="bottom"/>
            <w:hideMark/>
          </w:tcPr>
          <w:p w14:paraId="597896C6"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589" w:type="dxa"/>
            <w:tcBorders>
              <w:top w:val="nil"/>
              <w:left w:val="nil"/>
              <w:bottom w:val="nil"/>
              <w:right w:val="nil"/>
            </w:tcBorders>
            <w:shd w:val="clear" w:color="auto" w:fill="auto"/>
            <w:vAlign w:val="bottom"/>
            <w:hideMark/>
          </w:tcPr>
          <w:p w14:paraId="023D1CE0" w14:textId="77777777" w:rsidR="002674CC" w:rsidRPr="002674CC" w:rsidRDefault="002674CC" w:rsidP="002674CC">
            <w:pPr>
              <w:widowControl/>
              <w:autoSpaceDE/>
              <w:autoSpaceDN/>
              <w:adjustRightInd/>
              <w:jc w:val="left"/>
              <w:rPr>
                <w:sz w:val="20"/>
                <w:szCs w:val="20"/>
                <w:lang w:eastAsia="en-CA"/>
              </w:rPr>
            </w:pPr>
          </w:p>
        </w:tc>
        <w:tc>
          <w:tcPr>
            <w:tcW w:w="1267" w:type="dxa"/>
            <w:tcBorders>
              <w:top w:val="nil"/>
              <w:left w:val="nil"/>
              <w:bottom w:val="nil"/>
              <w:right w:val="nil"/>
            </w:tcBorders>
            <w:shd w:val="clear" w:color="auto" w:fill="auto"/>
            <w:noWrap/>
            <w:vAlign w:val="bottom"/>
            <w:hideMark/>
          </w:tcPr>
          <w:p w14:paraId="7D8962E9" w14:textId="77777777" w:rsidR="002674CC" w:rsidRPr="002674CC" w:rsidRDefault="002674CC" w:rsidP="002674CC">
            <w:pPr>
              <w:widowControl/>
              <w:autoSpaceDE/>
              <w:autoSpaceDN/>
              <w:adjustRightInd/>
              <w:jc w:val="right"/>
              <w:rPr>
                <w:sz w:val="20"/>
                <w:szCs w:val="20"/>
                <w:lang w:eastAsia="en-CA"/>
              </w:rPr>
            </w:pPr>
          </w:p>
        </w:tc>
        <w:tc>
          <w:tcPr>
            <w:tcW w:w="288" w:type="dxa"/>
            <w:tcBorders>
              <w:top w:val="nil"/>
              <w:left w:val="nil"/>
              <w:bottom w:val="nil"/>
              <w:right w:val="nil"/>
            </w:tcBorders>
            <w:shd w:val="clear" w:color="auto" w:fill="auto"/>
            <w:noWrap/>
            <w:vAlign w:val="bottom"/>
            <w:hideMark/>
          </w:tcPr>
          <w:p w14:paraId="1AA484ED" w14:textId="77777777" w:rsidR="002674CC" w:rsidRPr="002674CC" w:rsidRDefault="002674CC" w:rsidP="002674CC">
            <w:pPr>
              <w:widowControl/>
              <w:autoSpaceDE/>
              <w:autoSpaceDN/>
              <w:adjustRightInd/>
              <w:jc w:val="left"/>
              <w:rPr>
                <w:sz w:val="20"/>
                <w:szCs w:val="20"/>
                <w:lang w:eastAsia="en-CA"/>
              </w:rPr>
            </w:pPr>
          </w:p>
        </w:tc>
        <w:tc>
          <w:tcPr>
            <w:tcW w:w="1264" w:type="dxa"/>
            <w:tcBorders>
              <w:top w:val="nil"/>
              <w:left w:val="nil"/>
              <w:bottom w:val="nil"/>
              <w:right w:val="nil"/>
            </w:tcBorders>
            <w:shd w:val="clear" w:color="auto" w:fill="auto"/>
            <w:noWrap/>
            <w:vAlign w:val="bottom"/>
            <w:hideMark/>
          </w:tcPr>
          <w:p w14:paraId="348C4174" w14:textId="77777777" w:rsidR="002674CC" w:rsidRPr="002674CC" w:rsidRDefault="002674CC" w:rsidP="002674CC">
            <w:pPr>
              <w:widowControl/>
              <w:autoSpaceDE/>
              <w:autoSpaceDN/>
              <w:adjustRightInd/>
              <w:jc w:val="right"/>
              <w:rPr>
                <w:sz w:val="20"/>
                <w:szCs w:val="20"/>
                <w:lang w:eastAsia="en-CA"/>
              </w:rPr>
            </w:pPr>
          </w:p>
        </w:tc>
        <w:tc>
          <w:tcPr>
            <w:tcW w:w="288" w:type="dxa"/>
            <w:tcBorders>
              <w:top w:val="nil"/>
              <w:left w:val="nil"/>
              <w:bottom w:val="nil"/>
              <w:right w:val="nil"/>
            </w:tcBorders>
            <w:shd w:val="clear" w:color="auto" w:fill="auto"/>
            <w:noWrap/>
            <w:vAlign w:val="bottom"/>
            <w:hideMark/>
          </w:tcPr>
          <w:p w14:paraId="03B7D251" w14:textId="77777777" w:rsidR="002674CC" w:rsidRPr="002674CC" w:rsidRDefault="002674CC" w:rsidP="002674CC">
            <w:pPr>
              <w:widowControl/>
              <w:autoSpaceDE/>
              <w:autoSpaceDN/>
              <w:adjustRightInd/>
              <w:jc w:val="right"/>
              <w:rPr>
                <w:sz w:val="20"/>
                <w:szCs w:val="20"/>
                <w:lang w:eastAsia="en-CA"/>
              </w:rPr>
            </w:pPr>
          </w:p>
        </w:tc>
        <w:tc>
          <w:tcPr>
            <w:tcW w:w="1112" w:type="dxa"/>
            <w:tcBorders>
              <w:top w:val="nil"/>
              <w:left w:val="nil"/>
              <w:bottom w:val="nil"/>
              <w:right w:val="nil"/>
            </w:tcBorders>
            <w:shd w:val="clear" w:color="auto" w:fill="auto"/>
            <w:noWrap/>
            <w:vAlign w:val="bottom"/>
            <w:hideMark/>
          </w:tcPr>
          <w:p w14:paraId="3E0C125E"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702968AD" w14:textId="77777777" w:rsidR="002674CC" w:rsidRPr="002674CC" w:rsidRDefault="002674CC" w:rsidP="002674CC">
            <w:pPr>
              <w:widowControl/>
              <w:autoSpaceDE/>
              <w:autoSpaceDN/>
              <w:adjustRightInd/>
              <w:jc w:val="right"/>
              <w:rPr>
                <w:sz w:val="20"/>
                <w:szCs w:val="20"/>
                <w:lang w:eastAsia="en-CA"/>
              </w:rPr>
            </w:pPr>
          </w:p>
        </w:tc>
        <w:tc>
          <w:tcPr>
            <w:tcW w:w="1077" w:type="dxa"/>
            <w:tcBorders>
              <w:top w:val="nil"/>
              <w:left w:val="nil"/>
              <w:bottom w:val="nil"/>
              <w:right w:val="nil"/>
            </w:tcBorders>
            <w:shd w:val="clear" w:color="auto" w:fill="auto"/>
            <w:noWrap/>
            <w:vAlign w:val="bottom"/>
            <w:hideMark/>
          </w:tcPr>
          <w:p w14:paraId="7FA1AE74"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78AE90D9" w14:textId="77777777" w:rsidR="002674CC" w:rsidRPr="002674CC" w:rsidRDefault="002674CC" w:rsidP="002674CC">
            <w:pPr>
              <w:widowControl/>
              <w:autoSpaceDE/>
              <w:autoSpaceDN/>
              <w:adjustRightInd/>
              <w:jc w:val="right"/>
              <w:rPr>
                <w:sz w:val="20"/>
                <w:szCs w:val="20"/>
                <w:lang w:eastAsia="en-CA"/>
              </w:rPr>
            </w:pPr>
          </w:p>
        </w:tc>
        <w:tc>
          <w:tcPr>
            <w:tcW w:w="956" w:type="dxa"/>
            <w:tcBorders>
              <w:top w:val="nil"/>
              <w:left w:val="nil"/>
              <w:bottom w:val="nil"/>
              <w:right w:val="nil"/>
            </w:tcBorders>
            <w:shd w:val="clear" w:color="auto" w:fill="auto"/>
            <w:noWrap/>
            <w:vAlign w:val="bottom"/>
            <w:hideMark/>
          </w:tcPr>
          <w:p w14:paraId="5BF7C6A6"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4B8CA4D9" w14:textId="77777777" w:rsidR="002674CC" w:rsidRPr="002674CC" w:rsidRDefault="002674CC" w:rsidP="002674CC">
            <w:pPr>
              <w:widowControl/>
              <w:autoSpaceDE/>
              <w:autoSpaceDN/>
              <w:adjustRightInd/>
              <w:jc w:val="right"/>
              <w:rPr>
                <w:sz w:val="20"/>
                <w:szCs w:val="20"/>
                <w:lang w:eastAsia="en-CA"/>
              </w:rPr>
            </w:pPr>
          </w:p>
        </w:tc>
        <w:tc>
          <w:tcPr>
            <w:tcW w:w="1066" w:type="dxa"/>
            <w:tcBorders>
              <w:top w:val="nil"/>
              <w:left w:val="nil"/>
              <w:bottom w:val="nil"/>
              <w:right w:val="nil"/>
            </w:tcBorders>
            <w:shd w:val="clear" w:color="auto" w:fill="auto"/>
            <w:noWrap/>
            <w:vAlign w:val="bottom"/>
            <w:hideMark/>
          </w:tcPr>
          <w:p w14:paraId="6D9CEACD"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37E8AFBC" w14:textId="77777777" w:rsidR="002674CC" w:rsidRPr="002674CC" w:rsidRDefault="002674CC" w:rsidP="002674CC">
            <w:pPr>
              <w:widowControl/>
              <w:autoSpaceDE/>
              <w:autoSpaceDN/>
              <w:adjustRightInd/>
              <w:jc w:val="right"/>
              <w:rPr>
                <w:sz w:val="20"/>
                <w:szCs w:val="20"/>
                <w:lang w:eastAsia="en-CA"/>
              </w:rPr>
            </w:pPr>
          </w:p>
        </w:tc>
        <w:tc>
          <w:tcPr>
            <w:tcW w:w="1468" w:type="dxa"/>
            <w:tcBorders>
              <w:top w:val="nil"/>
              <w:left w:val="nil"/>
              <w:bottom w:val="nil"/>
              <w:right w:val="nil"/>
            </w:tcBorders>
            <w:shd w:val="clear" w:color="auto" w:fill="auto"/>
            <w:noWrap/>
            <w:vAlign w:val="bottom"/>
            <w:hideMark/>
          </w:tcPr>
          <w:p w14:paraId="74AAA379" w14:textId="77777777" w:rsidR="002674CC" w:rsidRPr="002674CC" w:rsidRDefault="002674CC" w:rsidP="002674CC">
            <w:pPr>
              <w:widowControl/>
              <w:autoSpaceDE/>
              <w:autoSpaceDN/>
              <w:adjustRightInd/>
              <w:jc w:val="right"/>
              <w:rPr>
                <w:sz w:val="20"/>
                <w:szCs w:val="20"/>
                <w:lang w:eastAsia="en-CA"/>
              </w:rPr>
            </w:pPr>
          </w:p>
        </w:tc>
        <w:tc>
          <w:tcPr>
            <w:tcW w:w="236" w:type="dxa"/>
            <w:tcBorders>
              <w:top w:val="nil"/>
              <w:left w:val="nil"/>
              <w:bottom w:val="nil"/>
              <w:right w:val="nil"/>
            </w:tcBorders>
            <w:shd w:val="clear" w:color="auto" w:fill="auto"/>
            <w:noWrap/>
            <w:vAlign w:val="bottom"/>
            <w:hideMark/>
          </w:tcPr>
          <w:p w14:paraId="514E538A" w14:textId="77777777" w:rsidR="002674CC" w:rsidRPr="002674CC" w:rsidRDefault="002674CC" w:rsidP="002674CC">
            <w:pPr>
              <w:widowControl/>
              <w:autoSpaceDE/>
              <w:autoSpaceDN/>
              <w:adjustRightInd/>
              <w:jc w:val="right"/>
              <w:rPr>
                <w:sz w:val="20"/>
                <w:szCs w:val="20"/>
                <w:lang w:eastAsia="en-CA"/>
              </w:rPr>
            </w:pPr>
          </w:p>
        </w:tc>
        <w:tc>
          <w:tcPr>
            <w:tcW w:w="1066" w:type="dxa"/>
            <w:tcBorders>
              <w:top w:val="nil"/>
              <w:left w:val="nil"/>
              <w:bottom w:val="nil"/>
              <w:right w:val="nil"/>
            </w:tcBorders>
            <w:shd w:val="clear" w:color="auto" w:fill="auto"/>
            <w:noWrap/>
            <w:vAlign w:val="bottom"/>
            <w:hideMark/>
          </w:tcPr>
          <w:p w14:paraId="44E7B544" w14:textId="77777777" w:rsidR="002674CC" w:rsidRPr="002674CC" w:rsidRDefault="002674CC" w:rsidP="002674CC">
            <w:pPr>
              <w:widowControl/>
              <w:autoSpaceDE/>
              <w:autoSpaceDN/>
              <w:adjustRightInd/>
              <w:jc w:val="right"/>
              <w:rPr>
                <w:sz w:val="20"/>
                <w:szCs w:val="20"/>
                <w:lang w:eastAsia="en-CA"/>
              </w:rPr>
            </w:pPr>
          </w:p>
        </w:tc>
      </w:tr>
      <w:tr w:rsidR="002674CC" w:rsidRPr="002674CC" w14:paraId="2687092E" w14:textId="77777777" w:rsidTr="001D2E70">
        <w:trPr>
          <w:trHeight w:val="229"/>
        </w:trPr>
        <w:tc>
          <w:tcPr>
            <w:tcW w:w="2410" w:type="dxa"/>
            <w:tcBorders>
              <w:top w:val="nil"/>
              <w:left w:val="nil"/>
              <w:bottom w:val="nil"/>
              <w:right w:val="nil"/>
            </w:tcBorders>
            <w:shd w:val="clear" w:color="auto" w:fill="auto"/>
            <w:noWrap/>
            <w:vAlign w:val="bottom"/>
            <w:hideMark/>
          </w:tcPr>
          <w:p w14:paraId="13CC8232"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r w:rsidRPr="002674CC">
              <w:rPr>
                <w:rFonts w:ascii="Arial" w:hAnsi="Arial" w:cs="Arial"/>
                <w:b/>
                <w:bCs/>
                <w:color w:val="000000"/>
                <w:sz w:val="16"/>
                <w:szCs w:val="16"/>
                <w:lang w:eastAsia="en-CA"/>
              </w:rPr>
              <w:t>Balance, December 31, 2020</w:t>
            </w:r>
          </w:p>
        </w:tc>
        <w:tc>
          <w:tcPr>
            <w:tcW w:w="589" w:type="dxa"/>
            <w:tcBorders>
              <w:top w:val="nil"/>
              <w:left w:val="nil"/>
              <w:bottom w:val="nil"/>
              <w:right w:val="nil"/>
            </w:tcBorders>
            <w:shd w:val="clear" w:color="auto" w:fill="auto"/>
            <w:vAlign w:val="bottom"/>
            <w:hideMark/>
          </w:tcPr>
          <w:p w14:paraId="27AB7F7F"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p>
        </w:tc>
        <w:tc>
          <w:tcPr>
            <w:tcW w:w="1267" w:type="dxa"/>
            <w:tcBorders>
              <w:top w:val="nil"/>
              <w:left w:val="nil"/>
              <w:bottom w:val="nil"/>
              <w:right w:val="nil"/>
            </w:tcBorders>
            <w:shd w:val="clear" w:color="auto" w:fill="auto"/>
            <w:noWrap/>
            <w:vAlign w:val="bottom"/>
            <w:hideMark/>
          </w:tcPr>
          <w:p w14:paraId="794701F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3423C1AB"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5AC97BAF"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38,115,450 </w:t>
            </w:r>
          </w:p>
        </w:tc>
        <w:tc>
          <w:tcPr>
            <w:tcW w:w="288" w:type="dxa"/>
            <w:tcBorders>
              <w:top w:val="nil"/>
              <w:left w:val="nil"/>
              <w:bottom w:val="nil"/>
              <w:right w:val="nil"/>
            </w:tcBorders>
            <w:shd w:val="clear" w:color="auto" w:fill="auto"/>
            <w:noWrap/>
            <w:vAlign w:val="bottom"/>
            <w:hideMark/>
          </w:tcPr>
          <w:p w14:paraId="7E9ADC1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15FB21D3" w14:textId="3C2CB6C2"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170,783 </w:t>
            </w:r>
          </w:p>
        </w:tc>
        <w:tc>
          <w:tcPr>
            <w:tcW w:w="314" w:type="dxa"/>
            <w:tcBorders>
              <w:top w:val="nil"/>
              <w:left w:val="nil"/>
              <w:bottom w:val="nil"/>
              <w:right w:val="nil"/>
            </w:tcBorders>
            <w:shd w:val="clear" w:color="auto" w:fill="auto"/>
            <w:noWrap/>
            <w:vAlign w:val="bottom"/>
            <w:hideMark/>
          </w:tcPr>
          <w:p w14:paraId="5E4D54A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57B62D17" w14:textId="354C6053"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4,207,036 </w:t>
            </w:r>
          </w:p>
        </w:tc>
        <w:tc>
          <w:tcPr>
            <w:tcW w:w="314" w:type="dxa"/>
            <w:tcBorders>
              <w:top w:val="nil"/>
              <w:left w:val="nil"/>
              <w:bottom w:val="nil"/>
              <w:right w:val="nil"/>
            </w:tcBorders>
            <w:shd w:val="clear" w:color="auto" w:fill="auto"/>
            <w:noWrap/>
            <w:vAlign w:val="bottom"/>
            <w:hideMark/>
          </w:tcPr>
          <w:p w14:paraId="02ECA6B2" w14:textId="3FA25423"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956" w:type="dxa"/>
            <w:tcBorders>
              <w:top w:val="nil"/>
              <w:left w:val="nil"/>
              <w:bottom w:val="nil"/>
              <w:right w:val="nil"/>
            </w:tcBorders>
            <w:shd w:val="clear" w:color="auto" w:fill="auto"/>
            <w:noWrap/>
            <w:vAlign w:val="bottom"/>
            <w:hideMark/>
          </w:tcPr>
          <w:p w14:paraId="4BC3BE40"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87,143 </w:t>
            </w:r>
          </w:p>
        </w:tc>
        <w:tc>
          <w:tcPr>
            <w:tcW w:w="314" w:type="dxa"/>
            <w:tcBorders>
              <w:top w:val="nil"/>
              <w:left w:val="nil"/>
              <w:bottom w:val="nil"/>
              <w:right w:val="nil"/>
            </w:tcBorders>
            <w:shd w:val="clear" w:color="auto" w:fill="auto"/>
            <w:noWrap/>
            <w:vAlign w:val="bottom"/>
            <w:hideMark/>
          </w:tcPr>
          <w:p w14:paraId="2F6670F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0807E0A4" w14:textId="1BF13E0D"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(2,247,669)</w:t>
            </w:r>
          </w:p>
        </w:tc>
        <w:tc>
          <w:tcPr>
            <w:tcW w:w="314" w:type="dxa"/>
            <w:tcBorders>
              <w:top w:val="nil"/>
              <w:left w:val="nil"/>
              <w:bottom w:val="nil"/>
              <w:right w:val="nil"/>
            </w:tcBorders>
            <w:shd w:val="clear" w:color="auto" w:fill="auto"/>
            <w:noWrap/>
            <w:vAlign w:val="bottom"/>
            <w:hideMark/>
          </w:tcPr>
          <w:p w14:paraId="31419632" w14:textId="682C12E9"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1468" w:type="dxa"/>
            <w:tcBorders>
              <w:top w:val="nil"/>
              <w:left w:val="nil"/>
              <w:bottom w:val="nil"/>
              <w:right w:val="nil"/>
            </w:tcBorders>
            <w:shd w:val="clear" w:color="auto" w:fill="auto"/>
            <w:noWrap/>
            <w:vAlign w:val="bottom"/>
            <w:hideMark/>
          </w:tcPr>
          <w:p w14:paraId="3C2BD2D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69,844 </w:t>
            </w:r>
          </w:p>
        </w:tc>
        <w:tc>
          <w:tcPr>
            <w:tcW w:w="236" w:type="dxa"/>
            <w:tcBorders>
              <w:top w:val="nil"/>
              <w:left w:val="nil"/>
              <w:bottom w:val="nil"/>
              <w:right w:val="nil"/>
            </w:tcBorders>
            <w:shd w:val="clear" w:color="auto" w:fill="auto"/>
            <w:noWrap/>
            <w:vAlign w:val="bottom"/>
            <w:hideMark/>
          </w:tcPr>
          <w:p w14:paraId="7844FB77" w14:textId="3ED63C85" w:rsidR="002674CC" w:rsidRPr="002674CC" w:rsidRDefault="00EB16F3" w:rsidP="002674CC">
            <w:pPr>
              <w:widowControl/>
              <w:autoSpaceDE/>
              <w:autoSpaceDN/>
              <w:adjustRightInd/>
              <w:jc w:val="right"/>
              <w:rPr>
                <w:rFonts w:ascii="Arial" w:hAnsi="Arial" w:cs="Arial"/>
                <w:color w:val="000000"/>
                <w:sz w:val="16"/>
                <w:szCs w:val="16"/>
                <w:lang w:eastAsia="en-CA"/>
              </w:rPr>
            </w:pPr>
            <w:r>
              <w:rPr>
                <w:rFonts w:ascii="Arial" w:hAnsi="Arial" w:cs="Arial"/>
                <w:color w:val="000000"/>
                <w:sz w:val="16"/>
                <w:szCs w:val="16"/>
                <w:lang w:eastAsia="en-CA"/>
              </w:rPr>
              <w:t>$</w:t>
            </w:r>
          </w:p>
        </w:tc>
        <w:tc>
          <w:tcPr>
            <w:tcW w:w="1066" w:type="dxa"/>
            <w:tcBorders>
              <w:top w:val="nil"/>
              <w:left w:val="nil"/>
              <w:bottom w:val="nil"/>
              <w:right w:val="nil"/>
            </w:tcBorders>
            <w:shd w:val="clear" w:color="auto" w:fill="auto"/>
            <w:noWrap/>
            <w:vAlign w:val="bottom"/>
            <w:hideMark/>
          </w:tcPr>
          <w:p w14:paraId="096FF14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2,116,354 </w:t>
            </w:r>
          </w:p>
        </w:tc>
      </w:tr>
      <w:tr w:rsidR="002674CC" w:rsidRPr="002674CC" w14:paraId="16461631" w14:textId="77777777" w:rsidTr="001D2E70">
        <w:trPr>
          <w:trHeight w:val="229"/>
        </w:trPr>
        <w:tc>
          <w:tcPr>
            <w:tcW w:w="2410" w:type="dxa"/>
            <w:tcBorders>
              <w:top w:val="nil"/>
              <w:left w:val="nil"/>
              <w:bottom w:val="nil"/>
              <w:right w:val="nil"/>
            </w:tcBorders>
            <w:shd w:val="clear" w:color="auto" w:fill="auto"/>
            <w:noWrap/>
            <w:vAlign w:val="bottom"/>
            <w:hideMark/>
          </w:tcPr>
          <w:p w14:paraId="2577F6E4"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Shares issued for private placement</w:t>
            </w:r>
          </w:p>
        </w:tc>
        <w:tc>
          <w:tcPr>
            <w:tcW w:w="589" w:type="dxa"/>
            <w:tcBorders>
              <w:top w:val="nil"/>
              <w:left w:val="nil"/>
              <w:bottom w:val="nil"/>
              <w:right w:val="nil"/>
            </w:tcBorders>
            <w:shd w:val="clear" w:color="auto" w:fill="auto"/>
            <w:vAlign w:val="bottom"/>
            <w:hideMark/>
          </w:tcPr>
          <w:p w14:paraId="06473FC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7</w:t>
            </w:r>
          </w:p>
        </w:tc>
        <w:tc>
          <w:tcPr>
            <w:tcW w:w="1267" w:type="dxa"/>
            <w:tcBorders>
              <w:top w:val="nil"/>
              <w:left w:val="nil"/>
              <w:bottom w:val="nil"/>
              <w:right w:val="nil"/>
            </w:tcBorders>
            <w:shd w:val="clear" w:color="auto" w:fill="auto"/>
            <w:noWrap/>
            <w:vAlign w:val="bottom"/>
            <w:hideMark/>
          </w:tcPr>
          <w:p w14:paraId="7665880E"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30218316"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10AEC28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11,441,189 </w:t>
            </w:r>
          </w:p>
        </w:tc>
        <w:tc>
          <w:tcPr>
            <w:tcW w:w="288" w:type="dxa"/>
            <w:tcBorders>
              <w:top w:val="nil"/>
              <w:left w:val="nil"/>
              <w:bottom w:val="nil"/>
              <w:right w:val="nil"/>
            </w:tcBorders>
            <w:shd w:val="clear" w:color="auto" w:fill="auto"/>
            <w:noWrap/>
            <w:vAlign w:val="bottom"/>
            <w:hideMark/>
          </w:tcPr>
          <w:p w14:paraId="1B697F3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394280CE"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4754232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01D61BA4" w14:textId="10EA3D1F"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2,709,969 </w:t>
            </w:r>
          </w:p>
        </w:tc>
        <w:tc>
          <w:tcPr>
            <w:tcW w:w="314" w:type="dxa"/>
            <w:tcBorders>
              <w:top w:val="nil"/>
              <w:left w:val="nil"/>
              <w:bottom w:val="nil"/>
              <w:right w:val="nil"/>
            </w:tcBorders>
            <w:shd w:val="clear" w:color="auto" w:fill="auto"/>
            <w:noWrap/>
            <w:vAlign w:val="bottom"/>
            <w:hideMark/>
          </w:tcPr>
          <w:p w14:paraId="0DEF0F1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272294C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74B2D30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0B56EF5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2127B16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0ACD47A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0042DB5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1FE4596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2,709,969 </w:t>
            </w:r>
          </w:p>
        </w:tc>
      </w:tr>
      <w:tr w:rsidR="002674CC" w:rsidRPr="002674CC" w14:paraId="620ECD60" w14:textId="77777777" w:rsidTr="001D2E70">
        <w:trPr>
          <w:trHeight w:val="229"/>
        </w:trPr>
        <w:tc>
          <w:tcPr>
            <w:tcW w:w="2410" w:type="dxa"/>
            <w:tcBorders>
              <w:top w:val="nil"/>
              <w:left w:val="nil"/>
              <w:bottom w:val="nil"/>
              <w:right w:val="nil"/>
            </w:tcBorders>
            <w:shd w:val="clear" w:color="auto" w:fill="auto"/>
            <w:noWrap/>
            <w:vAlign w:val="bottom"/>
            <w:hideMark/>
          </w:tcPr>
          <w:p w14:paraId="19CE14E5"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Share issuance costs</w:t>
            </w:r>
          </w:p>
        </w:tc>
        <w:tc>
          <w:tcPr>
            <w:tcW w:w="589" w:type="dxa"/>
            <w:tcBorders>
              <w:top w:val="nil"/>
              <w:left w:val="nil"/>
              <w:bottom w:val="nil"/>
              <w:right w:val="nil"/>
            </w:tcBorders>
            <w:shd w:val="clear" w:color="auto" w:fill="auto"/>
            <w:vAlign w:val="bottom"/>
            <w:hideMark/>
          </w:tcPr>
          <w:p w14:paraId="1204466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7</w:t>
            </w:r>
          </w:p>
        </w:tc>
        <w:tc>
          <w:tcPr>
            <w:tcW w:w="1267" w:type="dxa"/>
            <w:tcBorders>
              <w:top w:val="nil"/>
              <w:left w:val="nil"/>
              <w:bottom w:val="nil"/>
              <w:right w:val="nil"/>
            </w:tcBorders>
            <w:shd w:val="clear" w:color="auto" w:fill="auto"/>
            <w:noWrap/>
            <w:vAlign w:val="bottom"/>
            <w:hideMark/>
          </w:tcPr>
          <w:p w14:paraId="490E5DA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472C716A"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0F07D8D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3B17323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03EEF820"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01B18C5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1360A4BE" w14:textId="2173B91C"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(110,652)</w:t>
            </w:r>
          </w:p>
        </w:tc>
        <w:tc>
          <w:tcPr>
            <w:tcW w:w="314" w:type="dxa"/>
            <w:tcBorders>
              <w:top w:val="nil"/>
              <w:left w:val="nil"/>
              <w:bottom w:val="nil"/>
              <w:right w:val="nil"/>
            </w:tcBorders>
            <w:shd w:val="clear" w:color="auto" w:fill="auto"/>
            <w:noWrap/>
            <w:vAlign w:val="bottom"/>
            <w:hideMark/>
          </w:tcPr>
          <w:p w14:paraId="7D9CD20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043278E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37,947 </w:t>
            </w:r>
          </w:p>
        </w:tc>
        <w:tc>
          <w:tcPr>
            <w:tcW w:w="314" w:type="dxa"/>
            <w:tcBorders>
              <w:top w:val="nil"/>
              <w:left w:val="nil"/>
              <w:bottom w:val="nil"/>
              <w:right w:val="nil"/>
            </w:tcBorders>
            <w:shd w:val="clear" w:color="auto" w:fill="auto"/>
            <w:noWrap/>
            <w:vAlign w:val="bottom"/>
            <w:hideMark/>
          </w:tcPr>
          <w:p w14:paraId="1F55742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2C5629D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00906BB0"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3F7FEA1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29448C8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45D045B3" w14:textId="3A8F08B4"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(72,705)</w:t>
            </w:r>
          </w:p>
        </w:tc>
      </w:tr>
      <w:tr w:rsidR="002674CC" w:rsidRPr="002674CC" w14:paraId="291BDE74" w14:textId="77777777" w:rsidTr="001D2E70">
        <w:trPr>
          <w:trHeight w:val="229"/>
        </w:trPr>
        <w:tc>
          <w:tcPr>
            <w:tcW w:w="2410" w:type="dxa"/>
            <w:tcBorders>
              <w:top w:val="nil"/>
              <w:left w:val="nil"/>
              <w:bottom w:val="nil"/>
              <w:right w:val="nil"/>
            </w:tcBorders>
            <w:shd w:val="clear" w:color="auto" w:fill="auto"/>
            <w:noWrap/>
            <w:vAlign w:val="bottom"/>
            <w:hideMark/>
          </w:tcPr>
          <w:p w14:paraId="6CE9C48C"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Shares issued for services</w:t>
            </w:r>
          </w:p>
        </w:tc>
        <w:tc>
          <w:tcPr>
            <w:tcW w:w="589" w:type="dxa"/>
            <w:tcBorders>
              <w:top w:val="nil"/>
              <w:left w:val="nil"/>
              <w:bottom w:val="nil"/>
              <w:right w:val="nil"/>
            </w:tcBorders>
            <w:shd w:val="clear" w:color="auto" w:fill="auto"/>
            <w:vAlign w:val="bottom"/>
            <w:hideMark/>
          </w:tcPr>
          <w:p w14:paraId="5F26258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7</w:t>
            </w:r>
          </w:p>
        </w:tc>
        <w:tc>
          <w:tcPr>
            <w:tcW w:w="1267" w:type="dxa"/>
            <w:tcBorders>
              <w:top w:val="nil"/>
              <w:left w:val="nil"/>
              <w:bottom w:val="nil"/>
              <w:right w:val="nil"/>
            </w:tcBorders>
            <w:shd w:val="clear" w:color="auto" w:fill="auto"/>
            <w:noWrap/>
            <w:vAlign w:val="bottom"/>
            <w:hideMark/>
          </w:tcPr>
          <w:p w14:paraId="557B3AE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738FC852"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6E04DD2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150,000 </w:t>
            </w:r>
          </w:p>
        </w:tc>
        <w:tc>
          <w:tcPr>
            <w:tcW w:w="288" w:type="dxa"/>
            <w:tcBorders>
              <w:top w:val="nil"/>
              <w:left w:val="nil"/>
              <w:bottom w:val="nil"/>
              <w:right w:val="nil"/>
            </w:tcBorders>
            <w:shd w:val="clear" w:color="auto" w:fill="auto"/>
            <w:noWrap/>
            <w:vAlign w:val="bottom"/>
            <w:hideMark/>
          </w:tcPr>
          <w:p w14:paraId="4BA552F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206CF5A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0F1896F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3D63EA94" w14:textId="6F913A0A"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71,058 </w:t>
            </w:r>
          </w:p>
        </w:tc>
        <w:tc>
          <w:tcPr>
            <w:tcW w:w="314" w:type="dxa"/>
            <w:tcBorders>
              <w:top w:val="nil"/>
              <w:left w:val="nil"/>
              <w:bottom w:val="nil"/>
              <w:right w:val="nil"/>
            </w:tcBorders>
            <w:shd w:val="clear" w:color="auto" w:fill="auto"/>
            <w:noWrap/>
            <w:vAlign w:val="bottom"/>
            <w:hideMark/>
          </w:tcPr>
          <w:p w14:paraId="3D2B04B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3661796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547AA3AE"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7FE6267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3B5DD44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19A4B0B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5E1CDE1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1480B7E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71,058 </w:t>
            </w:r>
          </w:p>
        </w:tc>
      </w:tr>
      <w:tr w:rsidR="002674CC" w:rsidRPr="002674CC" w14:paraId="00234906" w14:textId="77777777" w:rsidTr="001D2E70">
        <w:trPr>
          <w:trHeight w:val="229"/>
        </w:trPr>
        <w:tc>
          <w:tcPr>
            <w:tcW w:w="2410" w:type="dxa"/>
            <w:tcBorders>
              <w:top w:val="nil"/>
              <w:left w:val="nil"/>
              <w:bottom w:val="nil"/>
              <w:right w:val="nil"/>
            </w:tcBorders>
            <w:shd w:val="clear" w:color="auto" w:fill="auto"/>
            <w:noWrap/>
            <w:vAlign w:val="bottom"/>
            <w:hideMark/>
          </w:tcPr>
          <w:p w14:paraId="2D31D132"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Shares issued on acquisition - Delic Labs</w:t>
            </w:r>
          </w:p>
        </w:tc>
        <w:tc>
          <w:tcPr>
            <w:tcW w:w="589" w:type="dxa"/>
            <w:tcBorders>
              <w:top w:val="nil"/>
              <w:left w:val="nil"/>
              <w:bottom w:val="nil"/>
              <w:right w:val="nil"/>
            </w:tcBorders>
            <w:shd w:val="clear" w:color="auto" w:fill="auto"/>
            <w:vAlign w:val="bottom"/>
            <w:hideMark/>
          </w:tcPr>
          <w:p w14:paraId="6B3348D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4</w:t>
            </w:r>
          </w:p>
        </w:tc>
        <w:tc>
          <w:tcPr>
            <w:tcW w:w="1267" w:type="dxa"/>
            <w:tcBorders>
              <w:top w:val="nil"/>
              <w:left w:val="nil"/>
              <w:bottom w:val="nil"/>
              <w:right w:val="nil"/>
            </w:tcBorders>
            <w:shd w:val="clear" w:color="auto" w:fill="auto"/>
            <w:noWrap/>
            <w:vAlign w:val="bottom"/>
            <w:hideMark/>
          </w:tcPr>
          <w:p w14:paraId="297DA27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53CD9028"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102036D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10,000,000 </w:t>
            </w:r>
          </w:p>
        </w:tc>
        <w:tc>
          <w:tcPr>
            <w:tcW w:w="288" w:type="dxa"/>
            <w:tcBorders>
              <w:top w:val="nil"/>
              <w:left w:val="nil"/>
              <w:bottom w:val="nil"/>
              <w:right w:val="nil"/>
            </w:tcBorders>
            <w:shd w:val="clear" w:color="auto" w:fill="auto"/>
            <w:noWrap/>
            <w:vAlign w:val="bottom"/>
            <w:hideMark/>
          </w:tcPr>
          <w:p w14:paraId="3EE45D3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59D9375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7D2DB49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5D75DB79" w14:textId="2C885779"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2,368,608 </w:t>
            </w:r>
          </w:p>
        </w:tc>
        <w:tc>
          <w:tcPr>
            <w:tcW w:w="314" w:type="dxa"/>
            <w:tcBorders>
              <w:top w:val="nil"/>
              <w:left w:val="nil"/>
              <w:bottom w:val="nil"/>
              <w:right w:val="nil"/>
            </w:tcBorders>
            <w:shd w:val="clear" w:color="auto" w:fill="auto"/>
            <w:noWrap/>
            <w:vAlign w:val="bottom"/>
            <w:hideMark/>
          </w:tcPr>
          <w:p w14:paraId="0D7189E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57C4075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165A2C5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1C648F2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58D49AD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6F4420F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23B2545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0B59692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2,368,608 </w:t>
            </w:r>
          </w:p>
        </w:tc>
      </w:tr>
      <w:tr w:rsidR="002674CC" w:rsidRPr="002674CC" w14:paraId="197EB4B3" w14:textId="77777777" w:rsidTr="001D2E70">
        <w:trPr>
          <w:trHeight w:val="229"/>
        </w:trPr>
        <w:tc>
          <w:tcPr>
            <w:tcW w:w="2410" w:type="dxa"/>
            <w:tcBorders>
              <w:top w:val="nil"/>
              <w:left w:val="nil"/>
              <w:bottom w:val="nil"/>
              <w:right w:val="nil"/>
            </w:tcBorders>
            <w:shd w:val="clear" w:color="auto" w:fill="auto"/>
            <w:noWrap/>
            <w:vAlign w:val="bottom"/>
            <w:hideMark/>
          </w:tcPr>
          <w:p w14:paraId="64B50E78" w14:textId="4398609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xml:space="preserve">Shares issued on acquisition </w:t>
            </w:r>
            <w:r w:rsidR="00EC79CF">
              <w:rPr>
                <w:rFonts w:ascii="Arial" w:hAnsi="Arial" w:cs="Arial"/>
                <w:color w:val="000000"/>
                <w:sz w:val="16"/>
                <w:szCs w:val="16"/>
                <w:lang w:eastAsia="en-CA"/>
              </w:rPr>
              <w:t>–</w:t>
            </w:r>
            <w:r w:rsidRPr="002674CC">
              <w:rPr>
                <w:rFonts w:ascii="Arial" w:hAnsi="Arial" w:cs="Arial"/>
                <w:color w:val="000000"/>
                <w:sz w:val="16"/>
                <w:szCs w:val="16"/>
                <w:lang w:eastAsia="en-CA"/>
              </w:rPr>
              <w:t xml:space="preserve"> KIC</w:t>
            </w:r>
          </w:p>
        </w:tc>
        <w:tc>
          <w:tcPr>
            <w:tcW w:w="589" w:type="dxa"/>
            <w:tcBorders>
              <w:top w:val="nil"/>
              <w:left w:val="nil"/>
              <w:bottom w:val="nil"/>
              <w:right w:val="nil"/>
            </w:tcBorders>
            <w:shd w:val="clear" w:color="auto" w:fill="auto"/>
            <w:vAlign w:val="bottom"/>
            <w:hideMark/>
          </w:tcPr>
          <w:p w14:paraId="10F900A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5</w:t>
            </w:r>
          </w:p>
        </w:tc>
        <w:tc>
          <w:tcPr>
            <w:tcW w:w="1267" w:type="dxa"/>
            <w:tcBorders>
              <w:top w:val="nil"/>
              <w:left w:val="nil"/>
              <w:bottom w:val="nil"/>
              <w:right w:val="nil"/>
            </w:tcBorders>
            <w:shd w:val="clear" w:color="auto" w:fill="auto"/>
            <w:noWrap/>
            <w:vAlign w:val="bottom"/>
            <w:hideMark/>
          </w:tcPr>
          <w:p w14:paraId="3B9A5CC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2BE65041"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3DA1A12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7CB069A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16D2EC24" w14:textId="1A6BF7BC"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89,130 </w:t>
            </w:r>
          </w:p>
        </w:tc>
        <w:tc>
          <w:tcPr>
            <w:tcW w:w="314" w:type="dxa"/>
            <w:tcBorders>
              <w:top w:val="nil"/>
              <w:left w:val="nil"/>
              <w:bottom w:val="nil"/>
              <w:right w:val="nil"/>
            </w:tcBorders>
            <w:shd w:val="clear" w:color="auto" w:fill="auto"/>
            <w:noWrap/>
            <w:vAlign w:val="bottom"/>
            <w:hideMark/>
          </w:tcPr>
          <w:p w14:paraId="34B9CFE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5769E546" w14:textId="16CAC3B9"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2,240,312 </w:t>
            </w:r>
          </w:p>
        </w:tc>
        <w:tc>
          <w:tcPr>
            <w:tcW w:w="314" w:type="dxa"/>
            <w:tcBorders>
              <w:top w:val="nil"/>
              <w:left w:val="nil"/>
              <w:bottom w:val="nil"/>
              <w:right w:val="nil"/>
            </w:tcBorders>
            <w:shd w:val="clear" w:color="auto" w:fill="auto"/>
            <w:noWrap/>
            <w:vAlign w:val="bottom"/>
            <w:hideMark/>
          </w:tcPr>
          <w:p w14:paraId="148DA12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186BE5CE"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7E5BCFBF"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233DD04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156BA08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5CFA8DD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131F9A4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3E6DE88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2,240,312 </w:t>
            </w:r>
          </w:p>
        </w:tc>
      </w:tr>
      <w:tr w:rsidR="002674CC" w:rsidRPr="002674CC" w14:paraId="7E250D08" w14:textId="77777777" w:rsidTr="001D2E70">
        <w:trPr>
          <w:trHeight w:val="229"/>
        </w:trPr>
        <w:tc>
          <w:tcPr>
            <w:tcW w:w="2410" w:type="dxa"/>
            <w:tcBorders>
              <w:top w:val="nil"/>
              <w:left w:val="nil"/>
              <w:bottom w:val="nil"/>
              <w:right w:val="nil"/>
            </w:tcBorders>
            <w:shd w:val="clear" w:color="auto" w:fill="auto"/>
            <w:noWrap/>
            <w:vAlign w:val="bottom"/>
            <w:hideMark/>
          </w:tcPr>
          <w:p w14:paraId="2CE70434" w14:textId="47BE62C9"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xml:space="preserve">Shares issued on acquisition </w:t>
            </w:r>
            <w:r w:rsidR="00EC79CF">
              <w:rPr>
                <w:rFonts w:ascii="Arial" w:hAnsi="Arial" w:cs="Arial"/>
                <w:color w:val="000000"/>
                <w:sz w:val="16"/>
                <w:szCs w:val="16"/>
                <w:lang w:eastAsia="en-CA"/>
              </w:rPr>
              <w:t>–</w:t>
            </w:r>
            <w:r w:rsidRPr="002674CC">
              <w:rPr>
                <w:rFonts w:ascii="Arial" w:hAnsi="Arial" w:cs="Arial"/>
                <w:color w:val="000000"/>
                <w:sz w:val="16"/>
                <w:szCs w:val="16"/>
                <w:lang w:eastAsia="en-CA"/>
              </w:rPr>
              <w:t xml:space="preserve"> Homestead</w:t>
            </w:r>
          </w:p>
        </w:tc>
        <w:tc>
          <w:tcPr>
            <w:tcW w:w="589" w:type="dxa"/>
            <w:tcBorders>
              <w:top w:val="nil"/>
              <w:left w:val="nil"/>
              <w:bottom w:val="nil"/>
              <w:right w:val="nil"/>
            </w:tcBorders>
            <w:shd w:val="clear" w:color="auto" w:fill="auto"/>
            <w:vAlign w:val="bottom"/>
            <w:hideMark/>
          </w:tcPr>
          <w:p w14:paraId="35991C2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6</w:t>
            </w:r>
          </w:p>
        </w:tc>
        <w:tc>
          <w:tcPr>
            <w:tcW w:w="1267" w:type="dxa"/>
            <w:tcBorders>
              <w:top w:val="nil"/>
              <w:left w:val="nil"/>
              <w:bottom w:val="nil"/>
              <w:right w:val="nil"/>
            </w:tcBorders>
            <w:shd w:val="clear" w:color="auto" w:fill="auto"/>
            <w:noWrap/>
            <w:vAlign w:val="bottom"/>
            <w:hideMark/>
          </w:tcPr>
          <w:p w14:paraId="4DDAC9A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5D770DAB"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3B54389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108,887 </w:t>
            </w:r>
          </w:p>
        </w:tc>
        <w:tc>
          <w:tcPr>
            <w:tcW w:w="288" w:type="dxa"/>
            <w:tcBorders>
              <w:top w:val="nil"/>
              <w:left w:val="nil"/>
              <w:bottom w:val="nil"/>
              <w:right w:val="nil"/>
            </w:tcBorders>
            <w:shd w:val="clear" w:color="auto" w:fill="auto"/>
            <w:noWrap/>
            <w:vAlign w:val="bottom"/>
            <w:hideMark/>
          </w:tcPr>
          <w:p w14:paraId="290B6F5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36BB33D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46BFE99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4B71FC35" w14:textId="107ADA8C"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45,564 </w:t>
            </w:r>
          </w:p>
        </w:tc>
        <w:tc>
          <w:tcPr>
            <w:tcW w:w="314" w:type="dxa"/>
            <w:tcBorders>
              <w:top w:val="nil"/>
              <w:left w:val="nil"/>
              <w:bottom w:val="nil"/>
              <w:right w:val="nil"/>
            </w:tcBorders>
            <w:shd w:val="clear" w:color="auto" w:fill="auto"/>
            <w:noWrap/>
            <w:vAlign w:val="bottom"/>
            <w:hideMark/>
          </w:tcPr>
          <w:p w14:paraId="6EE564B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71562DD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1229EED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6DBBB40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54F70E5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24ED313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3A86B5A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5CF3558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45,564 </w:t>
            </w:r>
          </w:p>
        </w:tc>
      </w:tr>
      <w:tr w:rsidR="002674CC" w:rsidRPr="002674CC" w14:paraId="3A354C52" w14:textId="77777777" w:rsidTr="001D2E70">
        <w:trPr>
          <w:trHeight w:val="229"/>
        </w:trPr>
        <w:tc>
          <w:tcPr>
            <w:tcW w:w="2410" w:type="dxa"/>
            <w:tcBorders>
              <w:top w:val="nil"/>
              <w:left w:val="nil"/>
              <w:bottom w:val="nil"/>
              <w:right w:val="nil"/>
            </w:tcBorders>
            <w:shd w:val="clear" w:color="auto" w:fill="auto"/>
            <w:noWrap/>
            <w:vAlign w:val="bottom"/>
            <w:hideMark/>
          </w:tcPr>
          <w:p w14:paraId="6E71E8CF"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Exercise of stock options</w:t>
            </w:r>
          </w:p>
        </w:tc>
        <w:tc>
          <w:tcPr>
            <w:tcW w:w="589" w:type="dxa"/>
            <w:tcBorders>
              <w:top w:val="nil"/>
              <w:left w:val="nil"/>
              <w:bottom w:val="nil"/>
              <w:right w:val="nil"/>
            </w:tcBorders>
            <w:shd w:val="clear" w:color="auto" w:fill="auto"/>
            <w:vAlign w:val="bottom"/>
            <w:hideMark/>
          </w:tcPr>
          <w:p w14:paraId="22FD459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7</w:t>
            </w:r>
          </w:p>
        </w:tc>
        <w:tc>
          <w:tcPr>
            <w:tcW w:w="1267" w:type="dxa"/>
            <w:tcBorders>
              <w:top w:val="nil"/>
              <w:left w:val="nil"/>
              <w:bottom w:val="nil"/>
              <w:right w:val="nil"/>
            </w:tcBorders>
            <w:shd w:val="clear" w:color="auto" w:fill="auto"/>
            <w:noWrap/>
            <w:vAlign w:val="bottom"/>
            <w:hideMark/>
          </w:tcPr>
          <w:p w14:paraId="6964479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471C38FD"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20C30B6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50,000 </w:t>
            </w:r>
          </w:p>
        </w:tc>
        <w:tc>
          <w:tcPr>
            <w:tcW w:w="288" w:type="dxa"/>
            <w:tcBorders>
              <w:top w:val="nil"/>
              <w:left w:val="nil"/>
              <w:bottom w:val="nil"/>
              <w:right w:val="nil"/>
            </w:tcBorders>
            <w:shd w:val="clear" w:color="auto" w:fill="auto"/>
            <w:noWrap/>
            <w:vAlign w:val="bottom"/>
            <w:hideMark/>
          </w:tcPr>
          <w:p w14:paraId="7599C29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26CBEA7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77EE7A3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12D3AFE1" w14:textId="541EE0C9"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5,734 </w:t>
            </w:r>
          </w:p>
        </w:tc>
        <w:tc>
          <w:tcPr>
            <w:tcW w:w="314" w:type="dxa"/>
            <w:tcBorders>
              <w:top w:val="nil"/>
              <w:left w:val="nil"/>
              <w:bottom w:val="nil"/>
              <w:right w:val="nil"/>
            </w:tcBorders>
            <w:shd w:val="clear" w:color="auto" w:fill="auto"/>
            <w:noWrap/>
            <w:vAlign w:val="bottom"/>
            <w:hideMark/>
          </w:tcPr>
          <w:p w14:paraId="5E0F1631"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03D32C4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(2,455)</w:t>
            </w:r>
          </w:p>
        </w:tc>
        <w:tc>
          <w:tcPr>
            <w:tcW w:w="314" w:type="dxa"/>
            <w:tcBorders>
              <w:top w:val="nil"/>
              <w:left w:val="nil"/>
              <w:bottom w:val="nil"/>
              <w:right w:val="nil"/>
            </w:tcBorders>
            <w:shd w:val="clear" w:color="auto" w:fill="auto"/>
            <w:noWrap/>
            <w:vAlign w:val="bottom"/>
            <w:hideMark/>
          </w:tcPr>
          <w:p w14:paraId="57561E12"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1DCC6B90"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464730AE"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342353F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4A59BD0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6FB6284F"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3,279 </w:t>
            </w:r>
          </w:p>
        </w:tc>
      </w:tr>
      <w:tr w:rsidR="002674CC" w:rsidRPr="002674CC" w14:paraId="7477C7EA" w14:textId="77777777" w:rsidTr="001D2E70">
        <w:trPr>
          <w:trHeight w:val="229"/>
        </w:trPr>
        <w:tc>
          <w:tcPr>
            <w:tcW w:w="2410" w:type="dxa"/>
            <w:tcBorders>
              <w:top w:val="nil"/>
              <w:left w:val="nil"/>
              <w:bottom w:val="nil"/>
              <w:right w:val="nil"/>
            </w:tcBorders>
            <w:shd w:val="clear" w:color="auto" w:fill="auto"/>
            <w:noWrap/>
            <w:vAlign w:val="bottom"/>
            <w:hideMark/>
          </w:tcPr>
          <w:p w14:paraId="29BDB5BD"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Share-based payments</w:t>
            </w:r>
          </w:p>
        </w:tc>
        <w:tc>
          <w:tcPr>
            <w:tcW w:w="589" w:type="dxa"/>
            <w:tcBorders>
              <w:top w:val="nil"/>
              <w:left w:val="nil"/>
              <w:bottom w:val="nil"/>
              <w:right w:val="nil"/>
            </w:tcBorders>
            <w:shd w:val="clear" w:color="auto" w:fill="auto"/>
            <w:vAlign w:val="bottom"/>
            <w:hideMark/>
          </w:tcPr>
          <w:p w14:paraId="6DF1E63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7</w:t>
            </w:r>
          </w:p>
        </w:tc>
        <w:tc>
          <w:tcPr>
            <w:tcW w:w="1267" w:type="dxa"/>
            <w:tcBorders>
              <w:top w:val="nil"/>
              <w:left w:val="nil"/>
              <w:bottom w:val="nil"/>
              <w:right w:val="nil"/>
            </w:tcBorders>
            <w:shd w:val="clear" w:color="auto" w:fill="auto"/>
            <w:noWrap/>
            <w:vAlign w:val="bottom"/>
            <w:hideMark/>
          </w:tcPr>
          <w:p w14:paraId="741A45B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2EF1670E"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1264" w:type="dxa"/>
            <w:tcBorders>
              <w:top w:val="nil"/>
              <w:left w:val="nil"/>
              <w:bottom w:val="nil"/>
              <w:right w:val="nil"/>
            </w:tcBorders>
            <w:shd w:val="clear" w:color="auto" w:fill="auto"/>
            <w:noWrap/>
            <w:vAlign w:val="bottom"/>
            <w:hideMark/>
          </w:tcPr>
          <w:p w14:paraId="7E0B5B60"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nil"/>
              <w:right w:val="nil"/>
            </w:tcBorders>
            <w:shd w:val="clear" w:color="auto" w:fill="auto"/>
            <w:noWrap/>
            <w:vAlign w:val="bottom"/>
            <w:hideMark/>
          </w:tcPr>
          <w:p w14:paraId="14BD632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112" w:type="dxa"/>
            <w:tcBorders>
              <w:top w:val="nil"/>
              <w:left w:val="nil"/>
              <w:bottom w:val="nil"/>
              <w:right w:val="nil"/>
            </w:tcBorders>
            <w:shd w:val="clear" w:color="auto" w:fill="auto"/>
            <w:noWrap/>
            <w:vAlign w:val="bottom"/>
            <w:hideMark/>
          </w:tcPr>
          <w:p w14:paraId="409234A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43FB9256"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77" w:type="dxa"/>
            <w:tcBorders>
              <w:top w:val="nil"/>
              <w:left w:val="nil"/>
              <w:bottom w:val="nil"/>
              <w:right w:val="nil"/>
            </w:tcBorders>
            <w:shd w:val="clear" w:color="auto" w:fill="auto"/>
            <w:noWrap/>
            <w:vAlign w:val="bottom"/>
            <w:hideMark/>
          </w:tcPr>
          <w:p w14:paraId="2529BDA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4D5D1298"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069F3F2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447,448 </w:t>
            </w:r>
          </w:p>
        </w:tc>
        <w:tc>
          <w:tcPr>
            <w:tcW w:w="314" w:type="dxa"/>
            <w:tcBorders>
              <w:top w:val="nil"/>
              <w:left w:val="nil"/>
              <w:bottom w:val="nil"/>
              <w:right w:val="nil"/>
            </w:tcBorders>
            <w:shd w:val="clear" w:color="auto" w:fill="auto"/>
            <w:noWrap/>
            <w:vAlign w:val="bottom"/>
            <w:hideMark/>
          </w:tcPr>
          <w:p w14:paraId="26460D7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687F495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nil"/>
              <w:right w:val="nil"/>
            </w:tcBorders>
            <w:shd w:val="clear" w:color="auto" w:fill="auto"/>
            <w:noWrap/>
            <w:vAlign w:val="bottom"/>
            <w:hideMark/>
          </w:tcPr>
          <w:p w14:paraId="762DC13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468" w:type="dxa"/>
            <w:tcBorders>
              <w:top w:val="nil"/>
              <w:left w:val="nil"/>
              <w:bottom w:val="nil"/>
              <w:right w:val="nil"/>
            </w:tcBorders>
            <w:shd w:val="clear" w:color="auto" w:fill="auto"/>
            <w:noWrap/>
            <w:vAlign w:val="bottom"/>
            <w:hideMark/>
          </w:tcPr>
          <w:p w14:paraId="545AF5D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36" w:type="dxa"/>
            <w:tcBorders>
              <w:top w:val="nil"/>
              <w:left w:val="nil"/>
              <w:bottom w:val="nil"/>
              <w:right w:val="nil"/>
            </w:tcBorders>
            <w:shd w:val="clear" w:color="auto" w:fill="auto"/>
            <w:noWrap/>
            <w:vAlign w:val="bottom"/>
            <w:hideMark/>
          </w:tcPr>
          <w:p w14:paraId="4095E0E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p>
        </w:tc>
        <w:tc>
          <w:tcPr>
            <w:tcW w:w="1066" w:type="dxa"/>
            <w:tcBorders>
              <w:top w:val="nil"/>
              <w:left w:val="nil"/>
              <w:bottom w:val="nil"/>
              <w:right w:val="nil"/>
            </w:tcBorders>
            <w:shd w:val="clear" w:color="auto" w:fill="auto"/>
            <w:noWrap/>
            <w:vAlign w:val="bottom"/>
            <w:hideMark/>
          </w:tcPr>
          <w:p w14:paraId="50E175F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447,448 </w:t>
            </w:r>
          </w:p>
        </w:tc>
      </w:tr>
      <w:tr w:rsidR="002674CC" w:rsidRPr="002674CC" w14:paraId="6FCE2F1F" w14:textId="77777777" w:rsidTr="001D2E70">
        <w:trPr>
          <w:trHeight w:val="229"/>
        </w:trPr>
        <w:tc>
          <w:tcPr>
            <w:tcW w:w="2410" w:type="dxa"/>
            <w:tcBorders>
              <w:top w:val="nil"/>
              <w:left w:val="nil"/>
              <w:bottom w:val="single" w:sz="4" w:space="0" w:color="auto"/>
              <w:right w:val="nil"/>
            </w:tcBorders>
            <w:shd w:val="clear" w:color="auto" w:fill="auto"/>
            <w:noWrap/>
            <w:vAlign w:val="bottom"/>
            <w:hideMark/>
          </w:tcPr>
          <w:p w14:paraId="323D62E1"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Net loss for the period</w:t>
            </w:r>
          </w:p>
        </w:tc>
        <w:tc>
          <w:tcPr>
            <w:tcW w:w="589" w:type="dxa"/>
            <w:tcBorders>
              <w:top w:val="nil"/>
              <w:left w:val="nil"/>
              <w:bottom w:val="single" w:sz="4" w:space="0" w:color="auto"/>
              <w:right w:val="nil"/>
            </w:tcBorders>
            <w:shd w:val="clear" w:color="auto" w:fill="auto"/>
            <w:vAlign w:val="bottom"/>
            <w:hideMark/>
          </w:tcPr>
          <w:p w14:paraId="780729C7"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7" w:type="dxa"/>
            <w:tcBorders>
              <w:top w:val="nil"/>
              <w:left w:val="nil"/>
              <w:bottom w:val="single" w:sz="4" w:space="0" w:color="auto"/>
              <w:right w:val="nil"/>
            </w:tcBorders>
            <w:shd w:val="clear" w:color="auto" w:fill="auto"/>
            <w:noWrap/>
            <w:vAlign w:val="bottom"/>
            <w:hideMark/>
          </w:tcPr>
          <w:p w14:paraId="45DAA18B"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single" w:sz="4" w:space="0" w:color="auto"/>
              <w:right w:val="nil"/>
            </w:tcBorders>
            <w:shd w:val="clear" w:color="auto" w:fill="auto"/>
            <w:noWrap/>
            <w:vAlign w:val="bottom"/>
            <w:hideMark/>
          </w:tcPr>
          <w:p w14:paraId="6F741AD9"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4" w:type="dxa"/>
            <w:tcBorders>
              <w:top w:val="nil"/>
              <w:left w:val="nil"/>
              <w:bottom w:val="single" w:sz="4" w:space="0" w:color="auto"/>
              <w:right w:val="nil"/>
            </w:tcBorders>
            <w:shd w:val="clear" w:color="auto" w:fill="auto"/>
            <w:noWrap/>
            <w:vAlign w:val="bottom"/>
            <w:hideMark/>
          </w:tcPr>
          <w:p w14:paraId="5436F05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single" w:sz="4" w:space="0" w:color="auto"/>
              <w:right w:val="nil"/>
            </w:tcBorders>
            <w:shd w:val="clear" w:color="auto" w:fill="auto"/>
            <w:noWrap/>
            <w:vAlign w:val="bottom"/>
            <w:hideMark/>
          </w:tcPr>
          <w:p w14:paraId="5AB0119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112" w:type="dxa"/>
            <w:tcBorders>
              <w:top w:val="nil"/>
              <w:left w:val="nil"/>
              <w:bottom w:val="single" w:sz="4" w:space="0" w:color="auto"/>
              <w:right w:val="nil"/>
            </w:tcBorders>
            <w:shd w:val="clear" w:color="auto" w:fill="auto"/>
            <w:noWrap/>
            <w:vAlign w:val="bottom"/>
            <w:hideMark/>
          </w:tcPr>
          <w:p w14:paraId="2FA0176A"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2BAF088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77" w:type="dxa"/>
            <w:tcBorders>
              <w:top w:val="nil"/>
              <w:left w:val="nil"/>
              <w:bottom w:val="single" w:sz="4" w:space="0" w:color="auto"/>
              <w:right w:val="nil"/>
            </w:tcBorders>
            <w:shd w:val="clear" w:color="auto" w:fill="auto"/>
            <w:noWrap/>
            <w:vAlign w:val="bottom"/>
            <w:hideMark/>
          </w:tcPr>
          <w:p w14:paraId="74E65C9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447BB06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956" w:type="dxa"/>
            <w:tcBorders>
              <w:top w:val="nil"/>
              <w:left w:val="nil"/>
              <w:bottom w:val="single" w:sz="4" w:space="0" w:color="auto"/>
              <w:right w:val="nil"/>
            </w:tcBorders>
            <w:shd w:val="clear" w:color="auto" w:fill="auto"/>
            <w:noWrap/>
            <w:vAlign w:val="bottom"/>
            <w:hideMark/>
          </w:tcPr>
          <w:p w14:paraId="582B3044"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314" w:type="dxa"/>
            <w:tcBorders>
              <w:top w:val="nil"/>
              <w:left w:val="nil"/>
              <w:bottom w:val="single" w:sz="4" w:space="0" w:color="auto"/>
              <w:right w:val="nil"/>
            </w:tcBorders>
            <w:shd w:val="clear" w:color="auto" w:fill="auto"/>
            <w:noWrap/>
            <w:vAlign w:val="bottom"/>
            <w:hideMark/>
          </w:tcPr>
          <w:p w14:paraId="0BE77A2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66" w:type="dxa"/>
            <w:tcBorders>
              <w:top w:val="nil"/>
              <w:left w:val="nil"/>
              <w:bottom w:val="single" w:sz="4" w:space="0" w:color="auto"/>
              <w:right w:val="nil"/>
            </w:tcBorders>
            <w:shd w:val="clear" w:color="auto" w:fill="auto"/>
            <w:noWrap/>
            <w:vAlign w:val="bottom"/>
            <w:hideMark/>
          </w:tcPr>
          <w:p w14:paraId="4A4698D0" w14:textId="5EB0B54F"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(2,</w:t>
            </w:r>
            <w:r w:rsidR="00010511">
              <w:rPr>
                <w:rFonts w:ascii="Arial" w:hAnsi="Arial" w:cs="Arial"/>
                <w:color w:val="000000"/>
                <w:sz w:val="16"/>
                <w:szCs w:val="16"/>
                <w:lang w:eastAsia="en-CA"/>
              </w:rPr>
              <w:t>144,636</w:t>
            </w:r>
            <w:r w:rsidRPr="002674CC">
              <w:rPr>
                <w:rFonts w:ascii="Arial" w:hAnsi="Arial" w:cs="Arial"/>
                <w:color w:val="000000"/>
                <w:sz w:val="16"/>
                <w:szCs w:val="16"/>
                <w:lang w:eastAsia="en-CA"/>
              </w:rPr>
              <w:t>)</w:t>
            </w:r>
          </w:p>
        </w:tc>
        <w:tc>
          <w:tcPr>
            <w:tcW w:w="314" w:type="dxa"/>
            <w:tcBorders>
              <w:top w:val="nil"/>
              <w:left w:val="nil"/>
              <w:bottom w:val="single" w:sz="4" w:space="0" w:color="auto"/>
              <w:right w:val="nil"/>
            </w:tcBorders>
            <w:shd w:val="clear" w:color="auto" w:fill="auto"/>
            <w:noWrap/>
            <w:vAlign w:val="bottom"/>
            <w:hideMark/>
          </w:tcPr>
          <w:p w14:paraId="1161518F"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468" w:type="dxa"/>
            <w:tcBorders>
              <w:top w:val="nil"/>
              <w:left w:val="nil"/>
              <w:bottom w:val="single" w:sz="4" w:space="0" w:color="auto"/>
              <w:right w:val="nil"/>
            </w:tcBorders>
            <w:shd w:val="clear" w:color="auto" w:fill="auto"/>
            <w:noWrap/>
            <w:vAlign w:val="bottom"/>
            <w:hideMark/>
          </w:tcPr>
          <w:p w14:paraId="5D82A74D"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272,082 </w:t>
            </w:r>
          </w:p>
        </w:tc>
        <w:tc>
          <w:tcPr>
            <w:tcW w:w="236" w:type="dxa"/>
            <w:tcBorders>
              <w:top w:val="nil"/>
              <w:left w:val="nil"/>
              <w:bottom w:val="single" w:sz="4" w:space="0" w:color="auto"/>
              <w:right w:val="nil"/>
            </w:tcBorders>
            <w:shd w:val="clear" w:color="auto" w:fill="auto"/>
            <w:noWrap/>
            <w:vAlign w:val="bottom"/>
            <w:hideMark/>
          </w:tcPr>
          <w:p w14:paraId="78591255"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066" w:type="dxa"/>
            <w:tcBorders>
              <w:top w:val="nil"/>
              <w:left w:val="nil"/>
              <w:bottom w:val="single" w:sz="4" w:space="0" w:color="auto"/>
              <w:right w:val="nil"/>
            </w:tcBorders>
            <w:shd w:val="clear" w:color="auto" w:fill="auto"/>
            <w:noWrap/>
            <w:vAlign w:val="bottom"/>
            <w:hideMark/>
          </w:tcPr>
          <w:p w14:paraId="0C212D29" w14:textId="577E5A3E" w:rsidR="002674CC" w:rsidRPr="002674CC" w:rsidRDefault="002F69BB" w:rsidP="002674CC">
            <w:pPr>
              <w:widowControl/>
              <w:autoSpaceDE/>
              <w:autoSpaceDN/>
              <w:adjustRightInd/>
              <w:jc w:val="right"/>
              <w:rPr>
                <w:rFonts w:ascii="Arial" w:hAnsi="Arial" w:cs="Arial"/>
                <w:color w:val="000000"/>
                <w:sz w:val="16"/>
                <w:szCs w:val="16"/>
                <w:lang w:eastAsia="en-CA"/>
              </w:rPr>
            </w:pPr>
            <w:r>
              <w:rPr>
                <w:rFonts w:ascii="Arial" w:hAnsi="Arial" w:cs="Arial"/>
                <w:color w:val="000000"/>
                <w:sz w:val="16"/>
                <w:szCs w:val="16"/>
                <w:lang w:eastAsia="en-CA"/>
              </w:rPr>
              <w:t>(</w:t>
            </w:r>
            <w:r w:rsidR="002674CC" w:rsidRPr="002674CC">
              <w:rPr>
                <w:rFonts w:ascii="Arial" w:hAnsi="Arial" w:cs="Arial"/>
                <w:color w:val="000000"/>
                <w:sz w:val="16"/>
                <w:szCs w:val="16"/>
                <w:lang w:eastAsia="en-CA"/>
              </w:rPr>
              <w:t>1,</w:t>
            </w:r>
            <w:r w:rsidR="00010511">
              <w:rPr>
                <w:rFonts w:ascii="Arial" w:hAnsi="Arial" w:cs="Arial"/>
                <w:color w:val="000000"/>
                <w:sz w:val="16"/>
                <w:szCs w:val="16"/>
                <w:lang w:eastAsia="en-CA"/>
              </w:rPr>
              <w:t>872,554</w:t>
            </w:r>
            <w:r w:rsidR="002674CC" w:rsidRPr="002674CC">
              <w:rPr>
                <w:rFonts w:ascii="Arial" w:hAnsi="Arial" w:cs="Arial"/>
                <w:color w:val="000000"/>
                <w:sz w:val="16"/>
                <w:szCs w:val="16"/>
                <w:lang w:eastAsia="en-CA"/>
              </w:rPr>
              <w:t>)</w:t>
            </w:r>
          </w:p>
        </w:tc>
      </w:tr>
      <w:tr w:rsidR="002674CC" w:rsidRPr="002674CC" w14:paraId="481855CA" w14:textId="77777777" w:rsidTr="001D2E70">
        <w:trPr>
          <w:trHeight w:val="151"/>
        </w:trPr>
        <w:tc>
          <w:tcPr>
            <w:tcW w:w="2410" w:type="dxa"/>
            <w:tcBorders>
              <w:top w:val="nil"/>
              <w:left w:val="nil"/>
              <w:bottom w:val="nil"/>
              <w:right w:val="nil"/>
            </w:tcBorders>
            <w:shd w:val="clear" w:color="auto" w:fill="auto"/>
            <w:noWrap/>
            <w:vAlign w:val="bottom"/>
            <w:hideMark/>
          </w:tcPr>
          <w:p w14:paraId="53F29F10"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p>
        </w:tc>
        <w:tc>
          <w:tcPr>
            <w:tcW w:w="589" w:type="dxa"/>
            <w:tcBorders>
              <w:top w:val="nil"/>
              <w:left w:val="nil"/>
              <w:bottom w:val="nil"/>
              <w:right w:val="nil"/>
            </w:tcBorders>
            <w:shd w:val="clear" w:color="auto" w:fill="auto"/>
            <w:vAlign w:val="bottom"/>
            <w:hideMark/>
          </w:tcPr>
          <w:p w14:paraId="1DCD0ABF" w14:textId="77777777" w:rsidR="002674CC" w:rsidRPr="002674CC" w:rsidRDefault="002674CC" w:rsidP="002674CC">
            <w:pPr>
              <w:widowControl/>
              <w:autoSpaceDE/>
              <w:autoSpaceDN/>
              <w:adjustRightInd/>
              <w:jc w:val="left"/>
              <w:rPr>
                <w:sz w:val="20"/>
                <w:szCs w:val="20"/>
                <w:lang w:eastAsia="en-CA"/>
              </w:rPr>
            </w:pPr>
          </w:p>
        </w:tc>
        <w:tc>
          <w:tcPr>
            <w:tcW w:w="1267" w:type="dxa"/>
            <w:tcBorders>
              <w:top w:val="nil"/>
              <w:left w:val="nil"/>
              <w:bottom w:val="nil"/>
              <w:right w:val="nil"/>
            </w:tcBorders>
            <w:shd w:val="clear" w:color="auto" w:fill="auto"/>
            <w:noWrap/>
            <w:vAlign w:val="bottom"/>
            <w:hideMark/>
          </w:tcPr>
          <w:p w14:paraId="5E22045F" w14:textId="77777777" w:rsidR="002674CC" w:rsidRPr="002674CC" w:rsidRDefault="002674CC" w:rsidP="002674CC">
            <w:pPr>
              <w:widowControl/>
              <w:autoSpaceDE/>
              <w:autoSpaceDN/>
              <w:adjustRightInd/>
              <w:jc w:val="right"/>
              <w:rPr>
                <w:sz w:val="20"/>
                <w:szCs w:val="20"/>
                <w:lang w:eastAsia="en-CA"/>
              </w:rPr>
            </w:pPr>
          </w:p>
        </w:tc>
        <w:tc>
          <w:tcPr>
            <w:tcW w:w="288" w:type="dxa"/>
            <w:tcBorders>
              <w:top w:val="nil"/>
              <w:left w:val="nil"/>
              <w:bottom w:val="nil"/>
              <w:right w:val="nil"/>
            </w:tcBorders>
            <w:shd w:val="clear" w:color="auto" w:fill="auto"/>
            <w:noWrap/>
            <w:vAlign w:val="bottom"/>
            <w:hideMark/>
          </w:tcPr>
          <w:p w14:paraId="5A0E992F" w14:textId="77777777" w:rsidR="002674CC" w:rsidRPr="002674CC" w:rsidRDefault="002674CC" w:rsidP="002674CC">
            <w:pPr>
              <w:widowControl/>
              <w:autoSpaceDE/>
              <w:autoSpaceDN/>
              <w:adjustRightInd/>
              <w:jc w:val="left"/>
              <w:rPr>
                <w:sz w:val="20"/>
                <w:szCs w:val="20"/>
                <w:lang w:eastAsia="en-CA"/>
              </w:rPr>
            </w:pPr>
          </w:p>
        </w:tc>
        <w:tc>
          <w:tcPr>
            <w:tcW w:w="1264" w:type="dxa"/>
            <w:tcBorders>
              <w:top w:val="nil"/>
              <w:left w:val="nil"/>
              <w:bottom w:val="nil"/>
              <w:right w:val="nil"/>
            </w:tcBorders>
            <w:shd w:val="clear" w:color="auto" w:fill="auto"/>
            <w:noWrap/>
            <w:vAlign w:val="bottom"/>
            <w:hideMark/>
          </w:tcPr>
          <w:p w14:paraId="7D1796C2" w14:textId="77777777" w:rsidR="002674CC" w:rsidRPr="002674CC" w:rsidRDefault="002674CC" w:rsidP="002674CC">
            <w:pPr>
              <w:widowControl/>
              <w:autoSpaceDE/>
              <w:autoSpaceDN/>
              <w:adjustRightInd/>
              <w:jc w:val="right"/>
              <w:rPr>
                <w:sz w:val="20"/>
                <w:szCs w:val="20"/>
                <w:lang w:eastAsia="en-CA"/>
              </w:rPr>
            </w:pPr>
          </w:p>
        </w:tc>
        <w:tc>
          <w:tcPr>
            <w:tcW w:w="288" w:type="dxa"/>
            <w:tcBorders>
              <w:top w:val="nil"/>
              <w:left w:val="nil"/>
              <w:bottom w:val="nil"/>
              <w:right w:val="nil"/>
            </w:tcBorders>
            <w:shd w:val="clear" w:color="auto" w:fill="auto"/>
            <w:noWrap/>
            <w:vAlign w:val="bottom"/>
            <w:hideMark/>
          </w:tcPr>
          <w:p w14:paraId="0CFF85E5" w14:textId="77777777" w:rsidR="002674CC" w:rsidRPr="002674CC" w:rsidRDefault="002674CC" w:rsidP="002674CC">
            <w:pPr>
              <w:widowControl/>
              <w:autoSpaceDE/>
              <w:autoSpaceDN/>
              <w:adjustRightInd/>
              <w:jc w:val="right"/>
              <w:rPr>
                <w:sz w:val="20"/>
                <w:szCs w:val="20"/>
                <w:lang w:eastAsia="en-CA"/>
              </w:rPr>
            </w:pPr>
          </w:p>
        </w:tc>
        <w:tc>
          <w:tcPr>
            <w:tcW w:w="1112" w:type="dxa"/>
            <w:tcBorders>
              <w:top w:val="nil"/>
              <w:left w:val="nil"/>
              <w:bottom w:val="nil"/>
              <w:right w:val="nil"/>
            </w:tcBorders>
            <w:shd w:val="clear" w:color="auto" w:fill="auto"/>
            <w:noWrap/>
            <w:vAlign w:val="bottom"/>
            <w:hideMark/>
          </w:tcPr>
          <w:p w14:paraId="41C04795"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0886EB1C" w14:textId="77777777" w:rsidR="002674CC" w:rsidRPr="002674CC" w:rsidRDefault="002674CC" w:rsidP="002674CC">
            <w:pPr>
              <w:widowControl/>
              <w:autoSpaceDE/>
              <w:autoSpaceDN/>
              <w:adjustRightInd/>
              <w:jc w:val="right"/>
              <w:rPr>
                <w:sz w:val="20"/>
                <w:szCs w:val="20"/>
                <w:lang w:eastAsia="en-CA"/>
              </w:rPr>
            </w:pPr>
          </w:p>
        </w:tc>
        <w:tc>
          <w:tcPr>
            <w:tcW w:w="1077" w:type="dxa"/>
            <w:tcBorders>
              <w:top w:val="nil"/>
              <w:left w:val="nil"/>
              <w:bottom w:val="nil"/>
              <w:right w:val="nil"/>
            </w:tcBorders>
            <w:shd w:val="clear" w:color="auto" w:fill="auto"/>
            <w:noWrap/>
            <w:vAlign w:val="bottom"/>
            <w:hideMark/>
          </w:tcPr>
          <w:p w14:paraId="3AF64BB1"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15C299D3" w14:textId="77777777" w:rsidR="002674CC" w:rsidRPr="002674CC" w:rsidRDefault="002674CC" w:rsidP="002674CC">
            <w:pPr>
              <w:widowControl/>
              <w:autoSpaceDE/>
              <w:autoSpaceDN/>
              <w:adjustRightInd/>
              <w:jc w:val="right"/>
              <w:rPr>
                <w:sz w:val="20"/>
                <w:szCs w:val="20"/>
                <w:lang w:eastAsia="en-CA"/>
              </w:rPr>
            </w:pPr>
          </w:p>
        </w:tc>
        <w:tc>
          <w:tcPr>
            <w:tcW w:w="956" w:type="dxa"/>
            <w:tcBorders>
              <w:top w:val="nil"/>
              <w:left w:val="nil"/>
              <w:bottom w:val="nil"/>
              <w:right w:val="nil"/>
            </w:tcBorders>
            <w:shd w:val="clear" w:color="auto" w:fill="auto"/>
            <w:noWrap/>
            <w:vAlign w:val="bottom"/>
            <w:hideMark/>
          </w:tcPr>
          <w:p w14:paraId="6593E2EE"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7575B5E6" w14:textId="77777777" w:rsidR="002674CC" w:rsidRPr="002674CC" w:rsidRDefault="002674CC" w:rsidP="002674CC">
            <w:pPr>
              <w:widowControl/>
              <w:autoSpaceDE/>
              <w:autoSpaceDN/>
              <w:adjustRightInd/>
              <w:jc w:val="right"/>
              <w:rPr>
                <w:sz w:val="20"/>
                <w:szCs w:val="20"/>
                <w:lang w:eastAsia="en-CA"/>
              </w:rPr>
            </w:pPr>
          </w:p>
        </w:tc>
        <w:tc>
          <w:tcPr>
            <w:tcW w:w="1066" w:type="dxa"/>
            <w:tcBorders>
              <w:top w:val="nil"/>
              <w:left w:val="nil"/>
              <w:bottom w:val="nil"/>
              <w:right w:val="nil"/>
            </w:tcBorders>
            <w:shd w:val="clear" w:color="auto" w:fill="auto"/>
            <w:noWrap/>
            <w:vAlign w:val="bottom"/>
            <w:hideMark/>
          </w:tcPr>
          <w:p w14:paraId="3FD038E8" w14:textId="77777777" w:rsidR="002674CC" w:rsidRPr="002674CC" w:rsidRDefault="002674CC" w:rsidP="002674CC">
            <w:pPr>
              <w:widowControl/>
              <w:autoSpaceDE/>
              <w:autoSpaceDN/>
              <w:adjustRightInd/>
              <w:jc w:val="right"/>
              <w:rPr>
                <w:sz w:val="20"/>
                <w:szCs w:val="20"/>
                <w:lang w:eastAsia="en-CA"/>
              </w:rPr>
            </w:pPr>
          </w:p>
        </w:tc>
        <w:tc>
          <w:tcPr>
            <w:tcW w:w="314" w:type="dxa"/>
            <w:tcBorders>
              <w:top w:val="nil"/>
              <w:left w:val="nil"/>
              <w:bottom w:val="nil"/>
              <w:right w:val="nil"/>
            </w:tcBorders>
            <w:shd w:val="clear" w:color="auto" w:fill="auto"/>
            <w:noWrap/>
            <w:vAlign w:val="bottom"/>
            <w:hideMark/>
          </w:tcPr>
          <w:p w14:paraId="3223FBF7" w14:textId="77777777" w:rsidR="002674CC" w:rsidRPr="002674CC" w:rsidRDefault="002674CC" w:rsidP="002674CC">
            <w:pPr>
              <w:widowControl/>
              <w:autoSpaceDE/>
              <w:autoSpaceDN/>
              <w:adjustRightInd/>
              <w:jc w:val="right"/>
              <w:rPr>
                <w:sz w:val="20"/>
                <w:szCs w:val="20"/>
                <w:lang w:eastAsia="en-CA"/>
              </w:rPr>
            </w:pPr>
          </w:p>
        </w:tc>
        <w:tc>
          <w:tcPr>
            <w:tcW w:w="1468" w:type="dxa"/>
            <w:tcBorders>
              <w:top w:val="nil"/>
              <w:left w:val="nil"/>
              <w:bottom w:val="nil"/>
              <w:right w:val="nil"/>
            </w:tcBorders>
            <w:shd w:val="clear" w:color="auto" w:fill="auto"/>
            <w:noWrap/>
            <w:vAlign w:val="bottom"/>
            <w:hideMark/>
          </w:tcPr>
          <w:p w14:paraId="29860AD9" w14:textId="77777777" w:rsidR="002674CC" w:rsidRPr="002674CC" w:rsidRDefault="002674CC" w:rsidP="002674CC">
            <w:pPr>
              <w:widowControl/>
              <w:autoSpaceDE/>
              <w:autoSpaceDN/>
              <w:adjustRightInd/>
              <w:jc w:val="right"/>
              <w:rPr>
                <w:sz w:val="20"/>
                <w:szCs w:val="20"/>
                <w:lang w:eastAsia="en-CA"/>
              </w:rPr>
            </w:pPr>
          </w:p>
        </w:tc>
        <w:tc>
          <w:tcPr>
            <w:tcW w:w="236" w:type="dxa"/>
            <w:tcBorders>
              <w:top w:val="nil"/>
              <w:left w:val="nil"/>
              <w:bottom w:val="nil"/>
              <w:right w:val="nil"/>
            </w:tcBorders>
            <w:shd w:val="clear" w:color="auto" w:fill="auto"/>
            <w:noWrap/>
            <w:vAlign w:val="bottom"/>
            <w:hideMark/>
          </w:tcPr>
          <w:p w14:paraId="165AF1B0" w14:textId="77777777" w:rsidR="002674CC" w:rsidRPr="002674CC" w:rsidRDefault="002674CC" w:rsidP="002674CC">
            <w:pPr>
              <w:widowControl/>
              <w:autoSpaceDE/>
              <w:autoSpaceDN/>
              <w:adjustRightInd/>
              <w:jc w:val="right"/>
              <w:rPr>
                <w:sz w:val="20"/>
                <w:szCs w:val="20"/>
                <w:lang w:eastAsia="en-CA"/>
              </w:rPr>
            </w:pPr>
          </w:p>
        </w:tc>
        <w:tc>
          <w:tcPr>
            <w:tcW w:w="1066" w:type="dxa"/>
            <w:tcBorders>
              <w:top w:val="nil"/>
              <w:left w:val="nil"/>
              <w:bottom w:val="nil"/>
              <w:right w:val="nil"/>
            </w:tcBorders>
            <w:shd w:val="clear" w:color="auto" w:fill="auto"/>
            <w:noWrap/>
            <w:vAlign w:val="bottom"/>
            <w:hideMark/>
          </w:tcPr>
          <w:p w14:paraId="39F6B206" w14:textId="77777777" w:rsidR="002674CC" w:rsidRPr="002674CC" w:rsidRDefault="002674CC" w:rsidP="002674CC">
            <w:pPr>
              <w:widowControl/>
              <w:autoSpaceDE/>
              <w:autoSpaceDN/>
              <w:adjustRightInd/>
              <w:jc w:val="right"/>
              <w:rPr>
                <w:sz w:val="20"/>
                <w:szCs w:val="20"/>
                <w:lang w:eastAsia="en-CA"/>
              </w:rPr>
            </w:pPr>
          </w:p>
        </w:tc>
      </w:tr>
      <w:tr w:rsidR="002674CC" w:rsidRPr="002674CC" w14:paraId="34D1353F" w14:textId="77777777" w:rsidTr="001D2E70">
        <w:trPr>
          <w:trHeight w:val="302"/>
        </w:trPr>
        <w:tc>
          <w:tcPr>
            <w:tcW w:w="2410" w:type="dxa"/>
            <w:tcBorders>
              <w:top w:val="nil"/>
              <w:left w:val="nil"/>
              <w:bottom w:val="single" w:sz="8" w:space="0" w:color="auto"/>
              <w:right w:val="nil"/>
            </w:tcBorders>
            <w:shd w:val="clear" w:color="auto" w:fill="auto"/>
            <w:noWrap/>
            <w:vAlign w:val="bottom"/>
            <w:hideMark/>
          </w:tcPr>
          <w:p w14:paraId="689FF667"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r w:rsidRPr="002674CC">
              <w:rPr>
                <w:rFonts w:ascii="Arial" w:hAnsi="Arial" w:cs="Arial"/>
                <w:b/>
                <w:bCs/>
                <w:color w:val="000000"/>
                <w:sz w:val="16"/>
                <w:szCs w:val="16"/>
                <w:lang w:eastAsia="en-CA"/>
              </w:rPr>
              <w:t>Balance, June 30, 2021</w:t>
            </w:r>
          </w:p>
        </w:tc>
        <w:tc>
          <w:tcPr>
            <w:tcW w:w="589" w:type="dxa"/>
            <w:tcBorders>
              <w:top w:val="nil"/>
              <w:left w:val="nil"/>
              <w:bottom w:val="single" w:sz="8" w:space="0" w:color="auto"/>
              <w:right w:val="nil"/>
            </w:tcBorders>
            <w:shd w:val="clear" w:color="auto" w:fill="auto"/>
            <w:vAlign w:val="bottom"/>
            <w:hideMark/>
          </w:tcPr>
          <w:p w14:paraId="5BBCCD52" w14:textId="77777777" w:rsidR="002674CC" w:rsidRPr="002674CC" w:rsidRDefault="002674CC" w:rsidP="002674CC">
            <w:pPr>
              <w:widowControl/>
              <w:autoSpaceDE/>
              <w:autoSpaceDN/>
              <w:adjustRightInd/>
              <w:jc w:val="left"/>
              <w:rPr>
                <w:rFonts w:ascii="Arial" w:hAnsi="Arial" w:cs="Arial"/>
                <w:b/>
                <w:bCs/>
                <w:color w:val="000000"/>
                <w:sz w:val="16"/>
                <w:szCs w:val="16"/>
                <w:lang w:eastAsia="en-CA"/>
              </w:rPr>
            </w:pPr>
            <w:r w:rsidRPr="002674CC">
              <w:rPr>
                <w:rFonts w:ascii="Arial" w:hAnsi="Arial" w:cs="Arial"/>
                <w:b/>
                <w:bCs/>
                <w:color w:val="000000"/>
                <w:sz w:val="16"/>
                <w:szCs w:val="16"/>
                <w:lang w:eastAsia="en-CA"/>
              </w:rPr>
              <w:t> </w:t>
            </w:r>
          </w:p>
        </w:tc>
        <w:tc>
          <w:tcPr>
            <w:tcW w:w="1267" w:type="dxa"/>
            <w:tcBorders>
              <w:top w:val="nil"/>
              <w:left w:val="nil"/>
              <w:bottom w:val="single" w:sz="8" w:space="0" w:color="auto"/>
              <w:right w:val="nil"/>
            </w:tcBorders>
            <w:shd w:val="clear" w:color="auto" w:fill="auto"/>
            <w:noWrap/>
            <w:vAlign w:val="bottom"/>
            <w:hideMark/>
          </w:tcPr>
          <w:p w14:paraId="751D9EF3"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   </w:t>
            </w:r>
          </w:p>
        </w:tc>
        <w:tc>
          <w:tcPr>
            <w:tcW w:w="288" w:type="dxa"/>
            <w:tcBorders>
              <w:top w:val="nil"/>
              <w:left w:val="nil"/>
              <w:bottom w:val="single" w:sz="8" w:space="0" w:color="auto"/>
              <w:right w:val="nil"/>
            </w:tcBorders>
            <w:shd w:val="clear" w:color="auto" w:fill="auto"/>
            <w:noWrap/>
            <w:vAlign w:val="bottom"/>
            <w:hideMark/>
          </w:tcPr>
          <w:p w14:paraId="0C67BA28" w14:textId="77777777" w:rsidR="002674CC" w:rsidRPr="002674CC" w:rsidRDefault="002674CC" w:rsidP="002674CC">
            <w:pPr>
              <w:widowControl/>
              <w:autoSpaceDE/>
              <w:autoSpaceDN/>
              <w:adjustRightInd/>
              <w:jc w:val="lef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264" w:type="dxa"/>
            <w:tcBorders>
              <w:top w:val="nil"/>
              <w:left w:val="nil"/>
              <w:bottom w:val="single" w:sz="8" w:space="0" w:color="auto"/>
              <w:right w:val="nil"/>
            </w:tcBorders>
            <w:shd w:val="clear" w:color="auto" w:fill="auto"/>
            <w:noWrap/>
            <w:vAlign w:val="bottom"/>
            <w:hideMark/>
          </w:tcPr>
          <w:p w14:paraId="025D36F9"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59,865,526 </w:t>
            </w:r>
          </w:p>
        </w:tc>
        <w:tc>
          <w:tcPr>
            <w:tcW w:w="288" w:type="dxa"/>
            <w:tcBorders>
              <w:top w:val="nil"/>
              <w:left w:val="nil"/>
              <w:bottom w:val="single" w:sz="8" w:space="0" w:color="auto"/>
              <w:right w:val="nil"/>
            </w:tcBorders>
            <w:shd w:val="clear" w:color="auto" w:fill="auto"/>
            <w:noWrap/>
            <w:vAlign w:val="bottom"/>
            <w:hideMark/>
          </w:tcPr>
          <w:p w14:paraId="4D12A8E7"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p>
        </w:tc>
        <w:tc>
          <w:tcPr>
            <w:tcW w:w="1112" w:type="dxa"/>
            <w:tcBorders>
              <w:top w:val="nil"/>
              <w:left w:val="nil"/>
              <w:bottom w:val="single" w:sz="8" w:space="0" w:color="auto"/>
              <w:right w:val="nil"/>
            </w:tcBorders>
            <w:shd w:val="clear" w:color="auto" w:fill="auto"/>
            <w:noWrap/>
            <w:vAlign w:val="bottom"/>
            <w:hideMark/>
          </w:tcPr>
          <w:p w14:paraId="5FE67378" w14:textId="3B0BB72C"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259,913 </w:t>
            </w:r>
          </w:p>
        </w:tc>
        <w:tc>
          <w:tcPr>
            <w:tcW w:w="314" w:type="dxa"/>
            <w:tcBorders>
              <w:top w:val="nil"/>
              <w:left w:val="nil"/>
              <w:bottom w:val="single" w:sz="8" w:space="0" w:color="auto"/>
              <w:right w:val="nil"/>
            </w:tcBorders>
            <w:shd w:val="clear" w:color="auto" w:fill="auto"/>
            <w:noWrap/>
            <w:vAlign w:val="bottom"/>
            <w:hideMark/>
          </w:tcPr>
          <w:p w14:paraId="26E8B35D" w14:textId="4B7EDE96"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1077" w:type="dxa"/>
            <w:tcBorders>
              <w:top w:val="nil"/>
              <w:left w:val="nil"/>
              <w:bottom w:val="single" w:sz="8" w:space="0" w:color="auto"/>
              <w:right w:val="nil"/>
            </w:tcBorders>
            <w:shd w:val="clear" w:color="auto" w:fill="auto"/>
            <w:noWrap/>
            <w:vAlign w:val="bottom"/>
            <w:hideMark/>
          </w:tcPr>
          <w:p w14:paraId="4835B86C" w14:textId="752C537E"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11,537,629 </w:t>
            </w:r>
          </w:p>
        </w:tc>
        <w:tc>
          <w:tcPr>
            <w:tcW w:w="314" w:type="dxa"/>
            <w:tcBorders>
              <w:top w:val="nil"/>
              <w:left w:val="nil"/>
              <w:bottom w:val="single" w:sz="8" w:space="0" w:color="auto"/>
              <w:right w:val="nil"/>
            </w:tcBorders>
            <w:shd w:val="clear" w:color="auto" w:fill="auto"/>
            <w:noWrap/>
            <w:vAlign w:val="bottom"/>
            <w:hideMark/>
          </w:tcPr>
          <w:p w14:paraId="4FF0E592" w14:textId="408C0262"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956" w:type="dxa"/>
            <w:tcBorders>
              <w:top w:val="nil"/>
              <w:left w:val="nil"/>
              <w:bottom w:val="single" w:sz="8" w:space="0" w:color="auto"/>
              <w:right w:val="nil"/>
            </w:tcBorders>
            <w:shd w:val="clear" w:color="auto" w:fill="auto"/>
            <w:noWrap/>
            <w:vAlign w:val="bottom"/>
            <w:hideMark/>
          </w:tcPr>
          <w:p w14:paraId="67A3DFD0"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570,083 </w:t>
            </w:r>
          </w:p>
        </w:tc>
        <w:tc>
          <w:tcPr>
            <w:tcW w:w="314" w:type="dxa"/>
            <w:tcBorders>
              <w:top w:val="nil"/>
              <w:left w:val="nil"/>
              <w:bottom w:val="single" w:sz="8" w:space="0" w:color="auto"/>
              <w:right w:val="nil"/>
            </w:tcBorders>
            <w:shd w:val="clear" w:color="auto" w:fill="auto"/>
            <w:noWrap/>
            <w:vAlign w:val="bottom"/>
            <w:hideMark/>
          </w:tcPr>
          <w:p w14:paraId="14CE1D3C" w14:textId="56443BF2"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p>
        </w:tc>
        <w:tc>
          <w:tcPr>
            <w:tcW w:w="1066" w:type="dxa"/>
            <w:tcBorders>
              <w:top w:val="nil"/>
              <w:left w:val="nil"/>
              <w:bottom w:val="single" w:sz="8" w:space="0" w:color="auto"/>
              <w:right w:val="nil"/>
            </w:tcBorders>
            <w:shd w:val="clear" w:color="auto" w:fill="auto"/>
            <w:noWrap/>
            <w:vAlign w:val="bottom"/>
            <w:hideMark/>
          </w:tcPr>
          <w:p w14:paraId="42444523" w14:textId="27589BB5"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(4,</w:t>
            </w:r>
            <w:r w:rsidR="00010511">
              <w:rPr>
                <w:rFonts w:ascii="Arial" w:hAnsi="Arial" w:cs="Arial"/>
                <w:color w:val="000000"/>
                <w:sz w:val="16"/>
                <w:szCs w:val="16"/>
                <w:lang w:eastAsia="en-CA"/>
              </w:rPr>
              <w:t>392,305</w:t>
            </w:r>
            <w:r w:rsidRPr="002674CC">
              <w:rPr>
                <w:rFonts w:ascii="Arial" w:hAnsi="Arial" w:cs="Arial"/>
                <w:color w:val="000000"/>
                <w:sz w:val="16"/>
                <w:szCs w:val="16"/>
                <w:lang w:eastAsia="en-CA"/>
              </w:rPr>
              <w:t>)</w:t>
            </w:r>
          </w:p>
        </w:tc>
        <w:tc>
          <w:tcPr>
            <w:tcW w:w="314" w:type="dxa"/>
            <w:tcBorders>
              <w:top w:val="nil"/>
              <w:left w:val="nil"/>
              <w:bottom w:val="single" w:sz="8" w:space="0" w:color="auto"/>
              <w:right w:val="nil"/>
            </w:tcBorders>
            <w:shd w:val="clear" w:color="auto" w:fill="auto"/>
            <w:noWrap/>
            <w:vAlign w:val="bottom"/>
            <w:hideMark/>
          </w:tcPr>
          <w:p w14:paraId="501D2E59" w14:textId="703F08CE" w:rsidR="002674CC" w:rsidRPr="002674CC" w:rsidRDefault="008A3203" w:rsidP="002674CC">
            <w:pPr>
              <w:widowControl/>
              <w:autoSpaceDE/>
              <w:autoSpaceDN/>
              <w:adjustRightInd/>
              <w:jc w:val="right"/>
              <w:rPr>
                <w:rFonts w:ascii="Arial" w:hAnsi="Arial" w:cs="Arial"/>
                <w:color w:val="000000"/>
                <w:sz w:val="16"/>
                <w:szCs w:val="16"/>
                <w:lang w:eastAsia="en-CA"/>
              </w:rPr>
            </w:pPr>
            <w:r>
              <w:rPr>
                <w:rFonts w:ascii="Arial" w:hAnsi="Arial" w:cs="Arial"/>
                <w:color w:val="000000"/>
                <w:sz w:val="16"/>
                <w:szCs w:val="16"/>
                <w:lang w:eastAsia="en-CA"/>
              </w:rPr>
              <w:t>$</w:t>
            </w:r>
            <w:r w:rsidR="002674CC" w:rsidRPr="002674CC">
              <w:rPr>
                <w:rFonts w:ascii="Arial" w:hAnsi="Arial" w:cs="Arial"/>
                <w:color w:val="000000"/>
                <w:sz w:val="16"/>
                <w:szCs w:val="16"/>
                <w:lang w:eastAsia="en-CA"/>
              </w:rPr>
              <w:t xml:space="preserve"> </w:t>
            </w:r>
          </w:p>
        </w:tc>
        <w:tc>
          <w:tcPr>
            <w:tcW w:w="1468" w:type="dxa"/>
            <w:tcBorders>
              <w:top w:val="nil"/>
              <w:left w:val="nil"/>
              <w:bottom w:val="single" w:sz="8" w:space="0" w:color="auto"/>
              <w:right w:val="nil"/>
            </w:tcBorders>
            <w:shd w:val="clear" w:color="auto" w:fill="auto"/>
            <w:noWrap/>
            <w:vAlign w:val="bottom"/>
            <w:hideMark/>
          </w:tcPr>
          <w:p w14:paraId="0A87F5FC" w14:textId="77777777"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341,926 </w:t>
            </w:r>
          </w:p>
        </w:tc>
        <w:tc>
          <w:tcPr>
            <w:tcW w:w="236" w:type="dxa"/>
            <w:tcBorders>
              <w:top w:val="nil"/>
              <w:left w:val="nil"/>
              <w:bottom w:val="single" w:sz="8" w:space="0" w:color="auto"/>
              <w:right w:val="nil"/>
            </w:tcBorders>
            <w:shd w:val="clear" w:color="auto" w:fill="auto"/>
            <w:noWrap/>
            <w:vAlign w:val="bottom"/>
            <w:hideMark/>
          </w:tcPr>
          <w:p w14:paraId="1CF47C5F" w14:textId="0BE66211"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w:t>
            </w:r>
            <w:r w:rsidR="00EB16F3">
              <w:rPr>
                <w:rFonts w:ascii="Arial" w:hAnsi="Arial" w:cs="Arial"/>
                <w:color w:val="000000"/>
                <w:sz w:val="16"/>
                <w:szCs w:val="16"/>
                <w:lang w:eastAsia="en-CA"/>
              </w:rPr>
              <w:t>$</w:t>
            </w:r>
          </w:p>
        </w:tc>
        <w:tc>
          <w:tcPr>
            <w:tcW w:w="1066" w:type="dxa"/>
            <w:tcBorders>
              <w:top w:val="nil"/>
              <w:left w:val="nil"/>
              <w:bottom w:val="single" w:sz="8" w:space="0" w:color="auto"/>
              <w:right w:val="nil"/>
            </w:tcBorders>
            <w:shd w:val="clear" w:color="auto" w:fill="auto"/>
            <w:noWrap/>
            <w:vAlign w:val="bottom"/>
            <w:hideMark/>
          </w:tcPr>
          <w:p w14:paraId="6A540859" w14:textId="2CD08212" w:rsidR="002674CC" w:rsidRPr="002674CC" w:rsidRDefault="002674CC" w:rsidP="002674CC">
            <w:pPr>
              <w:widowControl/>
              <w:autoSpaceDE/>
              <w:autoSpaceDN/>
              <w:adjustRightInd/>
              <w:jc w:val="right"/>
              <w:rPr>
                <w:rFonts w:ascii="Arial" w:hAnsi="Arial" w:cs="Arial"/>
                <w:color w:val="000000"/>
                <w:sz w:val="16"/>
                <w:szCs w:val="16"/>
                <w:lang w:eastAsia="en-CA"/>
              </w:rPr>
            </w:pPr>
            <w:r w:rsidRPr="002674CC">
              <w:rPr>
                <w:rFonts w:ascii="Arial" w:hAnsi="Arial" w:cs="Arial"/>
                <w:color w:val="000000"/>
                <w:sz w:val="16"/>
                <w:szCs w:val="16"/>
                <w:lang w:eastAsia="en-CA"/>
              </w:rPr>
              <w:t xml:space="preserve">  </w:t>
            </w:r>
            <w:r w:rsidR="00010511">
              <w:rPr>
                <w:rFonts w:ascii="Arial" w:hAnsi="Arial" w:cs="Arial"/>
                <w:color w:val="000000"/>
                <w:sz w:val="16"/>
                <w:szCs w:val="16"/>
                <w:lang w:eastAsia="en-CA"/>
              </w:rPr>
              <w:t>8,057,333</w:t>
            </w:r>
            <w:r w:rsidRPr="002674CC">
              <w:rPr>
                <w:rFonts w:ascii="Arial" w:hAnsi="Arial" w:cs="Arial"/>
                <w:color w:val="000000"/>
                <w:sz w:val="16"/>
                <w:szCs w:val="16"/>
                <w:lang w:eastAsia="en-CA"/>
              </w:rPr>
              <w:t xml:space="preserve"> </w:t>
            </w:r>
          </w:p>
        </w:tc>
      </w:tr>
    </w:tbl>
    <w:p w14:paraId="5C2101B7" w14:textId="77777777" w:rsidR="00C24597" w:rsidRDefault="00C24597" w:rsidP="00C24597">
      <w:pPr>
        <w:jc w:val="center"/>
        <w:rPr>
          <w:sz w:val="20"/>
          <w:szCs w:val="20"/>
        </w:rPr>
      </w:pPr>
    </w:p>
    <w:p w14:paraId="794BB201" w14:textId="77777777" w:rsidR="00C24597" w:rsidRDefault="00C24597" w:rsidP="00C24597">
      <w:pPr>
        <w:rPr>
          <w:sz w:val="20"/>
          <w:szCs w:val="20"/>
        </w:rPr>
      </w:pPr>
    </w:p>
    <w:p w14:paraId="67F8B91C" w14:textId="77777777" w:rsidR="00C24597" w:rsidRDefault="00C24597" w:rsidP="00C24597">
      <w:pPr>
        <w:rPr>
          <w:sz w:val="20"/>
          <w:szCs w:val="20"/>
        </w:rPr>
      </w:pPr>
    </w:p>
    <w:p w14:paraId="48BC5ABF" w14:textId="77777777" w:rsidR="00EA78C6" w:rsidRDefault="00EA78C6" w:rsidP="00C24597">
      <w:pPr>
        <w:rPr>
          <w:sz w:val="20"/>
          <w:szCs w:val="20"/>
        </w:rPr>
      </w:pPr>
    </w:p>
    <w:p w14:paraId="7857CBF2" w14:textId="77777777" w:rsidR="00EA78C6" w:rsidRDefault="00EA78C6" w:rsidP="00C24597">
      <w:pPr>
        <w:rPr>
          <w:sz w:val="20"/>
          <w:szCs w:val="20"/>
        </w:rPr>
      </w:pPr>
    </w:p>
    <w:p w14:paraId="5B37FB9F" w14:textId="77777777" w:rsidR="00EA78C6" w:rsidRDefault="00EA78C6" w:rsidP="00C24597">
      <w:pPr>
        <w:rPr>
          <w:sz w:val="20"/>
          <w:szCs w:val="20"/>
        </w:rPr>
      </w:pPr>
    </w:p>
    <w:p w14:paraId="0DBCF495" w14:textId="77777777" w:rsidR="00EA78C6" w:rsidRDefault="00EA78C6" w:rsidP="00C24597">
      <w:pPr>
        <w:rPr>
          <w:sz w:val="20"/>
          <w:szCs w:val="20"/>
        </w:rPr>
      </w:pPr>
    </w:p>
    <w:p w14:paraId="24FFA83C" w14:textId="77777777" w:rsidR="00EA78C6" w:rsidRDefault="00EA78C6" w:rsidP="00C24597">
      <w:pPr>
        <w:rPr>
          <w:sz w:val="20"/>
          <w:szCs w:val="20"/>
        </w:rPr>
      </w:pPr>
    </w:p>
    <w:p w14:paraId="7EE5D0CC" w14:textId="77777777" w:rsidR="00EA78C6" w:rsidRDefault="00EA78C6" w:rsidP="00C24597">
      <w:pPr>
        <w:rPr>
          <w:sz w:val="20"/>
          <w:szCs w:val="20"/>
        </w:rPr>
      </w:pPr>
    </w:p>
    <w:p w14:paraId="51881B7E" w14:textId="77777777" w:rsidR="00EA78C6" w:rsidRDefault="00EA78C6" w:rsidP="00C24597">
      <w:pPr>
        <w:rPr>
          <w:sz w:val="20"/>
          <w:szCs w:val="20"/>
        </w:rPr>
      </w:pPr>
    </w:p>
    <w:p w14:paraId="6D939480" w14:textId="77777777" w:rsidR="00EA78C6" w:rsidRDefault="00EA78C6" w:rsidP="00C24597">
      <w:pPr>
        <w:rPr>
          <w:sz w:val="20"/>
          <w:szCs w:val="20"/>
        </w:rPr>
      </w:pPr>
    </w:p>
    <w:p w14:paraId="51B4E9A3" w14:textId="77777777" w:rsidR="00C24597" w:rsidRDefault="00C24597" w:rsidP="00C24597">
      <w:pPr>
        <w:rPr>
          <w:sz w:val="20"/>
          <w:szCs w:val="20"/>
        </w:rPr>
      </w:pPr>
    </w:p>
    <w:p w14:paraId="2473E4DD" w14:textId="77777777" w:rsidR="00C24597" w:rsidRDefault="00C24597" w:rsidP="00C24597">
      <w:pPr>
        <w:jc w:val="center"/>
        <w:rPr>
          <w:sz w:val="20"/>
          <w:szCs w:val="20"/>
        </w:rPr>
      </w:pPr>
      <w:r w:rsidRPr="00535FCE">
        <w:rPr>
          <w:rFonts w:ascii="Arial" w:hAnsi="Arial" w:cs="Arial"/>
          <w:i/>
          <w:iCs/>
          <w:sz w:val="20"/>
          <w:szCs w:val="20"/>
        </w:rPr>
        <w:t xml:space="preserve">The accompanying notes are an integral part of these </w:t>
      </w:r>
      <w:r w:rsidR="003A4F94">
        <w:rPr>
          <w:rFonts w:ascii="Arial" w:hAnsi="Arial" w:cs="Arial"/>
          <w:i/>
          <w:iCs/>
          <w:sz w:val="20"/>
          <w:szCs w:val="20"/>
        </w:rPr>
        <w:t>c</w:t>
      </w:r>
      <w:r w:rsidR="00A11BD9">
        <w:rPr>
          <w:rFonts w:ascii="Arial" w:hAnsi="Arial" w:cs="Arial"/>
          <w:i/>
          <w:iCs/>
          <w:sz w:val="20"/>
          <w:szCs w:val="20"/>
        </w:rPr>
        <w:t xml:space="preserve">ondensed </w:t>
      </w:r>
      <w:r w:rsidR="003A4F94">
        <w:rPr>
          <w:rFonts w:ascii="Arial" w:hAnsi="Arial" w:cs="Arial"/>
          <w:i/>
          <w:iCs/>
          <w:sz w:val="20"/>
          <w:szCs w:val="20"/>
        </w:rPr>
        <w:t>c</w:t>
      </w:r>
      <w:r w:rsidR="00A11BD9">
        <w:rPr>
          <w:rFonts w:ascii="Arial" w:hAnsi="Arial" w:cs="Arial"/>
          <w:i/>
          <w:iCs/>
          <w:sz w:val="20"/>
          <w:szCs w:val="20"/>
        </w:rPr>
        <w:t xml:space="preserve">onsolidated </w:t>
      </w:r>
      <w:r w:rsidR="003A4F94">
        <w:rPr>
          <w:rFonts w:ascii="Arial" w:hAnsi="Arial" w:cs="Arial"/>
          <w:i/>
          <w:iCs/>
          <w:sz w:val="20"/>
          <w:szCs w:val="20"/>
        </w:rPr>
        <w:t>i</w:t>
      </w:r>
      <w:r w:rsidR="00A11BD9">
        <w:rPr>
          <w:rFonts w:ascii="Arial" w:hAnsi="Arial" w:cs="Arial"/>
          <w:i/>
          <w:iCs/>
          <w:sz w:val="20"/>
          <w:szCs w:val="20"/>
        </w:rPr>
        <w:t>nterim</w:t>
      </w:r>
      <w:r w:rsidRPr="00535FCE">
        <w:rPr>
          <w:rFonts w:ascii="Arial" w:hAnsi="Arial" w:cs="Arial"/>
          <w:i/>
          <w:iCs/>
          <w:sz w:val="20"/>
          <w:szCs w:val="20"/>
        </w:rPr>
        <w:t xml:space="preserve"> financial statements.</w:t>
      </w:r>
    </w:p>
    <w:p w14:paraId="0D1FB32D" w14:textId="77777777" w:rsidR="00C24597" w:rsidRDefault="00C24597" w:rsidP="00C24597">
      <w:pPr>
        <w:rPr>
          <w:sz w:val="20"/>
          <w:szCs w:val="20"/>
        </w:rPr>
        <w:sectPr w:rsidR="00C24597" w:rsidSect="002674CC">
          <w:endnotePr>
            <w:numFmt w:val="decimal"/>
          </w:endnotePr>
          <w:pgSz w:w="15840" w:h="12240" w:orient="landscape" w:code="1"/>
          <w:pgMar w:top="680" w:right="1239" w:bottom="113" w:left="1134" w:header="340" w:footer="578" w:gutter="0"/>
          <w:cols w:space="720"/>
          <w:noEndnote/>
          <w:docGrid w:linePitch="299"/>
        </w:sectPr>
      </w:pPr>
    </w:p>
    <w:p w14:paraId="1429845E" w14:textId="77777777" w:rsidR="00C24597" w:rsidRPr="00004257" w:rsidRDefault="00990AF5" w:rsidP="00C24597">
      <w:pPr>
        <w:widowControl/>
        <w:tabs>
          <w:tab w:val="left" w:pos="720"/>
          <w:tab w:val="decimal" w:pos="8880"/>
        </w:tabs>
        <w:outlineLvl w:val="0"/>
        <w:rPr>
          <w:rFonts w:ascii="Arial" w:hAnsi="Arial" w:cs="Arial"/>
          <w:b/>
          <w:bCs/>
          <w:sz w:val="20"/>
          <w:szCs w:val="20"/>
        </w:rPr>
      </w:pPr>
      <w:r>
        <w:rPr>
          <w:rFonts w:ascii="Arial" w:hAnsi="Arial" w:cs="Arial"/>
          <w:b/>
          <w:bCs/>
          <w:sz w:val="20"/>
          <w:szCs w:val="20"/>
        </w:rPr>
        <w:lastRenderedPageBreak/>
        <w:t xml:space="preserve">DELIC HOLDINGS INC. </w:t>
      </w:r>
    </w:p>
    <w:p w14:paraId="17C7B469" w14:textId="77777777" w:rsidR="00C24597" w:rsidRPr="00004257" w:rsidRDefault="00A11BD9" w:rsidP="00C24597">
      <w:pPr>
        <w:widowControl/>
        <w:tabs>
          <w:tab w:val="left" w:pos="720"/>
          <w:tab w:val="decimal" w:pos="8880"/>
        </w:tabs>
        <w:outlineLvl w:val="0"/>
        <w:rPr>
          <w:rFonts w:ascii="Arial" w:hAnsi="Arial" w:cs="Arial"/>
          <w:b/>
          <w:bCs/>
          <w:sz w:val="20"/>
          <w:szCs w:val="20"/>
        </w:rPr>
      </w:pPr>
      <w:r>
        <w:rPr>
          <w:rFonts w:ascii="Arial" w:hAnsi="Arial" w:cs="Arial"/>
          <w:b/>
          <w:bCs/>
          <w:sz w:val="20"/>
          <w:szCs w:val="20"/>
        </w:rPr>
        <w:t>Condensed Consolidated Interim</w:t>
      </w:r>
      <w:r w:rsidR="007D61A7">
        <w:rPr>
          <w:rFonts w:ascii="Arial" w:hAnsi="Arial" w:cs="Arial"/>
          <w:b/>
          <w:bCs/>
          <w:sz w:val="20"/>
          <w:szCs w:val="20"/>
        </w:rPr>
        <w:t xml:space="preserve"> </w:t>
      </w:r>
      <w:r w:rsidR="00C24597" w:rsidRPr="00004257">
        <w:rPr>
          <w:rFonts w:ascii="Arial" w:hAnsi="Arial" w:cs="Arial"/>
          <w:b/>
          <w:bCs/>
          <w:sz w:val="20"/>
          <w:szCs w:val="20"/>
        </w:rPr>
        <w:t>Statements of Cash Flows</w:t>
      </w:r>
    </w:p>
    <w:p w14:paraId="6360E4B4" w14:textId="77777777" w:rsidR="00C24597" w:rsidRPr="00004257" w:rsidRDefault="00C24597" w:rsidP="00C24597">
      <w:pPr>
        <w:widowControl/>
        <w:tabs>
          <w:tab w:val="left" w:pos="720"/>
          <w:tab w:val="decimal" w:pos="8880"/>
        </w:tabs>
        <w:outlineLvl w:val="0"/>
        <w:rPr>
          <w:rFonts w:ascii="Arial" w:hAnsi="Arial" w:cs="Arial"/>
          <w:bCs/>
          <w:sz w:val="20"/>
          <w:szCs w:val="20"/>
        </w:rPr>
      </w:pPr>
      <w:r w:rsidRPr="00004257">
        <w:rPr>
          <w:rFonts w:ascii="Arial" w:hAnsi="Arial" w:cs="Arial"/>
          <w:bCs/>
          <w:sz w:val="20"/>
          <w:szCs w:val="20"/>
        </w:rPr>
        <w:t>(</w:t>
      </w:r>
      <w:r w:rsidR="00AD3808">
        <w:rPr>
          <w:rFonts w:ascii="Arial" w:hAnsi="Arial" w:cs="Arial"/>
          <w:bCs/>
          <w:sz w:val="20"/>
          <w:szCs w:val="20"/>
        </w:rPr>
        <w:t xml:space="preserve">Unaudited - </w:t>
      </w:r>
      <w:r w:rsidR="00990AF5">
        <w:rPr>
          <w:rFonts w:ascii="Arial" w:hAnsi="Arial" w:cs="Arial"/>
          <w:bCs/>
          <w:sz w:val="20"/>
          <w:szCs w:val="20"/>
        </w:rPr>
        <w:t xml:space="preserve">Expressed </w:t>
      </w:r>
      <w:r w:rsidRPr="00004257">
        <w:rPr>
          <w:rFonts w:ascii="Arial" w:hAnsi="Arial" w:cs="Arial"/>
          <w:bCs/>
          <w:sz w:val="20"/>
          <w:szCs w:val="20"/>
        </w:rPr>
        <w:t xml:space="preserve">in </w:t>
      </w:r>
      <w:r w:rsidR="008F7BAF">
        <w:rPr>
          <w:rFonts w:ascii="Arial" w:hAnsi="Arial" w:cs="Arial"/>
          <w:bCs/>
          <w:sz w:val="20"/>
          <w:szCs w:val="20"/>
        </w:rPr>
        <w:t>US</w:t>
      </w:r>
      <w:r w:rsidRPr="00004257">
        <w:rPr>
          <w:rFonts w:ascii="Arial" w:hAnsi="Arial" w:cs="Arial"/>
          <w:bCs/>
          <w:sz w:val="20"/>
          <w:szCs w:val="20"/>
        </w:rPr>
        <w:t xml:space="preserve"> Dollars)</w:t>
      </w:r>
    </w:p>
    <w:tbl>
      <w:tblPr>
        <w:tblW w:w="5485" w:type="pct"/>
        <w:jc w:val="center"/>
        <w:tblLook w:val="04A0" w:firstRow="1" w:lastRow="0" w:firstColumn="1" w:lastColumn="0" w:noHBand="0" w:noVBand="1"/>
      </w:tblPr>
      <w:tblGrid>
        <w:gridCol w:w="10797"/>
        <w:gridCol w:w="222"/>
        <w:gridCol w:w="222"/>
      </w:tblGrid>
      <w:tr w:rsidR="008C1A34" w:rsidRPr="008C1A34" w14:paraId="1B5AD009" w14:textId="77777777" w:rsidTr="004C6B7D">
        <w:trPr>
          <w:trHeight w:val="16"/>
          <w:jc w:val="center"/>
        </w:trPr>
        <w:tc>
          <w:tcPr>
            <w:tcW w:w="4782" w:type="pct"/>
            <w:tcBorders>
              <w:top w:val="nil"/>
              <w:left w:val="nil"/>
              <w:bottom w:val="nil"/>
              <w:right w:val="nil"/>
            </w:tcBorders>
            <w:noWrap/>
            <w:vAlign w:val="center"/>
          </w:tcPr>
          <w:p w14:paraId="1C5C9290" w14:textId="77777777" w:rsidR="008C1A34" w:rsidRDefault="008C1A34" w:rsidP="008C1A34">
            <w:pPr>
              <w:widowControl/>
              <w:autoSpaceDE/>
              <w:autoSpaceDN/>
              <w:adjustRightInd/>
              <w:jc w:val="left"/>
              <w:rPr>
                <w:rFonts w:ascii="Arial" w:eastAsia="PMingLiU" w:hAnsi="Arial" w:cs="Arial"/>
                <w:b/>
                <w:bCs/>
                <w:color w:val="000000"/>
                <w:sz w:val="20"/>
                <w:szCs w:val="20"/>
                <w:lang w:eastAsia="en-CA"/>
              </w:rPr>
            </w:pPr>
          </w:p>
          <w:tbl>
            <w:tblPr>
              <w:tblW w:w="10571" w:type="dxa"/>
              <w:tblInd w:w="10" w:type="dxa"/>
              <w:tblLook w:val="04A0" w:firstRow="1" w:lastRow="0" w:firstColumn="1" w:lastColumn="0" w:noHBand="0" w:noVBand="1"/>
            </w:tblPr>
            <w:tblGrid>
              <w:gridCol w:w="6345"/>
              <w:gridCol w:w="412"/>
              <w:gridCol w:w="1700"/>
              <w:gridCol w:w="412"/>
              <w:gridCol w:w="1702"/>
            </w:tblGrid>
            <w:tr w:rsidR="004C6B7D" w:rsidRPr="004C6B7D" w14:paraId="5E55AA8D" w14:textId="77777777" w:rsidTr="004C6B7D">
              <w:trPr>
                <w:trHeight w:val="180"/>
              </w:trPr>
              <w:tc>
                <w:tcPr>
                  <w:tcW w:w="6345" w:type="dxa"/>
                  <w:tcBorders>
                    <w:top w:val="nil"/>
                    <w:left w:val="nil"/>
                    <w:bottom w:val="nil"/>
                    <w:right w:val="nil"/>
                  </w:tcBorders>
                  <w:shd w:val="clear" w:color="auto" w:fill="auto"/>
                  <w:vAlign w:val="center"/>
                  <w:hideMark/>
                </w:tcPr>
                <w:p w14:paraId="437F2EA0" w14:textId="77777777" w:rsidR="004C6B7D" w:rsidRPr="004C6B7D" w:rsidRDefault="004C6B7D" w:rsidP="004C6B7D">
                  <w:pPr>
                    <w:widowControl/>
                    <w:autoSpaceDE/>
                    <w:autoSpaceDN/>
                    <w:adjustRightInd/>
                    <w:jc w:val="left"/>
                    <w:rPr>
                      <w:sz w:val="24"/>
                      <w:szCs w:val="20"/>
                      <w:lang w:eastAsia="en-CA"/>
                    </w:rPr>
                  </w:pPr>
                </w:p>
              </w:tc>
              <w:tc>
                <w:tcPr>
                  <w:tcW w:w="412" w:type="dxa"/>
                  <w:tcBorders>
                    <w:top w:val="nil"/>
                    <w:left w:val="nil"/>
                    <w:bottom w:val="nil"/>
                    <w:right w:val="nil"/>
                  </w:tcBorders>
                  <w:shd w:val="clear" w:color="auto" w:fill="auto"/>
                  <w:vAlign w:val="center"/>
                  <w:hideMark/>
                </w:tcPr>
                <w:p w14:paraId="012C7F2E" w14:textId="77777777" w:rsidR="004C6B7D" w:rsidRPr="004C6B7D" w:rsidRDefault="004C6B7D" w:rsidP="004C6B7D">
                  <w:pPr>
                    <w:widowControl/>
                    <w:autoSpaceDE/>
                    <w:autoSpaceDN/>
                    <w:adjustRightInd/>
                    <w:jc w:val="left"/>
                    <w:rPr>
                      <w:sz w:val="20"/>
                      <w:szCs w:val="20"/>
                      <w:lang w:eastAsia="en-CA"/>
                    </w:rPr>
                  </w:pPr>
                </w:p>
              </w:tc>
              <w:tc>
                <w:tcPr>
                  <w:tcW w:w="3814" w:type="dxa"/>
                  <w:gridSpan w:val="3"/>
                  <w:tcBorders>
                    <w:top w:val="nil"/>
                    <w:left w:val="nil"/>
                    <w:bottom w:val="nil"/>
                    <w:right w:val="nil"/>
                  </w:tcBorders>
                  <w:shd w:val="clear" w:color="auto" w:fill="auto"/>
                  <w:vAlign w:val="center"/>
                  <w:hideMark/>
                </w:tcPr>
                <w:p w14:paraId="2317AD07"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r w:rsidRPr="004C6B7D">
                    <w:rPr>
                      <w:rFonts w:ascii="Arial" w:hAnsi="Arial" w:cs="Arial"/>
                      <w:color w:val="000000"/>
                      <w:sz w:val="18"/>
                      <w:szCs w:val="18"/>
                      <w:lang w:eastAsia="en-CA"/>
                    </w:rPr>
                    <w:t>Six months ended</w:t>
                  </w:r>
                </w:p>
              </w:tc>
            </w:tr>
            <w:tr w:rsidR="004C6B7D" w:rsidRPr="004C6B7D" w14:paraId="51146055" w14:textId="77777777" w:rsidTr="004C6B7D">
              <w:trPr>
                <w:trHeight w:val="216"/>
              </w:trPr>
              <w:tc>
                <w:tcPr>
                  <w:tcW w:w="6345" w:type="dxa"/>
                  <w:tcBorders>
                    <w:top w:val="nil"/>
                    <w:left w:val="nil"/>
                    <w:bottom w:val="single" w:sz="8" w:space="0" w:color="auto"/>
                    <w:right w:val="nil"/>
                  </w:tcBorders>
                  <w:shd w:val="clear" w:color="auto" w:fill="auto"/>
                  <w:vAlign w:val="center"/>
                  <w:hideMark/>
                </w:tcPr>
                <w:p w14:paraId="177CD3BB" w14:textId="77777777" w:rsidR="004C6B7D" w:rsidRPr="004C6B7D" w:rsidRDefault="004C6B7D" w:rsidP="004C6B7D">
                  <w:pPr>
                    <w:widowControl/>
                    <w:autoSpaceDE/>
                    <w:autoSpaceDN/>
                    <w:adjustRightInd/>
                    <w:jc w:val="lef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412" w:type="dxa"/>
                  <w:tcBorders>
                    <w:top w:val="nil"/>
                    <w:left w:val="nil"/>
                    <w:bottom w:val="single" w:sz="8" w:space="0" w:color="auto"/>
                    <w:right w:val="nil"/>
                  </w:tcBorders>
                  <w:shd w:val="clear" w:color="auto" w:fill="auto"/>
                  <w:vAlign w:val="center"/>
                  <w:hideMark/>
                </w:tcPr>
                <w:p w14:paraId="2AD36954" w14:textId="77777777" w:rsidR="004C6B7D" w:rsidRPr="004C6B7D" w:rsidRDefault="004C6B7D" w:rsidP="004C6B7D">
                  <w:pPr>
                    <w:widowControl/>
                    <w:autoSpaceDE/>
                    <w:autoSpaceDN/>
                    <w:adjustRightInd/>
                    <w:jc w:val="lef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8" w:space="0" w:color="auto"/>
                    <w:right w:val="nil"/>
                  </w:tcBorders>
                  <w:shd w:val="clear" w:color="auto" w:fill="auto"/>
                  <w:vAlign w:val="bottom"/>
                  <w:hideMark/>
                </w:tcPr>
                <w:p w14:paraId="0B7C7E6E"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r w:rsidRPr="004C6B7D">
                    <w:rPr>
                      <w:rFonts w:ascii="Arial" w:hAnsi="Arial" w:cs="Arial"/>
                      <w:color w:val="000000"/>
                      <w:sz w:val="18"/>
                      <w:szCs w:val="18"/>
                      <w:lang w:eastAsia="en-CA"/>
                    </w:rPr>
                    <w:t>June 30, 2021</w:t>
                  </w:r>
                </w:p>
              </w:tc>
              <w:tc>
                <w:tcPr>
                  <w:tcW w:w="412" w:type="dxa"/>
                  <w:tcBorders>
                    <w:top w:val="nil"/>
                    <w:left w:val="nil"/>
                    <w:bottom w:val="single" w:sz="8" w:space="0" w:color="auto"/>
                    <w:right w:val="nil"/>
                  </w:tcBorders>
                  <w:shd w:val="clear" w:color="auto" w:fill="auto"/>
                  <w:vAlign w:val="bottom"/>
                  <w:hideMark/>
                </w:tcPr>
                <w:p w14:paraId="420AFD4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8" w:space="0" w:color="auto"/>
                    <w:right w:val="nil"/>
                  </w:tcBorders>
                  <w:shd w:val="clear" w:color="auto" w:fill="auto"/>
                  <w:vAlign w:val="bottom"/>
                  <w:hideMark/>
                </w:tcPr>
                <w:p w14:paraId="3AA46DC8"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r w:rsidRPr="004C6B7D">
                    <w:rPr>
                      <w:rFonts w:ascii="Arial" w:hAnsi="Arial" w:cs="Arial"/>
                      <w:color w:val="000000"/>
                      <w:sz w:val="18"/>
                      <w:szCs w:val="18"/>
                      <w:lang w:eastAsia="en-CA"/>
                    </w:rPr>
                    <w:t>June 30, 2020</w:t>
                  </w:r>
                </w:p>
              </w:tc>
            </w:tr>
            <w:tr w:rsidR="004C6B7D" w:rsidRPr="004C6B7D" w14:paraId="180FF7A4" w14:textId="77777777" w:rsidTr="004C6B7D">
              <w:trPr>
                <w:trHeight w:val="112"/>
              </w:trPr>
              <w:tc>
                <w:tcPr>
                  <w:tcW w:w="6345" w:type="dxa"/>
                  <w:tcBorders>
                    <w:top w:val="nil"/>
                    <w:left w:val="nil"/>
                    <w:bottom w:val="nil"/>
                    <w:right w:val="nil"/>
                  </w:tcBorders>
                  <w:shd w:val="clear" w:color="auto" w:fill="auto"/>
                  <w:vAlign w:val="center"/>
                  <w:hideMark/>
                </w:tcPr>
                <w:p w14:paraId="15C06C15"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bookmarkStart w:id="1" w:name="RANGE!B5"/>
                  <w:bookmarkEnd w:id="1"/>
                </w:p>
              </w:tc>
              <w:tc>
                <w:tcPr>
                  <w:tcW w:w="412" w:type="dxa"/>
                  <w:tcBorders>
                    <w:top w:val="nil"/>
                    <w:left w:val="nil"/>
                    <w:bottom w:val="nil"/>
                    <w:right w:val="nil"/>
                  </w:tcBorders>
                  <w:shd w:val="clear" w:color="auto" w:fill="auto"/>
                  <w:vAlign w:val="center"/>
                  <w:hideMark/>
                </w:tcPr>
                <w:p w14:paraId="11FF14E2" w14:textId="77777777" w:rsidR="004C6B7D" w:rsidRPr="004C6B7D" w:rsidRDefault="004C6B7D" w:rsidP="004C6B7D">
                  <w:pPr>
                    <w:widowControl/>
                    <w:autoSpaceDE/>
                    <w:autoSpaceDN/>
                    <w:adjustRightInd/>
                    <w:jc w:val="left"/>
                    <w:rPr>
                      <w:sz w:val="20"/>
                      <w:szCs w:val="20"/>
                      <w:lang w:eastAsia="en-CA"/>
                    </w:rPr>
                  </w:pPr>
                </w:p>
              </w:tc>
              <w:tc>
                <w:tcPr>
                  <w:tcW w:w="1700" w:type="dxa"/>
                  <w:tcBorders>
                    <w:top w:val="nil"/>
                    <w:left w:val="nil"/>
                    <w:bottom w:val="nil"/>
                    <w:right w:val="nil"/>
                  </w:tcBorders>
                  <w:shd w:val="clear" w:color="auto" w:fill="auto"/>
                  <w:vAlign w:val="center"/>
                  <w:hideMark/>
                </w:tcPr>
                <w:p w14:paraId="01D0DEDF" w14:textId="77777777" w:rsidR="004C6B7D" w:rsidRPr="004C6B7D" w:rsidRDefault="004C6B7D" w:rsidP="004C6B7D">
                  <w:pPr>
                    <w:widowControl/>
                    <w:autoSpaceDE/>
                    <w:autoSpaceDN/>
                    <w:adjustRightInd/>
                    <w:jc w:val="left"/>
                    <w:rPr>
                      <w:sz w:val="20"/>
                      <w:szCs w:val="20"/>
                      <w:lang w:eastAsia="en-CA"/>
                    </w:rPr>
                  </w:pPr>
                </w:p>
              </w:tc>
              <w:tc>
                <w:tcPr>
                  <w:tcW w:w="412" w:type="dxa"/>
                  <w:tcBorders>
                    <w:top w:val="nil"/>
                    <w:left w:val="nil"/>
                    <w:bottom w:val="nil"/>
                    <w:right w:val="nil"/>
                  </w:tcBorders>
                  <w:shd w:val="clear" w:color="auto" w:fill="auto"/>
                  <w:vAlign w:val="center"/>
                  <w:hideMark/>
                </w:tcPr>
                <w:p w14:paraId="4502D067" w14:textId="77777777" w:rsidR="004C6B7D" w:rsidRPr="004C6B7D" w:rsidRDefault="004C6B7D" w:rsidP="004C6B7D">
                  <w:pPr>
                    <w:widowControl/>
                    <w:autoSpaceDE/>
                    <w:autoSpaceDN/>
                    <w:adjustRightInd/>
                    <w:jc w:val="left"/>
                    <w:rPr>
                      <w:sz w:val="20"/>
                      <w:szCs w:val="20"/>
                      <w:lang w:eastAsia="en-CA"/>
                    </w:rPr>
                  </w:pPr>
                </w:p>
              </w:tc>
              <w:tc>
                <w:tcPr>
                  <w:tcW w:w="1701" w:type="dxa"/>
                  <w:tcBorders>
                    <w:top w:val="nil"/>
                    <w:left w:val="nil"/>
                    <w:bottom w:val="nil"/>
                    <w:right w:val="nil"/>
                  </w:tcBorders>
                  <w:shd w:val="clear" w:color="auto" w:fill="auto"/>
                  <w:vAlign w:val="center"/>
                  <w:hideMark/>
                </w:tcPr>
                <w:p w14:paraId="1801CC86" w14:textId="77777777" w:rsidR="004C6B7D" w:rsidRPr="004C6B7D" w:rsidRDefault="004C6B7D" w:rsidP="004C6B7D">
                  <w:pPr>
                    <w:widowControl/>
                    <w:autoSpaceDE/>
                    <w:autoSpaceDN/>
                    <w:adjustRightInd/>
                    <w:jc w:val="left"/>
                    <w:rPr>
                      <w:sz w:val="20"/>
                      <w:szCs w:val="20"/>
                      <w:lang w:eastAsia="en-CA"/>
                    </w:rPr>
                  </w:pPr>
                </w:p>
              </w:tc>
            </w:tr>
            <w:tr w:rsidR="004C6B7D" w:rsidRPr="004C6B7D" w14:paraId="589ED82E" w14:textId="77777777" w:rsidTr="004C6B7D">
              <w:trPr>
                <w:trHeight w:val="180"/>
              </w:trPr>
              <w:tc>
                <w:tcPr>
                  <w:tcW w:w="6345" w:type="dxa"/>
                  <w:tcBorders>
                    <w:top w:val="nil"/>
                    <w:left w:val="nil"/>
                    <w:bottom w:val="nil"/>
                    <w:right w:val="nil"/>
                  </w:tcBorders>
                  <w:shd w:val="clear" w:color="auto" w:fill="auto"/>
                  <w:vAlign w:val="center"/>
                  <w:hideMark/>
                </w:tcPr>
                <w:p w14:paraId="379C0294"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FLOWS FROM OPERATING ACTIVITIES</w:t>
                  </w:r>
                </w:p>
              </w:tc>
              <w:tc>
                <w:tcPr>
                  <w:tcW w:w="412" w:type="dxa"/>
                  <w:tcBorders>
                    <w:top w:val="nil"/>
                    <w:left w:val="nil"/>
                    <w:bottom w:val="nil"/>
                    <w:right w:val="nil"/>
                  </w:tcBorders>
                  <w:shd w:val="clear" w:color="auto" w:fill="auto"/>
                  <w:vAlign w:val="center"/>
                  <w:hideMark/>
                </w:tcPr>
                <w:p w14:paraId="771BC3D9"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vAlign w:val="bottom"/>
                  <w:hideMark/>
                </w:tcPr>
                <w:p w14:paraId="7F356519" w14:textId="77777777" w:rsidR="004C6B7D" w:rsidRPr="004C6B7D" w:rsidRDefault="004C6B7D" w:rsidP="004C6B7D">
                  <w:pPr>
                    <w:widowControl/>
                    <w:autoSpaceDE/>
                    <w:autoSpaceDN/>
                    <w:adjustRightInd/>
                    <w:jc w:val="left"/>
                    <w:rPr>
                      <w:sz w:val="20"/>
                      <w:szCs w:val="20"/>
                      <w:lang w:eastAsia="en-CA"/>
                    </w:rPr>
                  </w:pPr>
                </w:p>
              </w:tc>
              <w:tc>
                <w:tcPr>
                  <w:tcW w:w="412" w:type="dxa"/>
                  <w:tcBorders>
                    <w:top w:val="nil"/>
                    <w:left w:val="nil"/>
                    <w:bottom w:val="nil"/>
                    <w:right w:val="nil"/>
                  </w:tcBorders>
                  <w:shd w:val="clear" w:color="auto" w:fill="auto"/>
                  <w:vAlign w:val="center"/>
                  <w:hideMark/>
                </w:tcPr>
                <w:p w14:paraId="3E74674B"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12AB81CA" w14:textId="77777777" w:rsidR="004C6B7D" w:rsidRPr="004C6B7D" w:rsidRDefault="004C6B7D" w:rsidP="004C6B7D">
                  <w:pPr>
                    <w:widowControl/>
                    <w:autoSpaceDE/>
                    <w:autoSpaceDN/>
                    <w:adjustRightInd/>
                    <w:jc w:val="left"/>
                    <w:rPr>
                      <w:sz w:val="20"/>
                      <w:szCs w:val="20"/>
                      <w:lang w:eastAsia="en-CA"/>
                    </w:rPr>
                  </w:pPr>
                </w:p>
              </w:tc>
            </w:tr>
            <w:tr w:rsidR="004C6B7D" w:rsidRPr="004C6B7D" w14:paraId="33E7EF98" w14:textId="77777777" w:rsidTr="004C6B7D">
              <w:trPr>
                <w:trHeight w:val="180"/>
              </w:trPr>
              <w:tc>
                <w:tcPr>
                  <w:tcW w:w="6345" w:type="dxa"/>
                  <w:tcBorders>
                    <w:top w:val="nil"/>
                    <w:left w:val="nil"/>
                    <w:bottom w:val="nil"/>
                    <w:right w:val="nil"/>
                  </w:tcBorders>
                  <w:shd w:val="clear" w:color="auto" w:fill="auto"/>
                  <w:vAlign w:val="center"/>
                  <w:hideMark/>
                </w:tcPr>
                <w:p w14:paraId="60D84695"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Net loss for the period</w:t>
                  </w:r>
                </w:p>
              </w:tc>
              <w:tc>
                <w:tcPr>
                  <w:tcW w:w="412" w:type="dxa"/>
                  <w:tcBorders>
                    <w:top w:val="nil"/>
                    <w:left w:val="nil"/>
                    <w:bottom w:val="nil"/>
                    <w:right w:val="nil"/>
                  </w:tcBorders>
                  <w:shd w:val="clear" w:color="auto" w:fill="auto"/>
                  <w:vAlign w:val="center"/>
                  <w:hideMark/>
                </w:tcPr>
                <w:p w14:paraId="6418B538"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w:t>
                  </w:r>
                </w:p>
              </w:tc>
              <w:tc>
                <w:tcPr>
                  <w:tcW w:w="1700" w:type="dxa"/>
                  <w:tcBorders>
                    <w:top w:val="nil"/>
                    <w:left w:val="nil"/>
                    <w:bottom w:val="nil"/>
                    <w:right w:val="nil"/>
                  </w:tcBorders>
                  <w:shd w:val="clear" w:color="auto" w:fill="auto"/>
                  <w:vAlign w:val="center"/>
                  <w:hideMark/>
                </w:tcPr>
                <w:p w14:paraId="22ECFF2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(2,144,636)</w:t>
                  </w:r>
                </w:p>
              </w:tc>
              <w:tc>
                <w:tcPr>
                  <w:tcW w:w="412" w:type="dxa"/>
                  <w:tcBorders>
                    <w:top w:val="nil"/>
                    <w:left w:val="nil"/>
                    <w:bottom w:val="nil"/>
                    <w:right w:val="nil"/>
                  </w:tcBorders>
                  <w:shd w:val="clear" w:color="auto" w:fill="auto"/>
                  <w:vAlign w:val="center"/>
                  <w:hideMark/>
                </w:tcPr>
                <w:p w14:paraId="79067FB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w:t>
                  </w:r>
                </w:p>
              </w:tc>
              <w:tc>
                <w:tcPr>
                  <w:tcW w:w="1701" w:type="dxa"/>
                  <w:tcBorders>
                    <w:top w:val="nil"/>
                    <w:left w:val="nil"/>
                    <w:bottom w:val="nil"/>
                    <w:right w:val="nil"/>
                  </w:tcBorders>
                  <w:shd w:val="clear" w:color="auto" w:fill="auto"/>
                  <w:vAlign w:val="center"/>
                  <w:hideMark/>
                </w:tcPr>
                <w:p w14:paraId="095F9BC8"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(143,174)</w:t>
                  </w:r>
                </w:p>
              </w:tc>
            </w:tr>
            <w:tr w:rsidR="004C6B7D" w:rsidRPr="004C6B7D" w14:paraId="3FB496C8" w14:textId="77777777" w:rsidTr="004C6B7D">
              <w:trPr>
                <w:trHeight w:val="180"/>
              </w:trPr>
              <w:tc>
                <w:tcPr>
                  <w:tcW w:w="6345" w:type="dxa"/>
                  <w:tcBorders>
                    <w:top w:val="nil"/>
                    <w:left w:val="nil"/>
                    <w:bottom w:val="nil"/>
                    <w:right w:val="nil"/>
                  </w:tcBorders>
                  <w:shd w:val="clear" w:color="auto" w:fill="auto"/>
                  <w:vAlign w:val="center"/>
                  <w:hideMark/>
                </w:tcPr>
                <w:p w14:paraId="63DF6CF0"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Accrued interest income</w:t>
                  </w:r>
                </w:p>
              </w:tc>
              <w:tc>
                <w:tcPr>
                  <w:tcW w:w="412" w:type="dxa"/>
                  <w:tcBorders>
                    <w:top w:val="nil"/>
                    <w:left w:val="nil"/>
                    <w:bottom w:val="nil"/>
                    <w:right w:val="nil"/>
                  </w:tcBorders>
                  <w:shd w:val="clear" w:color="auto" w:fill="auto"/>
                  <w:vAlign w:val="center"/>
                  <w:hideMark/>
                </w:tcPr>
                <w:p w14:paraId="0D632169" w14:textId="77777777" w:rsidR="004C6B7D" w:rsidRPr="004C6B7D" w:rsidRDefault="004C6B7D" w:rsidP="004C6B7D">
                  <w:pPr>
                    <w:widowControl/>
                    <w:autoSpaceDE/>
                    <w:autoSpaceDN/>
                    <w:adjustRightInd/>
                    <w:ind w:firstLineChars="200" w:firstLine="36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2F05740A"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(2,256)</w:t>
                  </w:r>
                </w:p>
              </w:tc>
              <w:tc>
                <w:tcPr>
                  <w:tcW w:w="412" w:type="dxa"/>
                  <w:tcBorders>
                    <w:top w:val="nil"/>
                    <w:left w:val="nil"/>
                    <w:bottom w:val="nil"/>
                    <w:right w:val="nil"/>
                  </w:tcBorders>
                  <w:shd w:val="clear" w:color="auto" w:fill="auto"/>
                  <w:vAlign w:val="center"/>
                  <w:hideMark/>
                </w:tcPr>
                <w:p w14:paraId="7F4174A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0D242BE5"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4357D961" w14:textId="77777777" w:rsidTr="004C6B7D">
              <w:trPr>
                <w:trHeight w:val="180"/>
              </w:trPr>
              <w:tc>
                <w:tcPr>
                  <w:tcW w:w="6345" w:type="dxa"/>
                  <w:tcBorders>
                    <w:top w:val="nil"/>
                    <w:left w:val="nil"/>
                    <w:bottom w:val="nil"/>
                    <w:right w:val="nil"/>
                  </w:tcBorders>
                  <w:shd w:val="clear" w:color="auto" w:fill="auto"/>
                  <w:vAlign w:val="center"/>
                  <w:hideMark/>
                </w:tcPr>
                <w:p w14:paraId="0E093F0A"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Share-based payments</w:t>
                  </w:r>
                </w:p>
              </w:tc>
              <w:tc>
                <w:tcPr>
                  <w:tcW w:w="412" w:type="dxa"/>
                  <w:tcBorders>
                    <w:top w:val="nil"/>
                    <w:left w:val="nil"/>
                    <w:bottom w:val="nil"/>
                    <w:right w:val="nil"/>
                  </w:tcBorders>
                  <w:shd w:val="clear" w:color="auto" w:fill="auto"/>
                  <w:vAlign w:val="center"/>
                  <w:hideMark/>
                </w:tcPr>
                <w:p w14:paraId="13C427F2" w14:textId="77777777" w:rsidR="004C6B7D" w:rsidRPr="004C6B7D" w:rsidRDefault="004C6B7D" w:rsidP="004C6B7D">
                  <w:pPr>
                    <w:widowControl/>
                    <w:autoSpaceDE/>
                    <w:autoSpaceDN/>
                    <w:adjustRightInd/>
                    <w:ind w:firstLineChars="200" w:firstLine="36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673D231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518,506 </w:t>
                  </w:r>
                </w:p>
              </w:tc>
              <w:tc>
                <w:tcPr>
                  <w:tcW w:w="412" w:type="dxa"/>
                  <w:tcBorders>
                    <w:top w:val="nil"/>
                    <w:left w:val="nil"/>
                    <w:bottom w:val="nil"/>
                    <w:right w:val="nil"/>
                  </w:tcBorders>
                  <w:shd w:val="clear" w:color="auto" w:fill="auto"/>
                  <w:vAlign w:val="center"/>
                  <w:hideMark/>
                </w:tcPr>
                <w:p w14:paraId="2F7706D6"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044E1A69"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2F69AFC9" w14:textId="77777777" w:rsidTr="004C6B7D">
              <w:trPr>
                <w:trHeight w:val="180"/>
              </w:trPr>
              <w:tc>
                <w:tcPr>
                  <w:tcW w:w="6345" w:type="dxa"/>
                  <w:tcBorders>
                    <w:top w:val="nil"/>
                    <w:left w:val="nil"/>
                    <w:bottom w:val="nil"/>
                    <w:right w:val="nil"/>
                  </w:tcBorders>
                  <w:shd w:val="clear" w:color="auto" w:fill="auto"/>
                  <w:vAlign w:val="center"/>
                  <w:hideMark/>
                </w:tcPr>
                <w:p w14:paraId="1C3B30A9"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Changes in non-cash working capital items:</w:t>
                  </w:r>
                </w:p>
              </w:tc>
              <w:tc>
                <w:tcPr>
                  <w:tcW w:w="412" w:type="dxa"/>
                  <w:tcBorders>
                    <w:top w:val="nil"/>
                    <w:left w:val="nil"/>
                    <w:bottom w:val="nil"/>
                    <w:right w:val="nil"/>
                  </w:tcBorders>
                  <w:shd w:val="clear" w:color="auto" w:fill="auto"/>
                  <w:vAlign w:val="center"/>
                  <w:hideMark/>
                </w:tcPr>
                <w:p w14:paraId="25C695BE" w14:textId="77777777" w:rsidR="004C6B7D" w:rsidRPr="004C6B7D" w:rsidRDefault="004C6B7D" w:rsidP="004C6B7D">
                  <w:pPr>
                    <w:widowControl/>
                    <w:autoSpaceDE/>
                    <w:autoSpaceDN/>
                    <w:adjustRightInd/>
                    <w:ind w:firstLineChars="100" w:firstLine="18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4E6B6567"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091DEFEC"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5C89D97E" w14:textId="77777777" w:rsidR="004C6B7D" w:rsidRPr="004C6B7D" w:rsidRDefault="004C6B7D" w:rsidP="004C6B7D">
                  <w:pPr>
                    <w:widowControl/>
                    <w:autoSpaceDE/>
                    <w:autoSpaceDN/>
                    <w:adjustRightInd/>
                    <w:jc w:val="right"/>
                    <w:rPr>
                      <w:sz w:val="20"/>
                      <w:szCs w:val="20"/>
                      <w:lang w:eastAsia="en-CA"/>
                    </w:rPr>
                  </w:pPr>
                </w:p>
              </w:tc>
            </w:tr>
            <w:tr w:rsidR="004C6B7D" w:rsidRPr="004C6B7D" w14:paraId="51EAF7D5" w14:textId="77777777" w:rsidTr="004C6B7D">
              <w:trPr>
                <w:trHeight w:val="180"/>
              </w:trPr>
              <w:tc>
                <w:tcPr>
                  <w:tcW w:w="6345" w:type="dxa"/>
                  <w:tcBorders>
                    <w:top w:val="nil"/>
                    <w:left w:val="nil"/>
                    <w:bottom w:val="nil"/>
                    <w:right w:val="nil"/>
                  </w:tcBorders>
                  <w:shd w:val="clear" w:color="auto" w:fill="auto"/>
                  <w:vAlign w:val="center"/>
                  <w:hideMark/>
                </w:tcPr>
                <w:p w14:paraId="048972E9"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Accounts receivable</w:t>
                  </w:r>
                </w:p>
              </w:tc>
              <w:tc>
                <w:tcPr>
                  <w:tcW w:w="412" w:type="dxa"/>
                  <w:tcBorders>
                    <w:top w:val="nil"/>
                    <w:left w:val="nil"/>
                    <w:bottom w:val="nil"/>
                    <w:right w:val="nil"/>
                  </w:tcBorders>
                  <w:shd w:val="clear" w:color="auto" w:fill="auto"/>
                  <w:vAlign w:val="center"/>
                  <w:hideMark/>
                </w:tcPr>
                <w:p w14:paraId="280A13A9" w14:textId="77777777" w:rsidR="004C6B7D" w:rsidRPr="004C6B7D" w:rsidRDefault="004C6B7D" w:rsidP="004C6B7D">
                  <w:pPr>
                    <w:widowControl/>
                    <w:autoSpaceDE/>
                    <w:autoSpaceDN/>
                    <w:adjustRightInd/>
                    <w:ind w:firstLineChars="200" w:firstLine="36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25A10B05"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41,947 </w:t>
                  </w:r>
                </w:p>
              </w:tc>
              <w:tc>
                <w:tcPr>
                  <w:tcW w:w="412" w:type="dxa"/>
                  <w:tcBorders>
                    <w:top w:val="nil"/>
                    <w:left w:val="nil"/>
                    <w:bottom w:val="nil"/>
                    <w:right w:val="nil"/>
                  </w:tcBorders>
                  <w:shd w:val="clear" w:color="auto" w:fill="auto"/>
                  <w:vAlign w:val="center"/>
                  <w:hideMark/>
                </w:tcPr>
                <w:p w14:paraId="2E308361"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162CDB6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(11,272)</w:t>
                  </w:r>
                </w:p>
              </w:tc>
            </w:tr>
            <w:tr w:rsidR="004C6B7D" w:rsidRPr="004C6B7D" w14:paraId="5EC1977F" w14:textId="77777777" w:rsidTr="004C6B7D">
              <w:trPr>
                <w:trHeight w:val="180"/>
              </w:trPr>
              <w:tc>
                <w:tcPr>
                  <w:tcW w:w="6345" w:type="dxa"/>
                  <w:tcBorders>
                    <w:top w:val="nil"/>
                    <w:left w:val="nil"/>
                    <w:bottom w:val="nil"/>
                    <w:right w:val="nil"/>
                  </w:tcBorders>
                  <w:shd w:val="clear" w:color="auto" w:fill="auto"/>
                  <w:vAlign w:val="center"/>
                  <w:hideMark/>
                </w:tcPr>
                <w:p w14:paraId="3E327D4C"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Prepaid expenses</w:t>
                  </w:r>
                </w:p>
              </w:tc>
              <w:tc>
                <w:tcPr>
                  <w:tcW w:w="412" w:type="dxa"/>
                  <w:tcBorders>
                    <w:top w:val="nil"/>
                    <w:left w:val="nil"/>
                    <w:bottom w:val="nil"/>
                    <w:right w:val="nil"/>
                  </w:tcBorders>
                  <w:shd w:val="clear" w:color="auto" w:fill="auto"/>
                  <w:vAlign w:val="center"/>
                  <w:hideMark/>
                </w:tcPr>
                <w:p w14:paraId="31FD9B0F" w14:textId="77777777" w:rsidR="004C6B7D" w:rsidRPr="004C6B7D" w:rsidRDefault="004C6B7D" w:rsidP="004C6B7D">
                  <w:pPr>
                    <w:widowControl/>
                    <w:autoSpaceDE/>
                    <w:autoSpaceDN/>
                    <w:adjustRightInd/>
                    <w:ind w:firstLineChars="200" w:firstLine="36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69326F1B"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(68,538)</w:t>
                  </w:r>
                </w:p>
              </w:tc>
              <w:tc>
                <w:tcPr>
                  <w:tcW w:w="412" w:type="dxa"/>
                  <w:tcBorders>
                    <w:top w:val="nil"/>
                    <w:left w:val="nil"/>
                    <w:bottom w:val="nil"/>
                    <w:right w:val="nil"/>
                  </w:tcBorders>
                  <w:shd w:val="clear" w:color="auto" w:fill="auto"/>
                  <w:vAlign w:val="center"/>
                  <w:hideMark/>
                </w:tcPr>
                <w:p w14:paraId="4EDD44C9"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19A4B507" w14:textId="77777777" w:rsidR="004C6B7D" w:rsidRPr="004C6B7D" w:rsidRDefault="004C6B7D" w:rsidP="004C6B7D">
                  <w:pPr>
                    <w:widowControl/>
                    <w:autoSpaceDE/>
                    <w:autoSpaceDN/>
                    <w:adjustRightInd/>
                    <w:jc w:val="right"/>
                    <w:rPr>
                      <w:sz w:val="20"/>
                      <w:szCs w:val="20"/>
                      <w:lang w:eastAsia="en-CA"/>
                    </w:rPr>
                  </w:pPr>
                </w:p>
              </w:tc>
            </w:tr>
            <w:tr w:rsidR="004C6B7D" w:rsidRPr="004C6B7D" w14:paraId="6576E012" w14:textId="77777777" w:rsidTr="004C6B7D">
              <w:trPr>
                <w:trHeight w:val="180"/>
              </w:trPr>
              <w:tc>
                <w:tcPr>
                  <w:tcW w:w="6345" w:type="dxa"/>
                  <w:tcBorders>
                    <w:top w:val="nil"/>
                    <w:left w:val="nil"/>
                    <w:bottom w:val="nil"/>
                    <w:right w:val="nil"/>
                  </w:tcBorders>
                  <w:shd w:val="clear" w:color="auto" w:fill="auto"/>
                  <w:vAlign w:val="center"/>
                  <w:hideMark/>
                </w:tcPr>
                <w:p w14:paraId="43DDC7B1"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Accounts payable and accrued liabilities</w:t>
                  </w:r>
                </w:p>
              </w:tc>
              <w:tc>
                <w:tcPr>
                  <w:tcW w:w="412" w:type="dxa"/>
                  <w:tcBorders>
                    <w:top w:val="nil"/>
                    <w:left w:val="nil"/>
                    <w:bottom w:val="nil"/>
                    <w:right w:val="nil"/>
                  </w:tcBorders>
                  <w:shd w:val="clear" w:color="auto" w:fill="auto"/>
                  <w:vAlign w:val="center"/>
                  <w:hideMark/>
                </w:tcPr>
                <w:p w14:paraId="2E42A200" w14:textId="77777777" w:rsidR="004C6B7D" w:rsidRPr="004C6B7D" w:rsidRDefault="004C6B7D" w:rsidP="004C6B7D">
                  <w:pPr>
                    <w:widowControl/>
                    <w:autoSpaceDE/>
                    <w:autoSpaceDN/>
                    <w:adjustRightInd/>
                    <w:ind w:firstLineChars="200" w:firstLine="36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4D4DA587"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276,381 </w:t>
                  </w:r>
                </w:p>
              </w:tc>
              <w:tc>
                <w:tcPr>
                  <w:tcW w:w="412" w:type="dxa"/>
                  <w:tcBorders>
                    <w:top w:val="nil"/>
                    <w:left w:val="nil"/>
                    <w:bottom w:val="nil"/>
                    <w:right w:val="nil"/>
                  </w:tcBorders>
                  <w:shd w:val="clear" w:color="auto" w:fill="auto"/>
                  <w:vAlign w:val="center"/>
                  <w:hideMark/>
                </w:tcPr>
                <w:p w14:paraId="36D4097B"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7F7C7A9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(33,015)</w:t>
                  </w:r>
                </w:p>
              </w:tc>
            </w:tr>
            <w:tr w:rsidR="004C6B7D" w:rsidRPr="004C6B7D" w14:paraId="11BC80C3" w14:textId="77777777" w:rsidTr="004C6B7D">
              <w:trPr>
                <w:trHeight w:val="180"/>
              </w:trPr>
              <w:tc>
                <w:tcPr>
                  <w:tcW w:w="6345" w:type="dxa"/>
                  <w:tcBorders>
                    <w:top w:val="nil"/>
                    <w:left w:val="nil"/>
                    <w:bottom w:val="nil"/>
                    <w:right w:val="nil"/>
                  </w:tcBorders>
                  <w:shd w:val="clear" w:color="auto" w:fill="auto"/>
                  <w:vAlign w:val="center"/>
                  <w:hideMark/>
                </w:tcPr>
                <w:p w14:paraId="1C7EF2D3"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Deferred revenue</w:t>
                  </w:r>
                </w:p>
              </w:tc>
              <w:tc>
                <w:tcPr>
                  <w:tcW w:w="412" w:type="dxa"/>
                  <w:tcBorders>
                    <w:top w:val="nil"/>
                    <w:left w:val="nil"/>
                    <w:bottom w:val="nil"/>
                    <w:right w:val="nil"/>
                  </w:tcBorders>
                  <w:shd w:val="clear" w:color="auto" w:fill="auto"/>
                  <w:vAlign w:val="center"/>
                  <w:hideMark/>
                </w:tcPr>
                <w:p w14:paraId="4D364BCA" w14:textId="77777777" w:rsidR="004C6B7D" w:rsidRPr="004C6B7D" w:rsidRDefault="004C6B7D" w:rsidP="004C6B7D">
                  <w:pPr>
                    <w:widowControl/>
                    <w:autoSpaceDE/>
                    <w:autoSpaceDN/>
                    <w:adjustRightInd/>
                    <w:ind w:firstLineChars="200" w:firstLine="36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370654A2"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(71,199)</w:t>
                  </w:r>
                </w:p>
              </w:tc>
              <w:tc>
                <w:tcPr>
                  <w:tcW w:w="412" w:type="dxa"/>
                  <w:tcBorders>
                    <w:top w:val="nil"/>
                    <w:left w:val="nil"/>
                    <w:bottom w:val="nil"/>
                    <w:right w:val="nil"/>
                  </w:tcBorders>
                  <w:shd w:val="clear" w:color="auto" w:fill="auto"/>
                  <w:vAlign w:val="center"/>
                  <w:hideMark/>
                </w:tcPr>
                <w:p w14:paraId="08E992F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03B6AAA0" w14:textId="77777777" w:rsidR="004C6B7D" w:rsidRPr="004C6B7D" w:rsidRDefault="004C6B7D" w:rsidP="004C6B7D">
                  <w:pPr>
                    <w:widowControl/>
                    <w:autoSpaceDE/>
                    <w:autoSpaceDN/>
                    <w:adjustRightInd/>
                    <w:jc w:val="right"/>
                    <w:rPr>
                      <w:sz w:val="20"/>
                      <w:szCs w:val="20"/>
                      <w:lang w:eastAsia="en-CA"/>
                    </w:rPr>
                  </w:pPr>
                </w:p>
              </w:tc>
            </w:tr>
            <w:tr w:rsidR="004C6B7D" w:rsidRPr="004C6B7D" w14:paraId="4E78F1A8" w14:textId="77777777" w:rsidTr="004C6B7D">
              <w:trPr>
                <w:trHeight w:val="180"/>
              </w:trPr>
              <w:tc>
                <w:tcPr>
                  <w:tcW w:w="6345" w:type="dxa"/>
                  <w:tcBorders>
                    <w:top w:val="nil"/>
                    <w:left w:val="nil"/>
                    <w:bottom w:val="single" w:sz="4" w:space="0" w:color="auto"/>
                    <w:right w:val="nil"/>
                  </w:tcBorders>
                  <w:shd w:val="clear" w:color="auto" w:fill="auto"/>
                  <w:vAlign w:val="center"/>
                  <w:hideMark/>
                </w:tcPr>
                <w:p w14:paraId="07A47B01" w14:textId="77777777" w:rsidR="004C6B7D" w:rsidRPr="004C6B7D" w:rsidRDefault="004C6B7D" w:rsidP="004C6B7D">
                  <w:pPr>
                    <w:widowControl/>
                    <w:autoSpaceDE/>
                    <w:autoSpaceDN/>
                    <w:adjustRightInd/>
                    <w:ind w:firstLineChars="200" w:firstLine="360"/>
                    <w:jc w:val="left"/>
                    <w:rPr>
                      <w:rFonts w:ascii="Arial" w:hAnsi="Arial" w:cs="Arial"/>
                      <w:color w:val="000000"/>
                      <w:sz w:val="18"/>
                      <w:szCs w:val="18"/>
                      <w:lang w:eastAsia="en-CA"/>
                    </w:rPr>
                  </w:pPr>
                  <w:r w:rsidRPr="004C6B7D">
                    <w:rPr>
                      <w:rFonts w:ascii="Arial" w:hAnsi="Arial" w:cs="Arial"/>
                      <w:color w:val="000000"/>
                      <w:sz w:val="18"/>
                      <w:szCs w:val="18"/>
                      <w:lang w:eastAsia="en-CA"/>
                    </w:rPr>
                    <w:t>Taxes payable</w:t>
                  </w:r>
                </w:p>
              </w:tc>
              <w:tc>
                <w:tcPr>
                  <w:tcW w:w="412" w:type="dxa"/>
                  <w:tcBorders>
                    <w:top w:val="nil"/>
                    <w:left w:val="nil"/>
                    <w:bottom w:val="single" w:sz="4" w:space="0" w:color="auto"/>
                    <w:right w:val="nil"/>
                  </w:tcBorders>
                  <w:shd w:val="clear" w:color="auto" w:fill="auto"/>
                  <w:vAlign w:val="center"/>
                  <w:hideMark/>
                </w:tcPr>
                <w:p w14:paraId="4C0F97C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0D3D780B"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(83,033)</w:t>
                  </w:r>
                </w:p>
              </w:tc>
              <w:tc>
                <w:tcPr>
                  <w:tcW w:w="412" w:type="dxa"/>
                  <w:tcBorders>
                    <w:top w:val="nil"/>
                    <w:left w:val="nil"/>
                    <w:bottom w:val="single" w:sz="4" w:space="0" w:color="auto"/>
                    <w:right w:val="nil"/>
                  </w:tcBorders>
                  <w:shd w:val="clear" w:color="auto" w:fill="auto"/>
                  <w:vAlign w:val="center"/>
                  <w:hideMark/>
                </w:tcPr>
                <w:p w14:paraId="0A3308E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62EA3826"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r>
            <w:tr w:rsidR="004C6B7D" w:rsidRPr="004C6B7D" w14:paraId="3778B051" w14:textId="77777777" w:rsidTr="004C6B7D">
              <w:trPr>
                <w:trHeight w:val="112"/>
              </w:trPr>
              <w:tc>
                <w:tcPr>
                  <w:tcW w:w="6345" w:type="dxa"/>
                  <w:tcBorders>
                    <w:top w:val="nil"/>
                    <w:left w:val="nil"/>
                    <w:bottom w:val="nil"/>
                    <w:right w:val="nil"/>
                  </w:tcBorders>
                  <w:shd w:val="clear" w:color="auto" w:fill="auto"/>
                  <w:vAlign w:val="center"/>
                  <w:hideMark/>
                </w:tcPr>
                <w:p w14:paraId="10DB8A6F"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515A73FA" w14:textId="77777777" w:rsidR="004C6B7D" w:rsidRPr="004C6B7D" w:rsidRDefault="004C6B7D" w:rsidP="004C6B7D">
                  <w:pPr>
                    <w:widowControl/>
                    <w:autoSpaceDE/>
                    <w:autoSpaceDN/>
                    <w:adjustRightInd/>
                    <w:ind w:firstLineChars="200" w:firstLine="400"/>
                    <w:jc w:val="right"/>
                    <w:rPr>
                      <w:sz w:val="20"/>
                      <w:szCs w:val="20"/>
                      <w:lang w:eastAsia="en-CA"/>
                    </w:rPr>
                  </w:pPr>
                </w:p>
              </w:tc>
              <w:tc>
                <w:tcPr>
                  <w:tcW w:w="1700" w:type="dxa"/>
                  <w:tcBorders>
                    <w:top w:val="nil"/>
                    <w:left w:val="nil"/>
                    <w:bottom w:val="nil"/>
                    <w:right w:val="nil"/>
                  </w:tcBorders>
                  <w:shd w:val="clear" w:color="auto" w:fill="auto"/>
                  <w:vAlign w:val="center"/>
                  <w:hideMark/>
                </w:tcPr>
                <w:p w14:paraId="16202BBE"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6B3ADD68"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4C4CC043" w14:textId="77777777" w:rsidR="004C6B7D" w:rsidRPr="004C6B7D" w:rsidRDefault="004C6B7D" w:rsidP="004C6B7D">
                  <w:pPr>
                    <w:widowControl/>
                    <w:autoSpaceDE/>
                    <w:autoSpaceDN/>
                    <w:adjustRightInd/>
                    <w:jc w:val="right"/>
                    <w:rPr>
                      <w:sz w:val="20"/>
                      <w:szCs w:val="20"/>
                      <w:lang w:eastAsia="en-CA"/>
                    </w:rPr>
                  </w:pPr>
                </w:p>
              </w:tc>
            </w:tr>
            <w:tr w:rsidR="004C6B7D" w:rsidRPr="004C6B7D" w14:paraId="730809C2" w14:textId="77777777" w:rsidTr="004C6B7D">
              <w:trPr>
                <w:trHeight w:val="180"/>
              </w:trPr>
              <w:tc>
                <w:tcPr>
                  <w:tcW w:w="6345" w:type="dxa"/>
                  <w:tcBorders>
                    <w:top w:val="nil"/>
                    <w:left w:val="nil"/>
                    <w:bottom w:val="single" w:sz="4" w:space="0" w:color="auto"/>
                    <w:right w:val="nil"/>
                  </w:tcBorders>
                  <w:shd w:val="clear" w:color="auto" w:fill="auto"/>
                  <w:vAlign w:val="center"/>
                  <w:hideMark/>
                </w:tcPr>
                <w:p w14:paraId="2C10F56F"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used in operating activities</w:t>
                  </w:r>
                </w:p>
              </w:tc>
              <w:tc>
                <w:tcPr>
                  <w:tcW w:w="412" w:type="dxa"/>
                  <w:tcBorders>
                    <w:top w:val="nil"/>
                    <w:left w:val="nil"/>
                    <w:bottom w:val="single" w:sz="4" w:space="0" w:color="auto"/>
                    <w:right w:val="nil"/>
                  </w:tcBorders>
                  <w:shd w:val="clear" w:color="auto" w:fill="auto"/>
                  <w:vAlign w:val="center"/>
                  <w:hideMark/>
                </w:tcPr>
                <w:p w14:paraId="21A46D48"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3C012159"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(1,532,828)</w:t>
                  </w:r>
                </w:p>
              </w:tc>
              <w:tc>
                <w:tcPr>
                  <w:tcW w:w="412" w:type="dxa"/>
                  <w:tcBorders>
                    <w:top w:val="nil"/>
                    <w:left w:val="nil"/>
                    <w:bottom w:val="single" w:sz="4" w:space="0" w:color="auto"/>
                    <w:right w:val="nil"/>
                  </w:tcBorders>
                  <w:shd w:val="clear" w:color="auto" w:fill="auto"/>
                  <w:vAlign w:val="center"/>
                  <w:hideMark/>
                </w:tcPr>
                <w:p w14:paraId="12692408"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6698126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(187,461)</w:t>
                  </w:r>
                </w:p>
              </w:tc>
            </w:tr>
            <w:tr w:rsidR="004C6B7D" w:rsidRPr="004C6B7D" w14:paraId="39957880" w14:textId="77777777" w:rsidTr="004C6B7D">
              <w:trPr>
                <w:trHeight w:val="112"/>
              </w:trPr>
              <w:tc>
                <w:tcPr>
                  <w:tcW w:w="6345" w:type="dxa"/>
                  <w:tcBorders>
                    <w:top w:val="nil"/>
                    <w:left w:val="nil"/>
                    <w:bottom w:val="nil"/>
                    <w:right w:val="nil"/>
                  </w:tcBorders>
                  <w:shd w:val="clear" w:color="auto" w:fill="auto"/>
                  <w:vAlign w:val="center"/>
                  <w:hideMark/>
                </w:tcPr>
                <w:p w14:paraId="166B44BA" w14:textId="77777777" w:rsidR="004C6B7D" w:rsidRPr="004C6B7D" w:rsidRDefault="004C6B7D" w:rsidP="004C6B7D">
                  <w:pPr>
                    <w:widowControl/>
                    <w:autoSpaceDE/>
                    <w:autoSpaceDN/>
                    <w:adjustRightInd/>
                    <w:jc w:val="left"/>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2C3840C1" w14:textId="77777777" w:rsidR="004C6B7D" w:rsidRPr="004C6B7D" w:rsidRDefault="004C6B7D" w:rsidP="004C6B7D">
                  <w:pPr>
                    <w:widowControl/>
                    <w:autoSpaceDE/>
                    <w:autoSpaceDN/>
                    <w:adjustRightInd/>
                    <w:ind w:firstLineChars="200" w:firstLine="400"/>
                    <w:jc w:val="right"/>
                    <w:rPr>
                      <w:sz w:val="20"/>
                      <w:szCs w:val="20"/>
                      <w:lang w:eastAsia="en-CA"/>
                    </w:rPr>
                  </w:pPr>
                </w:p>
              </w:tc>
              <w:tc>
                <w:tcPr>
                  <w:tcW w:w="1700" w:type="dxa"/>
                  <w:tcBorders>
                    <w:top w:val="nil"/>
                    <w:left w:val="nil"/>
                    <w:bottom w:val="nil"/>
                    <w:right w:val="nil"/>
                  </w:tcBorders>
                  <w:shd w:val="clear" w:color="auto" w:fill="auto"/>
                  <w:vAlign w:val="center"/>
                  <w:hideMark/>
                </w:tcPr>
                <w:p w14:paraId="0518F3E6"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2951727B"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34A1ADCE" w14:textId="77777777" w:rsidR="004C6B7D" w:rsidRPr="004C6B7D" w:rsidRDefault="004C6B7D" w:rsidP="004C6B7D">
                  <w:pPr>
                    <w:widowControl/>
                    <w:autoSpaceDE/>
                    <w:autoSpaceDN/>
                    <w:adjustRightInd/>
                    <w:jc w:val="right"/>
                    <w:rPr>
                      <w:sz w:val="20"/>
                      <w:szCs w:val="20"/>
                      <w:lang w:eastAsia="en-CA"/>
                    </w:rPr>
                  </w:pPr>
                </w:p>
              </w:tc>
            </w:tr>
            <w:tr w:rsidR="004C6B7D" w:rsidRPr="004C6B7D" w14:paraId="516F9E3E" w14:textId="77777777" w:rsidTr="004C6B7D">
              <w:trPr>
                <w:trHeight w:val="186"/>
              </w:trPr>
              <w:tc>
                <w:tcPr>
                  <w:tcW w:w="6345" w:type="dxa"/>
                  <w:tcBorders>
                    <w:top w:val="nil"/>
                    <w:left w:val="nil"/>
                    <w:bottom w:val="nil"/>
                    <w:right w:val="nil"/>
                  </w:tcBorders>
                  <w:shd w:val="clear" w:color="auto" w:fill="auto"/>
                  <w:vAlign w:val="center"/>
                  <w:hideMark/>
                </w:tcPr>
                <w:p w14:paraId="363C96F9"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FLOWS FROM INVESTING ACTIVITIES</w:t>
                  </w:r>
                </w:p>
              </w:tc>
              <w:tc>
                <w:tcPr>
                  <w:tcW w:w="412" w:type="dxa"/>
                  <w:tcBorders>
                    <w:top w:val="nil"/>
                    <w:left w:val="nil"/>
                    <w:bottom w:val="nil"/>
                    <w:right w:val="nil"/>
                  </w:tcBorders>
                  <w:shd w:val="clear" w:color="auto" w:fill="auto"/>
                  <w:vAlign w:val="center"/>
                  <w:hideMark/>
                </w:tcPr>
                <w:p w14:paraId="4D78AB71" w14:textId="77777777" w:rsidR="004C6B7D" w:rsidRPr="004C6B7D" w:rsidRDefault="004C6B7D" w:rsidP="004C6B7D">
                  <w:pPr>
                    <w:widowControl/>
                    <w:autoSpaceDE/>
                    <w:autoSpaceDN/>
                    <w:adjustRightInd/>
                    <w:jc w:val="righ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vAlign w:val="center"/>
                  <w:hideMark/>
                </w:tcPr>
                <w:p w14:paraId="2955F7DA"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62122BF4"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6E2D0D99" w14:textId="77777777" w:rsidR="004C6B7D" w:rsidRPr="004C6B7D" w:rsidRDefault="004C6B7D" w:rsidP="004C6B7D">
                  <w:pPr>
                    <w:widowControl/>
                    <w:autoSpaceDE/>
                    <w:autoSpaceDN/>
                    <w:adjustRightInd/>
                    <w:jc w:val="right"/>
                    <w:rPr>
                      <w:sz w:val="20"/>
                      <w:szCs w:val="20"/>
                      <w:lang w:eastAsia="en-CA"/>
                    </w:rPr>
                  </w:pPr>
                </w:p>
              </w:tc>
            </w:tr>
            <w:tr w:rsidR="004C6B7D" w:rsidRPr="004C6B7D" w14:paraId="1119C891" w14:textId="77777777" w:rsidTr="004C6B7D">
              <w:trPr>
                <w:trHeight w:val="186"/>
              </w:trPr>
              <w:tc>
                <w:tcPr>
                  <w:tcW w:w="6345" w:type="dxa"/>
                  <w:tcBorders>
                    <w:top w:val="nil"/>
                    <w:left w:val="nil"/>
                    <w:bottom w:val="nil"/>
                    <w:right w:val="nil"/>
                  </w:tcBorders>
                  <w:shd w:val="clear" w:color="auto" w:fill="auto"/>
                  <w:vAlign w:val="center"/>
                  <w:hideMark/>
                </w:tcPr>
                <w:p w14:paraId="42168D82"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Cash acquired on purchase of Delic Labs</w:t>
                  </w:r>
                </w:p>
              </w:tc>
              <w:tc>
                <w:tcPr>
                  <w:tcW w:w="412" w:type="dxa"/>
                  <w:tcBorders>
                    <w:top w:val="nil"/>
                    <w:left w:val="nil"/>
                    <w:bottom w:val="nil"/>
                    <w:right w:val="nil"/>
                  </w:tcBorders>
                  <w:shd w:val="clear" w:color="auto" w:fill="auto"/>
                  <w:vAlign w:val="center"/>
                  <w:hideMark/>
                </w:tcPr>
                <w:p w14:paraId="763F9E06" w14:textId="77777777" w:rsidR="004C6B7D" w:rsidRPr="004C6B7D" w:rsidRDefault="004C6B7D" w:rsidP="004C6B7D">
                  <w:pPr>
                    <w:widowControl/>
                    <w:autoSpaceDE/>
                    <w:autoSpaceDN/>
                    <w:adjustRightInd/>
                    <w:ind w:firstLineChars="100" w:firstLine="18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019E384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130,566 </w:t>
                  </w:r>
                </w:p>
              </w:tc>
              <w:tc>
                <w:tcPr>
                  <w:tcW w:w="412" w:type="dxa"/>
                  <w:tcBorders>
                    <w:top w:val="nil"/>
                    <w:left w:val="nil"/>
                    <w:bottom w:val="nil"/>
                    <w:right w:val="nil"/>
                  </w:tcBorders>
                  <w:shd w:val="clear" w:color="auto" w:fill="auto"/>
                  <w:vAlign w:val="center"/>
                  <w:hideMark/>
                </w:tcPr>
                <w:p w14:paraId="2DE2C002"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6EECE4F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214742FC" w14:textId="77777777" w:rsidTr="004C6B7D">
              <w:trPr>
                <w:trHeight w:val="186"/>
              </w:trPr>
              <w:tc>
                <w:tcPr>
                  <w:tcW w:w="6345" w:type="dxa"/>
                  <w:tcBorders>
                    <w:top w:val="nil"/>
                    <w:left w:val="nil"/>
                    <w:bottom w:val="single" w:sz="4" w:space="0" w:color="auto"/>
                    <w:right w:val="nil"/>
                  </w:tcBorders>
                  <w:shd w:val="clear" w:color="auto" w:fill="auto"/>
                  <w:vAlign w:val="center"/>
                  <w:hideMark/>
                </w:tcPr>
                <w:p w14:paraId="25302E48"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Cash acquired on purchase of KIC</w:t>
                  </w:r>
                </w:p>
              </w:tc>
              <w:tc>
                <w:tcPr>
                  <w:tcW w:w="412" w:type="dxa"/>
                  <w:tcBorders>
                    <w:top w:val="nil"/>
                    <w:left w:val="nil"/>
                    <w:bottom w:val="single" w:sz="4" w:space="0" w:color="auto"/>
                    <w:right w:val="nil"/>
                  </w:tcBorders>
                  <w:shd w:val="clear" w:color="auto" w:fill="auto"/>
                  <w:vAlign w:val="center"/>
                  <w:hideMark/>
                </w:tcPr>
                <w:p w14:paraId="446C3E32"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079AED4B"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82,093 </w:t>
                  </w:r>
                </w:p>
              </w:tc>
              <w:tc>
                <w:tcPr>
                  <w:tcW w:w="412" w:type="dxa"/>
                  <w:tcBorders>
                    <w:top w:val="nil"/>
                    <w:left w:val="nil"/>
                    <w:bottom w:val="single" w:sz="4" w:space="0" w:color="auto"/>
                    <w:right w:val="nil"/>
                  </w:tcBorders>
                  <w:shd w:val="clear" w:color="auto" w:fill="auto"/>
                  <w:vAlign w:val="center"/>
                  <w:hideMark/>
                </w:tcPr>
                <w:p w14:paraId="5D8E03A7"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2C2EFA5B"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1DC88DE9" w14:textId="77777777" w:rsidTr="004C6B7D">
              <w:trPr>
                <w:trHeight w:val="112"/>
              </w:trPr>
              <w:tc>
                <w:tcPr>
                  <w:tcW w:w="6345" w:type="dxa"/>
                  <w:tcBorders>
                    <w:top w:val="nil"/>
                    <w:left w:val="nil"/>
                    <w:bottom w:val="nil"/>
                    <w:right w:val="nil"/>
                  </w:tcBorders>
                  <w:shd w:val="clear" w:color="auto" w:fill="auto"/>
                  <w:vAlign w:val="center"/>
                  <w:hideMark/>
                </w:tcPr>
                <w:p w14:paraId="45E193CA"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79EF88D7" w14:textId="77777777" w:rsidR="004C6B7D" w:rsidRPr="004C6B7D" w:rsidRDefault="004C6B7D" w:rsidP="004C6B7D">
                  <w:pPr>
                    <w:widowControl/>
                    <w:autoSpaceDE/>
                    <w:autoSpaceDN/>
                    <w:adjustRightInd/>
                    <w:ind w:firstLineChars="100" w:firstLine="200"/>
                    <w:jc w:val="right"/>
                    <w:rPr>
                      <w:sz w:val="20"/>
                      <w:szCs w:val="20"/>
                      <w:lang w:eastAsia="en-CA"/>
                    </w:rPr>
                  </w:pPr>
                </w:p>
              </w:tc>
              <w:tc>
                <w:tcPr>
                  <w:tcW w:w="1700" w:type="dxa"/>
                  <w:tcBorders>
                    <w:top w:val="nil"/>
                    <w:left w:val="nil"/>
                    <w:bottom w:val="nil"/>
                    <w:right w:val="nil"/>
                  </w:tcBorders>
                  <w:shd w:val="clear" w:color="auto" w:fill="auto"/>
                  <w:vAlign w:val="center"/>
                  <w:hideMark/>
                </w:tcPr>
                <w:p w14:paraId="7561A5D9"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3E247EE0"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192439C2" w14:textId="77777777" w:rsidR="004C6B7D" w:rsidRPr="004C6B7D" w:rsidRDefault="004C6B7D" w:rsidP="004C6B7D">
                  <w:pPr>
                    <w:widowControl/>
                    <w:autoSpaceDE/>
                    <w:autoSpaceDN/>
                    <w:adjustRightInd/>
                    <w:jc w:val="right"/>
                    <w:rPr>
                      <w:sz w:val="20"/>
                      <w:szCs w:val="20"/>
                      <w:lang w:eastAsia="en-CA"/>
                    </w:rPr>
                  </w:pPr>
                </w:p>
              </w:tc>
            </w:tr>
            <w:tr w:rsidR="004C6B7D" w:rsidRPr="004C6B7D" w14:paraId="6C933126" w14:textId="77777777" w:rsidTr="004C6B7D">
              <w:trPr>
                <w:trHeight w:val="186"/>
              </w:trPr>
              <w:tc>
                <w:tcPr>
                  <w:tcW w:w="6345" w:type="dxa"/>
                  <w:tcBorders>
                    <w:top w:val="nil"/>
                    <w:left w:val="nil"/>
                    <w:bottom w:val="single" w:sz="4" w:space="0" w:color="auto"/>
                    <w:right w:val="nil"/>
                  </w:tcBorders>
                  <w:shd w:val="clear" w:color="auto" w:fill="auto"/>
                  <w:vAlign w:val="center"/>
                  <w:hideMark/>
                </w:tcPr>
                <w:p w14:paraId="31F8F398"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provided by investing activities</w:t>
                  </w:r>
                </w:p>
              </w:tc>
              <w:tc>
                <w:tcPr>
                  <w:tcW w:w="412" w:type="dxa"/>
                  <w:tcBorders>
                    <w:top w:val="nil"/>
                    <w:left w:val="nil"/>
                    <w:bottom w:val="single" w:sz="4" w:space="0" w:color="auto"/>
                    <w:right w:val="nil"/>
                  </w:tcBorders>
                  <w:shd w:val="clear" w:color="auto" w:fill="auto"/>
                  <w:vAlign w:val="center"/>
                  <w:hideMark/>
                </w:tcPr>
                <w:p w14:paraId="36A5E0CA"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14AD85AB"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212,659 </w:t>
                  </w:r>
                </w:p>
              </w:tc>
              <w:tc>
                <w:tcPr>
                  <w:tcW w:w="412" w:type="dxa"/>
                  <w:tcBorders>
                    <w:top w:val="nil"/>
                    <w:left w:val="nil"/>
                    <w:bottom w:val="single" w:sz="4" w:space="0" w:color="auto"/>
                    <w:right w:val="nil"/>
                  </w:tcBorders>
                  <w:shd w:val="clear" w:color="auto" w:fill="auto"/>
                  <w:vAlign w:val="center"/>
                  <w:hideMark/>
                </w:tcPr>
                <w:p w14:paraId="5FEDB441"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3D29183A"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7009D3E9" w14:textId="77777777" w:rsidTr="004C6B7D">
              <w:trPr>
                <w:trHeight w:val="112"/>
              </w:trPr>
              <w:tc>
                <w:tcPr>
                  <w:tcW w:w="6345" w:type="dxa"/>
                  <w:tcBorders>
                    <w:top w:val="nil"/>
                    <w:left w:val="nil"/>
                    <w:bottom w:val="nil"/>
                    <w:right w:val="nil"/>
                  </w:tcBorders>
                  <w:shd w:val="clear" w:color="auto" w:fill="auto"/>
                  <w:vAlign w:val="center"/>
                  <w:hideMark/>
                </w:tcPr>
                <w:p w14:paraId="65D174F7" w14:textId="77777777" w:rsidR="004C6B7D" w:rsidRPr="004C6B7D" w:rsidRDefault="004C6B7D" w:rsidP="004C6B7D">
                  <w:pPr>
                    <w:widowControl/>
                    <w:autoSpaceDE/>
                    <w:autoSpaceDN/>
                    <w:adjustRightInd/>
                    <w:jc w:val="left"/>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2F8112CE" w14:textId="77777777" w:rsidR="004C6B7D" w:rsidRPr="004C6B7D" w:rsidRDefault="004C6B7D" w:rsidP="004C6B7D">
                  <w:pPr>
                    <w:widowControl/>
                    <w:autoSpaceDE/>
                    <w:autoSpaceDN/>
                    <w:adjustRightInd/>
                    <w:jc w:val="right"/>
                    <w:rPr>
                      <w:sz w:val="20"/>
                      <w:szCs w:val="20"/>
                      <w:lang w:eastAsia="en-CA"/>
                    </w:rPr>
                  </w:pPr>
                </w:p>
              </w:tc>
              <w:tc>
                <w:tcPr>
                  <w:tcW w:w="1700" w:type="dxa"/>
                  <w:tcBorders>
                    <w:top w:val="nil"/>
                    <w:left w:val="nil"/>
                    <w:bottom w:val="nil"/>
                    <w:right w:val="nil"/>
                  </w:tcBorders>
                  <w:shd w:val="clear" w:color="auto" w:fill="auto"/>
                  <w:vAlign w:val="center"/>
                  <w:hideMark/>
                </w:tcPr>
                <w:p w14:paraId="05BB31F8"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7978B55B"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26D26217" w14:textId="77777777" w:rsidR="004C6B7D" w:rsidRPr="004C6B7D" w:rsidRDefault="004C6B7D" w:rsidP="004C6B7D">
                  <w:pPr>
                    <w:widowControl/>
                    <w:autoSpaceDE/>
                    <w:autoSpaceDN/>
                    <w:adjustRightInd/>
                    <w:jc w:val="right"/>
                    <w:rPr>
                      <w:sz w:val="20"/>
                      <w:szCs w:val="20"/>
                      <w:lang w:eastAsia="en-CA"/>
                    </w:rPr>
                  </w:pPr>
                </w:p>
              </w:tc>
            </w:tr>
            <w:tr w:rsidR="004C6B7D" w:rsidRPr="004C6B7D" w14:paraId="5547AC2E" w14:textId="77777777" w:rsidTr="004C6B7D">
              <w:trPr>
                <w:trHeight w:val="180"/>
              </w:trPr>
              <w:tc>
                <w:tcPr>
                  <w:tcW w:w="6345" w:type="dxa"/>
                  <w:tcBorders>
                    <w:top w:val="nil"/>
                    <w:left w:val="nil"/>
                    <w:bottom w:val="nil"/>
                    <w:right w:val="nil"/>
                  </w:tcBorders>
                  <w:shd w:val="clear" w:color="auto" w:fill="auto"/>
                  <w:vAlign w:val="center"/>
                  <w:hideMark/>
                </w:tcPr>
                <w:p w14:paraId="44137D64"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FLOWS FROM FINANCING ACTIVITIES</w:t>
                  </w:r>
                </w:p>
              </w:tc>
              <w:tc>
                <w:tcPr>
                  <w:tcW w:w="412" w:type="dxa"/>
                  <w:tcBorders>
                    <w:top w:val="nil"/>
                    <w:left w:val="nil"/>
                    <w:bottom w:val="nil"/>
                    <w:right w:val="nil"/>
                  </w:tcBorders>
                  <w:shd w:val="clear" w:color="auto" w:fill="auto"/>
                  <w:vAlign w:val="center"/>
                  <w:hideMark/>
                </w:tcPr>
                <w:p w14:paraId="3ABE46F6" w14:textId="77777777" w:rsidR="004C6B7D" w:rsidRPr="004C6B7D" w:rsidRDefault="004C6B7D" w:rsidP="004C6B7D">
                  <w:pPr>
                    <w:widowControl/>
                    <w:autoSpaceDE/>
                    <w:autoSpaceDN/>
                    <w:adjustRightInd/>
                    <w:jc w:val="righ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vAlign w:val="center"/>
                  <w:hideMark/>
                </w:tcPr>
                <w:p w14:paraId="30B518D8"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2E86E944"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08AFA488" w14:textId="77777777" w:rsidR="004C6B7D" w:rsidRPr="004C6B7D" w:rsidRDefault="004C6B7D" w:rsidP="004C6B7D">
                  <w:pPr>
                    <w:widowControl/>
                    <w:autoSpaceDE/>
                    <w:autoSpaceDN/>
                    <w:adjustRightInd/>
                    <w:jc w:val="right"/>
                    <w:rPr>
                      <w:sz w:val="20"/>
                      <w:szCs w:val="20"/>
                      <w:lang w:eastAsia="en-CA"/>
                    </w:rPr>
                  </w:pPr>
                </w:p>
              </w:tc>
            </w:tr>
            <w:tr w:rsidR="004C6B7D" w:rsidRPr="004C6B7D" w14:paraId="36052D43" w14:textId="77777777" w:rsidTr="004C6B7D">
              <w:trPr>
                <w:trHeight w:val="180"/>
              </w:trPr>
              <w:tc>
                <w:tcPr>
                  <w:tcW w:w="6345" w:type="dxa"/>
                  <w:tcBorders>
                    <w:top w:val="nil"/>
                    <w:left w:val="nil"/>
                    <w:bottom w:val="nil"/>
                    <w:right w:val="nil"/>
                  </w:tcBorders>
                  <w:shd w:val="clear" w:color="auto" w:fill="auto"/>
                  <w:vAlign w:val="center"/>
                  <w:hideMark/>
                </w:tcPr>
                <w:p w14:paraId="39A53215"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Proceeds received from private placement, net</w:t>
                  </w:r>
                </w:p>
              </w:tc>
              <w:tc>
                <w:tcPr>
                  <w:tcW w:w="412" w:type="dxa"/>
                  <w:tcBorders>
                    <w:top w:val="nil"/>
                    <w:left w:val="nil"/>
                    <w:bottom w:val="nil"/>
                    <w:right w:val="nil"/>
                  </w:tcBorders>
                  <w:shd w:val="clear" w:color="auto" w:fill="auto"/>
                  <w:vAlign w:val="center"/>
                  <w:hideMark/>
                </w:tcPr>
                <w:p w14:paraId="117F3383" w14:textId="77777777" w:rsidR="004C6B7D" w:rsidRPr="004C6B7D" w:rsidRDefault="004C6B7D" w:rsidP="004C6B7D">
                  <w:pPr>
                    <w:widowControl/>
                    <w:autoSpaceDE/>
                    <w:autoSpaceDN/>
                    <w:adjustRightInd/>
                    <w:ind w:firstLineChars="100" w:firstLine="18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57E7E0E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2,637,264 </w:t>
                  </w:r>
                </w:p>
              </w:tc>
              <w:tc>
                <w:tcPr>
                  <w:tcW w:w="412" w:type="dxa"/>
                  <w:tcBorders>
                    <w:top w:val="nil"/>
                    <w:left w:val="nil"/>
                    <w:bottom w:val="nil"/>
                    <w:right w:val="nil"/>
                  </w:tcBorders>
                  <w:shd w:val="clear" w:color="auto" w:fill="auto"/>
                  <w:vAlign w:val="center"/>
                  <w:hideMark/>
                </w:tcPr>
                <w:p w14:paraId="75AD217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0DE8C61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23BE9C78" w14:textId="77777777" w:rsidTr="004C6B7D">
              <w:trPr>
                <w:trHeight w:val="180"/>
              </w:trPr>
              <w:tc>
                <w:tcPr>
                  <w:tcW w:w="6345" w:type="dxa"/>
                  <w:tcBorders>
                    <w:top w:val="nil"/>
                    <w:left w:val="nil"/>
                    <w:bottom w:val="nil"/>
                    <w:right w:val="nil"/>
                  </w:tcBorders>
                  <w:shd w:val="clear" w:color="auto" w:fill="auto"/>
                  <w:vAlign w:val="center"/>
                  <w:hideMark/>
                </w:tcPr>
                <w:p w14:paraId="7FA63E4D"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Proceeds received from exercise of stock options</w:t>
                  </w:r>
                </w:p>
              </w:tc>
              <w:tc>
                <w:tcPr>
                  <w:tcW w:w="412" w:type="dxa"/>
                  <w:tcBorders>
                    <w:top w:val="nil"/>
                    <w:left w:val="nil"/>
                    <w:bottom w:val="nil"/>
                    <w:right w:val="nil"/>
                  </w:tcBorders>
                  <w:shd w:val="clear" w:color="auto" w:fill="auto"/>
                  <w:vAlign w:val="center"/>
                  <w:hideMark/>
                </w:tcPr>
                <w:p w14:paraId="27B0FD72" w14:textId="77777777" w:rsidR="004C6B7D" w:rsidRPr="004C6B7D" w:rsidRDefault="004C6B7D" w:rsidP="004C6B7D">
                  <w:pPr>
                    <w:widowControl/>
                    <w:autoSpaceDE/>
                    <w:autoSpaceDN/>
                    <w:adjustRightInd/>
                    <w:ind w:firstLineChars="100" w:firstLine="180"/>
                    <w:jc w:val="right"/>
                    <w:rPr>
                      <w:rFonts w:ascii="Arial" w:hAnsi="Arial" w:cs="Arial"/>
                      <w:color w:val="000000"/>
                      <w:sz w:val="18"/>
                      <w:szCs w:val="18"/>
                      <w:lang w:eastAsia="en-CA"/>
                    </w:rPr>
                  </w:pPr>
                </w:p>
              </w:tc>
              <w:tc>
                <w:tcPr>
                  <w:tcW w:w="1700" w:type="dxa"/>
                  <w:tcBorders>
                    <w:top w:val="nil"/>
                    <w:left w:val="nil"/>
                    <w:bottom w:val="nil"/>
                    <w:right w:val="nil"/>
                  </w:tcBorders>
                  <w:shd w:val="clear" w:color="auto" w:fill="auto"/>
                  <w:vAlign w:val="center"/>
                  <w:hideMark/>
                </w:tcPr>
                <w:p w14:paraId="4BF7C06D"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3,279 </w:t>
                  </w:r>
                </w:p>
              </w:tc>
              <w:tc>
                <w:tcPr>
                  <w:tcW w:w="412" w:type="dxa"/>
                  <w:tcBorders>
                    <w:top w:val="nil"/>
                    <w:left w:val="nil"/>
                    <w:bottom w:val="nil"/>
                    <w:right w:val="nil"/>
                  </w:tcBorders>
                  <w:shd w:val="clear" w:color="auto" w:fill="auto"/>
                  <w:vAlign w:val="center"/>
                  <w:hideMark/>
                </w:tcPr>
                <w:p w14:paraId="7A9DF068"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181CCBA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53214563" w14:textId="77777777" w:rsidTr="004C6B7D">
              <w:trPr>
                <w:trHeight w:val="180"/>
              </w:trPr>
              <w:tc>
                <w:tcPr>
                  <w:tcW w:w="6345" w:type="dxa"/>
                  <w:tcBorders>
                    <w:top w:val="nil"/>
                    <w:left w:val="nil"/>
                    <w:bottom w:val="single" w:sz="4" w:space="0" w:color="auto"/>
                    <w:right w:val="nil"/>
                  </w:tcBorders>
                  <w:shd w:val="clear" w:color="auto" w:fill="auto"/>
                  <w:vAlign w:val="center"/>
                  <w:hideMark/>
                </w:tcPr>
                <w:p w14:paraId="62855B4B"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Dividends paid</w:t>
                  </w:r>
                </w:p>
              </w:tc>
              <w:tc>
                <w:tcPr>
                  <w:tcW w:w="412" w:type="dxa"/>
                  <w:tcBorders>
                    <w:top w:val="nil"/>
                    <w:left w:val="nil"/>
                    <w:bottom w:val="single" w:sz="4" w:space="0" w:color="auto"/>
                    <w:right w:val="nil"/>
                  </w:tcBorders>
                  <w:shd w:val="clear" w:color="auto" w:fill="auto"/>
                  <w:vAlign w:val="center"/>
                  <w:hideMark/>
                </w:tcPr>
                <w:p w14:paraId="310C32D3"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3C0695A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c>
                <w:tcPr>
                  <w:tcW w:w="412" w:type="dxa"/>
                  <w:tcBorders>
                    <w:top w:val="nil"/>
                    <w:left w:val="nil"/>
                    <w:bottom w:val="single" w:sz="4" w:space="0" w:color="auto"/>
                    <w:right w:val="nil"/>
                  </w:tcBorders>
                  <w:shd w:val="clear" w:color="auto" w:fill="auto"/>
                  <w:vAlign w:val="center"/>
                  <w:hideMark/>
                </w:tcPr>
                <w:p w14:paraId="63A9038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65FA6C80"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61EEE6E7" w14:textId="77777777" w:rsidTr="004C6B7D">
              <w:trPr>
                <w:trHeight w:val="112"/>
              </w:trPr>
              <w:tc>
                <w:tcPr>
                  <w:tcW w:w="6345" w:type="dxa"/>
                  <w:tcBorders>
                    <w:top w:val="nil"/>
                    <w:left w:val="nil"/>
                    <w:bottom w:val="nil"/>
                    <w:right w:val="nil"/>
                  </w:tcBorders>
                  <w:shd w:val="clear" w:color="auto" w:fill="auto"/>
                  <w:vAlign w:val="center"/>
                  <w:hideMark/>
                </w:tcPr>
                <w:p w14:paraId="3E6FCD78"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622A3AA6" w14:textId="77777777" w:rsidR="004C6B7D" w:rsidRPr="004C6B7D" w:rsidRDefault="004C6B7D" w:rsidP="004C6B7D">
                  <w:pPr>
                    <w:widowControl/>
                    <w:autoSpaceDE/>
                    <w:autoSpaceDN/>
                    <w:adjustRightInd/>
                    <w:ind w:firstLineChars="100" w:firstLine="200"/>
                    <w:jc w:val="right"/>
                    <w:rPr>
                      <w:sz w:val="20"/>
                      <w:szCs w:val="20"/>
                      <w:lang w:eastAsia="en-CA"/>
                    </w:rPr>
                  </w:pPr>
                </w:p>
              </w:tc>
              <w:tc>
                <w:tcPr>
                  <w:tcW w:w="1700" w:type="dxa"/>
                  <w:tcBorders>
                    <w:top w:val="nil"/>
                    <w:left w:val="nil"/>
                    <w:bottom w:val="nil"/>
                    <w:right w:val="nil"/>
                  </w:tcBorders>
                  <w:shd w:val="clear" w:color="auto" w:fill="auto"/>
                  <w:vAlign w:val="center"/>
                  <w:hideMark/>
                </w:tcPr>
                <w:p w14:paraId="0918EC24"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1C27E1E5"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4111C63D" w14:textId="77777777" w:rsidR="004C6B7D" w:rsidRPr="004C6B7D" w:rsidRDefault="004C6B7D" w:rsidP="004C6B7D">
                  <w:pPr>
                    <w:widowControl/>
                    <w:autoSpaceDE/>
                    <w:autoSpaceDN/>
                    <w:adjustRightInd/>
                    <w:jc w:val="right"/>
                    <w:rPr>
                      <w:sz w:val="20"/>
                      <w:szCs w:val="20"/>
                      <w:lang w:eastAsia="en-CA"/>
                    </w:rPr>
                  </w:pPr>
                </w:p>
              </w:tc>
            </w:tr>
            <w:tr w:rsidR="004C6B7D" w:rsidRPr="004C6B7D" w14:paraId="466509E4" w14:textId="77777777" w:rsidTr="004C6B7D">
              <w:trPr>
                <w:trHeight w:val="180"/>
              </w:trPr>
              <w:tc>
                <w:tcPr>
                  <w:tcW w:w="6345" w:type="dxa"/>
                  <w:tcBorders>
                    <w:top w:val="nil"/>
                    <w:left w:val="nil"/>
                    <w:bottom w:val="single" w:sz="4" w:space="0" w:color="auto"/>
                    <w:right w:val="nil"/>
                  </w:tcBorders>
                  <w:shd w:val="clear" w:color="auto" w:fill="auto"/>
                  <w:vAlign w:val="center"/>
                  <w:hideMark/>
                </w:tcPr>
                <w:p w14:paraId="251D1678"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provided by financing activities</w:t>
                  </w:r>
                </w:p>
              </w:tc>
              <w:tc>
                <w:tcPr>
                  <w:tcW w:w="412" w:type="dxa"/>
                  <w:tcBorders>
                    <w:top w:val="nil"/>
                    <w:left w:val="nil"/>
                    <w:bottom w:val="single" w:sz="4" w:space="0" w:color="auto"/>
                    <w:right w:val="nil"/>
                  </w:tcBorders>
                  <w:shd w:val="clear" w:color="auto" w:fill="auto"/>
                  <w:vAlign w:val="center"/>
                  <w:hideMark/>
                </w:tcPr>
                <w:p w14:paraId="67F3B84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0BF289D1"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2,640,543 </w:t>
                  </w:r>
                </w:p>
              </w:tc>
              <w:tc>
                <w:tcPr>
                  <w:tcW w:w="412" w:type="dxa"/>
                  <w:tcBorders>
                    <w:top w:val="nil"/>
                    <w:left w:val="nil"/>
                    <w:bottom w:val="single" w:sz="4" w:space="0" w:color="auto"/>
                    <w:right w:val="nil"/>
                  </w:tcBorders>
                  <w:shd w:val="clear" w:color="auto" w:fill="auto"/>
                  <w:vAlign w:val="center"/>
                  <w:hideMark/>
                </w:tcPr>
                <w:p w14:paraId="729DC59A"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29B2AB5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5BCD12D1" w14:textId="77777777" w:rsidTr="004C6B7D">
              <w:trPr>
                <w:trHeight w:val="112"/>
              </w:trPr>
              <w:tc>
                <w:tcPr>
                  <w:tcW w:w="6345" w:type="dxa"/>
                  <w:tcBorders>
                    <w:top w:val="nil"/>
                    <w:left w:val="nil"/>
                    <w:bottom w:val="nil"/>
                    <w:right w:val="nil"/>
                  </w:tcBorders>
                  <w:shd w:val="clear" w:color="auto" w:fill="auto"/>
                  <w:vAlign w:val="center"/>
                  <w:hideMark/>
                </w:tcPr>
                <w:p w14:paraId="2D395A61" w14:textId="77777777" w:rsidR="004C6B7D" w:rsidRPr="004C6B7D" w:rsidRDefault="004C6B7D" w:rsidP="004C6B7D">
                  <w:pPr>
                    <w:widowControl/>
                    <w:autoSpaceDE/>
                    <w:autoSpaceDN/>
                    <w:adjustRightInd/>
                    <w:jc w:val="left"/>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0C4CF9F5" w14:textId="77777777" w:rsidR="004C6B7D" w:rsidRPr="004C6B7D" w:rsidRDefault="004C6B7D" w:rsidP="004C6B7D">
                  <w:pPr>
                    <w:widowControl/>
                    <w:autoSpaceDE/>
                    <w:autoSpaceDN/>
                    <w:adjustRightInd/>
                    <w:ind w:firstLineChars="400" w:firstLine="800"/>
                    <w:jc w:val="right"/>
                    <w:rPr>
                      <w:sz w:val="20"/>
                      <w:szCs w:val="20"/>
                      <w:lang w:eastAsia="en-CA"/>
                    </w:rPr>
                  </w:pPr>
                </w:p>
              </w:tc>
              <w:tc>
                <w:tcPr>
                  <w:tcW w:w="1700" w:type="dxa"/>
                  <w:tcBorders>
                    <w:top w:val="nil"/>
                    <w:left w:val="nil"/>
                    <w:bottom w:val="nil"/>
                    <w:right w:val="nil"/>
                  </w:tcBorders>
                  <w:shd w:val="clear" w:color="auto" w:fill="auto"/>
                  <w:vAlign w:val="center"/>
                  <w:hideMark/>
                </w:tcPr>
                <w:p w14:paraId="001DE0C2"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15442129"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71B8DB97" w14:textId="77777777" w:rsidR="004C6B7D" w:rsidRPr="004C6B7D" w:rsidRDefault="004C6B7D" w:rsidP="004C6B7D">
                  <w:pPr>
                    <w:widowControl/>
                    <w:autoSpaceDE/>
                    <w:autoSpaceDN/>
                    <w:adjustRightInd/>
                    <w:jc w:val="right"/>
                    <w:rPr>
                      <w:sz w:val="20"/>
                      <w:szCs w:val="20"/>
                      <w:lang w:eastAsia="en-CA"/>
                    </w:rPr>
                  </w:pPr>
                </w:p>
              </w:tc>
            </w:tr>
            <w:tr w:rsidR="004C6B7D" w:rsidRPr="004C6B7D" w14:paraId="65B1F80C" w14:textId="77777777" w:rsidTr="004C6B7D">
              <w:trPr>
                <w:trHeight w:val="180"/>
              </w:trPr>
              <w:tc>
                <w:tcPr>
                  <w:tcW w:w="6345" w:type="dxa"/>
                  <w:tcBorders>
                    <w:top w:val="nil"/>
                    <w:left w:val="nil"/>
                    <w:bottom w:val="nil"/>
                    <w:right w:val="nil"/>
                  </w:tcBorders>
                  <w:shd w:val="clear" w:color="auto" w:fill="auto"/>
                  <w:vAlign w:val="center"/>
                  <w:hideMark/>
                </w:tcPr>
                <w:p w14:paraId="6557BB9B"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Foreign exchange effect on cash</w:t>
                  </w:r>
                </w:p>
              </w:tc>
              <w:tc>
                <w:tcPr>
                  <w:tcW w:w="412" w:type="dxa"/>
                  <w:tcBorders>
                    <w:top w:val="nil"/>
                    <w:left w:val="nil"/>
                    <w:bottom w:val="nil"/>
                    <w:right w:val="nil"/>
                  </w:tcBorders>
                  <w:shd w:val="clear" w:color="auto" w:fill="auto"/>
                  <w:vAlign w:val="center"/>
                  <w:hideMark/>
                </w:tcPr>
                <w:p w14:paraId="71C527C9" w14:textId="77777777" w:rsidR="004C6B7D" w:rsidRPr="004C6B7D" w:rsidRDefault="004C6B7D" w:rsidP="004C6B7D">
                  <w:pPr>
                    <w:widowControl/>
                    <w:autoSpaceDE/>
                    <w:autoSpaceDN/>
                    <w:adjustRightInd/>
                    <w:jc w:val="righ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vAlign w:val="center"/>
                  <w:hideMark/>
                </w:tcPr>
                <w:p w14:paraId="33943B3D"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153,371 </w:t>
                  </w:r>
                </w:p>
              </w:tc>
              <w:tc>
                <w:tcPr>
                  <w:tcW w:w="412" w:type="dxa"/>
                  <w:tcBorders>
                    <w:top w:val="nil"/>
                    <w:left w:val="nil"/>
                    <w:bottom w:val="nil"/>
                    <w:right w:val="nil"/>
                  </w:tcBorders>
                  <w:shd w:val="clear" w:color="auto" w:fill="auto"/>
                  <w:vAlign w:val="center"/>
                  <w:hideMark/>
                </w:tcPr>
                <w:p w14:paraId="58B15851"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26960E5E"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   </w:t>
                  </w:r>
                </w:p>
              </w:tc>
            </w:tr>
            <w:tr w:rsidR="004C6B7D" w:rsidRPr="004C6B7D" w14:paraId="0DBCE181" w14:textId="77777777" w:rsidTr="004C6B7D">
              <w:trPr>
                <w:trHeight w:val="112"/>
              </w:trPr>
              <w:tc>
                <w:tcPr>
                  <w:tcW w:w="6345" w:type="dxa"/>
                  <w:tcBorders>
                    <w:top w:val="nil"/>
                    <w:left w:val="nil"/>
                    <w:bottom w:val="nil"/>
                    <w:right w:val="nil"/>
                  </w:tcBorders>
                  <w:shd w:val="clear" w:color="auto" w:fill="auto"/>
                  <w:vAlign w:val="center"/>
                  <w:hideMark/>
                </w:tcPr>
                <w:p w14:paraId="7785E4A2"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66A119DA" w14:textId="77777777" w:rsidR="004C6B7D" w:rsidRPr="004C6B7D" w:rsidRDefault="004C6B7D" w:rsidP="004C6B7D">
                  <w:pPr>
                    <w:widowControl/>
                    <w:autoSpaceDE/>
                    <w:autoSpaceDN/>
                    <w:adjustRightInd/>
                    <w:ind w:firstLineChars="400" w:firstLine="800"/>
                    <w:jc w:val="right"/>
                    <w:rPr>
                      <w:sz w:val="20"/>
                      <w:szCs w:val="20"/>
                      <w:lang w:eastAsia="en-CA"/>
                    </w:rPr>
                  </w:pPr>
                </w:p>
              </w:tc>
              <w:tc>
                <w:tcPr>
                  <w:tcW w:w="1700" w:type="dxa"/>
                  <w:tcBorders>
                    <w:top w:val="nil"/>
                    <w:left w:val="nil"/>
                    <w:bottom w:val="nil"/>
                    <w:right w:val="nil"/>
                  </w:tcBorders>
                  <w:shd w:val="clear" w:color="auto" w:fill="auto"/>
                  <w:vAlign w:val="center"/>
                  <w:hideMark/>
                </w:tcPr>
                <w:p w14:paraId="4D69BBE7"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6C5A627C"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62811985" w14:textId="77777777" w:rsidR="004C6B7D" w:rsidRPr="004C6B7D" w:rsidRDefault="004C6B7D" w:rsidP="004C6B7D">
                  <w:pPr>
                    <w:widowControl/>
                    <w:autoSpaceDE/>
                    <w:autoSpaceDN/>
                    <w:adjustRightInd/>
                    <w:jc w:val="right"/>
                    <w:rPr>
                      <w:sz w:val="20"/>
                      <w:szCs w:val="20"/>
                      <w:lang w:eastAsia="en-CA"/>
                    </w:rPr>
                  </w:pPr>
                </w:p>
              </w:tc>
            </w:tr>
            <w:tr w:rsidR="004C6B7D" w:rsidRPr="004C6B7D" w14:paraId="1F70AA1D" w14:textId="77777777" w:rsidTr="004C6B7D">
              <w:trPr>
                <w:trHeight w:val="180"/>
              </w:trPr>
              <w:tc>
                <w:tcPr>
                  <w:tcW w:w="6345" w:type="dxa"/>
                  <w:tcBorders>
                    <w:top w:val="nil"/>
                    <w:left w:val="nil"/>
                    <w:bottom w:val="nil"/>
                    <w:right w:val="nil"/>
                  </w:tcBorders>
                  <w:shd w:val="clear" w:color="auto" w:fill="auto"/>
                  <w:vAlign w:val="center"/>
                  <w:hideMark/>
                </w:tcPr>
                <w:p w14:paraId="2223D1B4"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Change in cash during the period</w:t>
                  </w:r>
                </w:p>
              </w:tc>
              <w:tc>
                <w:tcPr>
                  <w:tcW w:w="412" w:type="dxa"/>
                  <w:tcBorders>
                    <w:top w:val="nil"/>
                    <w:left w:val="nil"/>
                    <w:bottom w:val="nil"/>
                    <w:right w:val="nil"/>
                  </w:tcBorders>
                  <w:shd w:val="clear" w:color="auto" w:fill="auto"/>
                  <w:vAlign w:val="center"/>
                  <w:hideMark/>
                </w:tcPr>
                <w:p w14:paraId="5330B6F0" w14:textId="77777777" w:rsidR="004C6B7D" w:rsidRPr="004C6B7D" w:rsidRDefault="004C6B7D" w:rsidP="004C6B7D">
                  <w:pPr>
                    <w:widowControl/>
                    <w:autoSpaceDE/>
                    <w:autoSpaceDN/>
                    <w:adjustRightInd/>
                    <w:jc w:val="righ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vAlign w:val="center"/>
                  <w:hideMark/>
                </w:tcPr>
                <w:p w14:paraId="0EE6F925"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1,473,745 </w:t>
                  </w:r>
                </w:p>
              </w:tc>
              <w:tc>
                <w:tcPr>
                  <w:tcW w:w="412" w:type="dxa"/>
                  <w:tcBorders>
                    <w:top w:val="nil"/>
                    <w:left w:val="nil"/>
                    <w:bottom w:val="nil"/>
                    <w:right w:val="nil"/>
                  </w:tcBorders>
                  <w:shd w:val="clear" w:color="auto" w:fill="auto"/>
                  <w:vAlign w:val="center"/>
                  <w:hideMark/>
                </w:tcPr>
                <w:p w14:paraId="4DF0BFC1"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p>
              </w:tc>
              <w:tc>
                <w:tcPr>
                  <w:tcW w:w="1701" w:type="dxa"/>
                  <w:tcBorders>
                    <w:top w:val="nil"/>
                    <w:left w:val="nil"/>
                    <w:bottom w:val="nil"/>
                    <w:right w:val="nil"/>
                  </w:tcBorders>
                  <w:shd w:val="clear" w:color="auto" w:fill="auto"/>
                  <w:vAlign w:val="center"/>
                  <w:hideMark/>
                </w:tcPr>
                <w:p w14:paraId="27F93B9C"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(187,461)</w:t>
                  </w:r>
                </w:p>
              </w:tc>
            </w:tr>
            <w:tr w:rsidR="004C6B7D" w:rsidRPr="004C6B7D" w14:paraId="1545E726" w14:textId="77777777" w:rsidTr="004C6B7D">
              <w:trPr>
                <w:trHeight w:val="112"/>
              </w:trPr>
              <w:tc>
                <w:tcPr>
                  <w:tcW w:w="6345" w:type="dxa"/>
                  <w:tcBorders>
                    <w:top w:val="nil"/>
                    <w:left w:val="nil"/>
                    <w:bottom w:val="nil"/>
                    <w:right w:val="nil"/>
                  </w:tcBorders>
                  <w:shd w:val="clear" w:color="auto" w:fill="auto"/>
                  <w:vAlign w:val="center"/>
                  <w:hideMark/>
                </w:tcPr>
                <w:p w14:paraId="403AD73A" w14:textId="77777777" w:rsidR="004C6B7D" w:rsidRPr="004C6B7D" w:rsidRDefault="004C6B7D" w:rsidP="004C6B7D">
                  <w:pPr>
                    <w:widowControl/>
                    <w:autoSpaceDE/>
                    <w:autoSpaceDN/>
                    <w:adjustRightInd/>
                    <w:jc w:val="left"/>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2C5FAADB" w14:textId="77777777" w:rsidR="004C6B7D" w:rsidRPr="004C6B7D" w:rsidRDefault="004C6B7D" w:rsidP="004C6B7D">
                  <w:pPr>
                    <w:widowControl/>
                    <w:autoSpaceDE/>
                    <w:autoSpaceDN/>
                    <w:adjustRightInd/>
                    <w:jc w:val="right"/>
                    <w:rPr>
                      <w:sz w:val="20"/>
                      <w:szCs w:val="20"/>
                      <w:lang w:eastAsia="en-CA"/>
                    </w:rPr>
                  </w:pPr>
                </w:p>
              </w:tc>
              <w:tc>
                <w:tcPr>
                  <w:tcW w:w="1700" w:type="dxa"/>
                  <w:tcBorders>
                    <w:top w:val="nil"/>
                    <w:left w:val="nil"/>
                    <w:bottom w:val="nil"/>
                    <w:right w:val="nil"/>
                  </w:tcBorders>
                  <w:shd w:val="clear" w:color="auto" w:fill="auto"/>
                  <w:vAlign w:val="center"/>
                  <w:hideMark/>
                </w:tcPr>
                <w:p w14:paraId="6D2A64C7"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0E69229A"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72612E9B" w14:textId="77777777" w:rsidR="004C6B7D" w:rsidRPr="004C6B7D" w:rsidRDefault="004C6B7D" w:rsidP="004C6B7D">
                  <w:pPr>
                    <w:widowControl/>
                    <w:autoSpaceDE/>
                    <w:autoSpaceDN/>
                    <w:adjustRightInd/>
                    <w:jc w:val="right"/>
                    <w:rPr>
                      <w:sz w:val="20"/>
                      <w:szCs w:val="20"/>
                      <w:lang w:eastAsia="en-CA"/>
                    </w:rPr>
                  </w:pPr>
                </w:p>
              </w:tc>
            </w:tr>
            <w:tr w:rsidR="004C6B7D" w:rsidRPr="004C6B7D" w14:paraId="62CBA78B" w14:textId="77777777" w:rsidTr="004C6B7D">
              <w:trPr>
                <w:trHeight w:val="180"/>
              </w:trPr>
              <w:tc>
                <w:tcPr>
                  <w:tcW w:w="6345" w:type="dxa"/>
                  <w:tcBorders>
                    <w:top w:val="nil"/>
                    <w:left w:val="nil"/>
                    <w:bottom w:val="single" w:sz="4" w:space="0" w:color="auto"/>
                    <w:right w:val="nil"/>
                  </w:tcBorders>
                  <w:shd w:val="clear" w:color="auto" w:fill="auto"/>
                  <w:vAlign w:val="center"/>
                  <w:hideMark/>
                </w:tcPr>
                <w:p w14:paraId="35C15394"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beginning of period</w:t>
                  </w:r>
                </w:p>
              </w:tc>
              <w:tc>
                <w:tcPr>
                  <w:tcW w:w="412" w:type="dxa"/>
                  <w:tcBorders>
                    <w:top w:val="nil"/>
                    <w:left w:val="nil"/>
                    <w:bottom w:val="single" w:sz="4" w:space="0" w:color="auto"/>
                    <w:right w:val="nil"/>
                  </w:tcBorders>
                  <w:shd w:val="clear" w:color="auto" w:fill="auto"/>
                  <w:vAlign w:val="center"/>
                  <w:hideMark/>
                </w:tcPr>
                <w:p w14:paraId="54B02623"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0" w:type="dxa"/>
                  <w:tcBorders>
                    <w:top w:val="nil"/>
                    <w:left w:val="nil"/>
                    <w:bottom w:val="single" w:sz="4" w:space="0" w:color="auto"/>
                    <w:right w:val="nil"/>
                  </w:tcBorders>
                  <w:shd w:val="clear" w:color="auto" w:fill="auto"/>
                  <w:vAlign w:val="center"/>
                  <w:hideMark/>
                </w:tcPr>
                <w:p w14:paraId="04B3F099"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2,082,206 </w:t>
                  </w:r>
                </w:p>
              </w:tc>
              <w:tc>
                <w:tcPr>
                  <w:tcW w:w="412" w:type="dxa"/>
                  <w:tcBorders>
                    <w:top w:val="nil"/>
                    <w:left w:val="nil"/>
                    <w:bottom w:val="single" w:sz="4" w:space="0" w:color="auto"/>
                    <w:right w:val="nil"/>
                  </w:tcBorders>
                  <w:shd w:val="clear" w:color="auto" w:fill="auto"/>
                  <w:vAlign w:val="center"/>
                  <w:hideMark/>
                </w:tcPr>
                <w:p w14:paraId="0621D5E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w:t>
                  </w:r>
                </w:p>
              </w:tc>
              <w:tc>
                <w:tcPr>
                  <w:tcW w:w="1701" w:type="dxa"/>
                  <w:tcBorders>
                    <w:top w:val="nil"/>
                    <w:left w:val="nil"/>
                    <w:bottom w:val="single" w:sz="4" w:space="0" w:color="auto"/>
                    <w:right w:val="nil"/>
                  </w:tcBorders>
                  <w:shd w:val="clear" w:color="auto" w:fill="auto"/>
                  <w:vAlign w:val="center"/>
                  <w:hideMark/>
                </w:tcPr>
                <w:p w14:paraId="5B18D5B7"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691,298 </w:t>
                  </w:r>
                </w:p>
              </w:tc>
            </w:tr>
            <w:tr w:rsidR="004C6B7D" w:rsidRPr="004C6B7D" w14:paraId="6EC7A99B" w14:textId="77777777" w:rsidTr="004C6B7D">
              <w:trPr>
                <w:trHeight w:val="112"/>
              </w:trPr>
              <w:tc>
                <w:tcPr>
                  <w:tcW w:w="6345" w:type="dxa"/>
                  <w:tcBorders>
                    <w:top w:val="nil"/>
                    <w:left w:val="nil"/>
                    <w:bottom w:val="nil"/>
                    <w:right w:val="nil"/>
                  </w:tcBorders>
                  <w:shd w:val="clear" w:color="auto" w:fill="auto"/>
                  <w:vAlign w:val="center"/>
                  <w:hideMark/>
                </w:tcPr>
                <w:p w14:paraId="39E76613" w14:textId="77777777" w:rsidR="004C6B7D" w:rsidRPr="004C6B7D" w:rsidRDefault="004C6B7D" w:rsidP="004C6B7D">
                  <w:pPr>
                    <w:widowControl/>
                    <w:autoSpaceDE/>
                    <w:autoSpaceDN/>
                    <w:adjustRightInd/>
                    <w:jc w:val="center"/>
                    <w:rPr>
                      <w:rFonts w:ascii="Arial" w:hAnsi="Arial" w:cs="Arial"/>
                      <w:color w:val="000000"/>
                      <w:sz w:val="18"/>
                      <w:szCs w:val="18"/>
                      <w:lang w:eastAsia="en-CA"/>
                    </w:rPr>
                  </w:pPr>
                </w:p>
              </w:tc>
              <w:tc>
                <w:tcPr>
                  <w:tcW w:w="412" w:type="dxa"/>
                  <w:tcBorders>
                    <w:top w:val="nil"/>
                    <w:left w:val="nil"/>
                    <w:bottom w:val="nil"/>
                    <w:right w:val="nil"/>
                  </w:tcBorders>
                  <w:shd w:val="clear" w:color="auto" w:fill="auto"/>
                  <w:vAlign w:val="center"/>
                  <w:hideMark/>
                </w:tcPr>
                <w:p w14:paraId="7D43B3ED" w14:textId="77777777" w:rsidR="004C6B7D" w:rsidRPr="004C6B7D" w:rsidRDefault="004C6B7D" w:rsidP="004C6B7D">
                  <w:pPr>
                    <w:widowControl/>
                    <w:autoSpaceDE/>
                    <w:autoSpaceDN/>
                    <w:adjustRightInd/>
                    <w:jc w:val="right"/>
                    <w:rPr>
                      <w:sz w:val="20"/>
                      <w:szCs w:val="20"/>
                      <w:lang w:eastAsia="en-CA"/>
                    </w:rPr>
                  </w:pPr>
                </w:p>
              </w:tc>
              <w:tc>
                <w:tcPr>
                  <w:tcW w:w="1700" w:type="dxa"/>
                  <w:tcBorders>
                    <w:top w:val="nil"/>
                    <w:left w:val="nil"/>
                    <w:bottom w:val="nil"/>
                    <w:right w:val="nil"/>
                  </w:tcBorders>
                  <w:shd w:val="clear" w:color="auto" w:fill="auto"/>
                  <w:vAlign w:val="center"/>
                  <w:hideMark/>
                </w:tcPr>
                <w:p w14:paraId="295A80D0"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100C6CD4"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47B7BC82" w14:textId="77777777" w:rsidR="004C6B7D" w:rsidRPr="004C6B7D" w:rsidRDefault="004C6B7D" w:rsidP="004C6B7D">
                  <w:pPr>
                    <w:widowControl/>
                    <w:autoSpaceDE/>
                    <w:autoSpaceDN/>
                    <w:adjustRightInd/>
                    <w:jc w:val="right"/>
                    <w:rPr>
                      <w:sz w:val="20"/>
                      <w:szCs w:val="20"/>
                      <w:lang w:eastAsia="en-CA"/>
                    </w:rPr>
                  </w:pPr>
                </w:p>
              </w:tc>
            </w:tr>
            <w:tr w:rsidR="004C6B7D" w:rsidRPr="004C6B7D" w14:paraId="3C943475" w14:textId="77777777" w:rsidTr="004C6B7D">
              <w:trPr>
                <w:trHeight w:val="180"/>
              </w:trPr>
              <w:tc>
                <w:tcPr>
                  <w:tcW w:w="6345" w:type="dxa"/>
                  <w:tcBorders>
                    <w:top w:val="nil"/>
                    <w:left w:val="nil"/>
                    <w:bottom w:val="single" w:sz="8" w:space="0" w:color="auto"/>
                    <w:right w:val="nil"/>
                  </w:tcBorders>
                  <w:shd w:val="clear" w:color="auto" w:fill="auto"/>
                  <w:vAlign w:val="center"/>
                  <w:hideMark/>
                </w:tcPr>
                <w:p w14:paraId="7CC28C1A"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Cash, end of period</w:t>
                  </w:r>
                </w:p>
              </w:tc>
              <w:tc>
                <w:tcPr>
                  <w:tcW w:w="412" w:type="dxa"/>
                  <w:tcBorders>
                    <w:top w:val="nil"/>
                    <w:left w:val="nil"/>
                    <w:bottom w:val="single" w:sz="8" w:space="0" w:color="auto"/>
                    <w:right w:val="nil"/>
                  </w:tcBorders>
                  <w:shd w:val="clear" w:color="auto" w:fill="auto"/>
                  <w:vAlign w:val="center"/>
                  <w:hideMark/>
                </w:tcPr>
                <w:p w14:paraId="4E85B7C2"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w:t>
                  </w:r>
                </w:p>
              </w:tc>
              <w:tc>
                <w:tcPr>
                  <w:tcW w:w="1700" w:type="dxa"/>
                  <w:tcBorders>
                    <w:top w:val="nil"/>
                    <w:left w:val="nil"/>
                    <w:bottom w:val="single" w:sz="8" w:space="0" w:color="auto"/>
                    <w:right w:val="nil"/>
                  </w:tcBorders>
                  <w:shd w:val="clear" w:color="auto" w:fill="auto"/>
                  <w:vAlign w:val="center"/>
                  <w:hideMark/>
                </w:tcPr>
                <w:p w14:paraId="7AE7601F"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3,555,951 </w:t>
                  </w:r>
                </w:p>
              </w:tc>
              <w:tc>
                <w:tcPr>
                  <w:tcW w:w="412" w:type="dxa"/>
                  <w:tcBorders>
                    <w:top w:val="nil"/>
                    <w:left w:val="nil"/>
                    <w:bottom w:val="single" w:sz="8" w:space="0" w:color="auto"/>
                    <w:right w:val="nil"/>
                  </w:tcBorders>
                  <w:shd w:val="clear" w:color="auto" w:fill="auto"/>
                  <w:vAlign w:val="center"/>
                  <w:hideMark/>
                </w:tcPr>
                <w:p w14:paraId="195F6C84"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w:t>
                  </w:r>
                </w:p>
              </w:tc>
              <w:tc>
                <w:tcPr>
                  <w:tcW w:w="1701" w:type="dxa"/>
                  <w:tcBorders>
                    <w:top w:val="nil"/>
                    <w:left w:val="nil"/>
                    <w:bottom w:val="single" w:sz="8" w:space="0" w:color="auto"/>
                    <w:right w:val="nil"/>
                  </w:tcBorders>
                  <w:shd w:val="clear" w:color="auto" w:fill="auto"/>
                  <w:vAlign w:val="center"/>
                  <w:hideMark/>
                </w:tcPr>
                <w:p w14:paraId="7CD2C31D" w14:textId="77777777" w:rsidR="004C6B7D" w:rsidRPr="004C6B7D" w:rsidRDefault="004C6B7D" w:rsidP="004C6B7D">
                  <w:pPr>
                    <w:widowControl/>
                    <w:autoSpaceDE/>
                    <w:autoSpaceDN/>
                    <w:adjustRightInd/>
                    <w:jc w:val="right"/>
                    <w:rPr>
                      <w:rFonts w:ascii="Arial" w:hAnsi="Arial" w:cs="Arial"/>
                      <w:color w:val="000000"/>
                      <w:sz w:val="18"/>
                      <w:szCs w:val="18"/>
                      <w:lang w:eastAsia="en-CA"/>
                    </w:rPr>
                  </w:pPr>
                  <w:r w:rsidRPr="004C6B7D">
                    <w:rPr>
                      <w:rFonts w:ascii="Arial" w:hAnsi="Arial" w:cs="Arial"/>
                      <w:color w:val="000000"/>
                      <w:sz w:val="18"/>
                      <w:szCs w:val="18"/>
                      <w:lang w:eastAsia="en-CA"/>
                    </w:rPr>
                    <w:t xml:space="preserve">             503,837 </w:t>
                  </w:r>
                </w:p>
              </w:tc>
            </w:tr>
            <w:tr w:rsidR="004C6B7D" w:rsidRPr="004C6B7D" w14:paraId="412E1152" w14:textId="77777777" w:rsidTr="004C6B7D">
              <w:trPr>
                <w:trHeight w:val="112"/>
              </w:trPr>
              <w:tc>
                <w:tcPr>
                  <w:tcW w:w="6345" w:type="dxa"/>
                  <w:tcBorders>
                    <w:top w:val="nil"/>
                    <w:left w:val="nil"/>
                    <w:bottom w:val="nil"/>
                    <w:right w:val="nil"/>
                  </w:tcBorders>
                  <w:shd w:val="clear" w:color="auto" w:fill="auto"/>
                  <w:vAlign w:val="center"/>
                  <w:hideMark/>
                </w:tcPr>
                <w:p w14:paraId="1CAD4F56"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 xml:space="preserve"> </w:t>
                  </w:r>
                </w:p>
              </w:tc>
              <w:tc>
                <w:tcPr>
                  <w:tcW w:w="412" w:type="dxa"/>
                  <w:tcBorders>
                    <w:top w:val="nil"/>
                    <w:left w:val="nil"/>
                    <w:bottom w:val="nil"/>
                    <w:right w:val="nil"/>
                  </w:tcBorders>
                  <w:shd w:val="clear" w:color="auto" w:fill="auto"/>
                  <w:vAlign w:val="center"/>
                  <w:hideMark/>
                </w:tcPr>
                <w:p w14:paraId="3FC9601F" w14:textId="77777777" w:rsidR="004C6B7D" w:rsidRPr="004C6B7D" w:rsidRDefault="004C6B7D" w:rsidP="004C6B7D">
                  <w:pPr>
                    <w:widowControl/>
                    <w:autoSpaceDE/>
                    <w:autoSpaceDN/>
                    <w:adjustRightInd/>
                    <w:jc w:val="righ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vAlign w:val="center"/>
                  <w:hideMark/>
                </w:tcPr>
                <w:p w14:paraId="2B7962D9"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vAlign w:val="center"/>
                  <w:hideMark/>
                </w:tcPr>
                <w:p w14:paraId="6AD1F3A6"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vAlign w:val="center"/>
                  <w:hideMark/>
                </w:tcPr>
                <w:p w14:paraId="137D18D3" w14:textId="77777777" w:rsidR="004C6B7D" w:rsidRPr="004C6B7D" w:rsidRDefault="004C6B7D" w:rsidP="004C6B7D">
                  <w:pPr>
                    <w:widowControl/>
                    <w:autoSpaceDE/>
                    <w:autoSpaceDN/>
                    <w:adjustRightInd/>
                    <w:jc w:val="right"/>
                    <w:rPr>
                      <w:sz w:val="20"/>
                      <w:szCs w:val="20"/>
                      <w:lang w:eastAsia="en-CA"/>
                    </w:rPr>
                  </w:pPr>
                </w:p>
              </w:tc>
            </w:tr>
            <w:tr w:rsidR="004C6B7D" w:rsidRPr="004C6B7D" w14:paraId="2879E44C" w14:textId="77777777" w:rsidTr="004C6B7D">
              <w:trPr>
                <w:trHeight w:val="225"/>
              </w:trPr>
              <w:tc>
                <w:tcPr>
                  <w:tcW w:w="6345" w:type="dxa"/>
                  <w:tcBorders>
                    <w:top w:val="nil"/>
                    <w:left w:val="nil"/>
                    <w:bottom w:val="nil"/>
                    <w:right w:val="nil"/>
                  </w:tcBorders>
                  <w:shd w:val="clear" w:color="auto" w:fill="auto"/>
                  <w:noWrap/>
                  <w:vAlign w:val="bottom"/>
                  <w:hideMark/>
                </w:tcPr>
                <w:p w14:paraId="1F5B593F" w14:textId="77777777" w:rsidR="004C6B7D" w:rsidRPr="004C6B7D" w:rsidRDefault="004C6B7D" w:rsidP="004C6B7D">
                  <w:pPr>
                    <w:widowControl/>
                    <w:autoSpaceDE/>
                    <w:autoSpaceDN/>
                    <w:adjustRightInd/>
                    <w:jc w:val="left"/>
                    <w:rPr>
                      <w:rFonts w:ascii="Arial" w:hAnsi="Arial" w:cs="Arial"/>
                      <w:b/>
                      <w:bCs/>
                      <w:color w:val="000000"/>
                      <w:sz w:val="18"/>
                      <w:szCs w:val="18"/>
                      <w:lang w:eastAsia="en-CA"/>
                    </w:rPr>
                  </w:pPr>
                  <w:r w:rsidRPr="004C6B7D">
                    <w:rPr>
                      <w:rFonts w:ascii="Arial" w:hAnsi="Arial" w:cs="Arial"/>
                      <w:b/>
                      <w:bCs/>
                      <w:color w:val="000000"/>
                      <w:sz w:val="18"/>
                      <w:szCs w:val="18"/>
                      <w:lang w:eastAsia="en-CA"/>
                    </w:rPr>
                    <w:t>Non-cash transactions</w:t>
                  </w:r>
                </w:p>
              </w:tc>
              <w:tc>
                <w:tcPr>
                  <w:tcW w:w="412" w:type="dxa"/>
                  <w:tcBorders>
                    <w:top w:val="nil"/>
                    <w:left w:val="nil"/>
                    <w:bottom w:val="nil"/>
                    <w:right w:val="nil"/>
                  </w:tcBorders>
                  <w:shd w:val="clear" w:color="auto" w:fill="auto"/>
                  <w:noWrap/>
                  <w:vAlign w:val="bottom"/>
                  <w:hideMark/>
                </w:tcPr>
                <w:p w14:paraId="0E7B934A" w14:textId="77777777" w:rsidR="004C6B7D" w:rsidRPr="004C6B7D" w:rsidRDefault="004C6B7D" w:rsidP="004C6B7D">
                  <w:pPr>
                    <w:widowControl/>
                    <w:autoSpaceDE/>
                    <w:autoSpaceDN/>
                    <w:adjustRightInd/>
                    <w:jc w:val="right"/>
                    <w:rPr>
                      <w:rFonts w:ascii="Arial" w:hAnsi="Arial" w:cs="Arial"/>
                      <w:b/>
                      <w:bCs/>
                      <w:color w:val="000000"/>
                      <w:sz w:val="18"/>
                      <w:szCs w:val="18"/>
                      <w:lang w:eastAsia="en-CA"/>
                    </w:rPr>
                  </w:pPr>
                </w:p>
              </w:tc>
              <w:tc>
                <w:tcPr>
                  <w:tcW w:w="1700" w:type="dxa"/>
                  <w:tcBorders>
                    <w:top w:val="nil"/>
                    <w:left w:val="nil"/>
                    <w:bottom w:val="nil"/>
                    <w:right w:val="nil"/>
                  </w:tcBorders>
                  <w:shd w:val="clear" w:color="auto" w:fill="auto"/>
                  <w:noWrap/>
                  <w:vAlign w:val="bottom"/>
                  <w:hideMark/>
                </w:tcPr>
                <w:p w14:paraId="35CE49B6" w14:textId="77777777" w:rsidR="004C6B7D" w:rsidRPr="004C6B7D" w:rsidRDefault="004C6B7D" w:rsidP="004C6B7D">
                  <w:pPr>
                    <w:widowControl/>
                    <w:autoSpaceDE/>
                    <w:autoSpaceDN/>
                    <w:adjustRightInd/>
                    <w:jc w:val="right"/>
                    <w:rPr>
                      <w:sz w:val="20"/>
                      <w:szCs w:val="20"/>
                      <w:lang w:eastAsia="en-CA"/>
                    </w:rPr>
                  </w:pPr>
                </w:p>
              </w:tc>
              <w:tc>
                <w:tcPr>
                  <w:tcW w:w="412" w:type="dxa"/>
                  <w:tcBorders>
                    <w:top w:val="nil"/>
                    <w:left w:val="nil"/>
                    <w:bottom w:val="nil"/>
                    <w:right w:val="nil"/>
                  </w:tcBorders>
                  <w:shd w:val="clear" w:color="auto" w:fill="auto"/>
                  <w:noWrap/>
                  <w:vAlign w:val="bottom"/>
                  <w:hideMark/>
                </w:tcPr>
                <w:p w14:paraId="45EE9E10" w14:textId="77777777" w:rsidR="004C6B7D" w:rsidRPr="004C6B7D" w:rsidRDefault="004C6B7D" w:rsidP="004C6B7D">
                  <w:pPr>
                    <w:widowControl/>
                    <w:autoSpaceDE/>
                    <w:autoSpaceDN/>
                    <w:adjustRightInd/>
                    <w:jc w:val="right"/>
                    <w:rPr>
                      <w:sz w:val="20"/>
                      <w:szCs w:val="20"/>
                      <w:lang w:eastAsia="en-CA"/>
                    </w:rPr>
                  </w:pPr>
                </w:p>
              </w:tc>
              <w:tc>
                <w:tcPr>
                  <w:tcW w:w="1701" w:type="dxa"/>
                  <w:tcBorders>
                    <w:top w:val="nil"/>
                    <w:left w:val="nil"/>
                    <w:bottom w:val="nil"/>
                    <w:right w:val="nil"/>
                  </w:tcBorders>
                  <w:shd w:val="clear" w:color="auto" w:fill="auto"/>
                  <w:noWrap/>
                  <w:vAlign w:val="bottom"/>
                  <w:hideMark/>
                </w:tcPr>
                <w:p w14:paraId="6E32A892" w14:textId="77777777" w:rsidR="004C6B7D" w:rsidRPr="004C6B7D" w:rsidRDefault="004C6B7D" w:rsidP="004C6B7D">
                  <w:pPr>
                    <w:widowControl/>
                    <w:autoSpaceDE/>
                    <w:autoSpaceDN/>
                    <w:adjustRightInd/>
                    <w:jc w:val="right"/>
                    <w:rPr>
                      <w:sz w:val="20"/>
                      <w:szCs w:val="20"/>
                      <w:lang w:eastAsia="en-CA"/>
                    </w:rPr>
                  </w:pPr>
                </w:p>
              </w:tc>
            </w:tr>
            <w:tr w:rsidR="004C6B7D" w:rsidRPr="004C6B7D" w14:paraId="3DC651E7" w14:textId="77777777" w:rsidTr="004C6B7D">
              <w:trPr>
                <w:trHeight w:val="225"/>
              </w:trPr>
              <w:tc>
                <w:tcPr>
                  <w:tcW w:w="6345" w:type="dxa"/>
                  <w:tcBorders>
                    <w:top w:val="nil"/>
                    <w:left w:val="nil"/>
                    <w:bottom w:val="nil"/>
                    <w:right w:val="nil"/>
                  </w:tcBorders>
                  <w:shd w:val="clear" w:color="auto" w:fill="auto"/>
                  <w:noWrap/>
                  <w:vAlign w:val="bottom"/>
                  <w:hideMark/>
                </w:tcPr>
                <w:p w14:paraId="673809CE"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r w:rsidRPr="004C6B7D">
                    <w:rPr>
                      <w:rFonts w:ascii="Arial" w:hAnsi="Arial" w:cs="Arial"/>
                      <w:color w:val="000000"/>
                      <w:sz w:val="18"/>
                      <w:szCs w:val="18"/>
                      <w:lang w:eastAsia="en-CA"/>
                    </w:rPr>
                    <w:t>Shares issued on acquisitions (note 7)</w:t>
                  </w:r>
                </w:p>
              </w:tc>
              <w:tc>
                <w:tcPr>
                  <w:tcW w:w="412" w:type="dxa"/>
                  <w:tcBorders>
                    <w:top w:val="nil"/>
                    <w:left w:val="nil"/>
                    <w:bottom w:val="nil"/>
                    <w:right w:val="nil"/>
                  </w:tcBorders>
                  <w:shd w:val="clear" w:color="auto" w:fill="auto"/>
                  <w:noWrap/>
                  <w:vAlign w:val="bottom"/>
                  <w:hideMark/>
                </w:tcPr>
                <w:p w14:paraId="6BDD07A3" w14:textId="77777777" w:rsidR="004C6B7D" w:rsidRPr="004C6B7D" w:rsidRDefault="004C6B7D" w:rsidP="004C6B7D">
                  <w:pPr>
                    <w:widowControl/>
                    <w:autoSpaceDE/>
                    <w:autoSpaceDN/>
                    <w:adjustRightInd/>
                    <w:ind w:firstLineChars="100" w:firstLine="180"/>
                    <w:jc w:val="left"/>
                    <w:rPr>
                      <w:rFonts w:ascii="Arial" w:hAnsi="Arial" w:cs="Arial"/>
                      <w:color w:val="000000"/>
                      <w:sz w:val="18"/>
                      <w:szCs w:val="18"/>
                      <w:lang w:eastAsia="en-CA"/>
                    </w:rPr>
                  </w:pPr>
                </w:p>
              </w:tc>
              <w:tc>
                <w:tcPr>
                  <w:tcW w:w="1700" w:type="dxa"/>
                  <w:tcBorders>
                    <w:top w:val="nil"/>
                    <w:left w:val="nil"/>
                    <w:bottom w:val="nil"/>
                    <w:right w:val="nil"/>
                  </w:tcBorders>
                  <w:shd w:val="clear" w:color="auto" w:fill="auto"/>
                  <w:noWrap/>
                  <w:vAlign w:val="bottom"/>
                  <w:hideMark/>
                </w:tcPr>
                <w:p w14:paraId="197AF652" w14:textId="77777777" w:rsidR="004C6B7D" w:rsidRPr="004C6B7D" w:rsidRDefault="004C6B7D" w:rsidP="004C6B7D">
                  <w:pPr>
                    <w:widowControl/>
                    <w:autoSpaceDE/>
                    <w:autoSpaceDN/>
                    <w:adjustRightInd/>
                    <w:jc w:val="left"/>
                    <w:rPr>
                      <w:sz w:val="20"/>
                      <w:szCs w:val="20"/>
                      <w:lang w:eastAsia="en-CA"/>
                    </w:rPr>
                  </w:pPr>
                </w:p>
              </w:tc>
              <w:tc>
                <w:tcPr>
                  <w:tcW w:w="412" w:type="dxa"/>
                  <w:tcBorders>
                    <w:top w:val="nil"/>
                    <w:left w:val="nil"/>
                    <w:bottom w:val="nil"/>
                    <w:right w:val="nil"/>
                  </w:tcBorders>
                  <w:shd w:val="clear" w:color="auto" w:fill="auto"/>
                  <w:noWrap/>
                  <w:vAlign w:val="bottom"/>
                  <w:hideMark/>
                </w:tcPr>
                <w:p w14:paraId="1D48763E" w14:textId="77777777" w:rsidR="004C6B7D" w:rsidRPr="004C6B7D" w:rsidRDefault="004C6B7D" w:rsidP="004C6B7D">
                  <w:pPr>
                    <w:widowControl/>
                    <w:autoSpaceDE/>
                    <w:autoSpaceDN/>
                    <w:adjustRightInd/>
                    <w:jc w:val="left"/>
                    <w:rPr>
                      <w:sz w:val="20"/>
                      <w:szCs w:val="20"/>
                      <w:lang w:eastAsia="en-CA"/>
                    </w:rPr>
                  </w:pPr>
                </w:p>
              </w:tc>
              <w:tc>
                <w:tcPr>
                  <w:tcW w:w="1701" w:type="dxa"/>
                  <w:tcBorders>
                    <w:top w:val="nil"/>
                    <w:left w:val="nil"/>
                    <w:bottom w:val="nil"/>
                    <w:right w:val="nil"/>
                  </w:tcBorders>
                  <w:shd w:val="clear" w:color="auto" w:fill="auto"/>
                  <w:noWrap/>
                  <w:vAlign w:val="bottom"/>
                  <w:hideMark/>
                </w:tcPr>
                <w:p w14:paraId="7FECE2D0" w14:textId="77777777" w:rsidR="004C6B7D" w:rsidRPr="004C6B7D" w:rsidRDefault="004C6B7D" w:rsidP="004C6B7D">
                  <w:pPr>
                    <w:widowControl/>
                    <w:autoSpaceDE/>
                    <w:autoSpaceDN/>
                    <w:adjustRightInd/>
                    <w:jc w:val="left"/>
                    <w:rPr>
                      <w:sz w:val="20"/>
                      <w:szCs w:val="20"/>
                      <w:lang w:eastAsia="en-CA"/>
                    </w:rPr>
                  </w:pPr>
                </w:p>
              </w:tc>
            </w:tr>
          </w:tbl>
          <w:p w14:paraId="7FD57876" w14:textId="4BE49CB4" w:rsidR="004C6B7D" w:rsidRPr="008C1A34" w:rsidRDefault="004C6B7D" w:rsidP="008C1A34">
            <w:pPr>
              <w:widowControl/>
              <w:autoSpaceDE/>
              <w:autoSpaceDN/>
              <w:adjustRightInd/>
              <w:jc w:val="left"/>
              <w:rPr>
                <w:rFonts w:ascii="Arial" w:eastAsia="PMingLiU" w:hAnsi="Arial" w:cs="Arial"/>
                <w:b/>
                <w:bCs/>
                <w:color w:val="000000"/>
                <w:sz w:val="20"/>
                <w:szCs w:val="20"/>
                <w:lang w:eastAsia="en-CA"/>
              </w:rPr>
            </w:pPr>
          </w:p>
        </w:tc>
        <w:tc>
          <w:tcPr>
            <w:tcW w:w="109" w:type="pct"/>
            <w:tcBorders>
              <w:top w:val="nil"/>
              <w:left w:val="nil"/>
              <w:bottom w:val="nil"/>
              <w:right w:val="nil"/>
            </w:tcBorders>
            <w:noWrap/>
            <w:vAlign w:val="bottom"/>
          </w:tcPr>
          <w:p w14:paraId="3B7B3251" w14:textId="77777777" w:rsidR="008C1A34" w:rsidRPr="008C1A34" w:rsidRDefault="008C1A34" w:rsidP="008C1A34">
            <w:pPr>
              <w:widowControl/>
              <w:autoSpaceDE/>
              <w:autoSpaceDN/>
              <w:adjustRightInd/>
              <w:jc w:val="right"/>
              <w:rPr>
                <w:rFonts w:ascii="Arial" w:eastAsia="PMingLiU" w:hAnsi="Arial" w:cs="Arial"/>
                <w:color w:val="000000"/>
                <w:sz w:val="20"/>
                <w:szCs w:val="20"/>
                <w:lang w:eastAsia="en-CA"/>
              </w:rPr>
            </w:pPr>
          </w:p>
        </w:tc>
        <w:tc>
          <w:tcPr>
            <w:tcW w:w="109" w:type="pct"/>
            <w:tcBorders>
              <w:top w:val="nil"/>
              <w:left w:val="nil"/>
              <w:bottom w:val="nil"/>
              <w:right w:val="nil"/>
            </w:tcBorders>
            <w:noWrap/>
            <w:vAlign w:val="bottom"/>
          </w:tcPr>
          <w:p w14:paraId="00461330" w14:textId="77777777" w:rsidR="008C1A34" w:rsidRPr="008C1A34" w:rsidRDefault="008C1A34" w:rsidP="008C1A34">
            <w:pPr>
              <w:widowControl/>
              <w:autoSpaceDE/>
              <w:autoSpaceDN/>
              <w:adjustRightInd/>
              <w:jc w:val="right"/>
              <w:rPr>
                <w:rFonts w:ascii="Arial" w:eastAsia="PMingLiU" w:hAnsi="Arial" w:cs="Arial"/>
                <w:color w:val="000000"/>
                <w:sz w:val="20"/>
                <w:szCs w:val="20"/>
                <w:lang w:eastAsia="en-CA"/>
              </w:rPr>
            </w:pPr>
          </w:p>
        </w:tc>
      </w:tr>
      <w:tr w:rsidR="008C1A34" w:rsidRPr="008C1A34" w14:paraId="011D9F0B" w14:textId="77777777" w:rsidTr="004C6B7D">
        <w:trPr>
          <w:trHeight w:val="16"/>
          <w:jc w:val="center"/>
        </w:trPr>
        <w:tc>
          <w:tcPr>
            <w:tcW w:w="4782" w:type="pct"/>
            <w:tcBorders>
              <w:top w:val="nil"/>
              <w:left w:val="nil"/>
              <w:bottom w:val="nil"/>
              <w:right w:val="nil"/>
            </w:tcBorders>
            <w:vAlign w:val="center"/>
          </w:tcPr>
          <w:p w14:paraId="05EBBA92" w14:textId="5613AD1A" w:rsidR="008C1A34" w:rsidRPr="008C1A34" w:rsidRDefault="008C1A34" w:rsidP="008C1A34">
            <w:pPr>
              <w:widowControl/>
              <w:autoSpaceDE/>
              <w:autoSpaceDN/>
              <w:adjustRightInd/>
              <w:ind w:firstLineChars="200" w:firstLine="400"/>
              <w:jc w:val="left"/>
              <w:rPr>
                <w:rFonts w:ascii="Arial" w:eastAsia="PMingLiU" w:hAnsi="Arial" w:cs="Arial"/>
                <w:color w:val="000000"/>
                <w:sz w:val="20"/>
                <w:szCs w:val="20"/>
                <w:lang w:eastAsia="en-CA"/>
              </w:rPr>
            </w:pPr>
          </w:p>
        </w:tc>
        <w:tc>
          <w:tcPr>
            <w:tcW w:w="109" w:type="pct"/>
            <w:tcBorders>
              <w:top w:val="nil"/>
              <w:left w:val="nil"/>
              <w:bottom w:val="nil"/>
              <w:right w:val="nil"/>
            </w:tcBorders>
            <w:noWrap/>
            <w:vAlign w:val="bottom"/>
          </w:tcPr>
          <w:p w14:paraId="3F6137F9" w14:textId="77777777" w:rsidR="008C1A34" w:rsidRPr="008C1A34" w:rsidRDefault="008C1A34" w:rsidP="008C1A34">
            <w:pPr>
              <w:widowControl/>
              <w:autoSpaceDE/>
              <w:autoSpaceDN/>
              <w:adjustRightInd/>
              <w:jc w:val="right"/>
              <w:rPr>
                <w:rFonts w:ascii="Arial" w:eastAsia="PMingLiU" w:hAnsi="Arial" w:cs="Arial"/>
                <w:color w:val="000000"/>
                <w:sz w:val="20"/>
                <w:szCs w:val="20"/>
                <w:lang w:eastAsia="en-CA"/>
              </w:rPr>
            </w:pPr>
          </w:p>
        </w:tc>
        <w:tc>
          <w:tcPr>
            <w:tcW w:w="109" w:type="pct"/>
            <w:tcBorders>
              <w:top w:val="nil"/>
              <w:left w:val="nil"/>
              <w:bottom w:val="nil"/>
              <w:right w:val="nil"/>
            </w:tcBorders>
            <w:noWrap/>
            <w:vAlign w:val="bottom"/>
          </w:tcPr>
          <w:p w14:paraId="0FAD297F" w14:textId="77777777" w:rsidR="008C1A34" w:rsidRPr="008C1A34" w:rsidRDefault="008C1A34" w:rsidP="008C1A34">
            <w:pPr>
              <w:widowControl/>
              <w:autoSpaceDE/>
              <w:autoSpaceDN/>
              <w:adjustRightInd/>
              <w:jc w:val="right"/>
              <w:rPr>
                <w:rFonts w:ascii="Arial" w:eastAsia="PMingLiU" w:hAnsi="Arial" w:cs="Arial"/>
                <w:color w:val="000000"/>
                <w:sz w:val="20"/>
                <w:szCs w:val="20"/>
                <w:lang w:eastAsia="en-CA"/>
              </w:rPr>
            </w:pPr>
          </w:p>
        </w:tc>
      </w:tr>
    </w:tbl>
    <w:p w14:paraId="686B1B6C" w14:textId="77777777" w:rsidR="00C24597" w:rsidRPr="00AF7118" w:rsidRDefault="00C24597" w:rsidP="00C24597">
      <w:pPr>
        <w:widowControl/>
        <w:tabs>
          <w:tab w:val="left" w:pos="720"/>
          <w:tab w:val="decimal" w:pos="8880"/>
        </w:tabs>
        <w:outlineLvl w:val="0"/>
        <w:rPr>
          <w:b/>
          <w:bCs/>
          <w:sz w:val="20"/>
          <w:szCs w:val="20"/>
        </w:rPr>
      </w:pPr>
    </w:p>
    <w:p w14:paraId="7007E170" w14:textId="77777777" w:rsidR="00C24597" w:rsidRDefault="00C24597" w:rsidP="00C24597">
      <w:pPr>
        <w:widowControl/>
        <w:tabs>
          <w:tab w:val="left" w:pos="720"/>
          <w:tab w:val="decimal" w:pos="8880"/>
        </w:tabs>
        <w:jc w:val="left"/>
        <w:rPr>
          <w:sz w:val="20"/>
          <w:szCs w:val="20"/>
        </w:rPr>
      </w:pPr>
    </w:p>
    <w:p w14:paraId="79607DDF" w14:textId="77777777" w:rsidR="00772BED" w:rsidRDefault="00772BED" w:rsidP="00C24597">
      <w:pPr>
        <w:widowControl/>
        <w:tabs>
          <w:tab w:val="left" w:pos="720"/>
          <w:tab w:val="decimal" w:pos="8880"/>
        </w:tabs>
        <w:jc w:val="left"/>
        <w:rPr>
          <w:sz w:val="20"/>
          <w:szCs w:val="20"/>
        </w:rPr>
      </w:pPr>
    </w:p>
    <w:p w14:paraId="05C9BB57" w14:textId="77777777" w:rsidR="00772BED" w:rsidRDefault="00772BED" w:rsidP="00C24597">
      <w:pPr>
        <w:widowControl/>
        <w:tabs>
          <w:tab w:val="left" w:pos="720"/>
          <w:tab w:val="decimal" w:pos="8880"/>
        </w:tabs>
        <w:jc w:val="left"/>
        <w:rPr>
          <w:sz w:val="20"/>
          <w:szCs w:val="20"/>
        </w:rPr>
      </w:pPr>
    </w:p>
    <w:p w14:paraId="2724BEAA" w14:textId="77777777" w:rsidR="00772BED" w:rsidRDefault="00772BED" w:rsidP="00C24597">
      <w:pPr>
        <w:widowControl/>
        <w:tabs>
          <w:tab w:val="left" w:pos="720"/>
          <w:tab w:val="decimal" w:pos="8880"/>
        </w:tabs>
        <w:jc w:val="left"/>
        <w:rPr>
          <w:sz w:val="20"/>
          <w:szCs w:val="20"/>
        </w:rPr>
      </w:pPr>
    </w:p>
    <w:p w14:paraId="47B3533A" w14:textId="77777777" w:rsidR="00772BED" w:rsidRDefault="00772BED" w:rsidP="00C24597">
      <w:pPr>
        <w:widowControl/>
        <w:tabs>
          <w:tab w:val="left" w:pos="720"/>
          <w:tab w:val="decimal" w:pos="8880"/>
        </w:tabs>
        <w:jc w:val="left"/>
        <w:rPr>
          <w:sz w:val="20"/>
          <w:szCs w:val="20"/>
        </w:rPr>
      </w:pPr>
    </w:p>
    <w:p w14:paraId="458CBF3F" w14:textId="77777777" w:rsidR="00772BED" w:rsidRDefault="00772BED" w:rsidP="00C24597">
      <w:pPr>
        <w:widowControl/>
        <w:tabs>
          <w:tab w:val="left" w:pos="720"/>
          <w:tab w:val="decimal" w:pos="8880"/>
        </w:tabs>
        <w:jc w:val="left"/>
        <w:rPr>
          <w:sz w:val="20"/>
          <w:szCs w:val="20"/>
        </w:rPr>
      </w:pPr>
    </w:p>
    <w:p w14:paraId="4391B24C" w14:textId="77777777" w:rsidR="00772BED" w:rsidRDefault="00772BED" w:rsidP="00C24597">
      <w:pPr>
        <w:widowControl/>
        <w:tabs>
          <w:tab w:val="left" w:pos="720"/>
          <w:tab w:val="decimal" w:pos="8880"/>
        </w:tabs>
        <w:jc w:val="left"/>
        <w:rPr>
          <w:sz w:val="20"/>
          <w:szCs w:val="20"/>
        </w:rPr>
      </w:pPr>
    </w:p>
    <w:p w14:paraId="4771E25A" w14:textId="77777777" w:rsidR="00C24597" w:rsidRDefault="00C24597" w:rsidP="00C24597">
      <w:pPr>
        <w:widowControl/>
        <w:tabs>
          <w:tab w:val="left" w:pos="720"/>
          <w:tab w:val="decimal" w:pos="8880"/>
        </w:tabs>
        <w:jc w:val="left"/>
        <w:rPr>
          <w:sz w:val="20"/>
          <w:szCs w:val="20"/>
        </w:rPr>
      </w:pPr>
    </w:p>
    <w:p w14:paraId="7705813E" w14:textId="77777777" w:rsidR="00C24597" w:rsidRDefault="00C24597" w:rsidP="00C24597">
      <w:pPr>
        <w:jc w:val="center"/>
        <w:rPr>
          <w:sz w:val="20"/>
          <w:szCs w:val="20"/>
        </w:rPr>
      </w:pPr>
      <w:r w:rsidRPr="00535FCE">
        <w:rPr>
          <w:rFonts w:ascii="Arial" w:hAnsi="Arial" w:cs="Arial"/>
          <w:i/>
          <w:iCs/>
          <w:sz w:val="20"/>
          <w:szCs w:val="20"/>
        </w:rPr>
        <w:t xml:space="preserve">The accompanying notes are an integral part of these </w:t>
      </w:r>
      <w:r w:rsidR="00A0124F">
        <w:rPr>
          <w:rFonts w:ascii="Arial" w:hAnsi="Arial" w:cs="Arial"/>
          <w:i/>
          <w:iCs/>
          <w:sz w:val="20"/>
          <w:szCs w:val="20"/>
        </w:rPr>
        <w:t>c</w:t>
      </w:r>
      <w:r w:rsidR="00A11BD9">
        <w:rPr>
          <w:rFonts w:ascii="Arial" w:hAnsi="Arial" w:cs="Arial"/>
          <w:i/>
          <w:iCs/>
          <w:sz w:val="20"/>
          <w:szCs w:val="20"/>
        </w:rPr>
        <w:t xml:space="preserve">ondensed </w:t>
      </w:r>
      <w:r w:rsidR="00A0124F">
        <w:rPr>
          <w:rFonts w:ascii="Arial" w:hAnsi="Arial" w:cs="Arial"/>
          <w:i/>
          <w:iCs/>
          <w:sz w:val="20"/>
          <w:szCs w:val="20"/>
        </w:rPr>
        <w:t>c</w:t>
      </w:r>
      <w:r w:rsidR="00A11BD9">
        <w:rPr>
          <w:rFonts w:ascii="Arial" w:hAnsi="Arial" w:cs="Arial"/>
          <w:i/>
          <w:iCs/>
          <w:sz w:val="20"/>
          <w:szCs w:val="20"/>
        </w:rPr>
        <w:t xml:space="preserve">onsolidated </w:t>
      </w:r>
      <w:r w:rsidR="00A0124F">
        <w:rPr>
          <w:rFonts w:ascii="Arial" w:hAnsi="Arial" w:cs="Arial"/>
          <w:i/>
          <w:iCs/>
          <w:sz w:val="20"/>
          <w:szCs w:val="20"/>
        </w:rPr>
        <w:t>i</w:t>
      </w:r>
      <w:r w:rsidR="00A11BD9">
        <w:rPr>
          <w:rFonts w:ascii="Arial" w:hAnsi="Arial" w:cs="Arial"/>
          <w:i/>
          <w:iCs/>
          <w:sz w:val="20"/>
          <w:szCs w:val="20"/>
        </w:rPr>
        <w:t>nterim</w:t>
      </w:r>
      <w:r w:rsidRPr="00535FCE">
        <w:rPr>
          <w:rFonts w:ascii="Arial" w:hAnsi="Arial" w:cs="Arial"/>
          <w:i/>
          <w:iCs/>
          <w:sz w:val="20"/>
          <w:szCs w:val="20"/>
        </w:rPr>
        <w:t xml:space="preserve"> financial statements.</w:t>
      </w:r>
    </w:p>
    <w:p w14:paraId="293C0C9A" w14:textId="77777777" w:rsidR="00C24597" w:rsidRPr="007E2531" w:rsidRDefault="00C24597" w:rsidP="00C24597">
      <w:pPr>
        <w:tabs>
          <w:tab w:val="left" w:pos="3030"/>
        </w:tabs>
        <w:rPr>
          <w:sz w:val="20"/>
          <w:szCs w:val="20"/>
        </w:rPr>
        <w:sectPr w:rsidR="00C24597" w:rsidRPr="007E2531" w:rsidSect="00D32164">
          <w:headerReference w:type="default" r:id="rId10"/>
          <w:endnotePr>
            <w:numFmt w:val="decimal"/>
          </w:endnotePr>
          <w:pgSz w:w="12240" w:h="15840" w:code="1"/>
          <w:pgMar w:top="680" w:right="964" w:bottom="510" w:left="1134" w:header="340" w:footer="578" w:gutter="0"/>
          <w:cols w:space="720"/>
          <w:noEndnote/>
          <w:docGrid w:linePitch="299"/>
        </w:sectPr>
      </w:pPr>
    </w:p>
    <w:p w14:paraId="7FBC4B21" w14:textId="77777777" w:rsidR="00C24597" w:rsidRDefault="00C24597" w:rsidP="00C24597">
      <w:pPr>
        <w:widowControl/>
        <w:tabs>
          <w:tab w:val="left" w:pos="-1440"/>
          <w:tab w:val="left" w:pos="0"/>
          <w:tab w:val="left" w:pos="360"/>
          <w:tab w:val="left" w:pos="4896"/>
        </w:tabs>
        <w:rPr>
          <w:b/>
          <w:bCs/>
          <w:sz w:val="20"/>
          <w:szCs w:val="20"/>
        </w:rPr>
      </w:pPr>
    </w:p>
    <w:p w14:paraId="759B335C" w14:textId="77777777" w:rsidR="00C24597" w:rsidRPr="009F228C" w:rsidRDefault="00C24597" w:rsidP="00C24597">
      <w:pPr>
        <w:widowControl/>
        <w:tabs>
          <w:tab w:val="left" w:pos="-1440"/>
          <w:tab w:val="left" w:pos="0"/>
          <w:tab w:val="left" w:pos="360"/>
          <w:tab w:val="left" w:pos="4896"/>
        </w:tabs>
        <w:rPr>
          <w:rFonts w:ascii="Arial" w:hAnsi="Arial" w:cs="Arial"/>
          <w:sz w:val="20"/>
          <w:szCs w:val="20"/>
        </w:rPr>
      </w:pPr>
      <w:r w:rsidRPr="009F228C">
        <w:rPr>
          <w:rFonts w:ascii="Arial" w:hAnsi="Arial" w:cs="Arial"/>
          <w:b/>
          <w:bCs/>
          <w:sz w:val="20"/>
          <w:szCs w:val="20"/>
        </w:rPr>
        <w:t xml:space="preserve">1.  </w:t>
      </w:r>
      <w:r w:rsidRPr="009F228C">
        <w:rPr>
          <w:rFonts w:ascii="Arial" w:hAnsi="Arial" w:cs="Arial"/>
          <w:b/>
          <w:bCs/>
          <w:sz w:val="20"/>
          <w:szCs w:val="20"/>
        </w:rPr>
        <w:tab/>
        <w:t>NATURE AND CONTINUANCE OF OPERATIONS</w:t>
      </w:r>
    </w:p>
    <w:p w14:paraId="5E0E52B8" w14:textId="77777777" w:rsidR="00C24597" w:rsidRPr="009F228C" w:rsidRDefault="00C24597" w:rsidP="00C24597">
      <w:pPr>
        <w:widowControl/>
        <w:tabs>
          <w:tab w:val="left" w:pos="-1440"/>
          <w:tab w:val="left" w:pos="0"/>
          <w:tab w:val="left" w:pos="720"/>
          <w:tab w:val="left" w:pos="4896"/>
        </w:tabs>
        <w:rPr>
          <w:rFonts w:ascii="Arial" w:hAnsi="Arial" w:cs="Arial"/>
          <w:sz w:val="20"/>
          <w:szCs w:val="20"/>
        </w:rPr>
      </w:pPr>
    </w:p>
    <w:p w14:paraId="66885840" w14:textId="03D093E8" w:rsidR="00A850BF" w:rsidRPr="009331D0" w:rsidRDefault="00AA782A" w:rsidP="00C24597">
      <w:pPr>
        <w:rPr>
          <w:rFonts w:ascii="Arial" w:hAnsi="Arial" w:cs="Arial"/>
          <w:sz w:val="20"/>
          <w:szCs w:val="20"/>
        </w:rPr>
      </w:pPr>
      <w:r>
        <w:rPr>
          <w:rFonts w:ascii="Arial" w:hAnsi="Arial" w:cs="Arial"/>
          <w:sz w:val="20"/>
          <w:szCs w:val="20"/>
        </w:rPr>
        <w:t>Delic Holdings Inc</w:t>
      </w:r>
      <w:r w:rsidR="00AD3808">
        <w:rPr>
          <w:rFonts w:ascii="Arial" w:hAnsi="Arial" w:cs="Arial"/>
          <w:sz w:val="20"/>
          <w:szCs w:val="20"/>
        </w:rPr>
        <w:t xml:space="preserve">. </w:t>
      </w:r>
      <w:r w:rsidR="00307329">
        <w:rPr>
          <w:rFonts w:ascii="Arial" w:hAnsi="Arial" w:cs="Arial"/>
          <w:sz w:val="20"/>
          <w:szCs w:val="20"/>
        </w:rPr>
        <w:t xml:space="preserve">(the “Company”) </w:t>
      </w:r>
      <w:r w:rsidR="00A850BF" w:rsidRPr="0084478B">
        <w:rPr>
          <w:rFonts w:ascii="Arial" w:hAnsi="Arial" w:cs="Arial"/>
          <w:sz w:val="20"/>
          <w:szCs w:val="20"/>
        </w:rPr>
        <w:t>was incorporated p</w:t>
      </w:r>
      <w:r w:rsidR="00A850BF" w:rsidRPr="00AD3808">
        <w:rPr>
          <w:rFonts w:ascii="Arial" w:hAnsi="Arial" w:cs="Arial"/>
          <w:sz w:val="20"/>
          <w:szCs w:val="20"/>
        </w:rPr>
        <w:t xml:space="preserve">ursuant to the provisions of the </w:t>
      </w:r>
      <w:r w:rsidR="00A850BF" w:rsidRPr="00AD3808">
        <w:rPr>
          <w:rFonts w:ascii="Arial" w:hAnsi="Arial" w:cs="Arial"/>
          <w:i/>
          <w:sz w:val="20"/>
          <w:szCs w:val="20"/>
        </w:rPr>
        <w:t>Business Corporations Act</w:t>
      </w:r>
      <w:r w:rsidR="00A850BF" w:rsidRPr="00AD3808">
        <w:rPr>
          <w:rFonts w:ascii="Arial" w:hAnsi="Arial" w:cs="Arial"/>
          <w:sz w:val="20"/>
          <w:szCs w:val="20"/>
        </w:rPr>
        <w:t xml:space="preserve"> (British Colum</w:t>
      </w:r>
      <w:r w:rsidR="00A850BF" w:rsidRPr="000B08CA">
        <w:rPr>
          <w:rFonts w:ascii="Arial" w:hAnsi="Arial" w:cs="Arial"/>
          <w:sz w:val="20"/>
          <w:szCs w:val="20"/>
        </w:rPr>
        <w:t>bia) on November 17, 2005</w:t>
      </w:r>
      <w:r w:rsidR="000B08CA">
        <w:rPr>
          <w:rFonts w:ascii="Arial" w:hAnsi="Arial" w:cs="Arial"/>
          <w:sz w:val="20"/>
          <w:szCs w:val="20"/>
        </w:rPr>
        <w:t xml:space="preserve">.  </w:t>
      </w:r>
      <w:r w:rsidR="009331D0" w:rsidRPr="009331D0">
        <w:rPr>
          <w:rFonts w:ascii="Arial" w:hAnsi="Arial" w:cs="Arial"/>
          <w:sz w:val="20"/>
          <w:szCs w:val="20"/>
        </w:rPr>
        <w:t>The Company owns and operates a self-sustaining umbrella of businesses in the psychedelic ecosystem consisting of media, science, and health.</w:t>
      </w:r>
    </w:p>
    <w:p w14:paraId="17AE6F50" w14:textId="77777777" w:rsidR="00856A20" w:rsidRPr="009331D0" w:rsidRDefault="00856A20" w:rsidP="000A023A">
      <w:pPr>
        <w:tabs>
          <w:tab w:val="left" w:pos="1134"/>
        </w:tabs>
        <w:rPr>
          <w:rFonts w:ascii="Arial" w:hAnsi="Arial" w:cs="Arial"/>
          <w:sz w:val="20"/>
          <w:szCs w:val="20"/>
          <w:lang w:val="en-GB"/>
        </w:rPr>
      </w:pPr>
    </w:p>
    <w:p w14:paraId="19F0FE4C" w14:textId="77777777" w:rsidR="008307A5" w:rsidRDefault="00510B38" w:rsidP="00C24597">
      <w:pPr>
        <w:rPr>
          <w:rFonts w:ascii="Arial" w:hAnsi="Arial" w:cs="Arial"/>
          <w:sz w:val="20"/>
          <w:szCs w:val="20"/>
        </w:rPr>
      </w:pPr>
      <w:r w:rsidRPr="009331D0">
        <w:rPr>
          <w:rFonts w:ascii="Arial" w:hAnsi="Arial" w:cs="Arial"/>
          <w:sz w:val="20"/>
          <w:szCs w:val="20"/>
        </w:rPr>
        <w:t>On March 11, 2020, the World Health Organization categorized COVID-19 as a pandemic. The potential economic effects within the Co</w:t>
      </w:r>
      <w:r w:rsidRPr="00AD3808">
        <w:rPr>
          <w:rFonts w:ascii="Arial" w:hAnsi="Arial" w:cs="Arial"/>
          <w:sz w:val="20"/>
          <w:szCs w:val="20"/>
        </w:rPr>
        <w:t>mpany’s environment and in the global markets, possible disruption in supply chains, and measures being introduced at various levels of government to curtail the spread of the virus (such as travel restrictions, closures of non-essential municipal and private operations,</w:t>
      </w:r>
      <w:r w:rsidRPr="00A97A40">
        <w:rPr>
          <w:rFonts w:ascii="Arial" w:hAnsi="Arial" w:cs="Arial"/>
          <w:sz w:val="20"/>
          <w:szCs w:val="20"/>
        </w:rPr>
        <w:t xml:space="preserve"> imposition of quarantines and social distancing) could have a material impact on the Company’s </w:t>
      </w:r>
      <w:r>
        <w:rPr>
          <w:rFonts w:ascii="Arial" w:hAnsi="Arial" w:cs="Arial"/>
          <w:sz w:val="20"/>
          <w:szCs w:val="20"/>
        </w:rPr>
        <w:t>activities</w:t>
      </w:r>
      <w:r w:rsidRPr="00A97A40">
        <w:rPr>
          <w:rFonts w:ascii="Arial" w:hAnsi="Arial" w:cs="Arial"/>
          <w:sz w:val="20"/>
          <w:szCs w:val="20"/>
        </w:rPr>
        <w:t xml:space="preserve">. The extent of the impact of this outbreak and related containment measures on the Company’s </w:t>
      </w:r>
      <w:r>
        <w:rPr>
          <w:rFonts w:ascii="Arial" w:hAnsi="Arial" w:cs="Arial"/>
          <w:sz w:val="20"/>
          <w:szCs w:val="20"/>
        </w:rPr>
        <w:t>activities</w:t>
      </w:r>
      <w:r w:rsidRPr="00A97A40">
        <w:rPr>
          <w:rFonts w:ascii="Arial" w:hAnsi="Arial" w:cs="Arial"/>
          <w:sz w:val="20"/>
          <w:szCs w:val="20"/>
        </w:rPr>
        <w:t xml:space="preserve"> cannot be reliably estimated at the date</w:t>
      </w:r>
      <w:r>
        <w:rPr>
          <w:rFonts w:ascii="Arial" w:hAnsi="Arial" w:cs="Arial"/>
          <w:sz w:val="20"/>
          <w:szCs w:val="20"/>
        </w:rPr>
        <w:t xml:space="preserve"> of approval </w:t>
      </w:r>
      <w:r w:rsidRPr="00A97A40">
        <w:rPr>
          <w:rFonts w:ascii="Arial" w:hAnsi="Arial" w:cs="Arial"/>
          <w:sz w:val="20"/>
          <w:szCs w:val="20"/>
        </w:rPr>
        <w:t>of these</w:t>
      </w:r>
      <w:r w:rsidR="000B08CA">
        <w:rPr>
          <w:rFonts w:ascii="Arial" w:hAnsi="Arial" w:cs="Arial"/>
          <w:sz w:val="20"/>
          <w:szCs w:val="20"/>
        </w:rPr>
        <w:t xml:space="preserve"> c</w:t>
      </w:r>
      <w:r w:rsidR="00A11BD9">
        <w:rPr>
          <w:rFonts w:ascii="Arial" w:hAnsi="Arial" w:cs="Arial"/>
          <w:sz w:val="20"/>
          <w:szCs w:val="20"/>
        </w:rPr>
        <w:t xml:space="preserve">ondensed </w:t>
      </w:r>
      <w:r w:rsidR="000B08CA">
        <w:rPr>
          <w:rFonts w:ascii="Arial" w:hAnsi="Arial" w:cs="Arial"/>
          <w:sz w:val="20"/>
          <w:szCs w:val="20"/>
        </w:rPr>
        <w:t>c</w:t>
      </w:r>
      <w:r w:rsidR="00A11BD9">
        <w:rPr>
          <w:rFonts w:ascii="Arial" w:hAnsi="Arial" w:cs="Arial"/>
          <w:sz w:val="20"/>
          <w:szCs w:val="20"/>
        </w:rPr>
        <w:t xml:space="preserve">onsolidated </w:t>
      </w:r>
      <w:r w:rsidR="000B08CA">
        <w:rPr>
          <w:rFonts w:ascii="Arial" w:hAnsi="Arial" w:cs="Arial"/>
          <w:sz w:val="20"/>
          <w:szCs w:val="20"/>
        </w:rPr>
        <w:t>i</w:t>
      </w:r>
      <w:r w:rsidR="00A11BD9">
        <w:rPr>
          <w:rFonts w:ascii="Arial" w:hAnsi="Arial" w:cs="Arial"/>
          <w:sz w:val="20"/>
          <w:szCs w:val="20"/>
        </w:rPr>
        <w:t>nterim</w:t>
      </w:r>
      <w:r w:rsidRPr="00A97A40">
        <w:rPr>
          <w:rFonts w:ascii="Arial" w:hAnsi="Arial" w:cs="Arial"/>
          <w:sz w:val="20"/>
          <w:szCs w:val="20"/>
        </w:rPr>
        <w:t xml:space="preserve"> financial statements.</w:t>
      </w:r>
    </w:p>
    <w:p w14:paraId="4D585FDB" w14:textId="77777777" w:rsidR="00D81DC3" w:rsidRDefault="00D81DC3" w:rsidP="00C24597">
      <w:pPr>
        <w:rPr>
          <w:rFonts w:ascii="Arial" w:hAnsi="Arial" w:cs="Arial"/>
          <w:bCs/>
          <w:sz w:val="20"/>
          <w:szCs w:val="20"/>
          <w:lang w:val="en-US"/>
        </w:rPr>
      </w:pPr>
    </w:p>
    <w:p w14:paraId="526241E1" w14:textId="77777777" w:rsidR="00D81DC3" w:rsidRPr="00D81DC3" w:rsidRDefault="00D81DC3" w:rsidP="00671EA6">
      <w:pPr>
        <w:numPr>
          <w:ilvl w:val="0"/>
          <w:numId w:val="1"/>
        </w:numPr>
        <w:ind w:left="426" w:hanging="426"/>
        <w:rPr>
          <w:rFonts w:ascii="Arial" w:hAnsi="Arial" w:cs="Arial"/>
          <w:b/>
          <w:bCs/>
          <w:sz w:val="20"/>
          <w:szCs w:val="20"/>
        </w:rPr>
      </w:pPr>
      <w:r w:rsidRPr="00D81DC3">
        <w:rPr>
          <w:rFonts w:ascii="Arial" w:hAnsi="Arial" w:cs="Arial"/>
          <w:b/>
          <w:bCs/>
          <w:sz w:val="20"/>
          <w:szCs w:val="20"/>
        </w:rPr>
        <w:t>BASIS OF PRESENTATION</w:t>
      </w:r>
    </w:p>
    <w:p w14:paraId="1E862F1B" w14:textId="77777777" w:rsidR="00D81DC3" w:rsidRPr="00D81DC3" w:rsidRDefault="00D81DC3" w:rsidP="00D81DC3">
      <w:pPr>
        <w:rPr>
          <w:rFonts w:ascii="Arial" w:hAnsi="Arial" w:cs="Arial"/>
          <w:b/>
          <w:bCs/>
          <w:sz w:val="20"/>
          <w:szCs w:val="20"/>
        </w:rPr>
      </w:pPr>
    </w:p>
    <w:p w14:paraId="1CC9D489" w14:textId="77777777" w:rsidR="00F16032" w:rsidRPr="00F16032" w:rsidRDefault="00F16032" w:rsidP="00F16032">
      <w:pPr>
        <w:rPr>
          <w:rFonts w:ascii="Arial" w:hAnsi="Arial" w:cs="Arial"/>
          <w:bCs/>
          <w:sz w:val="20"/>
          <w:szCs w:val="20"/>
        </w:rPr>
      </w:pPr>
      <w:r w:rsidRPr="00F16032">
        <w:rPr>
          <w:rFonts w:ascii="Arial" w:hAnsi="Arial" w:cs="Arial"/>
          <w:bCs/>
          <w:sz w:val="20"/>
          <w:szCs w:val="20"/>
        </w:rPr>
        <w:t xml:space="preserve">These condensed consolidated </w:t>
      </w:r>
      <w:r w:rsidR="001C78F7" w:rsidRPr="00F16032">
        <w:rPr>
          <w:rFonts w:ascii="Arial" w:hAnsi="Arial" w:cs="Arial"/>
          <w:bCs/>
          <w:sz w:val="20"/>
          <w:szCs w:val="20"/>
        </w:rPr>
        <w:t xml:space="preserve">interim </w:t>
      </w:r>
      <w:r w:rsidRPr="00F16032">
        <w:rPr>
          <w:rFonts w:ascii="Arial" w:hAnsi="Arial" w:cs="Arial"/>
          <w:bCs/>
          <w:sz w:val="20"/>
          <w:szCs w:val="20"/>
        </w:rPr>
        <w:t>financial statements of the Company have been prepared in accordance with International Financial Reporting Standards (“IFRS”), as issued by the International Accounting Standards Board (“IASB”), applicable to the preparation of interim financial statements, including International Accounting Standard (“IAS”) 34</w:t>
      </w:r>
      <w:r w:rsidRPr="00F16032">
        <w:rPr>
          <w:rFonts w:ascii="Arial" w:hAnsi="Arial" w:cs="Arial"/>
          <w:bCs/>
          <w:i/>
          <w:sz w:val="20"/>
          <w:szCs w:val="20"/>
        </w:rPr>
        <w:t xml:space="preserve"> Interim Financial Reporting</w:t>
      </w:r>
      <w:r w:rsidRPr="00F16032">
        <w:rPr>
          <w:rFonts w:ascii="Arial" w:hAnsi="Arial" w:cs="Arial"/>
          <w:bCs/>
          <w:sz w:val="20"/>
          <w:szCs w:val="20"/>
        </w:rPr>
        <w:t xml:space="preserve">. The condensed interim consolidated financial statements do not include </w:t>
      </w:r>
      <w:proofErr w:type="gramStart"/>
      <w:r w:rsidRPr="00F16032">
        <w:rPr>
          <w:rFonts w:ascii="Arial" w:hAnsi="Arial" w:cs="Arial"/>
          <w:bCs/>
          <w:sz w:val="20"/>
          <w:szCs w:val="20"/>
        </w:rPr>
        <w:t>all of</w:t>
      </w:r>
      <w:proofErr w:type="gramEnd"/>
      <w:r w:rsidRPr="00F16032">
        <w:rPr>
          <w:rFonts w:ascii="Arial" w:hAnsi="Arial" w:cs="Arial"/>
          <w:bCs/>
          <w:sz w:val="20"/>
          <w:szCs w:val="20"/>
        </w:rPr>
        <w:t xml:space="preserve"> the disclosures required for a complete set of annual financial statements and should be read in conjunction with the audited annual consolidated financial statements for the year ended December 31, 20</w:t>
      </w:r>
      <w:r>
        <w:rPr>
          <w:rFonts w:ascii="Arial" w:hAnsi="Arial" w:cs="Arial"/>
          <w:bCs/>
          <w:sz w:val="20"/>
          <w:szCs w:val="20"/>
        </w:rPr>
        <w:t>20</w:t>
      </w:r>
      <w:r w:rsidRPr="00F16032">
        <w:rPr>
          <w:rFonts w:ascii="Arial" w:hAnsi="Arial" w:cs="Arial"/>
          <w:bCs/>
          <w:sz w:val="20"/>
          <w:szCs w:val="20"/>
        </w:rPr>
        <w:t xml:space="preserve">, which have been prepared in accordance with IFRS as issued by the IASB.  </w:t>
      </w:r>
    </w:p>
    <w:p w14:paraId="05EB4851" w14:textId="1E830C7F" w:rsidR="00F16032" w:rsidRDefault="00F16032" w:rsidP="00F16032">
      <w:pPr>
        <w:rPr>
          <w:rFonts w:ascii="Arial" w:hAnsi="Arial" w:cs="Arial"/>
          <w:bCs/>
          <w:sz w:val="20"/>
          <w:szCs w:val="20"/>
        </w:rPr>
      </w:pPr>
    </w:p>
    <w:p w14:paraId="24831EA8" w14:textId="498428E8" w:rsidR="000943B2" w:rsidRDefault="000943B2" w:rsidP="00F16032">
      <w:pPr>
        <w:rPr>
          <w:rFonts w:ascii="Arial" w:hAnsi="Arial" w:cs="Arial"/>
          <w:bCs/>
          <w:sz w:val="20"/>
          <w:szCs w:val="20"/>
        </w:rPr>
      </w:pPr>
      <w:r>
        <w:rPr>
          <w:rFonts w:ascii="Arial" w:hAnsi="Arial" w:cs="Arial"/>
          <w:bCs/>
          <w:sz w:val="20"/>
          <w:szCs w:val="20"/>
        </w:rPr>
        <w:t>The following accounting policy was applied during the period ended June 30, 2021:</w:t>
      </w:r>
    </w:p>
    <w:p w14:paraId="6E2215EF" w14:textId="57E8826F" w:rsidR="000943B2" w:rsidRDefault="000943B2" w:rsidP="00F16032">
      <w:pPr>
        <w:rPr>
          <w:rFonts w:ascii="Arial" w:hAnsi="Arial" w:cs="Arial"/>
          <w:bCs/>
          <w:sz w:val="20"/>
          <w:szCs w:val="20"/>
        </w:rPr>
      </w:pPr>
    </w:p>
    <w:p w14:paraId="58F95780" w14:textId="26FAF3E4" w:rsidR="007B4777" w:rsidRDefault="007B4777" w:rsidP="00F16032">
      <w:pPr>
        <w:rPr>
          <w:rFonts w:ascii="Arial" w:hAnsi="Arial" w:cs="Arial"/>
          <w:bCs/>
          <w:sz w:val="20"/>
          <w:szCs w:val="20"/>
          <w:u w:val="single"/>
        </w:rPr>
      </w:pPr>
      <w:r>
        <w:rPr>
          <w:rFonts w:ascii="Arial" w:hAnsi="Arial" w:cs="Arial"/>
          <w:bCs/>
          <w:sz w:val="20"/>
          <w:szCs w:val="20"/>
          <w:u w:val="single"/>
        </w:rPr>
        <w:t>Business Combination</w:t>
      </w:r>
    </w:p>
    <w:p w14:paraId="7E9F0C9B" w14:textId="469C8B1A" w:rsidR="007B4777" w:rsidRDefault="007B4777" w:rsidP="00F16032">
      <w:pPr>
        <w:rPr>
          <w:rFonts w:ascii="Arial" w:hAnsi="Arial" w:cs="Arial"/>
          <w:bCs/>
          <w:sz w:val="20"/>
          <w:szCs w:val="20"/>
          <w:u w:val="single"/>
        </w:rPr>
      </w:pPr>
    </w:p>
    <w:p w14:paraId="7E914613" w14:textId="251AE8E2" w:rsidR="007B4777" w:rsidRPr="00F376AE" w:rsidRDefault="007B4777" w:rsidP="007B4777">
      <w:pPr>
        <w:rPr>
          <w:rFonts w:ascii="Arial" w:hAnsi="Arial" w:cs="Arial"/>
          <w:bCs/>
          <w:sz w:val="20"/>
          <w:szCs w:val="20"/>
        </w:rPr>
      </w:pPr>
      <w:r w:rsidRPr="00F376AE">
        <w:rPr>
          <w:rFonts w:ascii="Arial" w:hAnsi="Arial" w:cs="Arial"/>
          <w:bCs/>
          <w:sz w:val="20"/>
          <w:szCs w:val="20"/>
        </w:rPr>
        <w:t xml:space="preserve">Acquisitions of businesses are accounted for using the acquisition method. At the acquisition date, the identifiable assets </w:t>
      </w:r>
      <w:proofErr w:type="gramStart"/>
      <w:r w:rsidRPr="00F376AE">
        <w:rPr>
          <w:rFonts w:ascii="Arial" w:hAnsi="Arial" w:cs="Arial"/>
          <w:bCs/>
          <w:sz w:val="20"/>
          <w:szCs w:val="20"/>
        </w:rPr>
        <w:t>acquired</w:t>
      </w:r>
      <w:proofErr w:type="gramEnd"/>
      <w:r w:rsidRPr="00F376AE">
        <w:rPr>
          <w:rFonts w:ascii="Arial" w:hAnsi="Arial" w:cs="Arial"/>
          <w:bCs/>
          <w:sz w:val="20"/>
          <w:szCs w:val="20"/>
        </w:rPr>
        <w:t xml:space="preserve"> and the liabilities assumed are recognized at their fair value, except deferred tax assets or liabilities, which are recognized and measured in accordance with IAS 12 – Income Taxes. Subsequent changes in fair values are adjusted against the cost of acquisition if they qualify as measurement period adjustments. The measurement period is the period between the date of the acquisition and the date where all significant information necessary to determine the fair values is available and cannot exceed 12 months. All other subsequent changes are recognized in the consolidated statements of comprehensive loss. The purchase price allocation process resulting from a business combination requires management to estimate the fair value of identifiable assets acquired including intangible assets and liabilities assumed including any contingently payable purchase price obligation due over time. The Company uses valuation techniques, which are generally based on forecasted future net cash flows discounted to present value. These valuations are closely linked to the assumptions used by management on the future performance of the related assets and the discount rates applied. The determination of fair value involves making estimates relating to acquired intangibles assets, property and equipment and contingent consideration. Acquisition related costs are recognized in the consolidated statements of comprehensive loss as incurred. Management determines whether assets </w:t>
      </w:r>
      <w:proofErr w:type="gramStart"/>
      <w:r w:rsidRPr="00F376AE">
        <w:rPr>
          <w:rFonts w:ascii="Arial" w:hAnsi="Arial" w:cs="Arial"/>
          <w:bCs/>
          <w:sz w:val="20"/>
          <w:szCs w:val="20"/>
        </w:rPr>
        <w:t>acquired</w:t>
      </w:r>
      <w:proofErr w:type="gramEnd"/>
      <w:r w:rsidRPr="00F376AE">
        <w:rPr>
          <w:rFonts w:ascii="Arial" w:hAnsi="Arial" w:cs="Arial"/>
          <w:bCs/>
          <w:sz w:val="20"/>
          <w:szCs w:val="20"/>
        </w:rPr>
        <w:t xml:space="preserve"> and liabilities assumed constitute a business. A business consists of inputs and processes applied to those inputs that can create outputs.</w:t>
      </w:r>
    </w:p>
    <w:p w14:paraId="1464EE8F" w14:textId="77777777" w:rsidR="007B4777" w:rsidRPr="007B4777" w:rsidRDefault="007B4777" w:rsidP="007B4777">
      <w:pPr>
        <w:rPr>
          <w:rFonts w:ascii="Arial" w:hAnsi="Arial" w:cs="Arial"/>
          <w:bCs/>
          <w:sz w:val="20"/>
          <w:szCs w:val="20"/>
          <w:u w:val="single"/>
        </w:rPr>
      </w:pPr>
    </w:p>
    <w:p w14:paraId="0DE0B5CB" w14:textId="7F125DA2" w:rsidR="007B4777" w:rsidRPr="00F376AE" w:rsidRDefault="007B4777" w:rsidP="00F16032">
      <w:pPr>
        <w:rPr>
          <w:rFonts w:ascii="Arial" w:hAnsi="Arial" w:cs="Arial"/>
          <w:bCs/>
          <w:sz w:val="20"/>
          <w:szCs w:val="20"/>
          <w:u w:val="single"/>
        </w:rPr>
      </w:pPr>
      <w:r w:rsidRPr="00F376AE">
        <w:rPr>
          <w:rFonts w:ascii="Arial" w:hAnsi="Arial" w:cs="Arial"/>
          <w:bCs/>
          <w:sz w:val="20"/>
          <w:szCs w:val="20"/>
          <w:u w:val="single"/>
        </w:rPr>
        <w:t>Goodwill</w:t>
      </w:r>
    </w:p>
    <w:p w14:paraId="3AB33292" w14:textId="39ABD38D" w:rsidR="007B4777" w:rsidRDefault="007B4777" w:rsidP="00F16032">
      <w:pPr>
        <w:rPr>
          <w:rFonts w:ascii="Arial" w:hAnsi="Arial" w:cs="Arial"/>
          <w:bCs/>
          <w:sz w:val="20"/>
          <w:szCs w:val="20"/>
        </w:rPr>
      </w:pPr>
    </w:p>
    <w:p w14:paraId="0FDF93E7" w14:textId="5E67BF63" w:rsidR="007B4777" w:rsidRDefault="007B4777" w:rsidP="007B4777">
      <w:pPr>
        <w:rPr>
          <w:rFonts w:ascii="Arial" w:hAnsi="Arial" w:cs="Arial"/>
          <w:bCs/>
          <w:sz w:val="20"/>
          <w:szCs w:val="20"/>
        </w:rPr>
      </w:pPr>
      <w:r w:rsidRPr="007B4777">
        <w:rPr>
          <w:rFonts w:ascii="Arial" w:hAnsi="Arial" w:cs="Arial"/>
          <w:bCs/>
          <w:sz w:val="20"/>
          <w:szCs w:val="20"/>
        </w:rPr>
        <w:t xml:space="preserve">In certain situations, goodwill or a bargain purchase gain may result from a business combination. Goodwill is measured as the excess of the consideration transferred over the net amounts of the identifiable assets acquired and the liabilities assumed. Goodwill is measured at historical cost and is evaluated for impairment annually or more often if events or circumstances indicate there may be an impairment. Impairment is determined for goodwill by assessing if the carrying value of a </w:t>
      </w:r>
      <w:r w:rsidR="00282724">
        <w:rPr>
          <w:rFonts w:ascii="Arial" w:hAnsi="Arial" w:cs="Arial"/>
          <w:bCs/>
          <w:sz w:val="20"/>
          <w:szCs w:val="20"/>
        </w:rPr>
        <w:t>Cash Generating Unit (“</w:t>
      </w:r>
      <w:r w:rsidRPr="007B4777">
        <w:rPr>
          <w:rFonts w:ascii="Arial" w:hAnsi="Arial" w:cs="Arial"/>
          <w:bCs/>
          <w:sz w:val="20"/>
          <w:szCs w:val="20"/>
        </w:rPr>
        <w:t>CGU</w:t>
      </w:r>
      <w:r w:rsidR="00282724">
        <w:rPr>
          <w:rFonts w:ascii="Arial" w:hAnsi="Arial" w:cs="Arial"/>
          <w:bCs/>
          <w:sz w:val="20"/>
          <w:szCs w:val="20"/>
        </w:rPr>
        <w:t>”)</w:t>
      </w:r>
      <w:r w:rsidRPr="007B4777">
        <w:rPr>
          <w:rFonts w:ascii="Arial" w:hAnsi="Arial" w:cs="Arial"/>
          <w:bCs/>
          <w:sz w:val="20"/>
          <w:szCs w:val="20"/>
        </w:rPr>
        <w:t>, including the allocated goodwill, exceeds its recoverable amount determined as the greater of the estimated fair value less costs to sell and the value in use. Impairment losses recognized in respect of a CGU are first allocated to the carrying value of goodwill and any excess is allocated to the carrying amount of assets in the CGU. Any goodwill impairment is recorded in income in the period in which the impairment is identified. Impairment losses on goodwill are not subsequently reversed. Acquisition related costs are recognized in the consolidated statements of comprehensive loss as incurred.</w:t>
      </w:r>
    </w:p>
    <w:p w14:paraId="690440C3" w14:textId="77777777" w:rsidR="007B4777" w:rsidRPr="007B4777" w:rsidRDefault="007B4777" w:rsidP="007B4777">
      <w:pPr>
        <w:rPr>
          <w:rFonts w:ascii="Arial" w:hAnsi="Arial" w:cs="Arial"/>
          <w:bCs/>
          <w:sz w:val="20"/>
          <w:szCs w:val="20"/>
        </w:rPr>
      </w:pPr>
    </w:p>
    <w:p w14:paraId="66A6391A" w14:textId="77777777" w:rsidR="006B492A" w:rsidRPr="00C7384B" w:rsidRDefault="006B492A" w:rsidP="006B492A">
      <w:pPr>
        <w:tabs>
          <w:tab w:val="left" w:pos="709"/>
        </w:tabs>
        <w:rPr>
          <w:rFonts w:ascii="Arial" w:hAnsi="Arial" w:cs="Arial"/>
          <w:b/>
          <w:bCs/>
          <w:sz w:val="20"/>
          <w:szCs w:val="20"/>
          <w:highlight w:val="yellow"/>
          <w:lang w:val="en-US"/>
        </w:rPr>
      </w:pPr>
      <w:r>
        <w:rPr>
          <w:rFonts w:ascii="Arial" w:hAnsi="Arial" w:cs="Arial"/>
          <w:b/>
          <w:bCs/>
          <w:sz w:val="20"/>
          <w:szCs w:val="20"/>
        </w:rPr>
        <w:t>2</w:t>
      </w:r>
      <w:r w:rsidRPr="0008505A">
        <w:rPr>
          <w:rFonts w:ascii="Arial" w:hAnsi="Arial" w:cs="Arial"/>
          <w:b/>
          <w:bCs/>
          <w:sz w:val="20"/>
          <w:szCs w:val="20"/>
        </w:rPr>
        <w:t xml:space="preserve">.     BASIS OF PRESENTATION </w:t>
      </w:r>
      <w:r w:rsidRPr="0008505A">
        <w:rPr>
          <w:rFonts w:ascii="Arial" w:hAnsi="Arial" w:cs="Arial"/>
          <w:sz w:val="20"/>
          <w:szCs w:val="20"/>
        </w:rPr>
        <w:t>(continued)</w:t>
      </w:r>
    </w:p>
    <w:p w14:paraId="5EA9C28D" w14:textId="77777777" w:rsidR="006B492A" w:rsidRDefault="006B492A" w:rsidP="00F16032">
      <w:pPr>
        <w:rPr>
          <w:rFonts w:ascii="Arial" w:hAnsi="Arial" w:cs="Arial"/>
          <w:bCs/>
          <w:sz w:val="20"/>
          <w:szCs w:val="20"/>
        </w:rPr>
      </w:pPr>
    </w:p>
    <w:p w14:paraId="2E41F5E9" w14:textId="3338F6D0" w:rsidR="00F16032" w:rsidRPr="00F16032" w:rsidRDefault="00F16032" w:rsidP="00F16032">
      <w:pPr>
        <w:rPr>
          <w:rFonts w:ascii="Arial" w:hAnsi="Arial" w:cs="Arial"/>
          <w:bCs/>
          <w:sz w:val="20"/>
          <w:szCs w:val="20"/>
          <w:lang w:val="en-US"/>
        </w:rPr>
      </w:pPr>
      <w:r w:rsidRPr="00F16032">
        <w:rPr>
          <w:rFonts w:ascii="Arial" w:hAnsi="Arial" w:cs="Arial"/>
          <w:bCs/>
          <w:sz w:val="20"/>
          <w:szCs w:val="20"/>
        </w:rPr>
        <w:t xml:space="preserve">These condensed consolidated </w:t>
      </w:r>
      <w:r w:rsidR="001C78F7" w:rsidRPr="00F16032">
        <w:rPr>
          <w:rFonts w:ascii="Arial" w:hAnsi="Arial" w:cs="Arial"/>
          <w:bCs/>
          <w:sz w:val="20"/>
          <w:szCs w:val="20"/>
        </w:rPr>
        <w:t xml:space="preserve">interim </w:t>
      </w:r>
      <w:r w:rsidRPr="00F16032">
        <w:rPr>
          <w:rFonts w:ascii="Arial" w:hAnsi="Arial" w:cs="Arial"/>
          <w:bCs/>
          <w:sz w:val="20"/>
          <w:szCs w:val="20"/>
        </w:rPr>
        <w:t>financial statements have been prepared on a historical cost basis. These condensed interim consolidated financial statements are presented in US dollars</w:t>
      </w:r>
      <w:r w:rsidR="00282724">
        <w:rPr>
          <w:rFonts w:ascii="Arial" w:hAnsi="Arial" w:cs="Arial"/>
          <w:bCs/>
          <w:sz w:val="20"/>
          <w:szCs w:val="20"/>
        </w:rPr>
        <w:t>, unless noted otherwise,</w:t>
      </w:r>
      <w:r w:rsidRPr="00F16032">
        <w:rPr>
          <w:rFonts w:ascii="Arial" w:hAnsi="Arial" w:cs="Arial"/>
          <w:bCs/>
          <w:sz w:val="20"/>
          <w:szCs w:val="20"/>
        </w:rPr>
        <w:t xml:space="preserve"> and all financial amounts, other than per-share amounts, are rounded to the nearest dollar. </w:t>
      </w:r>
    </w:p>
    <w:p w14:paraId="3383C51C" w14:textId="77777777" w:rsidR="00F16032" w:rsidRPr="00F16032" w:rsidRDefault="00F16032" w:rsidP="00F16032">
      <w:pPr>
        <w:rPr>
          <w:rFonts w:ascii="Arial" w:hAnsi="Arial" w:cs="Arial"/>
          <w:bCs/>
          <w:sz w:val="20"/>
          <w:szCs w:val="20"/>
        </w:rPr>
      </w:pPr>
    </w:p>
    <w:p w14:paraId="612D985D" w14:textId="6D90ADA8" w:rsidR="00D81DC3" w:rsidRPr="00D81DC3" w:rsidRDefault="00F16032" w:rsidP="00F16032">
      <w:pPr>
        <w:rPr>
          <w:rFonts w:ascii="Arial" w:hAnsi="Arial" w:cs="Arial"/>
          <w:bCs/>
          <w:sz w:val="20"/>
          <w:szCs w:val="20"/>
          <w:lang w:val="en-US"/>
        </w:rPr>
      </w:pPr>
      <w:r w:rsidRPr="00F16032">
        <w:rPr>
          <w:rFonts w:ascii="Arial" w:hAnsi="Arial" w:cs="Arial"/>
          <w:bCs/>
          <w:sz w:val="20"/>
          <w:szCs w:val="20"/>
        </w:rPr>
        <w:t xml:space="preserve">The policies applied in these condensed consolidated </w:t>
      </w:r>
      <w:r w:rsidR="001C78F7" w:rsidRPr="00F16032">
        <w:rPr>
          <w:rFonts w:ascii="Arial" w:hAnsi="Arial" w:cs="Arial"/>
          <w:bCs/>
          <w:sz w:val="20"/>
          <w:szCs w:val="20"/>
        </w:rPr>
        <w:t xml:space="preserve">interim </w:t>
      </w:r>
      <w:r w:rsidRPr="00F16032">
        <w:rPr>
          <w:rFonts w:ascii="Arial" w:hAnsi="Arial" w:cs="Arial"/>
          <w:bCs/>
          <w:sz w:val="20"/>
          <w:szCs w:val="20"/>
        </w:rPr>
        <w:t xml:space="preserve">financial statements are based on IFRS issued and effective as of </w:t>
      </w:r>
      <w:r w:rsidR="00E165C2">
        <w:rPr>
          <w:rFonts w:ascii="Arial" w:hAnsi="Arial" w:cs="Arial"/>
          <w:bCs/>
          <w:sz w:val="20"/>
          <w:szCs w:val="20"/>
        </w:rPr>
        <w:t>June 30</w:t>
      </w:r>
      <w:r>
        <w:rPr>
          <w:rFonts w:ascii="Arial" w:hAnsi="Arial" w:cs="Arial"/>
          <w:bCs/>
          <w:sz w:val="20"/>
          <w:szCs w:val="20"/>
        </w:rPr>
        <w:t>, 2021</w:t>
      </w:r>
      <w:r w:rsidRPr="00F16032">
        <w:rPr>
          <w:rFonts w:ascii="Arial" w:hAnsi="Arial" w:cs="Arial"/>
          <w:bCs/>
          <w:sz w:val="20"/>
          <w:szCs w:val="20"/>
        </w:rPr>
        <w:t>.</w:t>
      </w:r>
    </w:p>
    <w:p w14:paraId="2D3B15C8" w14:textId="77777777" w:rsidR="00D81DC3" w:rsidRPr="00D81DC3" w:rsidRDefault="00D81DC3" w:rsidP="00D81DC3">
      <w:pPr>
        <w:rPr>
          <w:rFonts w:ascii="Arial" w:hAnsi="Arial" w:cs="Arial"/>
          <w:bCs/>
          <w:sz w:val="20"/>
          <w:szCs w:val="20"/>
        </w:rPr>
      </w:pPr>
    </w:p>
    <w:p w14:paraId="4EBF6602" w14:textId="77777777" w:rsidR="00D81DC3" w:rsidRPr="00D81DC3" w:rsidRDefault="00D81DC3" w:rsidP="00671EA6">
      <w:pPr>
        <w:numPr>
          <w:ilvl w:val="0"/>
          <w:numId w:val="3"/>
        </w:numPr>
        <w:ind w:left="567" w:hanging="567"/>
        <w:rPr>
          <w:rFonts w:ascii="Arial" w:hAnsi="Arial" w:cs="Arial"/>
          <w:b/>
          <w:bCs/>
          <w:sz w:val="20"/>
          <w:szCs w:val="20"/>
        </w:rPr>
      </w:pPr>
      <w:r w:rsidRPr="00D81DC3">
        <w:rPr>
          <w:rFonts w:ascii="Arial" w:hAnsi="Arial" w:cs="Arial"/>
          <w:b/>
          <w:bCs/>
          <w:sz w:val="20"/>
          <w:szCs w:val="20"/>
        </w:rPr>
        <w:t xml:space="preserve">Basis of </w:t>
      </w:r>
      <w:r w:rsidR="0027034B">
        <w:rPr>
          <w:rFonts w:ascii="Arial" w:hAnsi="Arial" w:cs="Arial"/>
          <w:b/>
          <w:bCs/>
          <w:sz w:val="20"/>
          <w:szCs w:val="20"/>
        </w:rPr>
        <w:t>consolidation</w:t>
      </w:r>
    </w:p>
    <w:p w14:paraId="1FB93817" w14:textId="77777777" w:rsidR="00D81DC3" w:rsidRPr="00D81DC3" w:rsidRDefault="00D81DC3" w:rsidP="00D81DC3">
      <w:pPr>
        <w:rPr>
          <w:rFonts w:ascii="Arial" w:hAnsi="Arial" w:cs="Arial"/>
          <w:b/>
          <w:bCs/>
          <w:sz w:val="20"/>
          <w:szCs w:val="20"/>
        </w:rPr>
      </w:pPr>
    </w:p>
    <w:p w14:paraId="427A647F" w14:textId="130BFD66" w:rsidR="006F30A0" w:rsidRDefault="0027034B" w:rsidP="00D81DC3">
      <w:pPr>
        <w:ind w:left="567"/>
        <w:rPr>
          <w:rFonts w:ascii="Arial" w:hAnsi="Arial" w:cs="Arial"/>
          <w:sz w:val="20"/>
          <w:szCs w:val="20"/>
        </w:rPr>
      </w:pPr>
      <w:r w:rsidRPr="0027034B">
        <w:rPr>
          <w:rFonts w:ascii="Arial" w:hAnsi="Arial" w:cs="Arial"/>
          <w:sz w:val="20"/>
          <w:szCs w:val="20"/>
        </w:rPr>
        <w:t>These</w:t>
      </w:r>
      <w:r w:rsidR="001728F0">
        <w:rPr>
          <w:rFonts w:ascii="Arial" w:hAnsi="Arial" w:cs="Arial"/>
          <w:sz w:val="20"/>
          <w:szCs w:val="20"/>
        </w:rPr>
        <w:t xml:space="preserve"> </w:t>
      </w:r>
      <w:r w:rsidR="000D72DA">
        <w:rPr>
          <w:rFonts w:ascii="Arial" w:hAnsi="Arial" w:cs="Arial"/>
          <w:sz w:val="20"/>
          <w:szCs w:val="20"/>
        </w:rPr>
        <w:t>c</w:t>
      </w:r>
      <w:r w:rsidR="00A11BD9">
        <w:rPr>
          <w:rFonts w:ascii="Arial" w:hAnsi="Arial" w:cs="Arial"/>
          <w:sz w:val="20"/>
          <w:szCs w:val="20"/>
        </w:rPr>
        <w:t xml:space="preserve">ondensed </w:t>
      </w:r>
      <w:r w:rsidR="000D72DA">
        <w:rPr>
          <w:rFonts w:ascii="Arial" w:hAnsi="Arial" w:cs="Arial"/>
          <w:sz w:val="20"/>
          <w:szCs w:val="20"/>
        </w:rPr>
        <w:t>c</w:t>
      </w:r>
      <w:r w:rsidR="00A11BD9">
        <w:rPr>
          <w:rFonts w:ascii="Arial" w:hAnsi="Arial" w:cs="Arial"/>
          <w:sz w:val="20"/>
          <w:szCs w:val="20"/>
        </w:rPr>
        <w:t xml:space="preserve">onsolidated </w:t>
      </w:r>
      <w:r w:rsidR="000D72DA">
        <w:rPr>
          <w:rFonts w:ascii="Arial" w:hAnsi="Arial" w:cs="Arial"/>
          <w:sz w:val="20"/>
          <w:szCs w:val="20"/>
        </w:rPr>
        <w:t>i</w:t>
      </w:r>
      <w:r w:rsidR="00A11BD9">
        <w:rPr>
          <w:rFonts w:ascii="Arial" w:hAnsi="Arial" w:cs="Arial"/>
          <w:sz w:val="20"/>
          <w:szCs w:val="20"/>
        </w:rPr>
        <w:t>nterim</w:t>
      </w:r>
      <w:r w:rsidRPr="0027034B">
        <w:rPr>
          <w:rFonts w:ascii="Arial" w:hAnsi="Arial" w:cs="Arial"/>
          <w:sz w:val="20"/>
          <w:szCs w:val="20"/>
        </w:rPr>
        <w:t xml:space="preserve"> financial statements have been prepared on a </w:t>
      </w:r>
      <w:r w:rsidR="00F16032">
        <w:rPr>
          <w:rFonts w:ascii="Arial" w:hAnsi="Arial" w:cs="Arial"/>
          <w:sz w:val="20"/>
          <w:szCs w:val="20"/>
        </w:rPr>
        <w:t xml:space="preserve">consolidated </w:t>
      </w:r>
      <w:r w:rsidRPr="0027034B">
        <w:rPr>
          <w:rFonts w:ascii="Arial" w:hAnsi="Arial" w:cs="Arial"/>
          <w:sz w:val="20"/>
          <w:szCs w:val="20"/>
        </w:rPr>
        <w:t xml:space="preserve">basis and include the accounts of the Company and </w:t>
      </w:r>
      <w:r w:rsidR="006F30A0">
        <w:rPr>
          <w:rFonts w:ascii="Arial" w:hAnsi="Arial" w:cs="Arial"/>
          <w:sz w:val="20"/>
          <w:szCs w:val="20"/>
        </w:rPr>
        <w:t>the following subsidiaries:</w:t>
      </w:r>
    </w:p>
    <w:p w14:paraId="59F7368E" w14:textId="77777777" w:rsidR="006F30A0" w:rsidRDefault="006F30A0" w:rsidP="00D81DC3">
      <w:pPr>
        <w:ind w:left="567"/>
        <w:rPr>
          <w:rFonts w:ascii="Arial" w:hAnsi="Arial" w:cs="Arial"/>
          <w:sz w:val="20"/>
          <w:szCs w:val="20"/>
        </w:rPr>
      </w:pPr>
    </w:p>
    <w:tbl>
      <w:tblPr>
        <w:tblStyle w:val="MediumList1-Accent11"/>
        <w:tblW w:w="8901" w:type="dxa"/>
        <w:tblInd w:w="567" w:type="dxa"/>
        <w:tblLook w:val="04A0" w:firstRow="1" w:lastRow="0" w:firstColumn="1" w:lastColumn="0" w:noHBand="0" w:noVBand="1"/>
      </w:tblPr>
      <w:tblGrid>
        <w:gridCol w:w="4131"/>
        <w:gridCol w:w="2610"/>
        <w:gridCol w:w="2160"/>
      </w:tblGrid>
      <w:tr w:rsidR="006F30A0" w:rsidRPr="006F30A0" w14:paraId="2E6CD93E" w14:textId="77777777" w:rsidTr="00DA68EE">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131" w:type="dxa"/>
            <w:tcBorders>
              <w:left w:val="nil"/>
              <w:right w:val="nil"/>
            </w:tcBorders>
            <w:hideMark/>
          </w:tcPr>
          <w:p w14:paraId="304361CE" w14:textId="77777777" w:rsidR="006F30A0" w:rsidRPr="006F30A0" w:rsidRDefault="006F30A0" w:rsidP="00DA68EE">
            <w:pPr>
              <w:ind w:left="0" w:hanging="5"/>
              <w:contextualSpacing/>
              <w:outlineLvl w:val="4"/>
              <w:rPr>
                <w:rFonts w:ascii="Arial" w:hAnsi="Arial" w:cs="Arial"/>
                <w:b w:val="0"/>
                <w:bCs w:val="0"/>
                <w:sz w:val="20"/>
                <w:szCs w:val="20"/>
              </w:rPr>
            </w:pPr>
            <w:r w:rsidRPr="006F30A0">
              <w:rPr>
                <w:rFonts w:ascii="Arial" w:hAnsi="Arial" w:cs="Arial"/>
                <w:sz w:val="20"/>
                <w:szCs w:val="20"/>
              </w:rPr>
              <w:t>Entity</w:t>
            </w:r>
          </w:p>
        </w:tc>
        <w:tc>
          <w:tcPr>
            <w:tcW w:w="2610" w:type="dxa"/>
            <w:tcBorders>
              <w:left w:val="nil"/>
              <w:right w:val="nil"/>
            </w:tcBorders>
            <w:hideMark/>
          </w:tcPr>
          <w:p w14:paraId="240BF96C" w14:textId="77777777" w:rsidR="006F30A0" w:rsidRPr="006F30A0" w:rsidRDefault="006F30A0" w:rsidP="00DA68EE">
            <w:pPr>
              <w:ind w:left="0" w:hanging="5"/>
              <w:contextualSpacing/>
              <w:outlineLvl w:val="4"/>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F30A0">
              <w:rPr>
                <w:rFonts w:ascii="Arial" w:hAnsi="Arial" w:cs="Arial"/>
                <w:b/>
                <w:sz w:val="20"/>
                <w:szCs w:val="20"/>
              </w:rPr>
              <w:t>Registered</w:t>
            </w:r>
          </w:p>
        </w:tc>
        <w:tc>
          <w:tcPr>
            <w:tcW w:w="2160" w:type="dxa"/>
            <w:tcBorders>
              <w:left w:val="nil"/>
              <w:right w:val="nil"/>
            </w:tcBorders>
            <w:hideMark/>
          </w:tcPr>
          <w:p w14:paraId="7A6C790D" w14:textId="77777777" w:rsidR="006F30A0" w:rsidRPr="006F30A0" w:rsidRDefault="006F30A0" w:rsidP="00DA68EE">
            <w:pPr>
              <w:ind w:left="0" w:right="0" w:hanging="5"/>
              <w:contextualSpacing/>
              <w:outlineLvl w:val="4"/>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6F30A0">
              <w:rPr>
                <w:rFonts w:ascii="Arial" w:hAnsi="Arial" w:cs="Arial"/>
                <w:b/>
                <w:sz w:val="20"/>
                <w:szCs w:val="20"/>
              </w:rPr>
              <w:t>Holding</w:t>
            </w:r>
          </w:p>
        </w:tc>
      </w:tr>
      <w:tr w:rsidR="006F30A0" w:rsidRPr="006F30A0" w14:paraId="74D56E23" w14:textId="77777777" w:rsidTr="00DA68E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31" w:type="dxa"/>
            <w:tcBorders>
              <w:top w:val="nil"/>
              <w:left w:val="nil"/>
              <w:bottom w:val="nil"/>
              <w:right w:val="nil"/>
            </w:tcBorders>
            <w:vAlign w:val="center"/>
            <w:hideMark/>
          </w:tcPr>
          <w:p w14:paraId="20D6DA32" w14:textId="3EDE120F" w:rsidR="006F30A0" w:rsidRPr="006F30A0" w:rsidRDefault="006F30A0" w:rsidP="00DA68EE">
            <w:pPr>
              <w:ind w:left="0" w:right="0" w:hanging="5"/>
              <w:contextualSpacing/>
              <w:jc w:val="left"/>
              <w:outlineLvl w:val="4"/>
              <w:rPr>
                <w:rFonts w:ascii="Arial" w:hAnsi="Arial" w:cs="Arial"/>
                <w:b w:val="0"/>
                <w:sz w:val="20"/>
                <w:szCs w:val="20"/>
              </w:rPr>
            </w:pPr>
            <w:r w:rsidRPr="006F30A0">
              <w:rPr>
                <w:rFonts w:ascii="Arial" w:hAnsi="Arial" w:cs="Arial"/>
                <w:b w:val="0"/>
                <w:sz w:val="20"/>
                <w:szCs w:val="20"/>
              </w:rPr>
              <w:t>Delic Corp.</w:t>
            </w:r>
          </w:p>
        </w:tc>
        <w:tc>
          <w:tcPr>
            <w:tcW w:w="2610" w:type="dxa"/>
            <w:tcBorders>
              <w:top w:val="nil"/>
              <w:left w:val="nil"/>
              <w:bottom w:val="nil"/>
              <w:right w:val="nil"/>
            </w:tcBorders>
            <w:vAlign w:val="center"/>
            <w:hideMark/>
          </w:tcPr>
          <w:p w14:paraId="6D7D6C41" w14:textId="4C3325E0" w:rsidR="006F30A0" w:rsidRPr="006F30A0" w:rsidRDefault="006F30A0" w:rsidP="00DA68EE">
            <w:pPr>
              <w:ind w:left="0" w:hanging="5"/>
              <w:contextualSpacing/>
              <w:jc w:val="left"/>
              <w:outlineLvl w:val="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Delaware</w:t>
            </w:r>
          </w:p>
        </w:tc>
        <w:tc>
          <w:tcPr>
            <w:tcW w:w="2160" w:type="dxa"/>
            <w:tcBorders>
              <w:top w:val="nil"/>
              <w:left w:val="nil"/>
              <w:bottom w:val="nil"/>
              <w:right w:val="nil"/>
            </w:tcBorders>
            <w:vAlign w:val="center"/>
            <w:hideMark/>
          </w:tcPr>
          <w:p w14:paraId="7FAEED60" w14:textId="2BF3A0F3" w:rsidR="006F30A0" w:rsidRPr="006F30A0" w:rsidRDefault="006F30A0" w:rsidP="00DA68EE">
            <w:pPr>
              <w:ind w:left="0" w:right="0" w:hanging="5"/>
              <w:contextualSpacing/>
              <w:jc w:val="left"/>
              <w:outlineLvl w:val="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30A0">
              <w:rPr>
                <w:rFonts w:ascii="Arial" w:hAnsi="Arial" w:cs="Arial"/>
                <w:sz w:val="20"/>
                <w:szCs w:val="20"/>
              </w:rPr>
              <w:t xml:space="preserve">100% owned </w:t>
            </w:r>
          </w:p>
        </w:tc>
      </w:tr>
      <w:tr w:rsidR="006F30A0" w:rsidRPr="006F30A0" w14:paraId="74C0E67C" w14:textId="77777777" w:rsidTr="00DA68EE">
        <w:tc>
          <w:tcPr>
            <w:cnfStyle w:val="001000000000" w:firstRow="0" w:lastRow="0" w:firstColumn="1" w:lastColumn="0" w:oddVBand="0" w:evenVBand="0" w:oddHBand="0" w:evenHBand="0" w:firstRowFirstColumn="0" w:firstRowLastColumn="0" w:lastRowFirstColumn="0" w:lastRowLastColumn="0"/>
            <w:tcW w:w="4131" w:type="dxa"/>
            <w:tcBorders>
              <w:top w:val="nil"/>
              <w:left w:val="nil"/>
              <w:bottom w:val="nil"/>
              <w:right w:val="nil"/>
            </w:tcBorders>
            <w:vAlign w:val="center"/>
          </w:tcPr>
          <w:p w14:paraId="3AEF3511" w14:textId="086AE5B7" w:rsidR="006F30A0" w:rsidRPr="006F30A0" w:rsidRDefault="006F30A0" w:rsidP="00DA68EE">
            <w:pPr>
              <w:ind w:left="0" w:hanging="5"/>
              <w:contextualSpacing/>
              <w:jc w:val="left"/>
              <w:outlineLvl w:val="4"/>
              <w:rPr>
                <w:rFonts w:ascii="Arial" w:hAnsi="Arial" w:cs="Arial"/>
                <w:b w:val="0"/>
                <w:sz w:val="20"/>
                <w:szCs w:val="20"/>
              </w:rPr>
            </w:pPr>
            <w:r>
              <w:rPr>
                <w:rFonts w:ascii="Arial" w:hAnsi="Arial" w:cs="Arial"/>
                <w:b w:val="0"/>
                <w:sz w:val="20"/>
                <w:szCs w:val="20"/>
              </w:rPr>
              <w:t>Delic Labs Inc.</w:t>
            </w:r>
          </w:p>
        </w:tc>
        <w:tc>
          <w:tcPr>
            <w:tcW w:w="2610" w:type="dxa"/>
            <w:tcBorders>
              <w:top w:val="nil"/>
              <w:left w:val="nil"/>
              <w:bottom w:val="nil"/>
              <w:right w:val="nil"/>
            </w:tcBorders>
            <w:vAlign w:val="center"/>
          </w:tcPr>
          <w:p w14:paraId="05D3ACDD" w14:textId="7AB28FEC" w:rsidR="006F30A0" w:rsidRPr="006F30A0" w:rsidRDefault="006F30A0" w:rsidP="00DA68EE">
            <w:pPr>
              <w:ind w:left="0" w:hanging="5"/>
              <w:contextualSpacing/>
              <w:jc w:val="left"/>
              <w:outlineLvl w:val="4"/>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Canada</w:t>
            </w:r>
          </w:p>
        </w:tc>
        <w:tc>
          <w:tcPr>
            <w:tcW w:w="2160" w:type="dxa"/>
            <w:tcBorders>
              <w:top w:val="nil"/>
              <w:left w:val="nil"/>
              <w:bottom w:val="nil"/>
              <w:right w:val="nil"/>
            </w:tcBorders>
            <w:vAlign w:val="center"/>
          </w:tcPr>
          <w:p w14:paraId="249B4C0A" w14:textId="77777777" w:rsidR="006F30A0" w:rsidRPr="006F30A0" w:rsidRDefault="006F30A0" w:rsidP="00DA68EE">
            <w:pPr>
              <w:ind w:left="0" w:right="0" w:hanging="5"/>
              <w:contextualSpacing/>
              <w:jc w:val="left"/>
              <w:outlineLvl w:val="4"/>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6F30A0">
              <w:rPr>
                <w:rFonts w:ascii="Arial" w:hAnsi="Arial" w:cs="Arial"/>
                <w:bCs/>
                <w:sz w:val="20"/>
                <w:szCs w:val="20"/>
              </w:rPr>
              <w:t>100% owned</w:t>
            </w:r>
          </w:p>
        </w:tc>
      </w:tr>
      <w:tr w:rsidR="006F30A0" w:rsidRPr="006F30A0" w14:paraId="0724F778" w14:textId="77777777" w:rsidTr="00DA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1" w:type="dxa"/>
            <w:tcBorders>
              <w:top w:val="nil"/>
              <w:left w:val="nil"/>
              <w:bottom w:val="nil"/>
              <w:right w:val="nil"/>
            </w:tcBorders>
            <w:vAlign w:val="center"/>
          </w:tcPr>
          <w:p w14:paraId="27570E7F" w14:textId="448B6D5C" w:rsidR="006F30A0" w:rsidRPr="006F30A0" w:rsidRDefault="006F30A0" w:rsidP="00DA68EE">
            <w:pPr>
              <w:ind w:left="0" w:hanging="5"/>
              <w:contextualSpacing/>
              <w:jc w:val="left"/>
              <w:outlineLvl w:val="4"/>
              <w:rPr>
                <w:rFonts w:ascii="Arial" w:hAnsi="Arial" w:cs="Arial"/>
                <w:b w:val="0"/>
                <w:sz w:val="20"/>
                <w:szCs w:val="20"/>
              </w:rPr>
            </w:pPr>
            <w:r>
              <w:rPr>
                <w:rFonts w:ascii="Arial" w:hAnsi="Arial" w:cs="Arial"/>
                <w:b w:val="0"/>
                <w:sz w:val="20"/>
                <w:szCs w:val="20"/>
              </w:rPr>
              <w:t>Ketamine Infusion Centers, LLC</w:t>
            </w:r>
          </w:p>
        </w:tc>
        <w:tc>
          <w:tcPr>
            <w:tcW w:w="2610" w:type="dxa"/>
            <w:tcBorders>
              <w:top w:val="nil"/>
              <w:left w:val="nil"/>
              <w:bottom w:val="nil"/>
              <w:right w:val="nil"/>
            </w:tcBorders>
            <w:vAlign w:val="center"/>
          </w:tcPr>
          <w:p w14:paraId="51D3E3E5" w14:textId="2A8A820F" w:rsidR="006F30A0" w:rsidRPr="006F30A0" w:rsidRDefault="006F30A0" w:rsidP="00DA68EE">
            <w:pPr>
              <w:ind w:left="0" w:hanging="5"/>
              <w:contextualSpacing/>
              <w:jc w:val="left"/>
              <w:outlineLvl w:val="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Arizona</w:t>
            </w:r>
          </w:p>
        </w:tc>
        <w:tc>
          <w:tcPr>
            <w:tcW w:w="2160" w:type="dxa"/>
            <w:tcBorders>
              <w:top w:val="nil"/>
              <w:left w:val="nil"/>
              <w:bottom w:val="nil"/>
              <w:right w:val="nil"/>
            </w:tcBorders>
            <w:vAlign w:val="center"/>
          </w:tcPr>
          <w:p w14:paraId="48DAA627" w14:textId="77777777" w:rsidR="006F30A0" w:rsidRPr="006F30A0" w:rsidRDefault="006F30A0" w:rsidP="00DA68EE">
            <w:pPr>
              <w:ind w:left="0" w:right="0" w:hanging="5"/>
              <w:contextualSpacing/>
              <w:jc w:val="left"/>
              <w:outlineLvl w:val="4"/>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F30A0">
              <w:rPr>
                <w:rFonts w:ascii="Arial" w:hAnsi="Arial" w:cs="Arial"/>
                <w:bCs/>
                <w:sz w:val="20"/>
                <w:szCs w:val="20"/>
              </w:rPr>
              <w:t>100% owned</w:t>
            </w:r>
          </w:p>
        </w:tc>
      </w:tr>
    </w:tbl>
    <w:p w14:paraId="1FA98A46" w14:textId="4CB3FED0" w:rsidR="00D81DC3" w:rsidRDefault="00D81DC3" w:rsidP="00D81DC3">
      <w:pPr>
        <w:ind w:left="567"/>
        <w:rPr>
          <w:rFonts w:ascii="Arial" w:hAnsi="Arial" w:cs="Arial"/>
          <w:bCs/>
          <w:sz w:val="20"/>
          <w:szCs w:val="20"/>
          <w:lang w:val="en-US"/>
        </w:rPr>
      </w:pPr>
    </w:p>
    <w:p w14:paraId="462A5095" w14:textId="77777777" w:rsidR="0027034B" w:rsidRDefault="0027034B" w:rsidP="00D81DC3">
      <w:pPr>
        <w:ind w:left="567"/>
        <w:rPr>
          <w:rFonts w:ascii="Arial" w:hAnsi="Arial" w:cs="Arial"/>
          <w:bCs/>
          <w:sz w:val="20"/>
          <w:szCs w:val="20"/>
          <w:lang w:val="en-US"/>
        </w:rPr>
      </w:pPr>
    </w:p>
    <w:p w14:paraId="606243F6" w14:textId="77777777" w:rsidR="00D81DC3" w:rsidRPr="00356766" w:rsidRDefault="00356766" w:rsidP="008F7BAF">
      <w:pPr>
        <w:ind w:left="567"/>
        <w:rPr>
          <w:rFonts w:ascii="Arial" w:hAnsi="Arial" w:cs="Arial"/>
          <w:sz w:val="20"/>
          <w:szCs w:val="20"/>
          <w:lang w:val="en-US"/>
        </w:rPr>
      </w:pPr>
      <w:r w:rsidRPr="00356766">
        <w:rPr>
          <w:rFonts w:ascii="Arial" w:hAnsi="Arial" w:cs="Arial"/>
          <w:sz w:val="20"/>
          <w:szCs w:val="20"/>
        </w:rPr>
        <w:t>Intercompany balances and transactions, and any unrealized income and expenses arising from intercompany transactions</w:t>
      </w:r>
      <w:r w:rsidR="005F1BBC">
        <w:rPr>
          <w:rFonts w:ascii="Arial" w:hAnsi="Arial" w:cs="Arial"/>
          <w:sz w:val="20"/>
          <w:szCs w:val="20"/>
        </w:rPr>
        <w:t xml:space="preserve"> have been eliminated</w:t>
      </w:r>
      <w:r w:rsidRPr="00356766">
        <w:rPr>
          <w:rFonts w:ascii="Arial" w:hAnsi="Arial" w:cs="Arial"/>
          <w:sz w:val="20"/>
          <w:szCs w:val="20"/>
        </w:rPr>
        <w:t>.</w:t>
      </w:r>
    </w:p>
    <w:p w14:paraId="64BAFBAF" w14:textId="77777777" w:rsidR="00150FA2" w:rsidRPr="00150FA2" w:rsidRDefault="00150FA2" w:rsidP="00150FA2">
      <w:pPr>
        <w:rPr>
          <w:rFonts w:ascii="Arial" w:hAnsi="Arial" w:cs="Arial"/>
          <w:b/>
          <w:bCs/>
          <w:sz w:val="20"/>
          <w:szCs w:val="20"/>
          <w:lang w:val="en-US"/>
        </w:rPr>
      </w:pPr>
    </w:p>
    <w:p w14:paraId="74565C1C" w14:textId="77777777" w:rsidR="00481525" w:rsidRPr="002A46E5" w:rsidRDefault="002A46E5" w:rsidP="00671EA6">
      <w:pPr>
        <w:pStyle w:val="ListParagraph"/>
        <w:numPr>
          <w:ilvl w:val="0"/>
          <w:numId w:val="3"/>
        </w:numPr>
        <w:ind w:left="567" w:hanging="567"/>
        <w:rPr>
          <w:rFonts w:ascii="Arial" w:hAnsi="Arial" w:cs="Arial"/>
          <w:b/>
          <w:bCs/>
          <w:sz w:val="20"/>
          <w:szCs w:val="20"/>
          <w:lang w:val="en-US"/>
        </w:rPr>
      </w:pPr>
      <w:r>
        <w:rPr>
          <w:rFonts w:ascii="Arial" w:hAnsi="Arial" w:cs="Arial"/>
          <w:b/>
          <w:bCs/>
          <w:sz w:val="20"/>
          <w:szCs w:val="20"/>
          <w:lang w:val="en-US"/>
        </w:rPr>
        <w:t>Functional and presentation currency</w:t>
      </w:r>
    </w:p>
    <w:p w14:paraId="3018A1D2" w14:textId="77777777" w:rsidR="002A46E5" w:rsidRDefault="002A46E5" w:rsidP="002A46E5">
      <w:pPr>
        <w:pStyle w:val="ListParagraph"/>
        <w:ind w:left="567"/>
        <w:rPr>
          <w:rFonts w:ascii="Arial" w:hAnsi="Arial" w:cs="Arial"/>
          <w:sz w:val="20"/>
          <w:szCs w:val="20"/>
          <w:lang w:val="en-US"/>
        </w:rPr>
      </w:pPr>
    </w:p>
    <w:p w14:paraId="205FAD18" w14:textId="1E33DAA3" w:rsidR="00604587" w:rsidRDefault="00604587" w:rsidP="00604587">
      <w:pPr>
        <w:ind w:left="567" w:right="114"/>
        <w:rPr>
          <w:rFonts w:ascii="Arial" w:hAnsi="Arial" w:cs="Arial"/>
          <w:sz w:val="20"/>
          <w:szCs w:val="20"/>
        </w:rPr>
      </w:pPr>
      <w:r w:rsidRPr="00300914">
        <w:rPr>
          <w:rFonts w:ascii="Arial" w:hAnsi="Arial" w:cs="Arial"/>
          <w:sz w:val="20"/>
          <w:szCs w:val="20"/>
        </w:rPr>
        <w:t xml:space="preserve">These </w:t>
      </w:r>
      <w:r w:rsidR="00163ED3">
        <w:rPr>
          <w:rFonts w:ascii="Arial" w:hAnsi="Arial" w:cs="Arial"/>
          <w:sz w:val="20"/>
          <w:szCs w:val="20"/>
        </w:rPr>
        <w:t>c</w:t>
      </w:r>
      <w:r w:rsidR="00A11BD9">
        <w:rPr>
          <w:rFonts w:ascii="Arial" w:hAnsi="Arial" w:cs="Arial"/>
          <w:sz w:val="20"/>
          <w:szCs w:val="20"/>
        </w:rPr>
        <w:t xml:space="preserve">ondensed </w:t>
      </w:r>
      <w:r w:rsidR="00163ED3">
        <w:rPr>
          <w:rFonts w:ascii="Arial" w:hAnsi="Arial" w:cs="Arial"/>
          <w:sz w:val="20"/>
          <w:szCs w:val="20"/>
        </w:rPr>
        <w:t>c</w:t>
      </w:r>
      <w:r w:rsidR="00A11BD9">
        <w:rPr>
          <w:rFonts w:ascii="Arial" w:hAnsi="Arial" w:cs="Arial"/>
          <w:sz w:val="20"/>
          <w:szCs w:val="20"/>
        </w:rPr>
        <w:t xml:space="preserve">onsolidated </w:t>
      </w:r>
      <w:r w:rsidR="00163ED3">
        <w:rPr>
          <w:rFonts w:ascii="Arial" w:hAnsi="Arial" w:cs="Arial"/>
          <w:sz w:val="20"/>
          <w:szCs w:val="20"/>
        </w:rPr>
        <w:t>i</w:t>
      </w:r>
      <w:r w:rsidR="00A11BD9">
        <w:rPr>
          <w:rFonts w:ascii="Arial" w:hAnsi="Arial" w:cs="Arial"/>
          <w:sz w:val="20"/>
          <w:szCs w:val="20"/>
        </w:rPr>
        <w:t>nterim</w:t>
      </w:r>
      <w:r w:rsidRPr="00300914">
        <w:rPr>
          <w:rFonts w:ascii="Arial" w:hAnsi="Arial" w:cs="Arial"/>
          <w:sz w:val="20"/>
          <w:szCs w:val="20"/>
        </w:rPr>
        <w:t xml:space="preserve"> financial statements are presented in US dollars, which is the functional currency of </w:t>
      </w:r>
      <w:r>
        <w:rPr>
          <w:rFonts w:ascii="Arial" w:hAnsi="Arial" w:cs="Arial"/>
          <w:sz w:val="20"/>
          <w:szCs w:val="20"/>
        </w:rPr>
        <w:t>Delic Corp.</w:t>
      </w:r>
      <w:r w:rsidR="008A214C">
        <w:rPr>
          <w:rFonts w:ascii="Arial" w:hAnsi="Arial" w:cs="Arial"/>
          <w:sz w:val="20"/>
          <w:szCs w:val="20"/>
        </w:rPr>
        <w:t xml:space="preserve">  </w:t>
      </w:r>
      <w:r w:rsidR="008A214C" w:rsidRPr="008A214C">
        <w:rPr>
          <w:rFonts w:ascii="Arial" w:hAnsi="Arial" w:cs="Arial"/>
          <w:sz w:val="20"/>
          <w:szCs w:val="20"/>
        </w:rPr>
        <w:t>The functional currency of the Company is the Canadian dollar</w:t>
      </w:r>
      <w:r w:rsidR="008A214C">
        <w:rPr>
          <w:rFonts w:ascii="Arial" w:hAnsi="Arial" w:cs="Arial"/>
          <w:sz w:val="20"/>
          <w:szCs w:val="20"/>
        </w:rPr>
        <w:t>.</w:t>
      </w:r>
    </w:p>
    <w:p w14:paraId="56040F01" w14:textId="77777777" w:rsidR="008A214C" w:rsidRPr="00300914" w:rsidRDefault="008A214C" w:rsidP="00604587">
      <w:pPr>
        <w:ind w:left="567" w:right="114"/>
        <w:rPr>
          <w:rFonts w:ascii="Arial" w:hAnsi="Arial" w:cs="Arial"/>
          <w:sz w:val="20"/>
          <w:szCs w:val="20"/>
        </w:rPr>
      </w:pPr>
    </w:p>
    <w:p w14:paraId="118026B2" w14:textId="77777777" w:rsidR="00604587" w:rsidRPr="00300914" w:rsidRDefault="00604587" w:rsidP="00604587">
      <w:pPr>
        <w:widowControl/>
        <w:ind w:left="567" w:right="114"/>
        <w:rPr>
          <w:rFonts w:ascii="Arial" w:hAnsi="Arial" w:cs="Arial"/>
          <w:sz w:val="20"/>
          <w:szCs w:val="20"/>
        </w:rPr>
      </w:pPr>
      <w:r w:rsidRPr="00300914">
        <w:rPr>
          <w:rFonts w:ascii="Arial" w:hAnsi="Arial" w:cs="Arial"/>
          <w:sz w:val="20"/>
          <w:szCs w:val="20"/>
        </w:rPr>
        <w:t>Foreign currency transactions are recorded at the exchange rate as at the date of the transaction. At each statement of financial position date, monetary assets and liabilities are translated using the period end foreign exchange rate. Non-monetary assets and liabilities in foreign currencies other than the functional currency are translated using the historical rate. All gains and losses on translation of these foreign currency transactions are included in the profit and loss.</w:t>
      </w:r>
    </w:p>
    <w:p w14:paraId="7C593E3F" w14:textId="77777777" w:rsidR="00481525" w:rsidRPr="00D81DC3" w:rsidRDefault="00481525" w:rsidP="00D81DC3">
      <w:pPr>
        <w:rPr>
          <w:rFonts w:ascii="Arial" w:hAnsi="Arial" w:cs="Arial"/>
          <w:b/>
          <w:bCs/>
          <w:sz w:val="20"/>
          <w:szCs w:val="20"/>
          <w:lang w:val="en-US"/>
        </w:rPr>
      </w:pPr>
    </w:p>
    <w:p w14:paraId="06B5F0F3" w14:textId="77777777" w:rsidR="00D81DC3" w:rsidRPr="00D81DC3" w:rsidRDefault="00D81DC3" w:rsidP="00671EA6">
      <w:pPr>
        <w:numPr>
          <w:ilvl w:val="0"/>
          <w:numId w:val="3"/>
        </w:numPr>
        <w:ind w:left="567" w:hanging="567"/>
        <w:rPr>
          <w:rFonts w:ascii="Arial" w:hAnsi="Arial" w:cs="Arial"/>
          <w:bCs/>
          <w:sz w:val="20"/>
          <w:szCs w:val="20"/>
          <w:lang w:val="en-US"/>
        </w:rPr>
      </w:pPr>
      <w:r w:rsidRPr="00D81DC3">
        <w:rPr>
          <w:rFonts w:ascii="Arial" w:hAnsi="Arial" w:cs="Arial"/>
          <w:b/>
          <w:bCs/>
          <w:sz w:val="20"/>
          <w:szCs w:val="20"/>
          <w:lang w:val="en-US"/>
        </w:rPr>
        <w:t>Significant judgments, estimates and assumptions</w:t>
      </w:r>
    </w:p>
    <w:p w14:paraId="0CE949B6" w14:textId="77777777" w:rsidR="00D81DC3" w:rsidRPr="00D81DC3" w:rsidRDefault="00D81DC3" w:rsidP="00D81DC3">
      <w:pPr>
        <w:ind w:left="567" w:hanging="567"/>
        <w:rPr>
          <w:rFonts w:ascii="Arial" w:hAnsi="Arial" w:cs="Arial"/>
          <w:bCs/>
          <w:sz w:val="20"/>
          <w:szCs w:val="20"/>
          <w:lang w:val="en-US"/>
        </w:rPr>
      </w:pPr>
    </w:p>
    <w:p w14:paraId="6CBD7DC4" w14:textId="61167D46" w:rsidR="00D81DC3" w:rsidRPr="00D81DC3" w:rsidRDefault="00D81DC3" w:rsidP="00D81DC3">
      <w:pPr>
        <w:ind w:left="567"/>
        <w:rPr>
          <w:rFonts w:ascii="Arial" w:hAnsi="Arial" w:cs="Arial"/>
          <w:bCs/>
          <w:sz w:val="20"/>
          <w:szCs w:val="20"/>
        </w:rPr>
      </w:pPr>
      <w:r w:rsidRPr="00D81DC3">
        <w:rPr>
          <w:rFonts w:ascii="Arial" w:hAnsi="Arial" w:cs="Arial"/>
          <w:bCs/>
          <w:sz w:val="20"/>
          <w:szCs w:val="20"/>
        </w:rPr>
        <w:t>The preparation of the Company’s</w:t>
      </w:r>
      <w:r w:rsidR="005F1BBC">
        <w:rPr>
          <w:rFonts w:ascii="Arial" w:hAnsi="Arial" w:cs="Arial"/>
          <w:bCs/>
          <w:sz w:val="20"/>
          <w:szCs w:val="20"/>
        </w:rPr>
        <w:t xml:space="preserve"> </w:t>
      </w:r>
      <w:r w:rsidR="00163ED3">
        <w:rPr>
          <w:rFonts w:ascii="Arial" w:hAnsi="Arial" w:cs="Arial"/>
          <w:bCs/>
          <w:sz w:val="20"/>
          <w:szCs w:val="20"/>
        </w:rPr>
        <w:t>c</w:t>
      </w:r>
      <w:r w:rsidR="00A11BD9">
        <w:rPr>
          <w:rFonts w:ascii="Arial" w:hAnsi="Arial" w:cs="Arial"/>
          <w:bCs/>
          <w:sz w:val="20"/>
          <w:szCs w:val="20"/>
        </w:rPr>
        <w:t xml:space="preserve">ondensed </w:t>
      </w:r>
      <w:r w:rsidR="00163ED3">
        <w:rPr>
          <w:rFonts w:ascii="Arial" w:hAnsi="Arial" w:cs="Arial"/>
          <w:bCs/>
          <w:sz w:val="20"/>
          <w:szCs w:val="20"/>
        </w:rPr>
        <w:t>c</w:t>
      </w:r>
      <w:r w:rsidR="00A11BD9">
        <w:rPr>
          <w:rFonts w:ascii="Arial" w:hAnsi="Arial" w:cs="Arial"/>
          <w:bCs/>
          <w:sz w:val="20"/>
          <w:szCs w:val="20"/>
        </w:rPr>
        <w:t xml:space="preserve">onsolidated </w:t>
      </w:r>
      <w:r w:rsidR="00163ED3">
        <w:rPr>
          <w:rFonts w:ascii="Arial" w:hAnsi="Arial" w:cs="Arial"/>
          <w:bCs/>
          <w:sz w:val="20"/>
          <w:szCs w:val="20"/>
        </w:rPr>
        <w:t>i</w:t>
      </w:r>
      <w:r w:rsidR="00A11BD9">
        <w:rPr>
          <w:rFonts w:ascii="Arial" w:hAnsi="Arial" w:cs="Arial"/>
          <w:bCs/>
          <w:sz w:val="20"/>
          <w:szCs w:val="20"/>
        </w:rPr>
        <w:t>nterim</w:t>
      </w:r>
      <w:r w:rsidRPr="00D81DC3">
        <w:rPr>
          <w:rFonts w:ascii="Arial" w:hAnsi="Arial" w:cs="Arial"/>
          <w:bCs/>
          <w:sz w:val="20"/>
          <w:szCs w:val="20"/>
        </w:rPr>
        <w:t xml:space="preserve"> financial statements in conformity with IFRS requires management to make judgments, estimates and assumptions that affect the reported amounts of assets and liabilities and disclosures of contingent assets and liabilities at the date of the </w:t>
      </w:r>
      <w:r w:rsidR="00E83BD2">
        <w:rPr>
          <w:rFonts w:ascii="Arial" w:hAnsi="Arial" w:cs="Arial"/>
          <w:bCs/>
          <w:sz w:val="20"/>
          <w:szCs w:val="20"/>
        </w:rPr>
        <w:t>c</w:t>
      </w:r>
      <w:r w:rsidR="00A11BD9">
        <w:rPr>
          <w:rFonts w:ascii="Arial" w:hAnsi="Arial" w:cs="Arial"/>
          <w:bCs/>
          <w:sz w:val="20"/>
          <w:szCs w:val="20"/>
        </w:rPr>
        <w:t xml:space="preserve">ondensed </w:t>
      </w:r>
      <w:r w:rsidR="00A92EC6">
        <w:rPr>
          <w:rFonts w:ascii="Arial" w:hAnsi="Arial" w:cs="Arial"/>
          <w:bCs/>
          <w:sz w:val="20"/>
          <w:szCs w:val="20"/>
        </w:rPr>
        <w:t>c</w:t>
      </w:r>
      <w:r w:rsidR="00A11BD9">
        <w:rPr>
          <w:rFonts w:ascii="Arial" w:hAnsi="Arial" w:cs="Arial"/>
          <w:bCs/>
          <w:sz w:val="20"/>
          <w:szCs w:val="20"/>
        </w:rPr>
        <w:t xml:space="preserve">onsolidated </w:t>
      </w:r>
      <w:r w:rsidR="00A92EC6">
        <w:rPr>
          <w:rFonts w:ascii="Arial" w:hAnsi="Arial" w:cs="Arial"/>
          <w:bCs/>
          <w:sz w:val="20"/>
          <w:szCs w:val="20"/>
        </w:rPr>
        <w:t>i</w:t>
      </w:r>
      <w:r w:rsidR="00A11BD9">
        <w:rPr>
          <w:rFonts w:ascii="Arial" w:hAnsi="Arial" w:cs="Arial"/>
          <w:bCs/>
          <w:sz w:val="20"/>
          <w:szCs w:val="20"/>
        </w:rPr>
        <w:t>nterim</w:t>
      </w:r>
      <w:r w:rsidRPr="00D81DC3">
        <w:rPr>
          <w:rFonts w:ascii="Arial" w:hAnsi="Arial" w:cs="Arial"/>
          <w:bCs/>
          <w:sz w:val="20"/>
          <w:szCs w:val="20"/>
        </w:rPr>
        <w:t xml:space="preserve"> financial statements and the reported amounts of revenues and expenses during the reporting period. Estimates and assumptions are continually evaluated and are based on management’s experience and other factors, including expectations of future events that are believed to be reasonable under the circumstances. Actual results could differ from these estimates. </w:t>
      </w:r>
    </w:p>
    <w:p w14:paraId="3C8EC050" w14:textId="77777777" w:rsidR="00D81DC3" w:rsidRPr="00D81DC3" w:rsidRDefault="00D81DC3" w:rsidP="00D81DC3">
      <w:pPr>
        <w:ind w:left="567" w:hanging="567"/>
        <w:rPr>
          <w:rFonts w:ascii="Arial" w:hAnsi="Arial" w:cs="Arial"/>
          <w:bCs/>
          <w:sz w:val="20"/>
          <w:szCs w:val="20"/>
        </w:rPr>
      </w:pPr>
    </w:p>
    <w:p w14:paraId="4B749D7F" w14:textId="77777777" w:rsidR="00D81DC3" w:rsidRPr="00D81DC3" w:rsidRDefault="00D81DC3" w:rsidP="00D81DC3">
      <w:pPr>
        <w:ind w:left="567"/>
        <w:rPr>
          <w:rFonts w:ascii="Arial" w:hAnsi="Arial" w:cs="Arial"/>
          <w:bCs/>
          <w:sz w:val="20"/>
          <w:szCs w:val="20"/>
        </w:rPr>
      </w:pPr>
      <w:r w:rsidRPr="00D81DC3">
        <w:rPr>
          <w:rFonts w:ascii="Arial" w:hAnsi="Arial" w:cs="Arial"/>
          <w:bCs/>
          <w:sz w:val="20"/>
          <w:szCs w:val="20"/>
        </w:rPr>
        <w:t>Critical judgements exercised in applying accounting polices that have the most significant effect on the amounts recognized in the financial statements are as follows:</w:t>
      </w:r>
    </w:p>
    <w:p w14:paraId="53CAE235" w14:textId="77777777" w:rsidR="00D81DC3" w:rsidRDefault="00D81DC3" w:rsidP="00D81DC3">
      <w:pPr>
        <w:ind w:left="567" w:hanging="567"/>
        <w:rPr>
          <w:rFonts w:ascii="Arial" w:hAnsi="Arial" w:cs="Arial"/>
          <w:bCs/>
          <w:sz w:val="20"/>
          <w:szCs w:val="20"/>
        </w:rPr>
      </w:pPr>
    </w:p>
    <w:p w14:paraId="2954F9A0" w14:textId="77777777" w:rsidR="00D81DC3" w:rsidRPr="00D81DC3" w:rsidRDefault="00D81DC3" w:rsidP="00D81DC3">
      <w:pPr>
        <w:ind w:left="567"/>
        <w:rPr>
          <w:rFonts w:ascii="Arial" w:hAnsi="Arial" w:cs="Arial"/>
          <w:bCs/>
          <w:sz w:val="20"/>
          <w:szCs w:val="20"/>
          <w:u w:val="single"/>
        </w:rPr>
      </w:pPr>
      <w:r w:rsidRPr="00D81DC3">
        <w:rPr>
          <w:rFonts w:ascii="Arial" w:hAnsi="Arial" w:cs="Arial"/>
          <w:bCs/>
          <w:sz w:val="20"/>
          <w:szCs w:val="20"/>
          <w:u w:val="single"/>
        </w:rPr>
        <w:t>Determination of functional currency</w:t>
      </w:r>
    </w:p>
    <w:p w14:paraId="3BF937F5" w14:textId="77777777" w:rsidR="00D81DC3" w:rsidRPr="00D81DC3" w:rsidRDefault="00D81DC3" w:rsidP="00D81DC3">
      <w:pPr>
        <w:ind w:left="567" w:hanging="567"/>
        <w:rPr>
          <w:rFonts w:ascii="Arial" w:hAnsi="Arial" w:cs="Arial"/>
          <w:bCs/>
          <w:sz w:val="20"/>
          <w:szCs w:val="20"/>
        </w:rPr>
      </w:pPr>
    </w:p>
    <w:p w14:paraId="62E47AC2" w14:textId="77777777" w:rsidR="00D81DC3" w:rsidRPr="00D81DC3" w:rsidRDefault="00D81DC3" w:rsidP="00D81DC3">
      <w:pPr>
        <w:ind w:left="567"/>
        <w:rPr>
          <w:rFonts w:ascii="Arial" w:hAnsi="Arial" w:cs="Arial"/>
          <w:bCs/>
          <w:sz w:val="20"/>
          <w:szCs w:val="20"/>
        </w:rPr>
      </w:pPr>
      <w:r w:rsidRPr="00D81DC3">
        <w:rPr>
          <w:rFonts w:ascii="Arial" w:hAnsi="Arial" w:cs="Arial"/>
          <w:bCs/>
          <w:sz w:val="20"/>
          <w:szCs w:val="20"/>
        </w:rPr>
        <w:t xml:space="preserve">The Company determines the functional currency through an analysis of several indicators such as expenses and cash flow, financing activities, retention of operating cash flows, and frequency of transactions within the reporting entity. </w:t>
      </w:r>
    </w:p>
    <w:p w14:paraId="72464CA0" w14:textId="6690A269" w:rsidR="00D81DC3" w:rsidRDefault="00D81DC3" w:rsidP="00D81DC3">
      <w:pPr>
        <w:ind w:left="567" w:hanging="567"/>
        <w:rPr>
          <w:rFonts w:ascii="Arial" w:hAnsi="Arial" w:cs="Arial"/>
          <w:bCs/>
          <w:sz w:val="20"/>
          <w:szCs w:val="20"/>
          <w:u w:val="single"/>
          <w:lang w:val="en-US"/>
        </w:rPr>
      </w:pPr>
    </w:p>
    <w:p w14:paraId="55B38D0E" w14:textId="059A27A3" w:rsidR="006B492A" w:rsidRDefault="006B492A" w:rsidP="00D81DC3">
      <w:pPr>
        <w:ind w:left="567" w:hanging="567"/>
        <w:rPr>
          <w:rFonts w:ascii="Arial" w:hAnsi="Arial" w:cs="Arial"/>
          <w:bCs/>
          <w:sz w:val="20"/>
          <w:szCs w:val="20"/>
          <w:u w:val="single"/>
          <w:lang w:val="en-US"/>
        </w:rPr>
      </w:pPr>
    </w:p>
    <w:p w14:paraId="05EF495F" w14:textId="495F0E4A" w:rsidR="006B492A" w:rsidRDefault="006B492A" w:rsidP="00D81DC3">
      <w:pPr>
        <w:ind w:left="567" w:hanging="567"/>
        <w:rPr>
          <w:rFonts w:ascii="Arial" w:hAnsi="Arial" w:cs="Arial"/>
          <w:bCs/>
          <w:sz w:val="20"/>
          <w:szCs w:val="20"/>
          <w:u w:val="single"/>
          <w:lang w:val="en-US"/>
        </w:rPr>
      </w:pPr>
    </w:p>
    <w:p w14:paraId="5EB414E2" w14:textId="250C9805" w:rsidR="006B492A" w:rsidRDefault="006B492A" w:rsidP="00D81DC3">
      <w:pPr>
        <w:ind w:left="567" w:hanging="567"/>
        <w:rPr>
          <w:rFonts w:ascii="Arial" w:hAnsi="Arial" w:cs="Arial"/>
          <w:bCs/>
          <w:sz w:val="20"/>
          <w:szCs w:val="20"/>
          <w:u w:val="single"/>
          <w:lang w:val="en-US"/>
        </w:rPr>
      </w:pPr>
    </w:p>
    <w:p w14:paraId="6F30C883" w14:textId="28F9C978" w:rsidR="006B492A" w:rsidRDefault="006B492A" w:rsidP="00D81DC3">
      <w:pPr>
        <w:ind w:left="567" w:hanging="567"/>
        <w:rPr>
          <w:rFonts w:ascii="Arial" w:hAnsi="Arial" w:cs="Arial"/>
          <w:bCs/>
          <w:sz w:val="20"/>
          <w:szCs w:val="20"/>
          <w:u w:val="single"/>
          <w:lang w:val="en-US"/>
        </w:rPr>
      </w:pPr>
    </w:p>
    <w:p w14:paraId="69ACAEF3" w14:textId="77777777" w:rsidR="006B492A" w:rsidRPr="00521FE9" w:rsidRDefault="006B492A" w:rsidP="006B492A">
      <w:pPr>
        <w:numPr>
          <w:ilvl w:val="0"/>
          <w:numId w:val="5"/>
        </w:numPr>
        <w:ind w:left="567" w:hanging="567"/>
        <w:rPr>
          <w:rFonts w:ascii="Arial" w:hAnsi="Arial" w:cs="Arial"/>
          <w:b/>
          <w:bCs/>
          <w:sz w:val="20"/>
          <w:szCs w:val="20"/>
        </w:rPr>
      </w:pPr>
      <w:r w:rsidRPr="00D81DC3">
        <w:rPr>
          <w:rFonts w:ascii="Arial" w:hAnsi="Arial" w:cs="Arial"/>
          <w:b/>
          <w:bCs/>
          <w:sz w:val="20"/>
          <w:szCs w:val="20"/>
        </w:rPr>
        <w:t>BASIS OF PRESENTATION</w:t>
      </w:r>
      <w:r>
        <w:rPr>
          <w:rFonts w:ascii="Arial" w:hAnsi="Arial" w:cs="Arial"/>
          <w:b/>
          <w:bCs/>
          <w:sz w:val="20"/>
          <w:szCs w:val="20"/>
        </w:rPr>
        <w:t xml:space="preserve"> </w:t>
      </w:r>
      <w:r>
        <w:rPr>
          <w:rFonts w:ascii="Arial" w:hAnsi="Arial" w:cs="Arial"/>
          <w:sz w:val="20"/>
          <w:szCs w:val="20"/>
        </w:rPr>
        <w:t>(continued)</w:t>
      </w:r>
    </w:p>
    <w:p w14:paraId="11B2DAF6" w14:textId="3447A405" w:rsidR="006B492A" w:rsidRDefault="006B492A" w:rsidP="00D81DC3">
      <w:pPr>
        <w:ind w:left="567" w:hanging="567"/>
        <w:rPr>
          <w:rFonts w:ascii="Arial" w:hAnsi="Arial" w:cs="Arial"/>
          <w:bCs/>
          <w:sz w:val="20"/>
          <w:szCs w:val="20"/>
          <w:u w:val="single"/>
          <w:lang w:val="en-US"/>
        </w:rPr>
      </w:pPr>
    </w:p>
    <w:p w14:paraId="0DF68266" w14:textId="77777777" w:rsidR="00942912" w:rsidRPr="00C31A39" w:rsidRDefault="00942912" w:rsidP="00C31A39">
      <w:pPr>
        <w:ind w:left="567"/>
        <w:rPr>
          <w:rFonts w:ascii="Arial" w:hAnsi="Arial" w:cs="Arial"/>
          <w:sz w:val="20"/>
          <w:szCs w:val="20"/>
          <w:u w:val="single"/>
        </w:rPr>
      </w:pPr>
      <w:r w:rsidRPr="00C31A39">
        <w:rPr>
          <w:rFonts w:ascii="Arial" w:hAnsi="Arial" w:cs="Arial"/>
          <w:sz w:val="20"/>
          <w:szCs w:val="20"/>
          <w:u w:val="single"/>
        </w:rPr>
        <w:t>Business combinations</w:t>
      </w:r>
    </w:p>
    <w:p w14:paraId="44F548AA" w14:textId="77777777" w:rsidR="00942912" w:rsidRDefault="00942912" w:rsidP="00942912">
      <w:pPr>
        <w:ind w:left="567"/>
        <w:rPr>
          <w:rFonts w:ascii="Arial" w:hAnsi="Arial" w:cs="Arial"/>
          <w:bCs/>
          <w:sz w:val="20"/>
          <w:szCs w:val="20"/>
        </w:rPr>
      </w:pPr>
    </w:p>
    <w:p w14:paraId="10F171C9" w14:textId="77777777" w:rsidR="00942912" w:rsidRPr="00C31A39" w:rsidRDefault="00942912" w:rsidP="00C31A39">
      <w:pPr>
        <w:ind w:left="567"/>
        <w:rPr>
          <w:rFonts w:ascii="Arial" w:hAnsi="Arial" w:cs="Arial"/>
          <w:bCs/>
          <w:sz w:val="20"/>
          <w:szCs w:val="20"/>
        </w:rPr>
      </w:pPr>
      <w:r w:rsidRPr="00C31A39">
        <w:rPr>
          <w:rFonts w:ascii="Arial" w:hAnsi="Arial" w:cs="Arial"/>
          <w:bCs/>
          <w:sz w:val="20"/>
          <w:szCs w:val="20"/>
        </w:rPr>
        <w:t>Judgment is used in determining whether an acquisition is a business combination or an asset acquisition. In a business</w:t>
      </w:r>
      <w:r>
        <w:rPr>
          <w:rFonts w:ascii="Arial" w:hAnsi="Arial" w:cs="Arial"/>
          <w:bCs/>
          <w:sz w:val="20"/>
          <w:szCs w:val="20"/>
        </w:rPr>
        <w:t xml:space="preserve"> </w:t>
      </w:r>
      <w:r w:rsidRPr="00C31A39">
        <w:rPr>
          <w:rFonts w:ascii="Arial" w:hAnsi="Arial" w:cs="Arial"/>
          <w:bCs/>
          <w:sz w:val="20"/>
          <w:szCs w:val="20"/>
        </w:rPr>
        <w:t xml:space="preserve">combination, all identifiable assets, </w:t>
      </w:r>
      <w:proofErr w:type="gramStart"/>
      <w:r w:rsidRPr="00C31A39">
        <w:rPr>
          <w:rFonts w:ascii="Arial" w:hAnsi="Arial" w:cs="Arial"/>
          <w:bCs/>
          <w:sz w:val="20"/>
          <w:szCs w:val="20"/>
        </w:rPr>
        <w:t>liabilities</w:t>
      </w:r>
      <w:proofErr w:type="gramEnd"/>
      <w:r w:rsidRPr="00C31A39">
        <w:rPr>
          <w:rFonts w:ascii="Arial" w:hAnsi="Arial" w:cs="Arial"/>
          <w:bCs/>
          <w:sz w:val="20"/>
          <w:szCs w:val="20"/>
        </w:rPr>
        <w:t xml:space="preserve"> and contingent liabilities acquired are recorded at their fair values. In</w:t>
      </w:r>
      <w:r>
        <w:rPr>
          <w:rFonts w:ascii="Arial" w:hAnsi="Arial" w:cs="Arial"/>
          <w:bCs/>
          <w:sz w:val="20"/>
          <w:szCs w:val="20"/>
        </w:rPr>
        <w:t xml:space="preserve"> </w:t>
      </w:r>
      <w:r w:rsidRPr="00C31A39">
        <w:rPr>
          <w:rFonts w:ascii="Arial" w:hAnsi="Arial" w:cs="Arial"/>
          <w:bCs/>
          <w:sz w:val="20"/>
          <w:szCs w:val="20"/>
        </w:rPr>
        <w:t>determining the allocation of the purchase price in a business combination, including any acquisition related contingent</w:t>
      </w:r>
      <w:r>
        <w:rPr>
          <w:rFonts w:ascii="Arial" w:hAnsi="Arial" w:cs="Arial"/>
          <w:bCs/>
          <w:sz w:val="20"/>
          <w:szCs w:val="20"/>
        </w:rPr>
        <w:t xml:space="preserve"> </w:t>
      </w:r>
      <w:r w:rsidRPr="00C31A39">
        <w:rPr>
          <w:rFonts w:ascii="Arial" w:hAnsi="Arial" w:cs="Arial"/>
          <w:bCs/>
          <w:sz w:val="20"/>
          <w:szCs w:val="20"/>
        </w:rPr>
        <w:t>consideration, estimates including market based and appraisal values are used. The contingent consideration is measured</w:t>
      </w:r>
      <w:r>
        <w:rPr>
          <w:rFonts w:ascii="Arial" w:hAnsi="Arial" w:cs="Arial"/>
          <w:bCs/>
          <w:sz w:val="20"/>
          <w:szCs w:val="20"/>
        </w:rPr>
        <w:t xml:space="preserve"> </w:t>
      </w:r>
      <w:r w:rsidRPr="00C31A39">
        <w:rPr>
          <w:rFonts w:ascii="Arial" w:hAnsi="Arial" w:cs="Arial"/>
          <w:bCs/>
          <w:sz w:val="20"/>
          <w:szCs w:val="20"/>
        </w:rPr>
        <w:t>at its acquisition-date fair value and included as part of the consideration transferred in a business combination. Contingent</w:t>
      </w:r>
      <w:r>
        <w:rPr>
          <w:rFonts w:ascii="Arial" w:hAnsi="Arial" w:cs="Arial"/>
          <w:bCs/>
          <w:sz w:val="20"/>
          <w:szCs w:val="20"/>
        </w:rPr>
        <w:t xml:space="preserve"> </w:t>
      </w:r>
      <w:r w:rsidRPr="00C31A39">
        <w:rPr>
          <w:rFonts w:ascii="Arial" w:hAnsi="Arial" w:cs="Arial"/>
          <w:bCs/>
          <w:sz w:val="20"/>
          <w:szCs w:val="20"/>
        </w:rPr>
        <w:t>consideration that is classified as equity is not remeasured at subsequent reporting dates and its subsequent settlement is</w:t>
      </w:r>
      <w:r>
        <w:rPr>
          <w:rFonts w:ascii="Arial" w:hAnsi="Arial" w:cs="Arial"/>
          <w:bCs/>
          <w:sz w:val="20"/>
          <w:szCs w:val="20"/>
        </w:rPr>
        <w:t xml:space="preserve"> </w:t>
      </w:r>
      <w:r w:rsidRPr="00C31A39">
        <w:rPr>
          <w:rFonts w:ascii="Arial" w:hAnsi="Arial" w:cs="Arial"/>
          <w:bCs/>
          <w:sz w:val="20"/>
          <w:szCs w:val="20"/>
        </w:rPr>
        <w:t>accounted for within equity.</w:t>
      </w:r>
    </w:p>
    <w:p w14:paraId="19A6DF33" w14:textId="77777777" w:rsidR="00942912" w:rsidRDefault="00942912" w:rsidP="00D81DC3">
      <w:pPr>
        <w:ind w:left="567" w:hanging="567"/>
        <w:rPr>
          <w:rFonts w:ascii="Arial" w:hAnsi="Arial" w:cs="Arial"/>
          <w:bCs/>
          <w:sz w:val="20"/>
          <w:szCs w:val="20"/>
          <w:u w:val="single"/>
          <w:lang w:val="en-US"/>
        </w:rPr>
      </w:pPr>
    </w:p>
    <w:p w14:paraId="31CD5D54" w14:textId="77777777" w:rsidR="00D81DC3" w:rsidRPr="00D81DC3" w:rsidRDefault="00D81DC3" w:rsidP="00D81DC3">
      <w:pPr>
        <w:ind w:left="567"/>
        <w:rPr>
          <w:rFonts w:ascii="Arial" w:hAnsi="Arial" w:cs="Arial"/>
          <w:bCs/>
          <w:sz w:val="20"/>
          <w:szCs w:val="20"/>
          <w:u w:val="single"/>
          <w:lang w:val="en-US"/>
        </w:rPr>
      </w:pPr>
      <w:r w:rsidRPr="00D81DC3">
        <w:rPr>
          <w:rFonts w:ascii="Arial" w:hAnsi="Arial" w:cs="Arial"/>
          <w:bCs/>
          <w:sz w:val="20"/>
          <w:szCs w:val="20"/>
          <w:u w:val="single"/>
          <w:lang w:val="en-US"/>
        </w:rPr>
        <w:t xml:space="preserve">Going concern </w:t>
      </w:r>
    </w:p>
    <w:p w14:paraId="2E822307" w14:textId="77777777" w:rsidR="00D81DC3" w:rsidRPr="00D81DC3" w:rsidRDefault="00D81DC3" w:rsidP="00D81DC3">
      <w:pPr>
        <w:ind w:left="567" w:hanging="567"/>
        <w:rPr>
          <w:rFonts w:ascii="Arial" w:hAnsi="Arial" w:cs="Arial"/>
          <w:bCs/>
          <w:sz w:val="20"/>
          <w:szCs w:val="20"/>
          <w:u w:val="single"/>
          <w:lang w:val="en-US"/>
        </w:rPr>
      </w:pPr>
    </w:p>
    <w:p w14:paraId="51869045" w14:textId="77777777" w:rsidR="00D81DC3" w:rsidRDefault="00D81DC3" w:rsidP="00D81DC3">
      <w:pPr>
        <w:ind w:left="567"/>
        <w:rPr>
          <w:rFonts w:ascii="Arial" w:hAnsi="Arial" w:cs="Arial"/>
          <w:bCs/>
          <w:sz w:val="20"/>
          <w:szCs w:val="20"/>
          <w:lang w:val="en-US"/>
        </w:rPr>
      </w:pPr>
      <w:r w:rsidRPr="00D81DC3">
        <w:rPr>
          <w:rFonts w:ascii="Arial" w:hAnsi="Arial" w:cs="Arial"/>
          <w:bCs/>
          <w:sz w:val="20"/>
          <w:szCs w:val="20"/>
          <w:lang w:val="en-US"/>
        </w:rPr>
        <w:t xml:space="preserve">The preparation of the </w:t>
      </w:r>
      <w:r w:rsidR="00A65AE8">
        <w:rPr>
          <w:rFonts w:ascii="Arial" w:hAnsi="Arial" w:cs="Arial"/>
          <w:bCs/>
          <w:sz w:val="20"/>
          <w:szCs w:val="20"/>
          <w:lang w:val="en-US"/>
        </w:rPr>
        <w:t>c</w:t>
      </w:r>
      <w:r w:rsidR="00A11BD9">
        <w:rPr>
          <w:rFonts w:ascii="Arial" w:hAnsi="Arial" w:cs="Arial"/>
          <w:bCs/>
          <w:sz w:val="20"/>
          <w:szCs w:val="20"/>
          <w:lang w:val="en-US"/>
        </w:rPr>
        <w:t xml:space="preserve">ondensed </w:t>
      </w:r>
      <w:r w:rsidR="00A65AE8">
        <w:rPr>
          <w:rFonts w:ascii="Arial" w:hAnsi="Arial" w:cs="Arial"/>
          <w:bCs/>
          <w:sz w:val="20"/>
          <w:szCs w:val="20"/>
          <w:lang w:val="en-US"/>
        </w:rPr>
        <w:t>c</w:t>
      </w:r>
      <w:r w:rsidR="00A11BD9">
        <w:rPr>
          <w:rFonts w:ascii="Arial" w:hAnsi="Arial" w:cs="Arial"/>
          <w:bCs/>
          <w:sz w:val="20"/>
          <w:szCs w:val="20"/>
          <w:lang w:val="en-US"/>
        </w:rPr>
        <w:t xml:space="preserve">onsolidated </w:t>
      </w:r>
      <w:r w:rsidR="00A65AE8">
        <w:rPr>
          <w:rFonts w:ascii="Arial" w:hAnsi="Arial" w:cs="Arial"/>
          <w:bCs/>
          <w:sz w:val="20"/>
          <w:szCs w:val="20"/>
          <w:lang w:val="en-US"/>
        </w:rPr>
        <w:t>i</w:t>
      </w:r>
      <w:r w:rsidR="00A11BD9">
        <w:rPr>
          <w:rFonts w:ascii="Arial" w:hAnsi="Arial" w:cs="Arial"/>
          <w:bCs/>
          <w:sz w:val="20"/>
          <w:szCs w:val="20"/>
          <w:lang w:val="en-US"/>
        </w:rPr>
        <w:t>nterim</w:t>
      </w:r>
      <w:r w:rsidR="00877143">
        <w:rPr>
          <w:rFonts w:ascii="Arial" w:hAnsi="Arial" w:cs="Arial"/>
          <w:bCs/>
          <w:sz w:val="20"/>
          <w:szCs w:val="20"/>
          <w:lang w:val="en-US"/>
        </w:rPr>
        <w:t xml:space="preserve"> </w:t>
      </w:r>
      <w:r w:rsidRPr="00D81DC3">
        <w:rPr>
          <w:rFonts w:ascii="Arial" w:hAnsi="Arial" w:cs="Arial"/>
          <w:bCs/>
          <w:sz w:val="20"/>
          <w:szCs w:val="20"/>
          <w:lang w:val="en-US"/>
        </w:rPr>
        <w:t xml:space="preserve">financial statements requires management to make judgments regarding the going concern of the Company as previously discussed in note 1. </w:t>
      </w:r>
    </w:p>
    <w:p w14:paraId="2C911B93" w14:textId="77777777" w:rsidR="00282724" w:rsidRDefault="00282724" w:rsidP="00282724">
      <w:pPr>
        <w:ind w:left="567"/>
        <w:rPr>
          <w:rFonts w:ascii="Arial" w:hAnsi="Arial" w:cs="Arial"/>
          <w:bCs/>
          <w:sz w:val="20"/>
          <w:szCs w:val="20"/>
          <w:u w:val="single"/>
          <w:lang w:val="en-US"/>
        </w:rPr>
      </w:pPr>
    </w:p>
    <w:p w14:paraId="34780F67" w14:textId="520C6586" w:rsidR="00282724" w:rsidRPr="00D81DC3" w:rsidRDefault="00282724" w:rsidP="00282724">
      <w:pPr>
        <w:ind w:left="567"/>
        <w:rPr>
          <w:rFonts w:ascii="Arial" w:hAnsi="Arial" w:cs="Arial"/>
          <w:bCs/>
          <w:sz w:val="20"/>
          <w:szCs w:val="20"/>
          <w:u w:val="single"/>
          <w:lang w:val="en-US"/>
        </w:rPr>
      </w:pPr>
      <w:r>
        <w:rPr>
          <w:rFonts w:ascii="Arial" w:hAnsi="Arial" w:cs="Arial"/>
          <w:bCs/>
          <w:sz w:val="20"/>
          <w:szCs w:val="20"/>
          <w:u w:val="single"/>
          <w:lang w:val="en-US"/>
        </w:rPr>
        <w:t>Valuation of intangibles and goodwill</w:t>
      </w:r>
    </w:p>
    <w:p w14:paraId="7CF3AE64" w14:textId="77777777" w:rsidR="00282724" w:rsidRPr="00D81DC3" w:rsidRDefault="00282724" w:rsidP="00282724">
      <w:pPr>
        <w:ind w:left="567" w:hanging="567"/>
        <w:rPr>
          <w:rFonts w:ascii="Arial" w:hAnsi="Arial" w:cs="Arial"/>
          <w:bCs/>
          <w:sz w:val="20"/>
          <w:szCs w:val="20"/>
          <w:u w:val="single"/>
          <w:lang w:val="en-US"/>
        </w:rPr>
      </w:pPr>
    </w:p>
    <w:p w14:paraId="5CC0562B" w14:textId="5A711AD3" w:rsidR="00282724" w:rsidRDefault="00282724" w:rsidP="00D81DC3">
      <w:pPr>
        <w:ind w:left="567"/>
        <w:rPr>
          <w:rFonts w:ascii="Arial" w:hAnsi="Arial" w:cs="Arial"/>
          <w:bCs/>
          <w:sz w:val="20"/>
          <w:szCs w:val="20"/>
          <w:lang w:val="en-US"/>
        </w:rPr>
      </w:pPr>
      <w:r w:rsidRPr="00282724">
        <w:rPr>
          <w:rFonts w:ascii="Arial" w:hAnsi="Arial" w:cs="Arial"/>
          <w:bCs/>
          <w:sz w:val="20"/>
          <w:szCs w:val="20"/>
        </w:rPr>
        <w:t xml:space="preserve">The impairment test for CGUs to which goodwill is allocated based on the value in use of the CGU, determined in accordance with the expected cash flow approach. The calculation is based on assumptions used to estimate future cash flows, the cash flow growth </w:t>
      </w:r>
      <w:proofErr w:type="gramStart"/>
      <w:r w:rsidRPr="00282724">
        <w:rPr>
          <w:rFonts w:ascii="Arial" w:hAnsi="Arial" w:cs="Arial"/>
          <w:bCs/>
          <w:sz w:val="20"/>
          <w:szCs w:val="20"/>
        </w:rPr>
        <w:t>rate</w:t>
      </w:r>
      <w:proofErr w:type="gramEnd"/>
      <w:r w:rsidRPr="00282724">
        <w:rPr>
          <w:rFonts w:ascii="Arial" w:hAnsi="Arial" w:cs="Arial"/>
          <w:bCs/>
          <w:sz w:val="20"/>
          <w:szCs w:val="20"/>
        </w:rPr>
        <w:t xml:space="preserve"> and the discount rates. The Company exercises significant judgement in determining CGUs</w:t>
      </w:r>
      <w:r w:rsidR="008E5431">
        <w:rPr>
          <w:rFonts w:ascii="Arial" w:hAnsi="Arial" w:cs="Arial"/>
          <w:bCs/>
          <w:sz w:val="20"/>
          <w:szCs w:val="20"/>
        </w:rPr>
        <w:t>.</w:t>
      </w:r>
    </w:p>
    <w:p w14:paraId="154A19E9" w14:textId="48D1A272" w:rsidR="00282724" w:rsidRDefault="00282724" w:rsidP="00D81DC3">
      <w:pPr>
        <w:ind w:left="567"/>
        <w:rPr>
          <w:rFonts w:ascii="Arial" w:hAnsi="Arial" w:cs="Arial"/>
          <w:bCs/>
          <w:sz w:val="20"/>
          <w:szCs w:val="20"/>
          <w:lang w:val="en-US"/>
        </w:rPr>
      </w:pPr>
    </w:p>
    <w:p w14:paraId="2EB315F4" w14:textId="77777777" w:rsidR="00150FA2" w:rsidRPr="00D81DC3" w:rsidRDefault="00150FA2" w:rsidP="00150FA2">
      <w:pPr>
        <w:ind w:firstLine="567"/>
        <w:rPr>
          <w:rFonts w:ascii="Arial" w:hAnsi="Arial" w:cs="Arial"/>
          <w:bCs/>
          <w:iCs/>
          <w:sz w:val="20"/>
          <w:szCs w:val="20"/>
          <w:u w:val="single"/>
          <w:lang w:val="en-US"/>
        </w:rPr>
      </w:pPr>
      <w:r w:rsidRPr="00D81DC3">
        <w:rPr>
          <w:rFonts w:ascii="Arial" w:hAnsi="Arial" w:cs="Arial"/>
          <w:bCs/>
          <w:iCs/>
          <w:sz w:val="20"/>
          <w:szCs w:val="20"/>
          <w:u w:val="single"/>
          <w:lang w:val="en-US"/>
        </w:rPr>
        <w:t xml:space="preserve">Estimation </w:t>
      </w:r>
      <w:r>
        <w:rPr>
          <w:rFonts w:ascii="Arial" w:hAnsi="Arial" w:cs="Arial"/>
          <w:bCs/>
          <w:iCs/>
          <w:sz w:val="20"/>
          <w:szCs w:val="20"/>
          <w:u w:val="single"/>
          <w:lang w:val="en-US"/>
        </w:rPr>
        <w:t>u</w:t>
      </w:r>
      <w:r w:rsidRPr="00D81DC3">
        <w:rPr>
          <w:rFonts w:ascii="Arial" w:hAnsi="Arial" w:cs="Arial"/>
          <w:bCs/>
          <w:iCs/>
          <w:sz w:val="20"/>
          <w:szCs w:val="20"/>
          <w:u w:val="single"/>
          <w:lang w:val="en-US"/>
        </w:rPr>
        <w:t xml:space="preserve">ncertainty </w:t>
      </w:r>
    </w:p>
    <w:p w14:paraId="275E0B08" w14:textId="77777777" w:rsidR="00150FA2" w:rsidRPr="00D81DC3" w:rsidRDefault="00150FA2" w:rsidP="00150FA2">
      <w:pPr>
        <w:rPr>
          <w:rFonts w:ascii="Arial" w:hAnsi="Arial" w:cs="Arial"/>
          <w:b/>
          <w:bCs/>
          <w:iCs/>
          <w:sz w:val="20"/>
          <w:szCs w:val="20"/>
          <w:lang w:val="en-US"/>
        </w:rPr>
      </w:pPr>
    </w:p>
    <w:p w14:paraId="5DDA0021" w14:textId="77777777" w:rsidR="00150FA2" w:rsidRPr="00D81DC3" w:rsidRDefault="00150FA2" w:rsidP="00150FA2">
      <w:pPr>
        <w:ind w:left="567"/>
        <w:rPr>
          <w:rFonts w:ascii="Arial" w:hAnsi="Arial" w:cs="Arial"/>
          <w:bCs/>
          <w:sz w:val="20"/>
          <w:szCs w:val="20"/>
          <w:lang w:val="en-US"/>
        </w:rPr>
      </w:pPr>
      <w:r w:rsidRPr="00D81DC3">
        <w:rPr>
          <w:rFonts w:ascii="Arial" w:hAnsi="Arial" w:cs="Arial"/>
          <w:bCs/>
          <w:sz w:val="20"/>
          <w:szCs w:val="20"/>
          <w:lang w:val="en-US"/>
        </w:rPr>
        <w:t xml:space="preserve">The following are key assumptions concerning the future and other key sources of estimation uncertainty that could impact the carrying amount of assets and liabilities: </w:t>
      </w:r>
    </w:p>
    <w:p w14:paraId="1A89853A" w14:textId="77777777" w:rsidR="003C27E7" w:rsidRDefault="003C27E7" w:rsidP="00150FA2">
      <w:pPr>
        <w:ind w:firstLine="567"/>
        <w:rPr>
          <w:rFonts w:ascii="Arial" w:hAnsi="Arial" w:cs="Arial"/>
          <w:bCs/>
          <w:sz w:val="20"/>
          <w:szCs w:val="20"/>
          <w:u w:val="single"/>
          <w:lang w:val="en-US"/>
        </w:rPr>
      </w:pPr>
    </w:p>
    <w:p w14:paraId="28C8C6C8" w14:textId="77777777" w:rsidR="00150FA2" w:rsidRPr="00D81DC3" w:rsidRDefault="00150FA2" w:rsidP="00150FA2">
      <w:pPr>
        <w:ind w:firstLine="567"/>
        <w:rPr>
          <w:rFonts w:ascii="Arial" w:hAnsi="Arial" w:cs="Arial"/>
          <w:bCs/>
          <w:sz w:val="20"/>
          <w:szCs w:val="20"/>
          <w:u w:val="single"/>
          <w:lang w:val="en-US"/>
        </w:rPr>
      </w:pPr>
      <w:r w:rsidRPr="00D81DC3">
        <w:rPr>
          <w:rFonts w:ascii="Arial" w:hAnsi="Arial" w:cs="Arial"/>
          <w:bCs/>
          <w:sz w:val="20"/>
          <w:szCs w:val="20"/>
          <w:u w:val="single"/>
          <w:lang w:val="en-US"/>
        </w:rPr>
        <w:t>Income taxes</w:t>
      </w:r>
    </w:p>
    <w:p w14:paraId="397EAFC9" w14:textId="77777777" w:rsidR="00150FA2" w:rsidRPr="00D81DC3" w:rsidRDefault="00150FA2" w:rsidP="00150FA2">
      <w:pPr>
        <w:rPr>
          <w:rFonts w:ascii="Arial" w:hAnsi="Arial" w:cs="Arial"/>
          <w:b/>
          <w:bCs/>
          <w:sz w:val="20"/>
          <w:szCs w:val="20"/>
          <w:lang w:val="en-US"/>
        </w:rPr>
      </w:pPr>
    </w:p>
    <w:p w14:paraId="314F2672" w14:textId="1041E661" w:rsidR="00521FE9" w:rsidRPr="00521FE9" w:rsidRDefault="00150FA2" w:rsidP="00C31A39">
      <w:pPr>
        <w:ind w:left="567"/>
        <w:rPr>
          <w:rFonts w:ascii="Arial" w:hAnsi="Arial" w:cs="Arial"/>
          <w:b/>
          <w:bCs/>
          <w:sz w:val="20"/>
          <w:szCs w:val="20"/>
        </w:rPr>
      </w:pPr>
      <w:r w:rsidRPr="00D81DC3">
        <w:rPr>
          <w:rFonts w:ascii="Arial" w:hAnsi="Arial" w:cs="Arial"/>
          <w:bCs/>
          <w:sz w:val="20"/>
          <w:szCs w:val="20"/>
          <w:lang w:val="en-US"/>
        </w:rPr>
        <w:t xml:space="preserve">Provisions for income taxes are made using the best estimate of the amount expected to be paid based on a qualitative assessment of all relevant factors. The Company reviews the adequacy of these provisions at the end of the reporting period. However, it is possible that at some future date an additional liability could result from audits by taxing authorities. Where the </w:t>
      </w:r>
      <w:proofErr w:type="gramStart"/>
      <w:r w:rsidRPr="00D81DC3">
        <w:rPr>
          <w:rFonts w:ascii="Arial" w:hAnsi="Arial" w:cs="Arial"/>
          <w:bCs/>
          <w:sz w:val="20"/>
          <w:szCs w:val="20"/>
          <w:lang w:val="en-US"/>
        </w:rPr>
        <w:t>final outcome</w:t>
      </w:r>
      <w:proofErr w:type="gramEnd"/>
      <w:r w:rsidRPr="00D81DC3">
        <w:rPr>
          <w:rFonts w:ascii="Arial" w:hAnsi="Arial" w:cs="Arial"/>
          <w:bCs/>
          <w:sz w:val="20"/>
          <w:szCs w:val="20"/>
          <w:lang w:val="en-US"/>
        </w:rPr>
        <w:t xml:space="preserve"> of these tax-related matters is different from the amounts that were originally recorded, such differences will affect the tax provisions in the period in which such determination is made.</w:t>
      </w:r>
    </w:p>
    <w:p w14:paraId="4482A235" w14:textId="77777777" w:rsidR="00521FE9" w:rsidRPr="00D81DC3" w:rsidRDefault="00521FE9" w:rsidP="00521FE9">
      <w:pPr>
        <w:ind w:left="426"/>
        <w:rPr>
          <w:rFonts w:ascii="Arial" w:hAnsi="Arial" w:cs="Arial"/>
          <w:b/>
          <w:bCs/>
          <w:sz w:val="20"/>
          <w:szCs w:val="20"/>
        </w:rPr>
      </w:pPr>
    </w:p>
    <w:p w14:paraId="62959279" w14:textId="77777777" w:rsidR="008C1A4A" w:rsidRDefault="008C1A4A" w:rsidP="00C31A39">
      <w:pPr>
        <w:ind w:left="567"/>
        <w:rPr>
          <w:rFonts w:ascii="Arial" w:hAnsi="Arial" w:cs="Arial"/>
          <w:bCs/>
          <w:sz w:val="20"/>
          <w:szCs w:val="20"/>
          <w:u w:val="single"/>
          <w:lang w:val="en-US"/>
        </w:rPr>
      </w:pPr>
      <w:r w:rsidRPr="008C1A4A">
        <w:rPr>
          <w:rFonts w:ascii="Arial" w:hAnsi="Arial" w:cs="Arial"/>
          <w:bCs/>
          <w:sz w:val="20"/>
          <w:szCs w:val="20"/>
          <w:u w:val="single"/>
          <w:lang w:val="en-US"/>
        </w:rPr>
        <w:t>Share-based payments</w:t>
      </w:r>
    </w:p>
    <w:p w14:paraId="1F210B91" w14:textId="77777777" w:rsidR="008C1A4A" w:rsidRPr="00627002" w:rsidRDefault="008C1A4A" w:rsidP="00C31A39">
      <w:pPr>
        <w:ind w:left="567"/>
        <w:rPr>
          <w:rFonts w:ascii="Arial" w:hAnsi="Arial" w:cs="Arial"/>
          <w:bCs/>
          <w:sz w:val="20"/>
          <w:szCs w:val="20"/>
          <w:lang w:val="en-US"/>
        </w:rPr>
      </w:pPr>
    </w:p>
    <w:p w14:paraId="51C58AD3" w14:textId="77777777" w:rsidR="008C1A4A" w:rsidRPr="00627002" w:rsidRDefault="008C1A4A" w:rsidP="00C31A39">
      <w:pPr>
        <w:ind w:left="567"/>
        <w:rPr>
          <w:rFonts w:ascii="Arial" w:hAnsi="Arial" w:cs="Arial"/>
          <w:bCs/>
          <w:sz w:val="20"/>
          <w:szCs w:val="20"/>
          <w:lang w:val="en-US"/>
        </w:rPr>
      </w:pPr>
      <w:r w:rsidRPr="00627002">
        <w:rPr>
          <w:rFonts w:ascii="Arial" w:hAnsi="Arial" w:cs="Arial"/>
          <w:bCs/>
          <w:sz w:val="20"/>
          <w:szCs w:val="20"/>
          <w:lang w:val="en-US"/>
        </w:rPr>
        <w:t>Share-based payments and fair value adjustment to contingent liability are subject to estimation of the value of the award and warrants at the date of grant and measurement date using pricing models such as the Black-Scholes option valuation model. The option valuation model requires the input of highly subjective assumptions including the expected stock price volatility. Because the Company’s stock options have characteristics significantly different from those of traded options and because the subjective input assumptions can materially affect the calculated fair value, such value is subject to measurement uncertainty.</w:t>
      </w:r>
    </w:p>
    <w:p w14:paraId="226B8FA1" w14:textId="2C4CCE21" w:rsidR="00D81DC3" w:rsidRDefault="00D81DC3" w:rsidP="00D81DC3">
      <w:pPr>
        <w:rPr>
          <w:rFonts w:ascii="Arial" w:hAnsi="Arial" w:cs="Arial"/>
          <w:bCs/>
          <w:sz w:val="20"/>
          <w:szCs w:val="20"/>
          <w:lang w:val="en-US"/>
        </w:rPr>
      </w:pPr>
    </w:p>
    <w:p w14:paraId="198C91F2" w14:textId="43B62488" w:rsidR="006B492A" w:rsidRDefault="006B492A" w:rsidP="00D81DC3">
      <w:pPr>
        <w:rPr>
          <w:rFonts w:ascii="Arial" w:hAnsi="Arial" w:cs="Arial"/>
          <w:bCs/>
          <w:sz w:val="20"/>
          <w:szCs w:val="20"/>
          <w:lang w:val="en-US"/>
        </w:rPr>
      </w:pPr>
    </w:p>
    <w:p w14:paraId="3DA45E15" w14:textId="2695566D" w:rsidR="006B492A" w:rsidRDefault="006B492A" w:rsidP="00D81DC3">
      <w:pPr>
        <w:rPr>
          <w:rFonts w:ascii="Arial" w:hAnsi="Arial" w:cs="Arial"/>
          <w:bCs/>
          <w:sz w:val="20"/>
          <w:szCs w:val="20"/>
          <w:lang w:val="en-US"/>
        </w:rPr>
      </w:pPr>
    </w:p>
    <w:p w14:paraId="4A215ED3" w14:textId="201FA372" w:rsidR="006B492A" w:rsidRDefault="006B492A" w:rsidP="00D81DC3">
      <w:pPr>
        <w:rPr>
          <w:rFonts w:ascii="Arial" w:hAnsi="Arial" w:cs="Arial"/>
          <w:bCs/>
          <w:sz w:val="20"/>
          <w:szCs w:val="20"/>
          <w:lang w:val="en-US"/>
        </w:rPr>
      </w:pPr>
    </w:p>
    <w:p w14:paraId="78CE0641" w14:textId="09A06FA8" w:rsidR="006B492A" w:rsidRDefault="006B492A" w:rsidP="00D81DC3">
      <w:pPr>
        <w:rPr>
          <w:rFonts w:ascii="Arial" w:hAnsi="Arial" w:cs="Arial"/>
          <w:bCs/>
          <w:sz w:val="20"/>
          <w:szCs w:val="20"/>
          <w:lang w:val="en-US"/>
        </w:rPr>
      </w:pPr>
    </w:p>
    <w:p w14:paraId="6AE83BE6" w14:textId="797909B7" w:rsidR="006B492A" w:rsidRDefault="006B492A" w:rsidP="00D81DC3">
      <w:pPr>
        <w:rPr>
          <w:rFonts w:ascii="Arial" w:hAnsi="Arial" w:cs="Arial"/>
          <w:bCs/>
          <w:sz w:val="20"/>
          <w:szCs w:val="20"/>
          <w:lang w:val="en-US"/>
        </w:rPr>
      </w:pPr>
    </w:p>
    <w:p w14:paraId="3376BB6D" w14:textId="7AAAF940" w:rsidR="006B492A" w:rsidRDefault="006B492A" w:rsidP="00D81DC3">
      <w:pPr>
        <w:rPr>
          <w:rFonts w:ascii="Arial" w:hAnsi="Arial" w:cs="Arial"/>
          <w:bCs/>
          <w:sz w:val="20"/>
          <w:szCs w:val="20"/>
          <w:lang w:val="en-US"/>
        </w:rPr>
      </w:pPr>
    </w:p>
    <w:p w14:paraId="0C28F3F4" w14:textId="2BEC8053" w:rsidR="006B492A" w:rsidRDefault="006B492A" w:rsidP="00D81DC3">
      <w:pPr>
        <w:rPr>
          <w:rFonts w:ascii="Arial" w:hAnsi="Arial" w:cs="Arial"/>
          <w:bCs/>
          <w:sz w:val="20"/>
          <w:szCs w:val="20"/>
          <w:lang w:val="en-US"/>
        </w:rPr>
      </w:pPr>
    </w:p>
    <w:p w14:paraId="2B03C319" w14:textId="706B44B6" w:rsidR="006B492A" w:rsidRDefault="006B492A" w:rsidP="00D81DC3">
      <w:pPr>
        <w:rPr>
          <w:rFonts w:ascii="Arial" w:hAnsi="Arial" w:cs="Arial"/>
          <w:bCs/>
          <w:sz w:val="20"/>
          <w:szCs w:val="20"/>
          <w:lang w:val="en-US"/>
        </w:rPr>
      </w:pPr>
    </w:p>
    <w:p w14:paraId="5E380003" w14:textId="2C6F1EFE" w:rsidR="006B492A" w:rsidRDefault="006B492A" w:rsidP="00D81DC3">
      <w:pPr>
        <w:rPr>
          <w:rFonts w:ascii="Arial" w:hAnsi="Arial" w:cs="Arial"/>
          <w:bCs/>
          <w:sz w:val="20"/>
          <w:szCs w:val="20"/>
          <w:lang w:val="en-US"/>
        </w:rPr>
      </w:pPr>
    </w:p>
    <w:p w14:paraId="3E04BDFB" w14:textId="5E60C91E" w:rsidR="006B492A" w:rsidRDefault="006B492A" w:rsidP="00D81DC3">
      <w:pPr>
        <w:rPr>
          <w:rFonts w:ascii="Arial" w:hAnsi="Arial" w:cs="Arial"/>
          <w:bCs/>
          <w:sz w:val="20"/>
          <w:szCs w:val="20"/>
          <w:lang w:val="en-US"/>
        </w:rPr>
      </w:pPr>
    </w:p>
    <w:p w14:paraId="42106109" w14:textId="77777777" w:rsidR="006B492A" w:rsidRDefault="006B492A" w:rsidP="00D81DC3">
      <w:pPr>
        <w:rPr>
          <w:rFonts w:ascii="Arial" w:hAnsi="Arial" w:cs="Arial"/>
          <w:bCs/>
          <w:sz w:val="20"/>
          <w:szCs w:val="20"/>
          <w:lang w:val="en-US"/>
        </w:rPr>
      </w:pPr>
    </w:p>
    <w:p w14:paraId="1371D833" w14:textId="77777777" w:rsidR="001A559B" w:rsidRPr="001A559B" w:rsidRDefault="00835ADA" w:rsidP="00C31A39">
      <w:pPr>
        <w:pStyle w:val="ListParagraph"/>
        <w:numPr>
          <w:ilvl w:val="0"/>
          <w:numId w:val="2"/>
        </w:numPr>
        <w:ind w:left="567" w:hanging="567"/>
        <w:rPr>
          <w:rFonts w:ascii="Arial" w:hAnsi="Arial" w:cs="Arial"/>
          <w:sz w:val="20"/>
          <w:szCs w:val="20"/>
        </w:rPr>
      </w:pPr>
      <w:r>
        <w:rPr>
          <w:rFonts w:ascii="Arial" w:hAnsi="Arial" w:cs="Arial"/>
          <w:b/>
          <w:bCs/>
          <w:sz w:val="20"/>
          <w:szCs w:val="20"/>
        </w:rPr>
        <w:t xml:space="preserve">REVERSE </w:t>
      </w:r>
      <w:r w:rsidR="001A559B">
        <w:rPr>
          <w:rFonts w:ascii="Arial" w:hAnsi="Arial" w:cs="Arial"/>
          <w:b/>
          <w:bCs/>
          <w:sz w:val="20"/>
          <w:szCs w:val="20"/>
        </w:rPr>
        <w:t>ACQUISITION</w:t>
      </w:r>
    </w:p>
    <w:p w14:paraId="117FE5A9" w14:textId="77777777" w:rsidR="001A559B" w:rsidRDefault="001A559B" w:rsidP="001A559B">
      <w:pPr>
        <w:pStyle w:val="ListParagraph"/>
        <w:ind w:left="360"/>
        <w:rPr>
          <w:rFonts w:ascii="Arial" w:hAnsi="Arial" w:cs="Arial"/>
          <w:b/>
          <w:bCs/>
          <w:sz w:val="20"/>
          <w:szCs w:val="20"/>
        </w:rPr>
      </w:pPr>
    </w:p>
    <w:p w14:paraId="729A42A8" w14:textId="45A7FD9C" w:rsidR="00835ADA" w:rsidRPr="00C31A39" w:rsidRDefault="00835ADA" w:rsidP="00C31A39">
      <w:pPr>
        <w:rPr>
          <w:rFonts w:ascii="Arial" w:hAnsi="Arial" w:cs="Arial"/>
          <w:sz w:val="20"/>
          <w:szCs w:val="20"/>
        </w:rPr>
      </w:pPr>
      <w:r w:rsidRPr="00C31A39">
        <w:rPr>
          <w:rFonts w:ascii="Arial" w:hAnsi="Arial" w:cs="Arial"/>
          <w:sz w:val="20"/>
          <w:szCs w:val="20"/>
        </w:rPr>
        <w:t>On November 12, 2020, the Company completed a</w:t>
      </w:r>
      <w:r w:rsidR="00E6714E" w:rsidRPr="00C31A39">
        <w:rPr>
          <w:rFonts w:ascii="Arial" w:hAnsi="Arial" w:cs="Arial"/>
          <w:sz w:val="20"/>
          <w:szCs w:val="20"/>
        </w:rPr>
        <w:t xml:space="preserve"> reverse acquisit</w:t>
      </w:r>
      <w:r w:rsidR="005F4544" w:rsidRPr="00C31A39">
        <w:rPr>
          <w:rFonts w:ascii="Arial" w:hAnsi="Arial" w:cs="Arial"/>
          <w:sz w:val="20"/>
          <w:szCs w:val="20"/>
        </w:rPr>
        <w:t>i</w:t>
      </w:r>
      <w:r w:rsidR="00E6714E" w:rsidRPr="00C31A39">
        <w:rPr>
          <w:rFonts w:ascii="Arial" w:hAnsi="Arial" w:cs="Arial"/>
          <w:sz w:val="20"/>
          <w:szCs w:val="20"/>
        </w:rPr>
        <w:t>on</w:t>
      </w:r>
      <w:r w:rsidRPr="00C31A39">
        <w:rPr>
          <w:rFonts w:ascii="Arial" w:hAnsi="Arial" w:cs="Arial"/>
          <w:sz w:val="20"/>
          <w:szCs w:val="20"/>
        </w:rPr>
        <w:t xml:space="preserve"> transaction, whereby </w:t>
      </w:r>
      <w:r w:rsidR="00E83BD2">
        <w:rPr>
          <w:rFonts w:ascii="Arial" w:hAnsi="Arial" w:cs="Arial"/>
          <w:sz w:val="20"/>
          <w:szCs w:val="20"/>
        </w:rPr>
        <w:t xml:space="preserve">the Company </w:t>
      </w:r>
      <w:r w:rsidRPr="00C31A39">
        <w:rPr>
          <w:rFonts w:ascii="Arial" w:hAnsi="Arial" w:cs="Arial"/>
          <w:sz w:val="20"/>
          <w:szCs w:val="20"/>
        </w:rPr>
        <w:t xml:space="preserve">acquired </w:t>
      </w:r>
      <w:r w:rsidR="005F4544" w:rsidRPr="00C31A39">
        <w:rPr>
          <w:rFonts w:ascii="Arial" w:hAnsi="Arial" w:cs="Arial"/>
          <w:sz w:val="20"/>
          <w:szCs w:val="20"/>
        </w:rPr>
        <w:t>all</w:t>
      </w:r>
      <w:r w:rsidRPr="00C31A39">
        <w:rPr>
          <w:rFonts w:ascii="Arial" w:hAnsi="Arial" w:cs="Arial"/>
          <w:sz w:val="20"/>
          <w:szCs w:val="20"/>
        </w:rPr>
        <w:t xml:space="preserve"> the issued and outstanding shares of Delic</w:t>
      </w:r>
      <w:r w:rsidR="00E83BD2">
        <w:rPr>
          <w:rFonts w:ascii="Arial" w:hAnsi="Arial" w:cs="Arial"/>
          <w:sz w:val="20"/>
          <w:szCs w:val="20"/>
        </w:rPr>
        <w:t xml:space="preserve"> Corp. (“Delic”)</w:t>
      </w:r>
      <w:r w:rsidRPr="00C31A39">
        <w:rPr>
          <w:rFonts w:ascii="Arial" w:hAnsi="Arial" w:cs="Arial"/>
          <w:sz w:val="20"/>
          <w:szCs w:val="20"/>
        </w:rPr>
        <w:t xml:space="preserve"> and Eception</w:t>
      </w:r>
      <w:r w:rsidR="00637E3C" w:rsidRPr="00C31A39">
        <w:rPr>
          <w:rFonts w:ascii="Arial" w:hAnsi="Arial" w:cs="Arial"/>
          <w:sz w:val="20"/>
          <w:szCs w:val="20"/>
        </w:rPr>
        <w:t xml:space="preserve"> Ventures Ltd. (“Eception”)</w:t>
      </w:r>
      <w:r w:rsidRPr="00C31A39">
        <w:rPr>
          <w:rFonts w:ascii="Arial" w:hAnsi="Arial" w:cs="Arial"/>
          <w:sz w:val="20"/>
          <w:szCs w:val="20"/>
        </w:rPr>
        <w:t xml:space="preserve">.  </w:t>
      </w:r>
    </w:p>
    <w:p w14:paraId="22FC2510" w14:textId="77777777" w:rsidR="00835ADA" w:rsidRPr="00835ADA" w:rsidRDefault="00835ADA" w:rsidP="0008105B">
      <w:pPr>
        <w:ind w:left="360"/>
        <w:rPr>
          <w:rFonts w:ascii="Arial" w:hAnsi="Arial" w:cs="Arial"/>
          <w:sz w:val="20"/>
          <w:szCs w:val="20"/>
        </w:rPr>
      </w:pPr>
    </w:p>
    <w:p w14:paraId="3E269E5F" w14:textId="5F9C9737" w:rsidR="00F77020" w:rsidRDefault="00F77020" w:rsidP="00C31A39">
      <w:pPr>
        <w:rPr>
          <w:rFonts w:ascii="Arial" w:hAnsi="Arial" w:cs="Arial"/>
          <w:sz w:val="20"/>
          <w:szCs w:val="20"/>
        </w:rPr>
      </w:pPr>
      <w:r>
        <w:rPr>
          <w:rFonts w:ascii="Arial" w:hAnsi="Arial" w:cs="Arial"/>
          <w:sz w:val="20"/>
          <w:szCs w:val="20"/>
        </w:rPr>
        <w:t xml:space="preserve">Prior to the Transaction, </w:t>
      </w:r>
      <w:r w:rsidR="00E83BD2">
        <w:rPr>
          <w:rFonts w:ascii="Arial" w:hAnsi="Arial" w:cs="Arial"/>
          <w:sz w:val="20"/>
          <w:szCs w:val="20"/>
        </w:rPr>
        <w:t>the Company</w:t>
      </w:r>
      <w:r w:rsidR="00501DE6">
        <w:rPr>
          <w:rFonts w:ascii="Arial" w:hAnsi="Arial" w:cs="Arial"/>
          <w:sz w:val="20"/>
          <w:szCs w:val="20"/>
        </w:rPr>
        <w:t xml:space="preserve">’s authorized share capital </w:t>
      </w:r>
      <w:r w:rsidR="00447ADD">
        <w:rPr>
          <w:rFonts w:ascii="Arial" w:hAnsi="Arial" w:cs="Arial"/>
          <w:sz w:val="20"/>
          <w:szCs w:val="20"/>
        </w:rPr>
        <w:t xml:space="preserve">changed to </w:t>
      </w:r>
      <w:r w:rsidR="00A20534">
        <w:rPr>
          <w:rFonts w:ascii="Arial" w:hAnsi="Arial" w:cs="Arial"/>
          <w:sz w:val="20"/>
          <w:szCs w:val="20"/>
        </w:rPr>
        <w:t xml:space="preserve">an </w:t>
      </w:r>
      <w:r w:rsidR="00447ADD">
        <w:rPr>
          <w:rFonts w:ascii="Arial" w:hAnsi="Arial" w:cs="Arial"/>
          <w:sz w:val="20"/>
          <w:szCs w:val="20"/>
        </w:rPr>
        <w:t xml:space="preserve">unlimited number of </w:t>
      </w:r>
      <w:r w:rsidR="00E83BD2">
        <w:rPr>
          <w:rFonts w:ascii="Arial" w:hAnsi="Arial" w:cs="Arial"/>
          <w:sz w:val="20"/>
          <w:szCs w:val="20"/>
        </w:rPr>
        <w:t>s</w:t>
      </w:r>
      <w:r w:rsidR="00447ADD">
        <w:rPr>
          <w:rFonts w:ascii="Arial" w:hAnsi="Arial" w:cs="Arial"/>
          <w:sz w:val="20"/>
          <w:szCs w:val="20"/>
        </w:rPr>
        <w:t>ubordinate</w:t>
      </w:r>
      <w:r w:rsidR="00E83BD2">
        <w:rPr>
          <w:rFonts w:ascii="Arial" w:hAnsi="Arial" w:cs="Arial"/>
          <w:sz w:val="20"/>
          <w:szCs w:val="20"/>
        </w:rPr>
        <w:t>d</w:t>
      </w:r>
      <w:r w:rsidR="00447ADD">
        <w:rPr>
          <w:rFonts w:ascii="Arial" w:hAnsi="Arial" w:cs="Arial"/>
          <w:sz w:val="20"/>
          <w:szCs w:val="20"/>
        </w:rPr>
        <w:t xml:space="preserve"> voting </w:t>
      </w:r>
      <w:r w:rsidR="00E83BD2">
        <w:rPr>
          <w:rFonts w:ascii="Arial" w:hAnsi="Arial" w:cs="Arial"/>
          <w:sz w:val="20"/>
          <w:szCs w:val="20"/>
        </w:rPr>
        <w:t xml:space="preserve">common </w:t>
      </w:r>
      <w:r w:rsidR="00447ADD">
        <w:rPr>
          <w:rFonts w:ascii="Arial" w:hAnsi="Arial" w:cs="Arial"/>
          <w:sz w:val="20"/>
          <w:szCs w:val="20"/>
        </w:rPr>
        <w:t xml:space="preserve">shares (“SVS”) and </w:t>
      </w:r>
      <w:r w:rsidR="00A20534">
        <w:rPr>
          <w:rFonts w:ascii="Arial" w:hAnsi="Arial" w:cs="Arial"/>
          <w:sz w:val="20"/>
          <w:szCs w:val="20"/>
        </w:rPr>
        <w:t xml:space="preserve">an unlimited number of </w:t>
      </w:r>
      <w:r w:rsidR="00E83BD2">
        <w:rPr>
          <w:rFonts w:ascii="Arial" w:hAnsi="Arial" w:cs="Arial"/>
          <w:sz w:val="20"/>
          <w:szCs w:val="20"/>
        </w:rPr>
        <w:t>m</w:t>
      </w:r>
      <w:r w:rsidR="00A20534">
        <w:rPr>
          <w:rFonts w:ascii="Arial" w:hAnsi="Arial" w:cs="Arial"/>
          <w:sz w:val="20"/>
          <w:szCs w:val="20"/>
        </w:rPr>
        <w:t>ultip</w:t>
      </w:r>
      <w:r w:rsidR="00E83BD2">
        <w:rPr>
          <w:rFonts w:ascii="Arial" w:hAnsi="Arial" w:cs="Arial"/>
          <w:sz w:val="20"/>
          <w:szCs w:val="20"/>
        </w:rPr>
        <w:t>l</w:t>
      </w:r>
      <w:r w:rsidR="00A20534">
        <w:rPr>
          <w:rFonts w:ascii="Arial" w:hAnsi="Arial" w:cs="Arial"/>
          <w:sz w:val="20"/>
          <w:szCs w:val="20"/>
        </w:rPr>
        <w:t>e voting</w:t>
      </w:r>
      <w:r w:rsidR="00E83BD2">
        <w:rPr>
          <w:rFonts w:ascii="Arial" w:hAnsi="Arial" w:cs="Arial"/>
          <w:sz w:val="20"/>
          <w:szCs w:val="20"/>
        </w:rPr>
        <w:t xml:space="preserve"> common</w:t>
      </w:r>
      <w:r w:rsidR="00A20534">
        <w:rPr>
          <w:rFonts w:ascii="Arial" w:hAnsi="Arial" w:cs="Arial"/>
          <w:sz w:val="20"/>
          <w:szCs w:val="20"/>
        </w:rPr>
        <w:t xml:space="preserve"> shares (“MVS”).</w:t>
      </w:r>
      <w:r w:rsidR="00DD1458">
        <w:rPr>
          <w:rFonts w:ascii="Arial" w:hAnsi="Arial" w:cs="Arial"/>
          <w:sz w:val="20"/>
          <w:szCs w:val="20"/>
        </w:rPr>
        <w:t xml:space="preserve">  The nature of SVS and MVS </w:t>
      </w:r>
      <w:r w:rsidR="005B6918">
        <w:rPr>
          <w:rFonts w:ascii="Arial" w:hAnsi="Arial" w:cs="Arial"/>
          <w:sz w:val="20"/>
          <w:szCs w:val="20"/>
        </w:rPr>
        <w:t>is</w:t>
      </w:r>
      <w:r w:rsidR="00DD1458">
        <w:rPr>
          <w:rFonts w:ascii="Arial" w:hAnsi="Arial" w:cs="Arial"/>
          <w:sz w:val="20"/>
          <w:szCs w:val="20"/>
        </w:rPr>
        <w:t xml:space="preserve"> the same, except that each SVS has one voting right, whereas each MVS has one hundred voting rights. </w:t>
      </w:r>
      <w:r w:rsidR="00002E91">
        <w:rPr>
          <w:rFonts w:ascii="Arial" w:hAnsi="Arial" w:cs="Arial"/>
          <w:sz w:val="20"/>
          <w:szCs w:val="20"/>
        </w:rPr>
        <w:t xml:space="preserve">  Each </w:t>
      </w:r>
      <w:r w:rsidR="0016603A">
        <w:rPr>
          <w:rFonts w:ascii="Arial" w:hAnsi="Arial" w:cs="Arial"/>
          <w:sz w:val="20"/>
          <w:szCs w:val="20"/>
        </w:rPr>
        <w:t xml:space="preserve">common share held by the shareholders of </w:t>
      </w:r>
      <w:r w:rsidR="00E83BD2">
        <w:rPr>
          <w:rFonts w:ascii="Arial" w:hAnsi="Arial" w:cs="Arial"/>
          <w:sz w:val="20"/>
          <w:szCs w:val="20"/>
        </w:rPr>
        <w:t>the Company</w:t>
      </w:r>
      <w:r w:rsidR="005B6918">
        <w:rPr>
          <w:rFonts w:ascii="Arial" w:hAnsi="Arial" w:cs="Arial"/>
          <w:sz w:val="20"/>
          <w:szCs w:val="20"/>
        </w:rPr>
        <w:t xml:space="preserve"> prior to the Transaction</w:t>
      </w:r>
      <w:r w:rsidR="0016603A">
        <w:rPr>
          <w:rFonts w:ascii="Arial" w:hAnsi="Arial" w:cs="Arial"/>
          <w:sz w:val="20"/>
          <w:szCs w:val="20"/>
        </w:rPr>
        <w:t xml:space="preserve"> was reclassified into one SVS.  </w:t>
      </w:r>
      <w:r w:rsidR="00E83BD2">
        <w:rPr>
          <w:rFonts w:ascii="Arial" w:hAnsi="Arial" w:cs="Arial"/>
          <w:sz w:val="20"/>
          <w:szCs w:val="20"/>
        </w:rPr>
        <w:t>The Company</w:t>
      </w:r>
      <w:r w:rsidR="000B1ED1">
        <w:rPr>
          <w:rFonts w:ascii="Arial" w:hAnsi="Arial" w:cs="Arial"/>
          <w:sz w:val="20"/>
          <w:szCs w:val="20"/>
        </w:rPr>
        <w:t xml:space="preserve"> </w:t>
      </w:r>
      <w:r w:rsidR="0016603A">
        <w:rPr>
          <w:rFonts w:ascii="Arial" w:hAnsi="Arial" w:cs="Arial"/>
          <w:sz w:val="20"/>
          <w:szCs w:val="20"/>
        </w:rPr>
        <w:t xml:space="preserve">also </w:t>
      </w:r>
      <w:r w:rsidR="000B1ED1">
        <w:rPr>
          <w:rFonts w:ascii="Arial" w:hAnsi="Arial" w:cs="Arial"/>
          <w:sz w:val="20"/>
          <w:szCs w:val="20"/>
        </w:rPr>
        <w:t xml:space="preserve">restructured its </w:t>
      </w:r>
      <w:r w:rsidR="00F64B10">
        <w:rPr>
          <w:rFonts w:ascii="Arial" w:hAnsi="Arial" w:cs="Arial"/>
          <w:sz w:val="20"/>
          <w:szCs w:val="20"/>
        </w:rPr>
        <w:t xml:space="preserve">debt and equity securities so that all the convertible loans were converted to </w:t>
      </w:r>
      <w:r w:rsidR="0016603A">
        <w:rPr>
          <w:rFonts w:ascii="Arial" w:hAnsi="Arial" w:cs="Arial"/>
          <w:sz w:val="20"/>
          <w:szCs w:val="20"/>
        </w:rPr>
        <w:t>SVS</w:t>
      </w:r>
      <w:r w:rsidR="00F64B10">
        <w:rPr>
          <w:rFonts w:ascii="Arial" w:hAnsi="Arial" w:cs="Arial"/>
          <w:sz w:val="20"/>
          <w:szCs w:val="20"/>
        </w:rPr>
        <w:t>.</w:t>
      </w:r>
    </w:p>
    <w:p w14:paraId="6A9667E5" w14:textId="77777777" w:rsidR="000B1ED1" w:rsidRDefault="000B1ED1" w:rsidP="0008105B">
      <w:pPr>
        <w:ind w:left="360"/>
        <w:rPr>
          <w:rFonts w:ascii="Arial" w:hAnsi="Arial" w:cs="Arial"/>
          <w:sz w:val="20"/>
          <w:szCs w:val="20"/>
        </w:rPr>
      </w:pPr>
    </w:p>
    <w:p w14:paraId="271C9DAD" w14:textId="33CDD85A" w:rsidR="00835ADA" w:rsidRPr="00335F15" w:rsidRDefault="00835ADA" w:rsidP="00C31A39">
      <w:pPr>
        <w:rPr>
          <w:rFonts w:ascii="Arial" w:hAnsi="Arial" w:cs="Arial"/>
          <w:sz w:val="20"/>
          <w:szCs w:val="20"/>
        </w:rPr>
      </w:pPr>
      <w:r w:rsidRPr="00835ADA">
        <w:rPr>
          <w:rFonts w:ascii="Arial" w:hAnsi="Arial" w:cs="Arial"/>
          <w:sz w:val="20"/>
          <w:szCs w:val="20"/>
        </w:rPr>
        <w:t xml:space="preserve">Pursuant to the </w:t>
      </w:r>
      <w:r w:rsidR="005F4544">
        <w:rPr>
          <w:rFonts w:ascii="Arial" w:hAnsi="Arial" w:cs="Arial"/>
          <w:sz w:val="20"/>
          <w:szCs w:val="20"/>
        </w:rPr>
        <w:t>Transaction</w:t>
      </w:r>
      <w:r w:rsidRPr="00835ADA">
        <w:rPr>
          <w:rFonts w:ascii="Arial" w:hAnsi="Arial" w:cs="Arial"/>
          <w:sz w:val="20"/>
          <w:szCs w:val="20"/>
        </w:rPr>
        <w:t xml:space="preserve">, the Company issued an aggregate of </w:t>
      </w:r>
      <w:r w:rsidR="00157992">
        <w:rPr>
          <w:rFonts w:ascii="Arial" w:hAnsi="Arial" w:cs="Arial"/>
          <w:sz w:val="20"/>
          <w:szCs w:val="20"/>
        </w:rPr>
        <w:t>14,587,700 S</w:t>
      </w:r>
      <w:r w:rsidR="00B0608E">
        <w:rPr>
          <w:rFonts w:ascii="Arial" w:hAnsi="Arial" w:cs="Arial"/>
          <w:sz w:val="20"/>
          <w:szCs w:val="20"/>
        </w:rPr>
        <w:t>VS</w:t>
      </w:r>
      <w:r w:rsidRPr="00835ADA">
        <w:rPr>
          <w:rFonts w:ascii="Arial" w:hAnsi="Arial" w:cs="Arial"/>
          <w:sz w:val="20"/>
          <w:szCs w:val="20"/>
        </w:rPr>
        <w:t xml:space="preserve"> </w:t>
      </w:r>
      <w:r w:rsidR="00157992">
        <w:rPr>
          <w:rFonts w:ascii="Arial" w:hAnsi="Arial" w:cs="Arial"/>
          <w:sz w:val="20"/>
          <w:szCs w:val="20"/>
        </w:rPr>
        <w:t>and 17</w:t>
      </w:r>
      <w:r w:rsidR="00F72E39">
        <w:rPr>
          <w:rFonts w:ascii="Arial" w:hAnsi="Arial" w:cs="Arial"/>
          <w:sz w:val="20"/>
          <w:szCs w:val="20"/>
        </w:rPr>
        <w:t>0,783 M</w:t>
      </w:r>
      <w:r w:rsidR="00B0608E">
        <w:rPr>
          <w:rFonts w:ascii="Arial" w:hAnsi="Arial" w:cs="Arial"/>
          <w:sz w:val="20"/>
          <w:szCs w:val="20"/>
        </w:rPr>
        <w:t>VS</w:t>
      </w:r>
      <w:r w:rsidR="00F72E39">
        <w:rPr>
          <w:rFonts w:ascii="Arial" w:hAnsi="Arial" w:cs="Arial"/>
          <w:sz w:val="20"/>
          <w:szCs w:val="20"/>
        </w:rPr>
        <w:t xml:space="preserve"> </w:t>
      </w:r>
      <w:r w:rsidRPr="00835ADA">
        <w:rPr>
          <w:rFonts w:ascii="Arial" w:hAnsi="Arial" w:cs="Arial"/>
          <w:sz w:val="20"/>
          <w:szCs w:val="20"/>
        </w:rPr>
        <w:t xml:space="preserve">in exchange for </w:t>
      </w:r>
      <w:r w:rsidR="008F2B4E" w:rsidRPr="00835ADA">
        <w:rPr>
          <w:rFonts w:ascii="Arial" w:hAnsi="Arial" w:cs="Arial"/>
          <w:sz w:val="20"/>
          <w:szCs w:val="20"/>
        </w:rPr>
        <w:t>all</w:t>
      </w:r>
      <w:r w:rsidRPr="00835ADA">
        <w:rPr>
          <w:rFonts w:ascii="Arial" w:hAnsi="Arial" w:cs="Arial"/>
          <w:sz w:val="20"/>
          <w:szCs w:val="20"/>
        </w:rPr>
        <w:t xml:space="preserve"> the issued and outstanding shares of </w:t>
      </w:r>
      <w:r>
        <w:rPr>
          <w:rFonts w:ascii="Arial" w:hAnsi="Arial" w:cs="Arial"/>
          <w:sz w:val="20"/>
          <w:szCs w:val="20"/>
        </w:rPr>
        <w:t>Delic and Eception</w:t>
      </w:r>
      <w:r w:rsidRPr="00835ADA">
        <w:rPr>
          <w:rFonts w:ascii="Arial" w:hAnsi="Arial" w:cs="Arial"/>
          <w:sz w:val="20"/>
          <w:szCs w:val="20"/>
        </w:rPr>
        <w:t xml:space="preserve">. For accounting purposes, the acquisition </w:t>
      </w:r>
      <w:proofErr w:type="gramStart"/>
      <w:r w:rsidRPr="00835ADA">
        <w:rPr>
          <w:rFonts w:ascii="Arial" w:hAnsi="Arial" w:cs="Arial"/>
          <w:sz w:val="20"/>
          <w:szCs w:val="20"/>
        </w:rPr>
        <w:t>was considered to be</w:t>
      </w:r>
      <w:proofErr w:type="gramEnd"/>
      <w:r w:rsidRPr="00835ADA">
        <w:rPr>
          <w:rFonts w:ascii="Arial" w:hAnsi="Arial" w:cs="Arial"/>
          <w:sz w:val="20"/>
          <w:szCs w:val="20"/>
        </w:rPr>
        <w:t xml:space="preserve"> a reverse acquisition under IFRS 3 </w:t>
      </w:r>
      <w:r w:rsidRPr="00835ADA">
        <w:rPr>
          <w:rFonts w:ascii="Arial" w:hAnsi="Arial" w:cs="Arial"/>
          <w:i/>
          <w:sz w:val="20"/>
          <w:szCs w:val="20"/>
        </w:rPr>
        <w:t xml:space="preserve">Business Combinations </w:t>
      </w:r>
      <w:r w:rsidRPr="00835ADA">
        <w:rPr>
          <w:rFonts w:ascii="Arial" w:hAnsi="Arial" w:cs="Arial"/>
          <w:sz w:val="20"/>
          <w:szCs w:val="20"/>
        </w:rPr>
        <w:t xml:space="preserve">(“IFRS 3”) as the shareholders of </w:t>
      </w:r>
      <w:r>
        <w:rPr>
          <w:rFonts w:ascii="Arial" w:hAnsi="Arial" w:cs="Arial"/>
          <w:sz w:val="20"/>
          <w:szCs w:val="20"/>
        </w:rPr>
        <w:t>Delic</w:t>
      </w:r>
      <w:r w:rsidRPr="00835ADA">
        <w:rPr>
          <w:rFonts w:ascii="Arial" w:hAnsi="Arial" w:cs="Arial"/>
          <w:sz w:val="20"/>
          <w:szCs w:val="20"/>
        </w:rPr>
        <w:t xml:space="preserve"> obtained control of </w:t>
      </w:r>
      <w:r w:rsidR="00E00C68">
        <w:rPr>
          <w:rFonts w:ascii="Arial" w:hAnsi="Arial" w:cs="Arial"/>
          <w:sz w:val="20"/>
          <w:szCs w:val="20"/>
        </w:rPr>
        <w:t>the Company</w:t>
      </w:r>
      <w:r w:rsidRPr="00835ADA">
        <w:rPr>
          <w:rFonts w:ascii="Arial" w:hAnsi="Arial" w:cs="Arial"/>
          <w:sz w:val="20"/>
          <w:szCs w:val="20"/>
        </w:rPr>
        <w:t xml:space="preserve">.  However, as </w:t>
      </w:r>
      <w:r w:rsidR="00E00C68">
        <w:rPr>
          <w:rFonts w:ascii="Arial" w:hAnsi="Arial" w:cs="Arial"/>
          <w:sz w:val="20"/>
          <w:szCs w:val="20"/>
        </w:rPr>
        <w:t>the Company</w:t>
      </w:r>
      <w:r w:rsidRPr="00835ADA">
        <w:rPr>
          <w:rFonts w:ascii="Arial" w:hAnsi="Arial" w:cs="Arial"/>
          <w:sz w:val="20"/>
          <w:szCs w:val="20"/>
        </w:rPr>
        <w:t xml:space="preserve"> </w:t>
      </w:r>
      <w:r w:rsidR="00E00C68">
        <w:rPr>
          <w:rFonts w:ascii="Arial" w:hAnsi="Arial" w:cs="Arial"/>
          <w:sz w:val="20"/>
          <w:szCs w:val="20"/>
        </w:rPr>
        <w:t>did</w:t>
      </w:r>
      <w:r w:rsidRPr="00835ADA">
        <w:rPr>
          <w:rFonts w:ascii="Arial" w:hAnsi="Arial" w:cs="Arial"/>
          <w:sz w:val="20"/>
          <w:szCs w:val="20"/>
        </w:rPr>
        <w:t xml:space="preserve"> not meet the definition of a business as defined by IFRS 3, </w:t>
      </w:r>
      <w:r w:rsidR="008F2B4E">
        <w:rPr>
          <w:rFonts w:ascii="Arial" w:hAnsi="Arial" w:cs="Arial"/>
          <w:sz w:val="20"/>
          <w:szCs w:val="20"/>
        </w:rPr>
        <w:t>the Transaction</w:t>
      </w:r>
      <w:r w:rsidRPr="00835ADA">
        <w:rPr>
          <w:rFonts w:ascii="Arial" w:hAnsi="Arial" w:cs="Arial"/>
          <w:sz w:val="20"/>
          <w:szCs w:val="20"/>
        </w:rPr>
        <w:t xml:space="preserve"> has been accounted for as a share-based payment transaction in accordance with IFRS </w:t>
      </w:r>
      <w:r w:rsidR="00335F15">
        <w:rPr>
          <w:rFonts w:ascii="Arial" w:hAnsi="Arial" w:cs="Arial"/>
          <w:i/>
          <w:iCs/>
          <w:sz w:val="20"/>
          <w:szCs w:val="20"/>
        </w:rPr>
        <w:t>Share-based Payment</w:t>
      </w:r>
      <w:r w:rsidR="00335F15">
        <w:rPr>
          <w:rFonts w:ascii="Arial" w:hAnsi="Arial" w:cs="Arial"/>
          <w:sz w:val="20"/>
          <w:szCs w:val="20"/>
        </w:rPr>
        <w:t xml:space="preserve"> whereby </w:t>
      </w:r>
      <w:r w:rsidR="00B96C9F">
        <w:rPr>
          <w:rFonts w:ascii="Arial" w:hAnsi="Arial" w:cs="Arial"/>
          <w:sz w:val="20"/>
          <w:szCs w:val="20"/>
        </w:rPr>
        <w:t>Delic</w:t>
      </w:r>
      <w:r w:rsidR="002A2E53">
        <w:rPr>
          <w:rFonts w:ascii="Arial" w:hAnsi="Arial" w:cs="Arial"/>
          <w:sz w:val="20"/>
          <w:szCs w:val="20"/>
        </w:rPr>
        <w:t xml:space="preserve"> </w:t>
      </w:r>
      <w:r w:rsidR="002A2E53" w:rsidRPr="00300914">
        <w:rPr>
          <w:rFonts w:ascii="Arial" w:eastAsia="SimSun" w:hAnsi="Arial" w:cs="Arial"/>
          <w:bCs/>
          <w:sz w:val="20"/>
          <w:szCs w:val="20"/>
        </w:rPr>
        <w:t xml:space="preserve">is deemed to have issued shares and </w:t>
      </w:r>
      <w:r w:rsidR="000A3229">
        <w:rPr>
          <w:rFonts w:ascii="Arial" w:eastAsia="SimSun" w:hAnsi="Arial" w:cs="Arial"/>
          <w:bCs/>
          <w:sz w:val="20"/>
          <w:szCs w:val="20"/>
        </w:rPr>
        <w:t>option</w:t>
      </w:r>
      <w:r w:rsidR="002A2E53" w:rsidRPr="00300914">
        <w:rPr>
          <w:rFonts w:ascii="Arial" w:eastAsia="SimSun" w:hAnsi="Arial" w:cs="Arial"/>
          <w:bCs/>
          <w:sz w:val="20"/>
          <w:szCs w:val="20"/>
        </w:rPr>
        <w:t xml:space="preserve">s in exchange for the net assets of </w:t>
      </w:r>
      <w:r w:rsidR="00E00C68">
        <w:rPr>
          <w:rFonts w:ascii="Arial" w:eastAsia="SimSun" w:hAnsi="Arial" w:cs="Arial"/>
          <w:bCs/>
          <w:sz w:val="20"/>
          <w:szCs w:val="20"/>
        </w:rPr>
        <w:t>the Company</w:t>
      </w:r>
      <w:r w:rsidR="00B96C9F">
        <w:rPr>
          <w:rFonts w:ascii="Arial" w:eastAsia="SimSun" w:hAnsi="Arial" w:cs="Arial"/>
          <w:bCs/>
          <w:sz w:val="20"/>
          <w:szCs w:val="20"/>
        </w:rPr>
        <w:t xml:space="preserve"> and Eception</w:t>
      </w:r>
      <w:r w:rsidR="002A2E53">
        <w:rPr>
          <w:rFonts w:ascii="Arial" w:eastAsia="SimSun" w:hAnsi="Arial" w:cs="Arial"/>
          <w:bCs/>
          <w:sz w:val="20"/>
          <w:szCs w:val="20"/>
        </w:rPr>
        <w:t xml:space="preserve"> </w:t>
      </w:r>
      <w:r w:rsidR="002A2E53" w:rsidRPr="00300914">
        <w:rPr>
          <w:rFonts w:ascii="Arial" w:eastAsia="SimSun" w:hAnsi="Arial" w:cs="Arial"/>
          <w:bCs/>
          <w:sz w:val="20"/>
          <w:szCs w:val="20"/>
        </w:rPr>
        <w:t xml:space="preserve">together with its listing status at the fair value of the consideration deemed received by </w:t>
      </w:r>
      <w:r w:rsidR="00E00C68">
        <w:rPr>
          <w:rFonts w:ascii="Arial" w:eastAsia="SimSun" w:hAnsi="Arial" w:cs="Arial"/>
          <w:bCs/>
          <w:sz w:val="20"/>
          <w:szCs w:val="20"/>
        </w:rPr>
        <w:t>the Company</w:t>
      </w:r>
      <w:r w:rsidR="00071024">
        <w:rPr>
          <w:rFonts w:ascii="Arial" w:eastAsia="SimSun" w:hAnsi="Arial" w:cs="Arial"/>
          <w:bCs/>
          <w:sz w:val="20"/>
          <w:szCs w:val="20"/>
        </w:rPr>
        <w:t xml:space="preserve"> and </w:t>
      </w:r>
      <w:proofErr w:type="spellStart"/>
      <w:r w:rsidR="00071024">
        <w:rPr>
          <w:rFonts w:ascii="Arial" w:eastAsia="SimSun" w:hAnsi="Arial" w:cs="Arial"/>
          <w:bCs/>
          <w:sz w:val="20"/>
          <w:szCs w:val="20"/>
        </w:rPr>
        <w:t>Eception</w:t>
      </w:r>
      <w:r w:rsidR="002A2E53">
        <w:rPr>
          <w:rFonts w:ascii="Arial" w:eastAsia="SimSun" w:hAnsi="Arial" w:cs="Arial"/>
          <w:bCs/>
          <w:sz w:val="20"/>
          <w:szCs w:val="20"/>
        </w:rPr>
        <w:t>’s</w:t>
      </w:r>
      <w:proofErr w:type="spellEnd"/>
      <w:r w:rsidR="002A2E53" w:rsidRPr="00300914">
        <w:rPr>
          <w:rFonts w:ascii="Arial" w:eastAsia="SimSun" w:hAnsi="Arial" w:cs="Arial"/>
          <w:bCs/>
          <w:sz w:val="20"/>
          <w:szCs w:val="20"/>
        </w:rPr>
        <w:t xml:space="preserve"> shareholders.</w:t>
      </w:r>
    </w:p>
    <w:p w14:paraId="0FD9B564" w14:textId="77777777" w:rsidR="00835ADA" w:rsidRPr="00835ADA" w:rsidRDefault="00835ADA" w:rsidP="0008105B">
      <w:pPr>
        <w:ind w:left="360"/>
        <w:rPr>
          <w:rFonts w:ascii="Arial" w:hAnsi="Arial" w:cs="Arial"/>
          <w:sz w:val="20"/>
          <w:szCs w:val="20"/>
        </w:rPr>
      </w:pPr>
    </w:p>
    <w:p w14:paraId="2E107201" w14:textId="77777777" w:rsidR="00835ADA" w:rsidRPr="00835ADA" w:rsidRDefault="00835ADA" w:rsidP="00C31A39">
      <w:pPr>
        <w:rPr>
          <w:rFonts w:ascii="Arial" w:hAnsi="Arial" w:cs="Arial"/>
          <w:sz w:val="20"/>
          <w:szCs w:val="20"/>
        </w:rPr>
      </w:pPr>
      <w:r w:rsidRPr="00835ADA">
        <w:rPr>
          <w:rFonts w:ascii="Arial" w:hAnsi="Arial" w:cs="Arial"/>
          <w:sz w:val="20"/>
          <w:szCs w:val="20"/>
        </w:rPr>
        <w:t>The accounting for this transaction resulted in the following:</w:t>
      </w:r>
    </w:p>
    <w:p w14:paraId="47F25E70" w14:textId="77777777" w:rsidR="00835ADA" w:rsidRPr="00835ADA" w:rsidRDefault="00835ADA" w:rsidP="0008105B">
      <w:pPr>
        <w:ind w:left="360"/>
        <w:rPr>
          <w:rFonts w:ascii="Arial" w:hAnsi="Arial" w:cs="Arial"/>
          <w:sz w:val="20"/>
          <w:szCs w:val="20"/>
        </w:rPr>
      </w:pPr>
    </w:p>
    <w:p w14:paraId="381DD2DE" w14:textId="7AF1C564" w:rsidR="00835ADA" w:rsidRPr="00835ADA" w:rsidRDefault="00835ADA" w:rsidP="00671EA6">
      <w:pPr>
        <w:numPr>
          <w:ilvl w:val="0"/>
          <w:numId w:val="4"/>
        </w:numPr>
        <w:ind w:left="1134" w:hanging="567"/>
        <w:rPr>
          <w:rFonts w:ascii="Arial" w:hAnsi="Arial" w:cs="Arial"/>
          <w:sz w:val="20"/>
          <w:szCs w:val="20"/>
          <w:lang w:val="en-US"/>
        </w:rPr>
      </w:pPr>
      <w:r w:rsidRPr="00835ADA">
        <w:rPr>
          <w:rFonts w:ascii="Arial" w:hAnsi="Arial" w:cs="Arial"/>
          <w:sz w:val="20"/>
          <w:szCs w:val="20"/>
          <w:lang w:val="en-US"/>
        </w:rPr>
        <w:t xml:space="preserve">The </w:t>
      </w:r>
      <w:r w:rsidR="00637E3C">
        <w:rPr>
          <w:rFonts w:ascii="Arial" w:hAnsi="Arial" w:cs="Arial"/>
          <w:sz w:val="20"/>
          <w:szCs w:val="20"/>
          <w:lang w:val="en-US"/>
        </w:rPr>
        <w:t>c</w:t>
      </w:r>
      <w:r w:rsidR="00A11BD9">
        <w:rPr>
          <w:rFonts w:ascii="Arial" w:hAnsi="Arial" w:cs="Arial"/>
          <w:sz w:val="20"/>
          <w:szCs w:val="20"/>
          <w:lang w:val="en-US"/>
        </w:rPr>
        <w:t xml:space="preserve">ondensed </w:t>
      </w:r>
      <w:r w:rsidR="00637E3C">
        <w:rPr>
          <w:rFonts w:ascii="Arial" w:hAnsi="Arial" w:cs="Arial"/>
          <w:sz w:val="20"/>
          <w:szCs w:val="20"/>
          <w:lang w:val="en-US"/>
        </w:rPr>
        <w:t>c</w:t>
      </w:r>
      <w:r w:rsidR="00A11BD9">
        <w:rPr>
          <w:rFonts w:ascii="Arial" w:hAnsi="Arial" w:cs="Arial"/>
          <w:sz w:val="20"/>
          <w:szCs w:val="20"/>
          <w:lang w:val="en-US"/>
        </w:rPr>
        <w:t xml:space="preserve">onsolidated </w:t>
      </w:r>
      <w:r w:rsidR="00637E3C">
        <w:rPr>
          <w:rFonts w:ascii="Arial" w:hAnsi="Arial" w:cs="Arial"/>
          <w:sz w:val="20"/>
          <w:szCs w:val="20"/>
          <w:lang w:val="en-US"/>
        </w:rPr>
        <w:t>i</w:t>
      </w:r>
      <w:r w:rsidR="00A11BD9">
        <w:rPr>
          <w:rFonts w:ascii="Arial" w:hAnsi="Arial" w:cs="Arial"/>
          <w:sz w:val="20"/>
          <w:szCs w:val="20"/>
          <w:lang w:val="en-US"/>
        </w:rPr>
        <w:t>nterim</w:t>
      </w:r>
      <w:r w:rsidRPr="00835ADA">
        <w:rPr>
          <w:rFonts w:ascii="Arial" w:hAnsi="Arial" w:cs="Arial"/>
          <w:sz w:val="20"/>
          <w:szCs w:val="20"/>
          <w:lang w:val="en-US"/>
        </w:rPr>
        <w:t xml:space="preserve"> financial statements of the combined entity are issued under the legal parent, </w:t>
      </w:r>
      <w:r w:rsidR="003E09D8">
        <w:rPr>
          <w:rFonts w:ascii="Arial" w:hAnsi="Arial" w:cs="Arial"/>
          <w:sz w:val="20"/>
          <w:szCs w:val="20"/>
          <w:lang w:val="en-US"/>
        </w:rPr>
        <w:t>Delic Holdings Inc.</w:t>
      </w:r>
      <w:r w:rsidRPr="00835ADA">
        <w:rPr>
          <w:rFonts w:ascii="Arial" w:hAnsi="Arial" w:cs="Arial"/>
          <w:sz w:val="20"/>
          <w:szCs w:val="20"/>
          <w:lang w:val="en-US"/>
        </w:rPr>
        <w:t xml:space="preserve">, but are considered a continuation of the financial statements of the legal subsidiary, </w:t>
      </w:r>
      <w:r w:rsidR="003E09D8">
        <w:rPr>
          <w:rFonts w:ascii="Arial" w:hAnsi="Arial" w:cs="Arial"/>
          <w:sz w:val="20"/>
          <w:szCs w:val="20"/>
          <w:lang w:val="en-US"/>
        </w:rPr>
        <w:t>Delic</w:t>
      </w:r>
      <w:r w:rsidRPr="00835ADA">
        <w:rPr>
          <w:rFonts w:ascii="Arial" w:hAnsi="Arial" w:cs="Arial"/>
          <w:sz w:val="20"/>
          <w:szCs w:val="20"/>
          <w:lang w:val="en-US"/>
        </w:rPr>
        <w:t xml:space="preserve">. </w:t>
      </w:r>
    </w:p>
    <w:p w14:paraId="6B2F62DE" w14:textId="77777777" w:rsidR="00160034" w:rsidRPr="00160034" w:rsidRDefault="00160034" w:rsidP="0008105B">
      <w:pPr>
        <w:pStyle w:val="ListParagraph"/>
        <w:widowControl/>
        <w:autoSpaceDE/>
        <w:autoSpaceDN/>
        <w:adjustRightInd/>
        <w:ind w:left="1134" w:hanging="567"/>
        <w:rPr>
          <w:rFonts w:ascii="Arial" w:eastAsia="SimSun" w:hAnsi="Arial" w:cs="Arial"/>
          <w:bCs/>
          <w:sz w:val="20"/>
          <w:szCs w:val="20"/>
        </w:rPr>
      </w:pPr>
    </w:p>
    <w:p w14:paraId="13F0BEC9" w14:textId="77777777" w:rsidR="00160034" w:rsidRPr="00160034" w:rsidRDefault="00160034" w:rsidP="00671EA6">
      <w:pPr>
        <w:pStyle w:val="ListParagraph"/>
        <w:widowControl/>
        <w:numPr>
          <w:ilvl w:val="0"/>
          <w:numId w:val="4"/>
        </w:numPr>
        <w:autoSpaceDE/>
        <w:autoSpaceDN/>
        <w:adjustRightInd/>
        <w:ind w:left="1134" w:hanging="567"/>
        <w:rPr>
          <w:rFonts w:ascii="Arial" w:eastAsia="SimSun" w:hAnsi="Arial" w:cs="Arial"/>
          <w:bCs/>
          <w:sz w:val="20"/>
          <w:szCs w:val="20"/>
        </w:rPr>
      </w:pPr>
      <w:r w:rsidRPr="00160034">
        <w:rPr>
          <w:rFonts w:ascii="Arial" w:eastAsia="SimSun" w:hAnsi="Arial" w:cs="Arial"/>
          <w:bCs/>
          <w:sz w:val="20"/>
          <w:szCs w:val="20"/>
        </w:rPr>
        <w:t xml:space="preserve">Since </w:t>
      </w:r>
      <w:r>
        <w:rPr>
          <w:rFonts w:ascii="Arial" w:eastAsia="SimSun" w:hAnsi="Arial" w:cs="Arial"/>
          <w:bCs/>
          <w:sz w:val="20"/>
          <w:szCs w:val="20"/>
        </w:rPr>
        <w:t>Delic</w:t>
      </w:r>
      <w:r w:rsidR="0008105B">
        <w:rPr>
          <w:rFonts w:ascii="Arial" w:eastAsia="SimSun" w:hAnsi="Arial" w:cs="Arial"/>
          <w:bCs/>
          <w:sz w:val="20"/>
          <w:szCs w:val="20"/>
        </w:rPr>
        <w:t xml:space="preserve"> Corp.</w:t>
      </w:r>
      <w:r w:rsidRPr="00160034">
        <w:rPr>
          <w:rFonts w:ascii="Arial" w:eastAsia="SimSun" w:hAnsi="Arial" w:cs="Arial"/>
          <w:bCs/>
          <w:sz w:val="20"/>
          <w:szCs w:val="20"/>
        </w:rPr>
        <w:t xml:space="preserve"> is deemed to be the continuing entity for accounting purposes, its assets and liabilities are included in the </w:t>
      </w:r>
      <w:r w:rsidR="00637E3C">
        <w:rPr>
          <w:rFonts w:ascii="Arial" w:eastAsia="SimSun" w:hAnsi="Arial" w:cs="Arial"/>
          <w:bCs/>
          <w:sz w:val="20"/>
          <w:szCs w:val="20"/>
        </w:rPr>
        <w:t>c</w:t>
      </w:r>
      <w:r w:rsidR="00A11BD9">
        <w:rPr>
          <w:rFonts w:ascii="Arial" w:eastAsia="SimSun" w:hAnsi="Arial" w:cs="Arial"/>
          <w:bCs/>
          <w:sz w:val="20"/>
          <w:szCs w:val="20"/>
        </w:rPr>
        <w:t xml:space="preserve">ondensed </w:t>
      </w:r>
      <w:r w:rsidR="00637E3C">
        <w:rPr>
          <w:rFonts w:ascii="Arial" w:eastAsia="SimSun" w:hAnsi="Arial" w:cs="Arial"/>
          <w:bCs/>
          <w:sz w:val="20"/>
          <w:szCs w:val="20"/>
        </w:rPr>
        <w:t>c</w:t>
      </w:r>
      <w:r w:rsidR="00A11BD9">
        <w:rPr>
          <w:rFonts w:ascii="Arial" w:eastAsia="SimSun" w:hAnsi="Arial" w:cs="Arial"/>
          <w:bCs/>
          <w:sz w:val="20"/>
          <w:szCs w:val="20"/>
        </w:rPr>
        <w:t xml:space="preserve">onsolidated </w:t>
      </w:r>
      <w:r w:rsidR="00637E3C">
        <w:rPr>
          <w:rFonts w:ascii="Arial" w:eastAsia="SimSun" w:hAnsi="Arial" w:cs="Arial"/>
          <w:bCs/>
          <w:sz w:val="20"/>
          <w:szCs w:val="20"/>
        </w:rPr>
        <w:t>i</w:t>
      </w:r>
      <w:r w:rsidR="00A11BD9">
        <w:rPr>
          <w:rFonts w:ascii="Arial" w:eastAsia="SimSun" w:hAnsi="Arial" w:cs="Arial"/>
          <w:bCs/>
          <w:sz w:val="20"/>
          <w:szCs w:val="20"/>
        </w:rPr>
        <w:t>nterim</w:t>
      </w:r>
      <w:r w:rsidRPr="00160034">
        <w:rPr>
          <w:rFonts w:ascii="Arial" w:eastAsia="SimSun" w:hAnsi="Arial" w:cs="Arial"/>
          <w:bCs/>
          <w:sz w:val="20"/>
          <w:szCs w:val="20"/>
        </w:rPr>
        <w:t xml:space="preserve"> financial statements at their historical carrying values.</w:t>
      </w:r>
    </w:p>
    <w:p w14:paraId="15D3DA4C" w14:textId="77777777" w:rsidR="00160034" w:rsidRPr="00160034" w:rsidRDefault="00160034" w:rsidP="0008105B">
      <w:pPr>
        <w:pStyle w:val="ListParagraph"/>
        <w:widowControl/>
        <w:autoSpaceDE/>
        <w:autoSpaceDN/>
        <w:adjustRightInd/>
        <w:ind w:left="1134" w:hanging="567"/>
        <w:rPr>
          <w:rFonts w:ascii="Arial" w:eastAsia="SimSun" w:hAnsi="Arial" w:cs="Arial"/>
          <w:bCs/>
          <w:sz w:val="20"/>
          <w:szCs w:val="20"/>
        </w:rPr>
      </w:pPr>
    </w:p>
    <w:p w14:paraId="385A38F7" w14:textId="2C891FF5" w:rsidR="00160034" w:rsidRPr="007B2F35" w:rsidRDefault="00160034" w:rsidP="00C31A39">
      <w:pPr>
        <w:pStyle w:val="ListParagraph"/>
        <w:widowControl/>
        <w:numPr>
          <w:ilvl w:val="0"/>
          <w:numId w:val="4"/>
        </w:numPr>
        <w:autoSpaceDE/>
        <w:autoSpaceDN/>
        <w:adjustRightInd/>
        <w:ind w:left="1134" w:hanging="567"/>
        <w:rPr>
          <w:rFonts w:ascii="Arial" w:eastAsia="MS Mincho" w:hAnsi="Arial" w:cs="Arial"/>
          <w:sz w:val="20"/>
          <w:szCs w:val="20"/>
          <w:lang w:eastAsia="ja-JP"/>
        </w:rPr>
      </w:pPr>
      <w:r w:rsidRPr="007B2F35">
        <w:rPr>
          <w:rFonts w:ascii="Arial" w:eastAsia="MS Mincho" w:hAnsi="Arial" w:cs="Arial"/>
          <w:sz w:val="20"/>
          <w:szCs w:val="20"/>
          <w:lang w:eastAsia="ja-JP"/>
        </w:rPr>
        <w:t xml:space="preserve">As part of the completion of the Transaction to facilitate the listing, the original shareholders of </w:t>
      </w:r>
      <w:r w:rsidR="00533E95">
        <w:rPr>
          <w:rFonts w:ascii="Arial" w:eastAsia="MS Mincho" w:hAnsi="Arial" w:cs="Arial"/>
          <w:sz w:val="20"/>
          <w:szCs w:val="20"/>
          <w:lang w:eastAsia="ja-JP"/>
        </w:rPr>
        <w:t>the Company</w:t>
      </w:r>
      <w:r w:rsidRPr="007B2F35">
        <w:rPr>
          <w:rFonts w:ascii="Arial" w:eastAsia="MS Mincho" w:hAnsi="Arial" w:cs="Arial"/>
          <w:sz w:val="20"/>
          <w:szCs w:val="20"/>
          <w:lang w:eastAsia="ja-JP"/>
        </w:rPr>
        <w:t xml:space="preserve"> retained </w:t>
      </w:r>
      <w:r w:rsidR="00A033F3" w:rsidRPr="007B2F35">
        <w:rPr>
          <w:rFonts w:ascii="Arial" w:eastAsia="MS Mincho" w:hAnsi="Arial" w:cs="Arial"/>
          <w:sz w:val="20"/>
          <w:szCs w:val="20"/>
          <w:lang w:eastAsia="ja-JP"/>
        </w:rPr>
        <w:t>5,700,0</w:t>
      </w:r>
      <w:r w:rsidRPr="007B2F35">
        <w:rPr>
          <w:rFonts w:ascii="Arial" w:eastAsia="MS Mincho" w:hAnsi="Arial" w:cs="Arial"/>
          <w:sz w:val="20"/>
          <w:szCs w:val="20"/>
          <w:lang w:eastAsia="ja-JP"/>
        </w:rPr>
        <w:t xml:space="preserve">00 </w:t>
      </w:r>
      <w:r w:rsidR="00060098" w:rsidRPr="007B2F35">
        <w:rPr>
          <w:rFonts w:ascii="Arial" w:eastAsia="MS Mincho" w:hAnsi="Arial" w:cs="Arial"/>
          <w:sz w:val="20"/>
          <w:szCs w:val="20"/>
          <w:lang w:eastAsia="ja-JP"/>
        </w:rPr>
        <w:t>SVS</w:t>
      </w:r>
      <w:r w:rsidRPr="007B2F35">
        <w:rPr>
          <w:rFonts w:ascii="Arial" w:eastAsia="MS Mincho" w:hAnsi="Arial" w:cs="Arial"/>
          <w:sz w:val="20"/>
          <w:szCs w:val="20"/>
          <w:lang w:eastAsia="ja-JP"/>
        </w:rPr>
        <w:t xml:space="preserve"> of the Company</w:t>
      </w:r>
      <w:r w:rsidR="00BE43F7" w:rsidRPr="007B2F35">
        <w:rPr>
          <w:rFonts w:ascii="Arial" w:eastAsia="MS Mincho" w:hAnsi="Arial" w:cs="Arial"/>
          <w:sz w:val="20"/>
          <w:szCs w:val="20"/>
          <w:lang w:eastAsia="ja-JP"/>
        </w:rPr>
        <w:t xml:space="preserve"> </w:t>
      </w:r>
      <w:r w:rsidRPr="007B2F35">
        <w:rPr>
          <w:rFonts w:ascii="Arial" w:eastAsia="MS Mincho" w:hAnsi="Arial" w:cs="Arial"/>
          <w:sz w:val="20"/>
          <w:szCs w:val="20"/>
          <w:lang w:eastAsia="ja-JP"/>
        </w:rPr>
        <w:t xml:space="preserve">and </w:t>
      </w:r>
      <w:r w:rsidR="00A033F3" w:rsidRPr="007B2F35">
        <w:rPr>
          <w:rFonts w:ascii="Arial" w:eastAsia="MS Mincho" w:hAnsi="Arial" w:cs="Arial"/>
          <w:sz w:val="20"/>
          <w:szCs w:val="20"/>
          <w:lang w:eastAsia="ja-JP"/>
        </w:rPr>
        <w:t>150,00</w:t>
      </w:r>
      <w:r w:rsidRPr="007B2F35">
        <w:rPr>
          <w:rFonts w:ascii="Arial" w:eastAsia="MS Mincho" w:hAnsi="Arial" w:cs="Arial"/>
          <w:sz w:val="20"/>
          <w:szCs w:val="20"/>
          <w:lang w:eastAsia="ja-JP"/>
        </w:rPr>
        <w:t xml:space="preserve">0 options exercisable at </w:t>
      </w:r>
      <w:r w:rsidR="00586839" w:rsidRPr="007B2F35">
        <w:rPr>
          <w:rFonts w:ascii="Arial" w:eastAsia="MS Mincho" w:hAnsi="Arial" w:cs="Arial"/>
          <w:sz w:val="20"/>
          <w:szCs w:val="20"/>
          <w:lang w:eastAsia="ja-JP"/>
        </w:rPr>
        <w:t>CAD</w:t>
      </w:r>
      <w:r w:rsidRPr="007B2F35">
        <w:rPr>
          <w:rFonts w:ascii="Arial" w:eastAsia="MS Mincho" w:hAnsi="Arial" w:cs="Arial"/>
          <w:sz w:val="20"/>
          <w:szCs w:val="20"/>
          <w:lang w:eastAsia="ja-JP"/>
        </w:rPr>
        <w:t>$0.</w:t>
      </w:r>
      <w:r w:rsidR="00A033F3" w:rsidRPr="007B2F35">
        <w:rPr>
          <w:rFonts w:ascii="Arial" w:eastAsia="MS Mincho" w:hAnsi="Arial" w:cs="Arial"/>
          <w:sz w:val="20"/>
          <w:szCs w:val="20"/>
          <w:lang w:eastAsia="ja-JP"/>
        </w:rPr>
        <w:t>083</w:t>
      </w:r>
      <w:r w:rsidR="00F853E6" w:rsidRPr="007B2F35">
        <w:rPr>
          <w:rFonts w:ascii="Arial" w:eastAsia="MS Mincho" w:hAnsi="Arial" w:cs="Arial"/>
          <w:sz w:val="20"/>
          <w:szCs w:val="20"/>
          <w:lang w:eastAsia="ja-JP"/>
        </w:rPr>
        <w:t xml:space="preserve"> expiring on April 29, 2025.</w:t>
      </w:r>
      <w:r w:rsidR="00630A99" w:rsidRPr="007B2F35">
        <w:rPr>
          <w:rFonts w:ascii="Arial" w:eastAsia="MS Mincho" w:hAnsi="Arial" w:cs="Arial"/>
          <w:sz w:val="20"/>
          <w:szCs w:val="20"/>
          <w:lang w:eastAsia="ja-JP"/>
        </w:rPr>
        <w:t xml:space="preserve">  The original shareholders of Eception retained 100,000 SVS of the Company and </w:t>
      </w:r>
      <w:r w:rsidR="00D4067F" w:rsidRPr="007B2F35">
        <w:rPr>
          <w:rFonts w:ascii="Arial" w:eastAsia="MS Mincho" w:hAnsi="Arial" w:cs="Arial"/>
          <w:sz w:val="20"/>
          <w:szCs w:val="20"/>
          <w:lang w:eastAsia="ja-JP"/>
        </w:rPr>
        <w:t>converted the 553,500 warrants into 553,500 SVS.</w:t>
      </w:r>
      <w:r w:rsidR="00273FA6" w:rsidRPr="007B2F35">
        <w:rPr>
          <w:rFonts w:ascii="Arial" w:eastAsia="MS Mincho" w:hAnsi="Arial" w:cs="Arial"/>
          <w:sz w:val="20"/>
          <w:szCs w:val="20"/>
          <w:lang w:eastAsia="ja-JP"/>
        </w:rPr>
        <w:t xml:space="preserve">  In addition, </w:t>
      </w:r>
      <w:r w:rsidR="00DF1C5F" w:rsidRPr="007B2F35">
        <w:rPr>
          <w:rFonts w:ascii="Arial" w:eastAsia="MS Mincho" w:hAnsi="Arial" w:cs="Arial"/>
          <w:sz w:val="20"/>
          <w:szCs w:val="20"/>
          <w:lang w:eastAsia="ja-JP"/>
        </w:rPr>
        <w:t xml:space="preserve">the founders of Eception </w:t>
      </w:r>
      <w:r w:rsidR="00533E95">
        <w:rPr>
          <w:rFonts w:ascii="Arial" w:eastAsia="MS Mincho" w:hAnsi="Arial" w:cs="Arial"/>
          <w:sz w:val="20"/>
          <w:szCs w:val="20"/>
          <w:lang w:eastAsia="ja-JP"/>
        </w:rPr>
        <w:t xml:space="preserve">were </w:t>
      </w:r>
      <w:r w:rsidR="006B492A">
        <w:rPr>
          <w:rFonts w:ascii="Arial" w:eastAsia="MS Mincho" w:hAnsi="Arial" w:cs="Arial"/>
          <w:sz w:val="20"/>
          <w:szCs w:val="20"/>
          <w:lang w:eastAsia="ja-JP"/>
        </w:rPr>
        <w:t xml:space="preserve">also </w:t>
      </w:r>
      <w:r w:rsidR="006B492A" w:rsidRPr="007B2F35">
        <w:rPr>
          <w:rFonts w:ascii="Arial" w:eastAsia="MS Mincho" w:hAnsi="Arial" w:cs="Arial"/>
          <w:sz w:val="20"/>
          <w:szCs w:val="20"/>
          <w:lang w:eastAsia="ja-JP"/>
        </w:rPr>
        <w:t>entitled</w:t>
      </w:r>
      <w:r w:rsidR="00DF1C5F" w:rsidRPr="007B2F35">
        <w:rPr>
          <w:rFonts w:ascii="Arial" w:eastAsia="MS Mincho" w:hAnsi="Arial" w:cs="Arial"/>
          <w:sz w:val="20"/>
          <w:szCs w:val="20"/>
          <w:lang w:eastAsia="ja-JP"/>
        </w:rPr>
        <w:t xml:space="preserve"> to 100,000 SVS in this Transaction.</w:t>
      </w:r>
    </w:p>
    <w:p w14:paraId="04DA381D" w14:textId="77777777" w:rsidR="00171651" w:rsidRDefault="00171651" w:rsidP="005C0DF2">
      <w:pPr>
        <w:rPr>
          <w:rFonts w:ascii="Arial" w:hAnsi="Arial" w:cs="Arial"/>
          <w:b/>
          <w:bCs/>
          <w:sz w:val="20"/>
          <w:szCs w:val="20"/>
        </w:rPr>
      </w:pPr>
    </w:p>
    <w:p w14:paraId="2BAB186D" w14:textId="0EBF9D33" w:rsidR="00CB53BC" w:rsidRPr="00187502" w:rsidRDefault="00187502" w:rsidP="006B492A">
      <w:pPr>
        <w:pStyle w:val="ListParagraph"/>
        <w:numPr>
          <w:ilvl w:val="0"/>
          <w:numId w:val="4"/>
        </w:numPr>
        <w:ind w:left="1134" w:hanging="480"/>
        <w:rPr>
          <w:rFonts w:ascii="Arial" w:hAnsi="Arial" w:cs="Arial"/>
          <w:sz w:val="20"/>
          <w:szCs w:val="20"/>
        </w:rPr>
      </w:pPr>
      <w:r w:rsidRPr="00187502">
        <w:rPr>
          <w:rFonts w:ascii="Arial" w:hAnsi="Arial" w:cs="Arial"/>
          <w:sz w:val="20"/>
          <w:szCs w:val="20"/>
          <w:lang w:val="en-US"/>
        </w:rPr>
        <w:t xml:space="preserve">Since the shares allocated to the former shareholders of </w:t>
      </w:r>
      <w:r w:rsidR="00F55D2E">
        <w:rPr>
          <w:rFonts w:ascii="Arial" w:hAnsi="Arial" w:cs="Arial"/>
          <w:sz w:val="20"/>
          <w:szCs w:val="20"/>
          <w:lang w:val="en-US"/>
        </w:rPr>
        <w:t>the Company</w:t>
      </w:r>
      <w:r w:rsidRPr="00187502">
        <w:rPr>
          <w:rFonts w:ascii="Arial" w:hAnsi="Arial" w:cs="Arial"/>
          <w:sz w:val="20"/>
          <w:szCs w:val="20"/>
          <w:lang w:val="en-US"/>
        </w:rPr>
        <w:t xml:space="preserve"> on closing the Transaction is considered within the scope of IFRS 2, and the Company </w:t>
      </w:r>
      <w:r w:rsidR="00F55D2E">
        <w:rPr>
          <w:rFonts w:ascii="Arial" w:hAnsi="Arial" w:cs="Arial"/>
          <w:sz w:val="20"/>
          <w:szCs w:val="20"/>
          <w:lang w:val="en-US"/>
        </w:rPr>
        <w:t>could not</w:t>
      </w:r>
      <w:r w:rsidRPr="00187502">
        <w:rPr>
          <w:rFonts w:ascii="Arial" w:hAnsi="Arial" w:cs="Arial"/>
          <w:sz w:val="20"/>
          <w:szCs w:val="20"/>
          <w:lang w:val="en-US"/>
        </w:rPr>
        <w:t xml:space="preserve"> identify specifically some or all of the goods or service received in return for the allocation of the shares, the value in excess of the net identifiable assets or obligations of </w:t>
      </w:r>
      <w:r w:rsidR="00F55D2E">
        <w:rPr>
          <w:rFonts w:ascii="Arial" w:hAnsi="Arial" w:cs="Arial"/>
          <w:sz w:val="20"/>
          <w:szCs w:val="20"/>
          <w:lang w:val="en-US"/>
        </w:rPr>
        <w:t>the Company</w:t>
      </w:r>
      <w:r w:rsidRPr="00187502">
        <w:rPr>
          <w:rFonts w:ascii="Arial" w:hAnsi="Arial" w:cs="Arial"/>
          <w:sz w:val="20"/>
          <w:szCs w:val="20"/>
          <w:lang w:val="en-US"/>
        </w:rPr>
        <w:t xml:space="preserve"> and Eception acquired on closing was expensed in the statement of comprehensive loss</w:t>
      </w:r>
      <w:r w:rsidR="00F55D2E">
        <w:rPr>
          <w:rFonts w:ascii="Arial" w:hAnsi="Arial" w:cs="Arial"/>
          <w:sz w:val="20"/>
          <w:szCs w:val="20"/>
          <w:lang w:val="en-US"/>
        </w:rPr>
        <w:t xml:space="preserve"> for the year ended December 31, 2020</w:t>
      </w:r>
      <w:r w:rsidRPr="00187502">
        <w:rPr>
          <w:rFonts w:ascii="Arial" w:hAnsi="Arial" w:cs="Arial"/>
          <w:sz w:val="20"/>
          <w:szCs w:val="20"/>
          <w:lang w:val="en-US"/>
        </w:rPr>
        <w:t xml:space="preserve"> as a listing expense</w:t>
      </w:r>
    </w:p>
    <w:p w14:paraId="5DD4C9B0" w14:textId="45F023E6" w:rsidR="005C0DF2" w:rsidRDefault="005C0DF2" w:rsidP="00983928">
      <w:pPr>
        <w:widowControl/>
        <w:ind w:left="142" w:right="114"/>
        <w:rPr>
          <w:rFonts w:ascii="Arial" w:eastAsia="SimSun" w:hAnsi="Arial" w:cs="Arial"/>
          <w:sz w:val="20"/>
          <w:szCs w:val="20"/>
        </w:rPr>
      </w:pPr>
    </w:p>
    <w:p w14:paraId="289E1835" w14:textId="3F53E860" w:rsidR="006B492A" w:rsidRDefault="006B492A" w:rsidP="00983928">
      <w:pPr>
        <w:widowControl/>
        <w:ind w:left="142" w:right="114"/>
        <w:rPr>
          <w:rFonts w:ascii="Arial" w:eastAsia="SimSun" w:hAnsi="Arial" w:cs="Arial"/>
          <w:sz w:val="20"/>
          <w:szCs w:val="20"/>
        </w:rPr>
      </w:pPr>
    </w:p>
    <w:p w14:paraId="11066FE3" w14:textId="4068CAA8" w:rsidR="006B492A" w:rsidRDefault="006B492A" w:rsidP="00983928">
      <w:pPr>
        <w:widowControl/>
        <w:ind w:left="142" w:right="114"/>
        <w:rPr>
          <w:rFonts w:ascii="Arial" w:eastAsia="SimSun" w:hAnsi="Arial" w:cs="Arial"/>
          <w:sz w:val="20"/>
          <w:szCs w:val="20"/>
        </w:rPr>
      </w:pPr>
    </w:p>
    <w:p w14:paraId="0F335DA2" w14:textId="47C1BE4B" w:rsidR="006B492A" w:rsidRDefault="006B492A" w:rsidP="00983928">
      <w:pPr>
        <w:widowControl/>
        <w:ind w:left="142" w:right="114"/>
        <w:rPr>
          <w:rFonts w:ascii="Arial" w:eastAsia="SimSun" w:hAnsi="Arial" w:cs="Arial"/>
          <w:sz w:val="20"/>
          <w:szCs w:val="20"/>
        </w:rPr>
      </w:pPr>
    </w:p>
    <w:p w14:paraId="6EAE15BD" w14:textId="5829D5AA" w:rsidR="006B492A" w:rsidRDefault="006B492A" w:rsidP="00983928">
      <w:pPr>
        <w:widowControl/>
        <w:ind w:left="142" w:right="114"/>
        <w:rPr>
          <w:rFonts w:ascii="Arial" w:eastAsia="SimSun" w:hAnsi="Arial" w:cs="Arial"/>
          <w:sz w:val="20"/>
          <w:szCs w:val="20"/>
        </w:rPr>
      </w:pPr>
    </w:p>
    <w:p w14:paraId="57F6C561" w14:textId="3DFEDE4E" w:rsidR="006B492A" w:rsidRDefault="006B492A" w:rsidP="00983928">
      <w:pPr>
        <w:widowControl/>
        <w:ind w:left="142" w:right="114"/>
        <w:rPr>
          <w:rFonts w:ascii="Arial" w:eastAsia="SimSun" w:hAnsi="Arial" w:cs="Arial"/>
          <w:sz w:val="20"/>
          <w:szCs w:val="20"/>
        </w:rPr>
      </w:pPr>
    </w:p>
    <w:p w14:paraId="75A32648" w14:textId="5BAE1703" w:rsidR="006B492A" w:rsidRDefault="006B492A" w:rsidP="00983928">
      <w:pPr>
        <w:widowControl/>
        <w:ind w:left="142" w:right="114"/>
        <w:rPr>
          <w:rFonts w:ascii="Arial" w:eastAsia="SimSun" w:hAnsi="Arial" w:cs="Arial"/>
          <w:sz w:val="20"/>
          <w:szCs w:val="20"/>
        </w:rPr>
      </w:pPr>
    </w:p>
    <w:p w14:paraId="40B5B245" w14:textId="36C1F067" w:rsidR="006B492A" w:rsidRDefault="006B492A" w:rsidP="00983928">
      <w:pPr>
        <w:widowControl/>
        <w:ind w:left="142" w:right="114"/>
        <w:rPr>
          <w:rFonts w:ascii="Arial" w:eastAsia="SimSun" w:hAnsi="Arial" w:cs="Arial"/>
          <w:sz w:val="20"/>
          <w:szCs w:val="20"/>
        </w:rPr>
      </w:pPr>
    </w:p>
    <w:p w14:paraId="49307818" w14:textId="47C95A76" w:rsidR="006B492A" w:rsidRDefault="006B492A" w:rsidP="00983928">
      <w:pPr>
        <w:widowControl/>
        <w:ind w:left="142" w:right="114"/>
        <w:rPr>
          <w:rFonts w:ascii="Arial" w:eastAsia="SimSun" w:hAnsi="Arial" w:cs="Arial"/>
          <w:sz w:val="20"/>
          <w:szCs w:val="20"/>
        </w:rPr>
      </w:pPr>
    </w:p>
    <w:p w14:paraId="12A03B4F" w14:textId="53DBB091" w:rsidR="006B492A" w:rsidRDefault="006B492A" w:rsidP="00983928">
      <w:pPr>
        <w:widowControl/>
        <w:ind w:left="142" w:right="114"/>
        <w:rPr>
          <w:rFonts w:ascii="Arial" w:eastAsia="SimSun" w:hAnsi="Arial" w:cs="Arial"/>
          <w:sz w:val="20"/>
          <w:szCs w:val="20"/>
        </w:rPr>
      </w:pPr>
    </w:p>
    <w:p w14:paraId="2E11856A" w14:textId="67E55FF8" w:rsidR="006B492A" w:rsidRDefault="006B492A" w:rsidP="00983928">
      <w:pPr>
        <w:widowControl/>
        <w:ind w:left="142" w:right="114"/>
        <w:rPr>
          <w:rFonts w:ascii="Arial" w:eastAsia="SimSun" w:hAnsi="Arial" w:cs="Arial"/>
          <w:sz w:val="20"/>
          <w:szCs w:val="20"/>
        </w:rPr>
      </w:pPr>
    </w:p>
    <w:p w14:paraId="659FAD38" w14:textId="2DA01CEC" w:rsidR="006B492A" w:rsidRDefault="006B492A" w:rsidP="00983928">
      <w:pPr>
        <w:widowControl/>
        <w:ind w:left="142" w:right="114"/>
        <w:rPr>
          <w:rFonts w:ascii="Arial" w:eastAsia="SimSun" w:hAnsi="Arial" w:cs="Arial"/>
          <w:sz w:val="20"/>
          <w:szCs w:val="20"/>
        </w:rPr>
      </w:pPr>
    </w:p>
    <w:p w14:paraId="72825D94" w14:textId="1FEEDC84" w:rsidR="006B492A" w:rsidRDefault="006B492A" w:rsidP="00983928">
      <w:pPr>
        <w:widowControl/>
        <w:ind w:left="142" w:right="114"/>
        <w:rPr>
          <w:rFonts w:ascii="Arial" w:eastAsia="SimSun" w:hAnsi="Arial" w:cs="Arial"/>
          <w:sz w:val="20"/>
          <w:szCs w:val="20"/>
        </w:rPr>
      </w:pPr>
    </w:p>
    <w:p w14:paraId="298E731F" w14:textId="732CB935" w:rsidR="006B492A" w:rsidRDefault="006B492A" w:rsidP="00983928">
      <w:pPr>
        <w:widowControl/>
        <w:ind w:left="142" w:right="114"/>
        <w:rPr>
          <w:rFonts w:ascii="Arial" w:eastAsia="SimSun" w:hAnsi="Arial" w:cs="Arial"/>
          <w:sz w:val="20"/>
          <w:szCs w:val="20"/>
        </w:rPr>
      </w:pPr>
    </w:p>
    <w:p w14:paraId="15CA1D9E" w14:textId="1040CA5F" w:rsidR="006B492A" w:rsidRDefault="006B492A" w:rsidP="00983928">
      <w:pPr>
        <w:widowControl/>
        <w:ind w:left="142" w:right="114"/>
        <w:rPr>
          <w:rFonts w:ascii="Arial" w:eastAsia="SimSun" w:hAnsi="Arial" w:cs="Arial"/>
          <w:sz w:val="20"/>
          <w:szCs w:val="20"/>
        </w:rPr>
      </w:pPr>
    </w:p>
    <w:p w14:paraId="20A06552" w14:textId="490DE490" w:rsidR="006B492A" w:rsidRDefault="006B492A" w:rsidP="00983928">
      <w:pPr>
        <w:widowControl/>
        <w:ind w:left="142" w:right="114"/>
        <w:rPr>
          <w:rFonts w:ascii="Arial" w:eastAsia="SimSun" w:hAnsi="Arial" w:cs="Arial"/>
          <w:sz w:val="20"/>
          <w:szCs w:val="20"/>
        </w:rPr>
      </w:pPr>
    </w:p>
    <w:p w14:paraId="2141FA5E" w14:textId="77777777" w:rsidR="006B492A" w:rsidRDefault="006B492A" w:rsidP="006B492A">
      <w:pPr>
        <w:pStyle w:val="ListParagraph"/>
        <w:numPr>
          <w:ilvl w:val="0"/>
          <w:numId w:val="6"/>
        </w:numPr>
        <w:rPr>
          <w:rFonts w:ascii="Arial" w:hAnsi="Arial" w:cs="Arial"/>
          <w:sz w:val="20"/>
          <w:szCs w:val="20"/>
        </w:rPr>
      </w:pPr>
      <w:r w:rsidRPr="005C0DF2">
        <w:rPr>
          <w:rFonts w:ascii="Arial" w:hAnsi="Arial" w:cs="Arial"/>
          <w:b/>
          <w:bCs/>
          <w:sz w:val="20"/>
          <w:szCs w:val="20"/>
        </w:rPr>
        <w:t>REVERSE ACQUISITION</w:t>
      </w:r>
      <w:r>
        <w:rPr>
          <w:rFonts w:ascii="Arial" w:hAnsi="Arial" w:cs="Arial"/>
          <w:sz w:val="20"/>
          <w:szCs w:val="20"/>
        </w:rPr>
        <w:t xml:space="preserve"> (continued)</w:t>
      </w:r>
    </w:p>
    <w:p w14:paraId="08088907" w14:textId="77777777" w:rsidR="006B492A" w:rsidRDefault="006B492A" w:rsidP="006B492A">
      <w:pPr>
        <w:widowControl/>
        <w:ind w:left="142" w:right="114"/>
        <w:rPr>
          <w:rFonts w:ascii="Arial" w:eastAsia="SimSun" w:hAnsi="Arial" w:cs="Arial"/>
          <w:sz w:val="20"/>
          <w:szCs w:val="20"/>
        </w:rPr>
      </w:pPr>
    </w:p>
    <w:p w14:paraId="474A58B4" w14:textId="5C2E4883" w:rsidR="00303FF2" w:rsidRDefault="00983928" w:rsidP="00983928">
      <w:pPr>
        <w:widowControl/>
        <w:ind w:left="142" w:right="114"/>
        <w:rPr>
          <w:rFonts w:ascii="Arial" w:eastAsia="SimSun" w:hAnsi="Arial" w:cs="Arial"/>
          <w:sz w:val="20"/>
          <w:szCs w:val="20"/>
        </w:rPr>
      </w:pPr>
      <w:r w:rsidRPr="00300914">
        <w:rPr>
          <w:rFonts w:ascii="Arial" w:eastAsia="SimSun" w:hAnsi="Arial" w:cs="Arial"/>
          <w:sz w:val="20"/>
          <w:szCs w:val="20"/>
        </w:rPr>
        <w:t xml:space="preserve">The total share-based compensation </w:t>
      </w:r>
      <w:r w:rsidR="00006AE8">
        <w:rPr>
          <w:rFonts w:ascii="Arial" w:eastAsia="SimSun" w:hAnsi="Arial" w:cs="Arial"/>
          <w:sz w:val="20"/>
          <w:szCs w:val="20"/>
        </w:rPr>
        <w:t xml:space="preserve">of the </w:t>
      </w:r>
      <w:r w:rsidR="00551B4C">
        <w:rPr>
          <w:rFonts w:ascii="Arial" w:eastAsia="SimSun" w:hAnsi="Arial" w:cs="Arial"/>
          <w:sz w:val="20"/>
          <w:szCs w:val="20"/>
        </w:rPr>
        <w:t>SVS, options and warrants as described above</w:t>
      </w:r>
      <w:r w:rsidRPr="00300914">
        <w:rPr>
          <w:rFonts w:ascii="Arial" w:eastAsia="SimSun" w:hAnsi="Arial" w:cs="Arial"/>
          <w:sz w:val="20"/>
          <w:szCs w:val="20"/>
        </w:rPr>
        <w:t xml:space="preserve"> options was </w:t>
      </w:r>
      <w:r w:rsidR="00303FF2">
        <w:rPr>
          <w:rFonts w:ascii="Arial" w:eastAsia="SimSun" w:hAnsi="Arial" w:cs="Arial"/>
          <w:sz w:val="20"/>
          <w:szCs w:val="20"/>
        </w:rPr>
        <w:t>as follow:</w:t>
      </w:r>
    </w:p>
    <w:p w14:paraId="0A39BD39" w14:textId="77777777" w:rsidR="00303FF2" w:rsidRDefault="00303FF2" w:rsidP="00983928">
      <w:pPr>
        <w:widowControl/>
        <w:ind w:left="142" w:right="114"/>
        <w:rPr>
          <w:rFonts w:ascii="Arial" w:eastAsia="SimSun" w:hAnsi="Arial" w:cs="Arial"/>
          <w:sz w:val="20"/>
          <w:szCs w:val="20"/>
        </w:rPr>
      </w:pPr>
    </w:p>
    <w:tbl>
      <w:tblPr>
        <w:tblStyle w:val="TableGrid"/>
        <w:tblW w:w="99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439"/>
        <w:gridCol w:w="1919"/>
        <w:gridCol w:w="1887"/>
        <w:gridCol w:w="1768"/>
      </w:tblGrid>
      <w:tr w:rsidR="001D009C" w:rsidRPr="00300914" w14:paraId="0ECAF5B2" w14:textId="77777777" w:rsidTr="00C31A39">
        <w:tc>
          <w:tcPr>
            <w:tcW w:w="2976" w:type="dxa"/>
          </w:tcPr>
          <w:p w14:paraId="641CE04A" w14:textId="77777777" w:rsidR="001D009C" w:rsidRPr="00300914" w:rsidRDefault="001D009C" w:rsidP="001D009C">
            <w:pPr>
              <w:widowControl/>
              <w:autoSpaceDE/>
              <w:autoSpaceDN/>
              <w:adjustRightInd/>
              <w:ind w:left="142" w:right="114"/>
              <w:rPr>
                <w:rFonts w:ascii="Arial" w:eastAsia="SimSun" w:hAnsi="Arial" w:cs="Arial"/>
                <w:sz w:val="20"/>
                <w:szCs w:val="20"/>
              </w:rPr>
            </w:pPr>
            <w:r w:rsidRPr="00300914">
              <w:rPr>
                <w:rFonts w:ascii="Arial" w:eastAsia="SimSun" w:hAnsi="Arial" w:cs="Arial"/>
                <w:sz w:val="20"/>
                <w:szCs w:val="20"/>
              </w:rPr>
              <w:t>Issued to:</w:t>
            </w:r>
          </w:p>
        </w:tc>
        <w:tc>
          <w:tcPr>
            <w:tcW w:w="1439" w:type="dxa"/>
          </w:tcPr>
          <w:p w14:paraId="42D553A5" w14:textId="77777777" w:rsidR="001D009C" w:rsidRDefault="001D009C" w:rsidP="001D009C">
            <w:pPr>
              <w:widowControl/>
              <w:autoSpaceDE/>
              <w:autoSpaceDN/>
              <w:adjustRightInd/>
              <w:ind w:left="142" w:right="114"/>
              <w:jc w:val="center"/>
              <w:rPr>
                <w:rFonts w:ascii="Arial" w:eastAsia="SimSun" w:hAnsi="Arial" w:cs="Arial"/>
                <w:sz w:val="20"/>
                <w:szCs w:val="20"/>
              </w:rPr>
            </w:pPr>
            <w:r>
              <w:rPr>
                <w:rFonts w:ascii="Arial" w:eastAsia="SimSun" w:hAnsi="Arial" w:cs="Arial"/>
                <w:sz w:val="20"/>
                <w:szCs w:val="20"/>
              </w:rPr>
              <w:t>Securities</w:t>
            </w:r>
          </w:p>
        </w:tc>
        <w:tc>
          <w:tcPr>
            <w:tcW w:w="1919" w:type="dxa"/>
          </w:tcPr>
          <w:p w14:paraId="0CF6B5D7" w14:textId="77777777" w:rsidR="001D009C" w:rsidRPr="00300914" w:rsidRDefault="001D009C" w:rsidP="001D009C">
            <w:pPr>
              <w:widowControl/>
              <w:autoSpaceDE/>
              <w:autoSpaceDN/>
              <w:adjustRightInd/>
              <w:ind w:left="142" w:right="114"/>
              <w:jc w:val="center"/>
              <w:rPr>
                <w:rFonts w:ascii="Arial" w:eastAsia="SimSun" w:hAnsi="Arial" w:cs="Arial"/>
                <w:sz w:val="20"/>
                <w:szCs w:val="20"/>
              </w:rPr>
            </w:pPr>
            <w:r>
              <w:rPr>
                <w:rFonts w:ascii="Arial" w:eastAsia="SimSun" w:hAnsi="Arial" w:cs="Arial"/>
                <w:sz w:val="20"/>
                <w:szCs w:val="20"/>
              </w:rPr>
              <w:t>Number</w:t>
            </w:r>
          </w:p>
        </w:tc>
        <w:tc>
          <w:tcPr>
            <w:tcW w:w="1887" w:type="dxa"/>
          </w:tcPr>
          <w:p w14:paraId="6FAAA4DC" w14:textId="77777777" w:rsidR="001D009C" w:rsidRDefault="001D009C" w:rsidP="001D009C">
            <w:pPr>
              <w:widowControl/>
              <w:autoSpaceDE/>
              <w:autoSpaceDN/>
              <w:adjustRightInd/>
              <w:ind w:left="142" w:right="114"/>
              <w:jc w:val="center"/>
              <w:rPr>
                <w:rFonts w:ascii="Arial" w:eastAsia="SimSun" w:hAnsi="Arial" w:cs="Arial"/>
                <w:sz w:val="20"/>
                <w:szCs w:val="20"/>
              </w:rPr>
            </w:pPr>
            <w:r w:rsidRPr="00300914">
              <w:rPr>
                <w:rFonts w:ascii="Arial" w:eastAsia="SimSun" w:hAnsi="Arial" w:cs="Arial"/>
                <w:sz w:val="20"/>
                <w:szCs w:val="20"/>
              </w:rPr>
              <w:t>Fair value</w:t>
            </w:r>
          </w:p>
          <w:p w14:paraId="00838F20" w14:textId="77777777" w:rsidR="001D009C" w:rsidRDefault="001D009C" w:rsidP="001D009C">
            <w:pPr>
              <w:widowControl/>
              <w:autoSpaceDE/>
              <w:autoSpaceDN/>
              <w:adjustRightInd/>
              <w:ind w:left="142" w:right="114"/>
              <w:jc w:val="center"/>
              <w:rPr>
                <w:rFonts w:ascii="Arial" w:eastAsia="SimSun" w:hAnsi="Arial" w:cs="Arial"/>
                <w:sz w:val="20"/>
                <w:szCs w:val="20"/>
              </w:rPr>
            </w:pPr>
            <w:r>
              <w:rPr>
                <w:rFonts w:ascii="Arial" w:eastAsia="SimSun" w:hAnsi="Arial" w:cs="Arial"/>
                <w:sz w:val="20"/>
                <w:szCs w:val="20"/>
              </w:rPr>
              <w:t>(</w:t>
            </w:r>
            <w:proofErr w:type="gramStart"/>
            <w:r>
              <w:rPr>
                <w:rFonts w:ascii="Arial" w:eastAsia="SimSun" w:hAnsi="Arial" w:cs="Arial"/>
                <w:sz w:val="20"/>
                <w:szCs w:val="20"/>
              </w:rPr>
              <w:t>in</w:t>
            </w:r>
            <w:proofErr w:type="gramEnd"/>
            <w:r>
              <w:rPr>
                <w:rFonts w:ascii="Arial" w:eastAsia="SimSun" w:hAnsi="Arial" w:cs="Arial"/>
                <w:sz w:val="20"/>
                <w:szCs w:val="20"/>
              </w:rPr>
              <w:t xml:space="preserve"> CAD$)</w:t>
            </w:r>
          </w:p>
        </w:tc>
        <w:tc>
          <w:tcPr>
            <w:tcW w:w="1768" w:type="dxa"/>
          </w:tcPr>
          <w:p w14:paraId="52167433" w14:textId="77777777" w:rsidR="001D009C" w:rsidRDefault="001D009C" w:rsidP="001D009C">
            <w:pPr>
              <w:widowControl/>
              <w:autoSpaceDE/>
              <w:autoSpaceDN/>
              <w:adjustRightInd/>
              <w:ind w:left="142" w:right="114"/>
              <w:jc w:val="center"/>
              <w:rPr>
                <w:rFonts w:ascii="Arial" w:eastAsia="SimSun" w:hAnsi="Arial" w:cs="Arial"/>
                <w:sz w:val="20"/>
                <w:szCs w:val="20"/>
              </w:rPr>
            </w:pPr>
            <w:r w:rsidRPr="00300914">
              <w:rPr>
                <w:rFonts w:ascii="Arial" w:eastAsia="SimSun" w:hAnsi="Arial" w:cs="Arial"/>
                <w:sz w:val="20"/>
                <w:szCs w:val="20"/>
              </w:rPr>
              <w:t>Fair value</w:t>
            </w:r>
          </w:p>
          <w:p w14:paraId="42749D7F" w14:textId="77777777" w:rsidR="001D009C" w:rsidRPr="00300914" w:rsidRDefault="001D009C" w:rsidP="001D009C">
            <w:pPr>
              <w:widowControl/>
              <w:autoSpaceDE/>
              <w:autoSpaceDN/>
              <w:adjustRightInd/>
              <w:ind w:left="142" w:right="114"/>
              <w:jc w:val="center"/>
              <w:rPr>
                <w:rFonts w:ascii="Arial" w:eastAsia="SimSun" w:hAnsi="Arial" w:cs="Arial"/>
                <w:sz w:val="20"/>
                <w:szCs w:val="20"/>
              </w:rPr>
            </w:pPr>
            <w:r>
              <w:rPr>
                <w:rFonts w:ascii="Arial" w:eastAsia="SimSun" w:hAnsi="Arial" w:cs="Arial"/>
                <w:sz w:val="20"/>
                <w:szCs w:val="20"/>
              </w:rPr>
              <w:t>(</w:t>
            </w:r>
            <w:proofErr w:type="gramStart"/>
            <w:r>
              <w:rPr>
                <w:rFonts w:ascii="Arial" w:eastAsia="SimSun" w:hAnsi="Arial" w:cs="Arial"/>
                <w:sz w:val="20"/>
                <w:szCs w:val="20"/>
              </w:rPr>
              <w:t>in</w:t>
            </w:r>
            <w:proofErr w:type="gramEnd"/>
            <w:r>
              <w:rPr>
                <w:rFonts w:ascii="Arial" w:eastAsia="SimSun" w:hAnsi="Arial" w:cs="Arial"/>
                <w:sz w:val="20"/>
                <w:szCs w:val="20"/>
              </w:rPr>
              <w:t xml:space="preserve"> US$)</w:t>
            </w:r>
          </w:p>
        </w:tc>
      </w:tr>
      <w:tr w:rsidR="001D009C" w:rsidRPr="00300914" w14:paraId="090870C0" w14:textId="77777777" w:rsidTr="00C31A39">
        <w:tc>
          <w:tcPr>
            <w:tcW w:w="2976" w:type="dxa"/>
          </w:tcPr>
          <w:p w14:paraId="1B405800" w14:textId="67FE5D68" w:rsidR="001D009C" w:rsidRPr="00300914" w:rsidRDefault="00F55D2E" w:rsidP="00C31A39">
            <w:pPr>
              <w:widowControl/>
              <w:autoSpaceDE/>
              <w:autoSpaceDN/>
              <w:adjustRightInd/>
              <w:ind w:left="142" w:right="114"/>
              <w:jc w:val="left"/>
              <w:rPr>
                <w:rFonts w:ascii="Arial" w:eastAsia="SimSun" w:hAnsi="Arial" w:cs="Arial"/>
                <w:sz w:val="20"/>
                <w:szCs w:val="20"/>
              </w:rPr>
            </w:pPr>
            <w:r>
              <w:rPr>
                <w:rFonts w:ascii="Arial" w:eastAsia="SimSun" w:hAnsi="Arial" w:cs="Arial"/>
                <w:sz w:val="20"/>
                <w:szCs w:val="20"/>
              </w:rPr>
              <w:t xml:space="preserve">The Company </w:t>
            </w:r>
            <w:r w:rsidR="001D009C">
              <w:rPr>
                <w:rFonts w:ascii="Arial" w:eastAsia="SimSun" w:hAnsi="Arial" w:cs="Arial"/>
                <w:sz w:val="20"/>
                <w:szCs w:val="20"/>
              </w:rPr>
              <w:t>shareholders</w:t>
            </w:r>
          </w:p>
        </w:tc>
        <w:tc>
          <w:tcPr>
            <w:tcW w:w="1439" w:type="dxa"/>
          </w:tcPr>
          <w:p w14:paraId="0E7CC388" w14:textId="77777777" w:rsidR="001D009C"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SVS</w:t>
            </w:r>
          </w:p>
        </w:tc>
        <w:tc>
          <w:tcPr>
            <w:tcW w:w="1919" w:type="dxa"/>
          </w:tcPr>
          <w:p w14:paraId="6365EF7A"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5,700,000</w:t>
            </w:r>
          </w:p>
        </w:tc>
        <w:tc>
          <w:tcPr>
            <w:tcW w:w="1887" w:type="dxa"/>
            <w:vAlign w:val="bottom"/>
          </w:tcPr>
          <w:p w14:paraId="58A10891" w14:textId="77777777" w:rsidR="001D009C" w:rsidRPr="00300914" w:rsidRDefault="001D009C" w:rsidP="001D009C">
            <w:pPr>
              <w:widowControl/>
              <w:autoSpaceDE/>
              <w:autoSpaceDN/>
              <w:adjustRightInd/>
              <w:ind w:left="142" w:right="313"/>
              <w:jc w:val="right"/>
              <w:rPr>
                <w:rFonts w:ascii="Arial" w:eastAsia="SimSun" w:hAnsi="Arial" w:cs="Arial"/>
                <w:sz w:val="20"/>
                <w:szCs w:val="20"/>
              </w:rPr>
            </w:pPr>
            <w:r>
              <w:rPr>
                <w:rFonts w:ascii="Arial" w:eastAsia="SimSun" w:hAnsi="Arial" w:cs="Arial"/>
                <w:sz w:val="20"/>
                <w:szCs w:val="20"/>
              </w:rPr>
              <w:t>1,140,000</w:t>
            </w:r>
          </w:p>
        </w:tc>
        <w:tc>
          <w:tcPr>
            <w:tcW w:w="1768" w:type="dxa"/>
          </w:tcPr>
          <w:p w14:paraId="34D27612" w14:textId="77777777" w:rsidR="001D009C" w:rsidRPr="004D2378"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868,680</w:t>
            </w:r>
          </w:p>
        </w:tc>
      </w:tr>
      <w:tr w:rsidR="001D009C" w:rsidRPr="00300914" w14:paraId="525D08D9" w14:textId="77777777" w:rsidTr="00C31A39">
        <w:tc>
          <w:tcPr>
            <w:tcW w:w="2976" w:type="dxa"/>
          </w:tcPr>
          <w:p w14:paraId="23DA31EB" w14:textId="24523B3F" w:rsidR="001D009C" w:rsidRPr="00300914" w:rsidRDefault="00F55D2E" w:rsidP="00C31A39">
            <w:pPr>
              <w:widowControl/>
              <w:autoSpaceDE/>
              <w:autoSpaceDN/>
              <w:adjustRightInd/>
              <w:ind w:left="142" w:right="114"/>
              <w:jc w:val="left"/>
              <w:rPr>
                <w:rFonts w:ascii="Arial" w:eastAsia="SimSun" w:hAnsi="Arial" w:cs="Arial"/>
                <w:sz w:val="20"/>
                <w:szCs w:val="20"/>
              </w:rPr>
            </w:pPr>
            <w:r>
              <w:rPr>
                <w:rFonts w:ascii="Arial" w:eastAsia="SimSun" w:hAnsi="Arial" w:cs="Arial"/>
                <w:sz w:val="20"/>
                <w:szCs w:val="20"/>
              </w:rPr>
              <w:t>The Company</w:t>
            </w:r>
            <w:r w:rsidR="001D009C">
              <w:rPr>
                <w:rFonts w:ascii="Arial" w:eastAsia="SimSun" w:hAnsi="Arial" w:cs="Arial"/>
                <w:sz w:val="20"/>
                <w:szCs w:val="20"/>
              </w:rPr>
              <w:t xml:space="preserve"> shareholders</w:t>
            </w:r>
          </w:p>
        </w:tc>
        <w:tc>
          <w:tcPr>
            <w:tcW w:w="1439" w:type="dxa"/>
          </w:tcPr>
          <w:p w14:paraId="04B9D8BF"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Options</w:t>
            </w:r>
          </w:p>
        </w:tc>
        <w:tc>
          <w:tcPr>
            <w:tcW w:w="1919" w:type="dxa"/>
          </w:tcPr>
          <w:p w14:paraId="68BCB8BA"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150,000</w:t>
            </w:r>
          </w:p>
        </w:tc>
        <w:tc>
          <w:tcPr>
            <w:tcW w:w="1887" w:type="dxa"/>
            <w:vAlign w:val="bottom"/>
          </w:tcPr>
          <w:p w14:paraId="2B07B141" w14:textId="77777777" w:rsidR="001D009C" w:rsidRDefault="001D009C" w:rsidP="001D009C">
            <w:pPr>
              <w:widowControl/>
              <w:autoSpaceDE/>
              <w:autoSpaceDN/>
              <w:adjustRightInd/>
              <w:ind w:left="142" w:right="313"/>
              <w:jc w:val="right"/>
              <w:rPr>
                <w:rFonts w:ascii="Arial" w:eastAsia="SimSun" w:hAnsi="Arial" w:cs="Arial"/>
                <w:sz w:val="20"/>
                <w:szCs w:val="20"/>
              </w:rPr>
            </w:pPr>
            <w:r>
              <w:rPr>
                <w:rFonts w:ascii="Arial" w:eastAsia="SimSun" w:hAnsi="Arial" w:cs="Arial"/>
                <w:sz w:val="20"/>
                <w:szCs w:val="20"/>
              </w:rPr>
              <w:t>24,700</w:t>
            </w:r>
          </w:p>
        </w:tc>
        <w:tc>
          <w:tcPr>
            <w:tcW w:w="1768" w:type="dxa"/>
          </w:tcPr>
          <w:p w14:paraId="6127E3DA" w14:textId="77777777" w:rsidR="001D009C" w:rsidRPr="004D2378"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18,821</w:t>
            </w:r>
          </w:p>
        </w:tc>
      </w:tr>
      <w:tr w:rsidR="001D009C" w:rsidRPr="00300914" w14:paraId="173E0F48" w14:textId="77777777" w:rsidTr="00C31A39">
        <w:tc>
          <w:tcPr>
            <w:tcW w:w="2976" w:type="dxa"/>
          </w:tcPr>
          <w:p w14:paraId="562940D3" w14:textId="77777777" w:rsidR="001D009C" w:rsidRDefault="001D009C" w:rsidP="001D009C">
            <w:pPr>
              <w:widowControl/>
              <w:autoSpaceDE/>
              <w:autoSpaceDN/>
              <w:adjustRightInd/>
              <w:ind w:left="142" w:right="114"/>
              <w:rPr>
                <w:rFonts w:ascii="Arial" w:eastAsia="SimSun" w:hAnsi="Arial" w:cs="Arial"/>
                <w:sz w:val="20"/>
                <w:szCs w:val="20"/>
              </w:rPr>
            </w:pPr>
            <w:r>
              <w:rPr>
                <w:rFonts w:ascii="Arial" w:eastAsia="SimSun" w:hAnsi="Arial" w:cs="Arial"/>
                <w:sz w:val="20"/>
                <w:szCs w:val="20"/>
              </w:rPr>
              <w:t>Eception shareholders</w:t>
            </w:r>
          </w:p>
        </w:tc>
        <w:tc>
          <w:tcPr>
            <w:tcW w:w="1439" w:type="dxa"/>
          </w:tcPr>
          <w:p w14:paraId="07A8D03F" w14:textId="77777777" w:rsidR="001D009C"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SVS</w:t>
            </w:r>
          </w:p>
        </w:tc>
        <w:tc>
          <w:tcPr>
            <w:tcW w:w="1919" w:type="dxa"/>
          </w:tcPr>
          <w:p w14:paraId="7249C272" w14:textId="77777777" w:rsidR="001D009C"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653,500</w:t>
            </w:r>
          </w:p>
        </w:tc>
        <w:tc>
          <w:tcPr>
            <w:tcW w:w="1887" w:type="dxa"/>
            <w:vAlign w:val="bottom"/>
          </w:tcPr>
          <w:p w14:paraId="12B58D26" w14:textId="77777777" w:rsidR="001D009C" w:rsidRDefault="001D009C" w:rsidP="001D009C">
            <w:pPr>
              <w:widowControl/>
              <w:autoSpaceDE/>
              <w:autoSpaceDN/>
              <w:adjustRightInd/>
              <w:ind w:left="142" w:right="313"/>
              <w:jc w:val="right"/>
              <w:rPr>
                <w:rFonts w:ascii="Arial" w:eastAsia="SimSun" w:hAnsi="Arial" w:cs="Arial"/>
                <w:sz w:val="20"/>
                <w:szCs w:val="20"/>
              </w:rPr>
            </w:pPr>
            <w:r>
              <w:rPr>
                <w:rFonts w:ascii="Arial" w:eastAsia="SimSun" w:hAnsi="Arial" w:cs="Arial"/>
                <w:sz w:val="20"/>
                <w:szCs w:val="20"/>
              </w:rPr>
              <w:t>130,700</w:t>
            </w:r>
          </w:p>
        </w:tc>
        <w:tc>
          <w:tcPr>
            <w:tcW w:w="1768" w:type="dxa"/>
          </w:tcPr>
          <w:p w14:paraId="59F4967D" w14:textId="77777777" w:rsidR="001D009C"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99,593</w:t>
            </w:r>
          </w:p>
        </w:tc>
      </w:tr>
      <w:tr w:rsidR="001D009C" w:rsidRPr="00300914" w14:paraId="6580E10C" w14:textId="77777777" w:rsidTr="00C31A39">
        <w:tc>
          <w:tcPr>
            <w:tcW w:w="2976" w:type="dxa"/>
            <w:tcBorders>
              <w:bottom w:val="single" w:sz="4" w:space="0" w:color="auto"/>
            </w:tcBorders>
          </w:tcPr>
          <w:p w14:paraId="42DCF6C7" w14:textId="77777777" w:rsidR="001D009C" w:rsidRPr="00300914" w:rsidRDefault="001D009C" w:rsidP="001D009C">
            <w:pPr>
              <w:widowControl/>
              <w:autoSpaceDE/>
              <w:autoSpaceDN/>
              <w:adjustRightInd/>
              <w:ind w:left="142" w:right="114"/>
              <w:rPr>
                <w:rFonts w:ascii="Arial" w:eastAsia="SimSun" w:hAnsi="Arial" w:cs="Arial"/>
                <w:sz w:val="20"/>
                <w:szCs w:val="20"/>
              </w:rPr>
            </w:pPr>
            <w:r>
              <w:rPr>
                <w:rFonts w:ascii="Arial" w:eastAsia="SimSun" w:hAnsi="Arial" w:cs="Arial"/>
                <w:sz w:val="20"/>
                <w:szCs w:val="20"/>
              </w:rPr>
              <w:t>Eception founders</w:t>
            </w:r>
          </w:p>
        </w:tc>
        <w:tc>
          <w:tcPr>
            <w:tcW w:w="1439" w:type="dxa"/>
            <w:tcBorders>
              <w:bottom w:val="single" w:sz="4" w:space="0" w:color="auto"/>
            </w:tcBorders>
          </w:tcPr>
          <w:p w14:paraId="31F3FDEB"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SVS</w:t>
            </w:r>
          </w:p>
        </w:tc>
        <w:tc>
          <w:tcPr>
            <w:tcW w:w="1919" w:type="dxa"/>
            <w:tcBorders>
              <w:bottom w:val="single" w:sz="4" w:space="0" w:color="auto"/>
            </w:tcBorders>
          </w:tcPr>
          <w:p w14:paraId="7861011A"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100,000</w:t>
            </w:r>
          </w:p>
        </w:tc>
        <w:tc>
          <w:tcPr>
            <w:tcW w:w="1887" w:type="dxa"/>
            <w:tcBorders>
              <w:bottom w:val="single" w:sz="4" w:space="0" w:color="auto"/>
            </w:tcBorders>
            <w:vAlign w:val="bottom"/>
          </w:tcPr>
          <w:p w14:paraId="3C742F64" w14:textId="77777777" w:rsidR="001D009C" w:rsidRPr="00300914" w:rsidRDefault="001D009C" w:rsidP="001D009C">
            <w:pPr>
              <w:widowControl/>
              <w:autoSpaceDE/>
              <w:autoSpaceDN/>
              <w:adjustRightInd/>
              <w:ind w:left="142" w:right="313"/>
              <w:jc w:val="right"/>
              <w:rPr>
                <w:rFonts w:ascii="Arial" w:eastAsia="SimSun" w:hAnsi="Arial" w:cs="Arial"/>
                <w:sz w:val="20"/>
                <w:szCs w:val="20"/>
              </w:rPr>
            </w:pPr>
            <w:r>
              <w:rPr>
                <w:rFonts w:ascii="Arial" w:eastAsia="SimSun" w:hAnsi="Arial" w:cs="Arial"/>
                <w:sz w:val="20"/>
                <w:szCs w:val="20"/>
              </w:rPr>
              <w:t>20,000</w:t>
            </w:r>
          </w:p>
        </w:tc>
        <w:tc>
          <w:tcPr>
            <w:tcW w:w="1768" w:type="dxa"/>
            <w:tcBorders>
              <w:bottom w:val="single" w:sz="4" w:space="0" w:color="auto"/>
            </w:tcBorders>
          </w:tcPr>
          <w:p w14:paraId="504AED5D" w14:textId="77777777" w:rsidR="001D009C" w:rsidRPr="004D2378"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15,240</w:t>
            </w:r>
          </w:p>
        </w:tc>
      </w:tr>
      <w:tr w:rsidR="001D009C" w:rsidRPr="00300914" w14:paraId="71F766B3" w14:textId="77777777" w:rsidTr="00C31A39">
        <w:tc>
          <w:tcPr>
            <w:tcW w:w="2976" w:type="dxa"/>
            <w:tcBorders>
              <w:top w:val="single" w:sz="4" w:space="0" w:color="auto"/>
              <w:bottom w:val="single" w:sz="12" w:space="0" w:color="auto"/>
            </w:tcBorders>
          </w:tcPr>
          <w:p w14:paraId="1C468884" w14:textId="77777777" w:rsidR="001D009C" w:rsidRPr="00300914" w:rsidRDefault="001D009C" w:rsidP="001D009C">
            <w:pPr>
              <w:widowControl/>
              <w:autoSpaceDE/>
              <w:autoSpaceDN/>
              <w:adjustRightInd/>
              <w:ind w:left="142" w:right="114"/>
              <w:rPr>
                <w:rFonts w:ascii="Arial" w:eastAsia="SimSun" w:hAnsi="Arial" w:cs="Arial"/>
                <w:sz w:val="20"/>
                <w:szCs w:val="20"/>
              </w:rPr>
            </w:pPr>
            <w:r w:rsidRPr="00300914">
              <w:rPr>
                <w:rFonts w:ascii="Arial" w:eastAsia="SimSun" w:hAnsi="Arial" w:cs="Arial"/>
                <w:sz w:val="20"/>
                <w:szCs w:val="20"/>
              </w:rPr>
              <w:t>Total</w:t>
            </w:r>
          </w:p>
        </w:tc>
        <w:tc>
          <w:tcPr>
            <w:tcW w:w="1439" w:type="dxa"/>
            <w:tcBorders>
              <w:top w:val="single" w:sz="4" w:space="0" w:color="auto"/>
              <w:bottom w:val="single" w:sz="12" w:space="0" w:color="auto"/>
            </w:tcBorders>
          </w:tcPr>
          <w:p w14:paraId="58EFECCB"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p>
        </w:tc>
        <w:tc>
          <w:tcPr>
            <w:tcW w:w="1919" w:type="dxa"/>
            <w:tcBorders>
              <w:top w:val="single" w:sz="4" w:space="0" w:color="auto"/>
              <w:bottom w:val="single" w:sz="12" w:space="0" w:color="auto"/>
            </w:tcBorders>
          </w:tcPr>
          <w:p w14:paraId="075C1479" w14:textId="77777777" w:rsidR="001D009C" w:rsidRPr="00300914" w:rsidRDefault="001D009C" w:rsidP="001D009C">
            <w:pPr>
              <w:widowControl/>
              <w:autoSpaceDE/>
              <w:autoSpaceDN/>
              <w:adjustRightInd/>
              <w:ind w:left="142" w:right="114"/>
              <w:jc w:val="right"/>
              <w:rPr>
                <w:rFonts w:ascii="Arial" w:eastAsia="SimSun" w:hAnsi="Arial" w:cs="Arial"/>
                <w:sz w:val="20"/>
                <w:szCs w:val="20"/>
              </w:rPr>
            </w:pPr>
          </w:p>
        </w:tc>
        <w:tc>
          <w:tcPr>
            <w:tcW w:w="1887" w:type="dxa"/>
            <w:tcBorders>
              <w:top w:val="single" w:sz="4" w:space="0" w:color="auto"/>
              <w:bottom w:val="single" w:sz="12" w:space="0" w:color="auto"/>
            </w:tcBorders>
            <w:vAlign w:val="bottom"/>
          </w:tcPr>
          <w:p w14:paraId="728A0892" w14:textId="77777777" w:rsidR="001D009C" w:rsidRPr="00300914" w:rsidRDefault="001D009C" w:rsidP="001D009C">
            <w:pPr>
              <w:widowControl/>
              <w:autoSpaceDE/>
              <w:autoSpaceDN/>
              <w:adjustRightInd/>
              <w:ind w:left="142" w:right="313"/>
              <w:jc w:val="right"/>
              <w:rPr>
                <w:rFonts w:ascii="Arial" w:eastAsia="SimSun" w:hAnsi="Arial" w:cs="Arial"/>
                <w:sz w:val="20"/>
                <w:szCs w:val="20"/>
              </w:rPr>
            </w:pPr>
            <w:r>
              <w:rPr>
                <w:rFonts w:ascii="Arial" w:eastAsia="SimSun" w:hAnsi="Arial" w:cs="Arial"/>
                <w:sz w:val="20"/>
                <w:szCs w:val="20"/>
              </w:rPr>
              <w:t>1,315,400</w:t>
            </w:r>
          </w:p>
        </w:tc>
        <w:tc>
          <w:tcPr>
            <w:tcW w:w="1768" w:type="dxa"/>
            <w:tcBorders>
              <w:top w:val="single" w:sz="4" w:space="0" w:color="auto"/>
              <w:bottom w:val="single" w:sz="12" w:space="0" w:color="auto"/>
            </w:tcBorders>
          </w:tcPr>
          <w:p w14:paraId="3477C618" w14:textId="77777777" w:rsidR="001D009C" w:rsidRPr="004D2378" w:rsidRDefault="001D009C" w:rsidP="001D009C">
            <w:pPr>
              <w:widowControl/>
              <w:autoSpaceDE/>
              <w:autoSpaceDN/>
              <w:adjustRightInd/>
              <w:ind w:left="142" w:right="114"/>
              <w:jc w:val="right"/>
              <w:rPr>
                <w:rFonts w:ascii="Arial" w:eastAsia="SimSun" w:hAnsi="Arial" w:cs="Arial"/>
                <w:sz w:val="20"/>
                <w:szCs w:val="20"/>
              </w:rPr>
            </w:pPr>
            <w:r>
              <w:rPr>
                <w:rFonts w:ascii="Arial" w:eastAsia="SimSun" w:hAnsi="Arial" w:cs="Arial"/>
                <w:sz w:val="20"/>
                <w:szCs w:val="20"/>
              </w:rPr>
              <w:t>1,002,334</w:t>
            </w:r>
          </w:p>
        </w:tc>
      </w:tr>
    </w:tbl>
    <w:p w14:paraId="3B2BD504" w14:textId="77777777" w:rsidR="00303FF2" w:rsidRDefault="00303FF2" w:rsidP="00983928">
      <w:pPr>
        <w:widowControl/>
        <w:ind w:left="142" w:right="114"/>
        <w:rPr>
          <w:rFonts w:ascii="Arial" w:eastAsia="SimSun" w:hAnsi="Arial" w:cs="Arial"/>
          <w:sz w:val="20"/>
          <w:szCs w:val="20"/>
        </w:rPr>
      </w:pPr>
    </w:p>
    <w:p w14:paraId="1B97DB30" w14:textId="77777777" w:rsidR="00983928" w:rsidRDefault="00983928" w:rsidP="00983928">
      <w:pPr>
        <w:widowControl/>
        <w:ind w:left="142" w:right="114"/>
        <w:rPr>
          <w:rFonts w:ascii="Arial" w:eastAsia="SimSun" w:hAnsi="Arial" w:cs="Arial"/>
          <w:sz w:val="20"/>
          <w:szCs w:val="20"/>
        </w:rPr>
      </w:pPr>
      <w:r w:rsidRPr="00300914">
        <w:rPr>
          <w:rFonts w:ascii="Arial" w:eastAsia="SimSun" w:hAnsi="Arial" w:cs="Arial"/>
          <w:sz w:val="20"/>
          <w:szCs w:val="20"/>
        </w:rPr>
        <w:t xml:space="preserve">The fair value of the options was based on an application of the Black Scholes option pricing model using the following weighted average assumptions: a share price of </w:t>
      </w:r>
      <w:r w:rsidR="001C3181">
        <w:rPr>
          <w:rFonts w:ascii="Arial" w:eastAsia="SimSun" w:hAnsi="Arial" w:cs="Arial"/>
          <w:sz w:val="20"/>
          <w:szCs w:val="20"/>
        </w:rPr>
        <w:t>CAD</w:t>
      </w:r>
      <w:r w:rsidRPr="00300914">
        <w:rPr>
          <w:rFonts w:ascii="Arial" w:eastAsia="SimSun" w:hAnsi="Arial" w:cs="Arial"/>
          <w:sz w:val="20"/>
          <w:szCs w:val="20"/>
        </w:rPr>
        <w:t>$0.</w:t>
      </w:r>
      <w:r w:rsidR="001C3181">
        <w:rPr>
          <w:rFonts w:ascii="Arial" w:eastAsia="SimSun" w:hAnsi="Arial" w:cs="Arial"/>
          <w:sz w:val="20"/>
          <w:szCs w:val="20"/>
        </w:rPr>
        <w:t>2</w:t>
      </w:r>
      <w:r w:rsidRPr="00300914">
        <w:rPr>
          <w:rFonts w:ascii="Arial" w:eastAsia="SimSun" w:hAnsi="Arial" w:cs="Arial"/>
          <w:sz w:val="20"/>
          <w:szCs w:val="20"/>
        </w:rPr>
        <w:t>0 per share, a volatility of 1</w:t>
      </w:r>
      <w:r w:rsidR="001C3181">
        <w:rPr>
          <w:rFonts w:ascii="Arial" w:eastAsia="SimSun" w:hAnsi="Arial" w:cs="Arial"/>
          <w:sz w:val="20"/>
          <w:szCs w:val="20"/>
        </w:rPr>
        <w:t>00</w:t>
      </w:r>
      <w:r w:rsidRPr="00300914">
        <w:rPr>
          <w:rFonts w:ascii="Arial" w:eastAsia="SimSun" w:hAnsi="Arial" w:cs="Arial"/>
          <w:sz w:val="20"/>
          <w:szCs w:val="20"/>
        </w:rPr>
        <w:t xml:space="preserve">%, an annual </w:t>
      </w:r>
      <w:proofErr w:type="gramStart"/>
      <w:r w:rsidRPr="00300914">
        <w:rPr>
          <w:rFonts w:ascii="Arial" w:eastAsia="SimSun" w:hAnsi="Arial" w:cs="Arial"/>
          <w:sz w:val="20"/>
          <w:szCs w:val="20"/>
        </w:rPr>
        <w:t>risk free</w:t>
      </w:r>
      <w:proofErr w:type="gramEnd"/>
      <w:r w:rsidRPr="00300914">
        <w:rPr>
          <w:rFonts w:ascii="Arial" w:eastAsia="SimSun" w:hAnsi="Arial" w:cs="Arial"/>
          <w:sz w:val="20"/>
          <w:szCs w:val="20"/>
        </w:rPr>
        <w:t xml:space="preserve"> interest rate of </w:t>
      </w:r>
      <w:r w:rsidR="00370F42">
        <w:rPr>
          <w:rFonts w:ascii="Arial" w:eastAsia="SimSun" w:hAnsi="Arial" w:cs="Arial"/>
          <w:sz w:val="20"/>
          <w:szCs w:val="20"/>
        </w:rPr>
        <w:t>0.41</w:t>
      </w:r>
      <w:r w:rsidRPr="00300914">
        <w:rPr>
          <w:rFonts w:ascii="Arial" w:eastAsia="SimSun" w:hAnsi="Arial" w:cs="Arial"/>
          <w:sz w:val="20"/>
          <w:szCs w:val="20"/>
        </w:rPr>
        <w:t xml:space="preserve">%, no dividends, and expected remaining expected lives of </w:t>
      </w:r>
      <w:r w:rsidR="00370F42">
        <w:rPr>
          <w:rFonts w:ascii="Arial" w:eastAsia="SimSun" w:hAnsi="Arial" w:cs="Arial"/>
          <w:sz w:val="20"/>
          <w:szCs w:val="20"/>
        </w:rPr>
        <w:t>4.5</w:t>
      </w:r>
      <w:r w:rsidRPr="00300914">
        <w:rPr>
          <w:rFonts w:ascii="Arial" w:eastAsia="SimSun" w:hAnsi="Arial" w:cs="Arial"/>
          <w:sz w:val="20"/>
          <w:szCs w:val="20"/>
        </w:rPr>
        <w:t xml:space="preserve"> years.</w:t>
      </w:r>
    </w:p>
    <w:p w14:paraId="2BC08706" w14:textId="77777777" w:rsidR="00B918F1" w:rsidRDefault="00B918F1" w:rsidP="00983928">
      <w:pPr>
        <w:widowControl/>
        <w:ind w:left="142" w:right="114"/>
        <w:rPr>
          <w:rFonts w:ascii="Arial" w:eastAsia="SimSun" w:hAnsi="Arial" w:cs="Arial"/>
          <w:sz w:val="20"/>
          <w:szCs w:val="20"/>
        </w:rPr>
      </w:pPr>
    </w:p>
    <w:p w14:paraId="1408A8B4" w14:textId="77777777" w:rsidR="00B918F1" w:rsidRDefault="00B918F1" w:rsidP="00983928">
      <w:pPr>
        <w:widowControl/>
        <w:ind w:left="142" w:right="114"/>
        <w:rPr>
          <w:rFonts w:ascii="Arial" w:eastAsia="SimSun" w:hAnsi="Arial" w:cs="Arial"/>
          <w:sz w:val="20"/>
          <w:szCs w:val="20"/>
        </w:rPr>
      </w:pPr>
      <w:r>
        <w:rPr>
          <w:rFonts w:ascii="Arial" w:eastAsia="SimSun" w:hAnsi="Arial" w:cs="Arial"/>
          <w:sz w:val="20"/>
          <w:szCs w:val="20"/>
        </w:rPr>
        <w:t xml:space="preserve">The total listing expense of </w:t>
      </w:r>
      <w:r w:rsidR="001D009C">
        <w:rPr>
          <w:rFonts w:ascii="Arial" w:eastAsia="SimSun" w:hAnsi="Arial" w:cs="Arial"/>
          <w:sz w:val="20"/>
          <w:szCs w:val="20"/>
        </w:rPr>
        <w:t>$1,108,514 (</w:t>
      </w:r>
      <w:r w:rsidR="00176184">
        <w:rPr>
          <w:rFonts w:ascii="Arial" w:eastAsia="SimSun" w:hAnsi="Arial" w:cs="Arial"/>
          <w:sz w:val="20"/>
          <w:szCs w:val="20"/>
        </w:rPr>
        <w:t xml:space="preserve">CAD$1,454,743) was determined </w:t>
      </w:r>
      <w:r w:rsidR="004B5648">
        <w:rPr>
          <w:rFonts w:ascii="Arial" w:eastAsia="SimSun" w:hAnsi="Arial" w:cs="Arial"/>
          <w:sz w:val="20"/>
          <w:szCs w:val="20"/>
        </w:rPr>
        <w:t>as follows:</w:t>
      </w:r>
      <w:r w:rsidR="004B5648">
        <w:rPr>
          <w:rFonts w:ascii="Arial" w:eastAsia="SimSun" w:hAnsi="Arial" w:cs="Arial"/>
          <w:sz w:val="20"/>
          <w:szCs w:val="20"/>
        </w:rPr>
        <w:tab/>
      </w:r>
    </w:p>
    <w:p w14:paraId="2B3CCBB9" w14:textId="77777777" w:rsidR="0004014C" w:rsidRDefault="0004014C" w:rsidP="00835ADA">
      <w:pPr>
        <w:rPr>
          <w:rFonts w:ascii="Arial" w:hAnsi="Arial" w:cs="Arial"/>
          <w:sz w:val="20"/>
          <w:szCs w:val="20"/>
        </w:rPr>
      </w:pPr>
    </w:p>
    <w:tbl>
      <w:tblPr>
        <w:tblW w:w="9781" w:type="dxa"/>
        <w:jc w:val="center"/>
        <w:tblLook w:val="0000" w:firstRow="0" w:lastRow="0" w:firstColumn="0" w:lastColumn="0" w:noHBand="0" w:noVBand="0"/>
      </w:tblPr>
      <w:tblGrid>
        <w:gridCol w:w="877"/>
        <w:gridCol w:w="5723"/>
        <w:gridCol w:w="1362"/>
        <w:gridCol w:w="1819"/>
      </w:tblGrid>
      <w:tr w:rsidR="001D009C" w:rsidRPr="00300914" w14:paraId="1A09E17C" w14:textId="77777777" w:rsidTr="001D009C">
        <w:trPr>
          <w:trHeight w:hRule="exact" w:val="255"/>
          <w:jc w:val="center"/>
        </w:trPr>
        <w:tc>
          <w:tcPr>
            <w:tcW w:w="6600" w:type="dxa"/>
            <w:gridSpan w:val="2"/>
            <w:tcBorders>
              <w:top w:val="nil"/>
              <w:left w:val="nil"/>
              <w:bottom w:val="nil"/>
              <w:right w:val="nil"/>
            </w:tcBorders>
            <w:vAlign w:val="bottom"/>
          </w:tcPr>
          <w:p w14:paraId="566032E0"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sidRPr="00300914">
              <w:rPr>
                <w:rFonts w:ascii="Arial" w:eastAsia="SimSun" w:hAnsi="Arial" w:cs="Arial"/>
                <w:sz w:val="20"/>
                <w:szCs w:val="20"/>
                <w:lang w:val="en-US" w:eastAsia="zh-CN"/>
              </w:rPr>
              <w:t>Fair value of share-based compensation</w:t>
            </w:r>
          </w:p>
        </w:tc>
        <w:tc>
          <w:tcPr>
            <w:tcW w:w="1362" w:type="dxa"/>
            <w:tcBorders>
              <w:top w:val="nil"/>
              <w:left w:val="nil"/>
              <w:right w:val="nil"/>
            </w:tcBorders>
            <w:noWrap/>
            <w:vAlign w:val="bottom"/>
          </w:tcPr>
          <w:p w14:paraId="438C9DD5"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CAD</w:t>
            </w:r>
            <w:r w:rsidRPr="00300914">
              <w:rPr>
                <w:rFonts w:ascii="Arial" w:eastAsia="SimSun" w:hAnsi="Arial" w:cs="Arial"/>
                <w:sz w:val="20"/>
                <w:szCs w:val="20"/>
                <w:lang w:val="en-US" w:eastAsia="zh-CN"/>
              </w:rPr>
              <w:t>$</w:t>
            </w:r>
          </w:p>
        </w:tc>
        <w:tc>
          <w:tcPr>
            <w:tcW w:w="1819" w:type="dxa"/>
            <w:tcBorders>
              <w:top w:val="nil"/>
              <w:left w:val="nil"/>
              <w:right w:val="nil"/>
            </w:tcBorders>
            <w:vAlign w:val="bottom"/>
          </w:tcPr>
          <w:p w14:paraId="048FC1C9" w14:textId="77777777" w:rsidR="001D009C"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US</w:t>
            </w:r>
            <w:r w:rsidRPr="00300914">
              <w:rPr>
                <w:rFonts w:ascii="Arial" w:eastAsia="SimSun" w:hAnsi="Arial" w:cs="Arial"/>
                <w:sz w:val="20"/>
                <w:szCs w:val="20"/>
                <w:lang w:val="en-US" w:eastAsia="zh-CN"/>
              </w:rPr>
              <w:t>$</w:t>
            </w:r>
          </w:p>
        </w:tc>
      </w:tr>
      <w:tr w:rsidR="001D009C" w:rsidRPr="00300914" w14:paraId="690F1212" w14:textId="77777777" w:rsidTr="001D009C">
        <w:trPr>
          <w:trHeight w:hRule="exact" w:val="255"/>
          <w:jc w:val="center"/>
        </w:trPr>
        <w:tc>
          <w:tcPr>
            <w:tcW w:w="877" w:type="dxa"/>
            <w:tcBorders>
              <w:top w:val="nil"/>
              <w:left w:val="nil"/>
              <w:right w:val="nil"/>
            </w:tcBorders>
            <w:vAlign w:val="bottom"/>
          </w:tcPr>
          <w:p w14:paraId="081C24FF"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5723" w:type="dxa"/>
            <w:tcBorders>
              <w:top w:val="nil"/>
              <w:left w:val="nil"/>
              <w:right w:val="nil"/>
            </w:tcBorders>
            <w:noWrap/>
            <w:vAlign w:val="bottom"/>
          </w:tcPr>
          <w:p w14:paraId="3AC40109"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sidRPr="00300914">
              <w:rPr>
                <w:rFonts w:ascii="Arial" w:eastAsia="SimSun" w:hAnsi="Arial" w:cs="Arial"/>
                <w:sz w:val="20"/>
                <w:szCs w:val="20"/>
                <w:lang w:val="en-US" w:eastAsia="zh-CN"/>
              </w:rPr>
              <w:t>Deemed share issuance</w:t>
            </w:r>
          </w:p>
        </w:tc>
        <w:tc>
          <w:tcPr>
            <w:tcW w:w="1362" w:type="dxa"/>
            <w:tcBorders>
              <w:left w:val="nil"/>
              <w:right w:val="nil"/>
            </w:tcBorders>
            <w:vAlign w:val="bottom"/>
          </w:tcPr>
          <w:p w14:paraId="0C688B2B" w14:textId="77777777" w:rsidR="001D009C"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1,290,700</w:t>
            </w:r>
          </w:p>
        </w:tc>
        <w:tc>
          <w:tcPr>
            <w:tcW w:w="1819" w:type="dxa"/>
            <w:tcBorders>
              <w:left w:val="nil"/>
              <w:right w:val="nil"/>
            </w:tcBorders>
            <w:noWrap/>
            <w:vAlign w:val="bottom"/>
          </w:tcPr>
          <w:p w14:paraId="21AF9C62"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983,513</w:t>
            </w:r>
          </w:p>
        </w:tc>
      </w:tr>
      <w:tr w:rsidR="001D009C" w:rsidRPr="00300914" w14:paraId="56648713" w14:textId="77777777" w:rsidTr="001D009C">
        <w:trPr>
          <w:trHeight w:hRule="exact" w:val="255"/>
          <w:jc w:val="center"/>
        </w:trPr>
        <w:tc>
          <w:tcPr>
            <w:tcW w:w="877" w:type="dxa"/>
            <w:tcBorders>
              <w:top w:val="nil"/>
              <w:left w:val="nil"/>
              <w:bottom w:val="single" w:sz="4" w:space="0" w:color="auto"/>
              <w:right w:val="nil"/>
            </w:tcBorders>
            <w:vAlign w:val="bottom"/>
          </w:tcPr>
          <w:p w14:paraId="02353EC5"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5723" w:type="dxa"/>
            <w:tcBorders>
              <w:top w:val="nil"/>
              <w:left w:val="nil"/>
              <w:bottom w:val="single" w:sz="4" w:space="0" w:color="auto"/>
              <w:right w:val="nil"/>
            </w:tcBorders>
            <w:noWrap/>
            <w:vAlign w:val="bottom"/>
          </w:tcPr>
          <w:p w14:paraId="4FB5B334"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sidRPr="00300914">
              <w:rPr>
                <w:rFonts w:ascii="Arial" w:eastAsia="SimSun" w:hAnsi="Arial" w:cs="Arial"/>
                <w:sz w:val="20"/>
                <w:szCs w:val="20"/>
                <w:lang w:val="en-US" w:eastAsia="zh-CN"/>
              </w:rPr>
              <w:t>Options deemed granted</w:t>
            </w:r>
          </w:p>
        </w:tc>
        <w:tc>
          <w:tcPr>
            <w:tcW w:w="1362" w:type="dxa"/>
            <w:tcBorders>
              <w:top w:val="nil"/>
              <w:left w:val="nil"/>
              <w:bottom w:val="single" w:sz="4" w:space="0" w:color="auto"/>
              <w:right w:val="nil"/>
            </w:tcBorders>
            <w:vAlign w:val="bottom"/>
          </w:tcPr>
          <w:p w14:paraId="08A8AF1C" w14:textId="77777777" w:rsidR="001D009C"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24,700</w:t>
            </w:r>
          </w:p>
        </w:tc>
        <w:tc>
          <w:tcPr>
            <w:tcW w:w="1819" w:type="dxa"/>
            <w:tcBorders>
              <w:top w:val="nil"/>
              <w:left w:val="nil"/>
              <w:bottom w:val="single" w:sz="4" w:space="0" w:color="auto"/>
              <w:right w:val="nil"/>
            </w:tcBorders>
            <w:noWrap/>
            <w:vAlign w:val="bottom"/>
          </w:tcPr>
          <w:p w14:paraId="4A5267CA"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18,821</w:t>
            </w:r>
          </w:p>
        </w:tc>
      </w:tr>
      <w:tr w:rsidR="001D009C" w:rsidRPr="00300914" w14:paraId="56285153" w14:textId="77777777" w:rsidTr="001D009C">
        <w:trPr>
          <w:trHeight w:hRule="exact" w:val="255"/>
          <w:jc w:val="center"/>
        </w:trPr>
        <w:tc>
          <w:tcPr>
            <w:tcW w:w="6600" w:type="dxa"/>
            <w:gridSpan w:val="2"/>
            <w:tcBorders>
              <w:top w:val="single" w:sz="4" w:space="0" w:color="auto"/>
              <w:left w:val="nil"/>
              <w:bottom w:val="single" w:sz="4" w:space="0" w:color="auto"/>
              <w:right w:val="nil"/>
            </w:tcBorders>
            <w:vAlign w:val="bottom"/>
          </w:tcPr>
          <w:p w14:paraId="699EC3CF"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Pr>
                <w:rFonts w:ascii="Arial" w:eastAsia="SimSun" w:hAnsi="Arial" w:cs="Arial"/>
                <w:sz w:val="20"/>
                <w:szCs w:val="20"/>
                <w:lang w:val="en-US" w:eastAsia="zh-CN"/>
              </w:rPr>
              <w:t xml:space="preserve">Total consideration </w:t>
            </w:r>
          </w:p>
          <w:p w14:paraId="0ACAC939"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p w14:paraId="20964E33"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1362" w:type="dxa"/>
            <w:tcBorders>
              <w:top w:val="single" w:sz="4" w:space="0" w:color="auto"/>
              <w:left w:val="nil"/>
              <w:bottom w:val="single" w:sz="4" w:space="0" w:color="auto"/>
              <w:right w:val="nil"/>
            </w:tcBorders>
            <w:noWrap/>
            <w:vAlign w:val="bottom"/>
          </w:tcPr>
          <w:p w14:paraId="4142C0BC"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1,315,400</w:t>
            </w:r>
          </w:p>
        </w:tc>
        <w:tc>
          <w:tcPr>
            <w:tcW w:w="1819" w:type="dxa"/>
            <w:tcBorders>
              <w:top w:val="single" w:sz="4" w:space="0" w:color="auto"/>
              <w:left w:val="nil"/>
              <w:bottom w:val="single" w:sz="4" w:space="0" w:color="auto"/>
              <w:right w:val="nil"/>
            </w:tcBorders>
            <w:vAlign w:val="bottom"/>
          </w:tcPr>
          <w:p w14:paraId="38E8CDB4" w14:textId="77777777" w:rsidR="001D009C"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1,002,334</w:t>
            </w:r>
          </w:p>
        </w:tc>
      </w:tr>
      <w:tr w:rsidR="001D009C" w:rsidRPr="00300914" w14:paraId="1D7F7CF6" w14:textId="77777777" w:rsidTr="001D009C">
        <w:trPr>
          <w:trHeight w:hRule="exact" w:val="419"/>
          <w:jc w:val="center"/>
        </w:trPr>
        <w:tc>
          <w:tcPr>
            <w:tcW w:w="6600" w:type="dxa"/>
            <w:gridSpan w:val="2"/>
            <w:tcBorders>
              <w:left w:val="nil"/>
              <w:right w:val="nil"/>
            </w:tcBorders>
            <w:vAlign w:val="bottom"/>
          </w:tcPr>
          <w:p w14:paraId="63C4BC4F"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Pr>
                <w:rFonts w:ascii="Arial" w:eastAsia="SimSun" w:hAnsi="Arial" w:cs="Arial"/>
                <w:sz w:val="20"/>
                <w:szCs w:val="20"/>
                <w:lang w:val="en-US" w:eastAsia="zh-CN"/>
              </w:rPr>
              <w:t>Identifiable net liabilities</w:t>
            </w:r>
            <w:r w:rsidRPr="00300914">
              <w:rPr>
                <w:rFonts w:ascii="Arial" w:eastAsia="SimSun" w:hAnsi="Arial" w:cs="Arial"/>
                <w:sz w:val="20"/>
                <w:szCs w:val="20"/>
                <w:lang w:val="en-US" w:eastAsia="zh-CN"/>
              </w:rPr>
              <w:t xml:space="preserve"> obtained:</w:t>
            </w:r>
          </w:p>
        </w:tc>
        <w:tc>
          <w:tcPr>
            <w:tcW w:w="1362" w:type="dxa"/>
            <w:tcBorders>
              <w:left w:val="nil"/>
              <w:right w:val="nil"/>
            </w:tcBorders>
            <w:noWrap/>
            <w:vAlign w:val="bottom"/>
          </w:tcPr>
          <w:p w14:paraId="0D7916C4"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p>
        </w:tc>
        <w:tc>
          <w:tcPr>
            <w:tcW w:w="1819" w:type="dxa"/>
            <w:tcBorders>
              <w:left w:val="nil"/>
              <w:right w:val="nil"/>
            </w:tcBorders>
            <w:vAlign w:val="bottom"/>
          </w:tcPr>
          <w:p w14:paraId="796B1E8A"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p>
        </w:tc>
      </w:tr>
      <w:tr w:rsidR="001D009C" w:rsidRPr="00300914" w14:paraId="4FDABD2E" w14:textId="77777777" w:rsidTr="001D009C">
        <w:trPr>
          <w:trHeight w:hRule="exact" w:val="255"/>
          <w:jc w:val="center"/>
        </w:trPr>
        <w:tc>
          <w:tcPr>
            <w:tcW w:w="877" w:type="dxa"/>
            <w:tcBorders>
              <w:left w:val="nil"/>
              <w:right w:val="nil"/>
            </w:tcBorders>
            <w:vAlign w:val="bottom"/>
          </w:tcPr>
          <w:p w14:paraId="3EE9A157"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5723" w:type="dxa"/>
            <w:tcBorders>
              <w:left w:val="nil"/>
              <w:right w:val="nil"/>
            </w:tcBorders>
            <w:noWrap/>
            <w:vAlign w:val="bottom"/>
          </w:tcPr>
          <w:p w14:paraId="23DF5462"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sidRPr="00300914">
              <w:rPr>
                <w:rFonts w:ascii="Arial" w:eastAsia="SimSun" w:hAnsi="Arial" w:cs="Arial"/>
                <w:sz w:val="20"/>
                <w:szCs w:val="20"/>
                <w:lang w:val="en-US" w:eastAsia="zh-CN"/>
              </w:rPr>
              <w:t>Cash</w:t>
            </w:r>
          </w:p>
        </w:tc>
        <w:tc>
          <w:tcPr>
            <w:tcW w:w="1362" w:type="dxa"/>
            <w:tcBorders>
              <w:left w:val="nil"/>
              <w:right w:val="nil"/>
            </w:tcBorders>
            <w:vAlign w:val="bottom"/>
          </w:tcPr>
          <w:p w14:paraId="49B4FBE8" w14:textId="77777777" w:rsidR="001D009C"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5,104</w:t>
            </w:r>
          </w:p>
        </w:tc>
        <w:tc>
          <w:tcPr>
            <w:tcW w:w="1819" w:type="dxa"/>
            <w:tcBorders>
              <w:left w:val="nil"/>
              <w:right w:val="nil"/>
            </w:tcBorders>
            <w:noWrap/>
            <w:vAlign w:val="bottom"/>
          </w:tcPr>
          <w:p w14:paraId="3F30D7FC"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3,889</w:t>
            </w:r>
          </w:p>
        </w:tc>
      </w:tr>
      <w:tr w:rsidR="001D009C" w:rsidRPr="00300914" w14:paraId="7A1C16AA" w14:textId="77777777" w:rsidTr="001D009C">
        <w:trPr>
          <w:trHeight w:hRule="exact" w:val="255"/>
          <w:jc w:val="center"/>
        </w:trPr>
        <w:tc>
          <w:tcPr>
            <w:tcW w:w="877" w:type="dxa"/>
            <w:tcBorders>
              <w:left w:val="nil"/>
              <w:bottom w:val="single" w:sz="4" w:space="0" w:color="auto"/>
              <w:right w:val="nil"/>
            </w:tcBorders>
            <w:vAlign w:val="bottom"/>
          </w:tcPr>
          <w:p w14:paraId="1598775D"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5723" w:type="dxa"/>
            <w:tcBorders>
              <w:left w:val="nil"/>
              <w:bottom w:val="single" w:sz="4" w:space="0" w:color="auto"/>
              <w:right w:val="nil"/>
            </w:tcBorders>
            <w:noWrap/>
            <w:vAlign w:val="bottom"/>
          </w:tcPr>
          <w:p w14:paraId="1527E29C"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sidRPr="00300914">
              <w:rPr>
                <w:rFonts w:ascii="Arial" w:eastAsia="SimSun" w:hAnsi="Arial" w:cs="Arial"/>
                <w:sz w:val="20"/>
                <w:szCs w:val="20"/>
                <w:lang w:val="en-US" w:eastAsia="zh-CN"/>
              </w:rPr>
              <w:t>Liabilities assumed</w:t>
            </w:r>
          </w:p>
        </w:tc>
        <w:tc>
          <w:tcPr>
            <w:tcW w:w="1362" w:type="dxa"/>
            <w:tcBorders>
              <w:left w:val="nil"/>
              <w:bottom w:val="single" w:sz="4" w:space="0" w:color="auto"/>
              <w:right w:val="nil"/>
            </w:tcBorders>
            <w:vAlign w:val="bottom"/>
          </w:tcPr>
          <w:p w14:paraId="362D3A83"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sidRPr="00300914">
              <w:rPr>
                <w:rFonts w:ascii="Arial" w:eastAsia="SimSun" w:hAnsi="Arial" w:cs="Arial"/>
                <w:sz w:val="20"/>
                <w:szCs w:val="20"/>
                <w:lang w:val="en-US" w:eastAsia="zh-CN"/>
              </w:rPr>
              <w:t>(</w:t>
            </w:r>
            <w:r>
              <w:rPr>
                <w:rFonts w:ascii="Arial" w:eastAsia="SimSun" w:hAnsi="Arial" w:cs="Arial"/>
                <w:sz w:val="20"/>
                <w:szCs w:val="20"/>
                <w:lang w:val="en-US" w:eastAsia="zh-CN"/>
              </w:rPr>
              <w:t>144,448</w:t>
            </w:r>
            <w:r w:rsidRPr="00300914">
              <w:rPr>
                <w:rFonts w:ascii="Arial" w:eastAsia="SimSun" w:hAnsi="Arial" w:cs="Arial"/>
                <w:sz w:val="20"/>
                <w:szCs w:val="20"/>
                <w:lang w:val="en-US" w:eastAsia="zh-CN"/>
              </w:rPr>
              <w:t>)</w:t>
            </w:r>
          </w:p>
        </w:tc>
        <w:tc>
          <w:tcPr>
            <w:tcW w:w="1819" w:type="dxa"/>
            <w:tcBorders>
              <w:left w:val="nil"/>
              <w:bottom w:val="single" w:sz="4" w:space="0" w:color="auto"/>
              <w:right w:val="nil"/>
            </w:tcBorders>
            <w:noWrap/>
            <w:vAlign w:val="bottom"/>
          </w:tcPr>
          <w:p w14:paraId="002A8424"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sidRPr="00300914">
              <w:rPr>
                <w:rFonts w:ascii="Arial" w:eastAsia="SimSun" w:hAnsi="Arial" w:cs="Arial"/>
                <w:sz w:val="20"/>
                <w:szCs w:val="20"/>
                <w:lang w:val="en-US" w:eastAsia="zh-CN"/>
              </w:rPr>
              <w:t>(</w:t>
            </w:r>
            <w:r>
              <w:rPr>
                <w:rFonts w:ascii="Arial" w:eastAsia="SimSun" w:hAnsi="Arial" w:cs="Arial"/>
                <w:sz w:val="20"/>
                <w:szCs w:val="20"/>
                <w:lang w:val="en-US" w:eastAsia="zh-CN"/>
              </w:rPr>
              <w:t>110,069</w:t>
            </w:r>
            <w:r w:rsidRPr="00300914">
              <w:rPr>
                <w:rFonts w:ascii="Arial" w:eastAsia="SimSun" w:hAnsi="Arial" w:cs="Arial"/>
                <w:sz w:val="20"/>
                <w:szCs w:val="20"/>
                <w:lang w:val="en-US" w:eastAsia="zh-CN"/>
              </w:rPr>
              <w:t>)</w:t>
            </w:r>
          </w:p>
        </w:tc>
      </w:tr>
      <w:tr w:rsidR="001D009C" w:rsidRPr="00300914" w14:paraId="43859BF8" w14:textId="77777777" w:rsidTr="001D009C">
        <w:trPr>
          <w:trHeight w:hRule="exact" w:val="255"/>
          <w:jc w:val="center"/>
        </w:trPr>
        <w:tc>
          <w:tcPr>
            <w:tcW w:w="877" w:type="dxa"/>
            <w:tcBorders>
              <w:top w:val="single" w:sz="4" w:space="0" w:color="auto"/>
              <w:left w:val="nil"/>
              <w:bottom w:val="single" w:sz="4" w:space="0" w:color="auto"/>
              <w:right w:val="nil"/>
            </w:tcBorders>
            <w:vAlign w:val="bottom"/>
          </w:tcPr>
          <w:p w14:paraId="229E83CD"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5723" w:type="dxa"/>
            <w:tcBorders>
              <w:top w:val="single" w:sz="4" w:space="0" w:color="auto"/>
              <w:left w:val="nil"/>
              <w:bottom w:val="single" w:sz="4" w:space="0" w:color="auto"/>
              <w:right w:val="nil"/>
            </w:tcBorders>
            <w:noWrap/>
            <w:vAlign w:val="bottom"/>
          </w:tcPr>
          <w:p w14:paraId="36332411"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1362" w:type="dxa"/>
            <w:tcBorders>
              <w:top w:val="single" w:sz="4" w:space="0" w:color="auto"/>
              <w:left w:val="nil"/>
              <w:bottom w:val="single" w:sz="4" w:space="0" w:color="auto"/>
              <w:right w:val="nil"/>
            </w:tcBorders>
            <w:vAlign w:val="bottom"/>
          </w:tcPr>
          <w:p w14:paraId="62FB7CC9"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sidRPr="00300914">
              <w:rPr>
                <w:rFonts w:ascii="Arial" w:eastAsia="SimSun" w:hAnsi="Arial" w:cs="Arial"/>
                <w:sz w:val="20"/>
                <w:szCs w:val="20"/>
                <w:lang w:val="en-US" w:eastAsia="zh-CN"/>
              </w:rPr>
              <w:t>(</w:t>
            </w:r>
            <w:r>
              <w:rPr>
                <w:rFonts w:ascii="Arial" w:eastAsia="SimSun" w:hAnsi="Arial" w:cs="Arial"/>
                <w:sz w:val="20"/>
                <w:szCs w:val="20"/>
                <w:lang w:val="en-US" w:eastAsia="zh-CN"/>
              </w:rPr>
              <w:t>139,343</w:t>
            </w:r>
            <w:r w:rsidRPr="00300914">
              <w:rPr>
                <w:rFonts w:ascii="Arial" w:eastAsia="SimSun" w:hAnsi="Arial" w:cs="Arial"/>
                <w:sz w:val="20"/>
                <w:szCs w:val="20"/>
                <w:lang w:val="en-US" w:eastAsia="zh-CN"/>
              </w:rPr>
              <w:t>)</w:t>
            </w:r>
          </w:p>
        </w:tc>
        <w:tc>
          <w:tcPr>
            <w:tcW w:w="1819" w:type="dxa"/>
            <w:tcBorders>
              <w:top w:val="single" w:sz="4" w:space="0" w:color="auto"/>
              <w:left w:val="nil"/>
              <w:bottom w:val="single" w:sz="4" w:space="0" w:color="auto"/>
              <w:right w:val="nil"/>
            </w:tcBorders>
            <w:noWrap/>
            <w:vAlign w:val="bottom"/>
          </w:tcPr>
          <w:p w14:paraId="64EF1857"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sidRPr="00300914">
              <w:rPr>
                <w:rFonts w:ascii="Arial" w:eastAsia="SimSun" w:hAnsi="Arial" w:cs="Arial"/>
                <w:sz w:val="20"/>
                <w:szCs w:val="20"/>
                <w:lang w:val="en-US" w:eastAsia="zh-CN"/>
              </w:rPr>
              <w:t>(</w:t>
            </w:r>
            <w:r>
              <w:rPr>
                <w:rFonts w:ascii="Arial" w:eastAsia="SimSun" w:hAnsi="Arial" w:cs="Arial"/>
                <w:sz w:val="20"/>
                <w:szCs w:val="20"/>
                <w:lang w:val="en-US" w:eastAsia="zh-CN"/>
              </w:rPr>
              <w:t>106,180</w:t>
            </w:r>
            <w:r w:rsidRPr="00300914">
              <w:rPr>
                <w:rFonts w:ascii="Arial" w:eastAsia="SimSun" w:hAnsi="Arial" w:cs="Arial"/>
                <w:sz w:val="20"/>
                <w:szCs w:val="20"/>
                <w:lang w:val="en-US" w:eastAsia="zh-CN"/>
              </w:rPr>
              <w:t>)</w:t>
            </w:r>
          </w:p>
        </w:tc>
      </w:tr>
      <w:tr w:rsidR="001D009C" w:rsidRPr="00300914" w14:paraId="127C69E4" w14:textId="77777777" w:rsidTr="001D009C">
        <w:trPr>
          <w:trHeight w:hRule="exact" w:val="255"/>
          <w:jc w:val="center"/>
        </w:trPr>
        <w:tc>
          <w:tcPr>
            <w:tcW w:w="877" w:type="dxa"/>
            <w:tcBorders>
              <w:top w:val="single" w:sz="4" w:space="0" w:color="auto"/>
              <w:left w:val="nil"/>
              <w:right w:val="nil"/>
            </w:tcBorders>
            <w:vAlign w:val="bottom"/>
          </w:tcPr>
          <w:p w14:paraId="77BD552D"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5723" w:type="dxa"/>
            <w:tcBorders>
              <w:top w:val="single" w:sz="4" w:space="0" w:color="auto"/>
              <w:left w:val="nil"/>
              <w:right w:val="nil"/>
            </w:tcBorders>
            <w:noWrap/>
            <w:vAlign w:val="bottom"/>
          </w:tcPr>
          <w:p w14:paraId="3579A89E"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p>
        </w:tc>
        <w:tc>
          <w:tcPr>
            <w:tcW w:w="1362" w:type="dxa"/>
            <w:tcBorders>
              <w:top w:val="single" w:sz="4" w:space="0" w:color="auto"/>
              <w:left w:val="nil"/>
              <w:right w:val="nil"/>
            </w:tcBorders>
            <w:vAlign w:val="bottom"/>
          </w:tcPr>
          <w:p w14:paraId="17468640"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p>
        </w:tc>
        <w:tc>
          <w:tcPr>
            <w:tcW w:w="1819" w:type="dxa"/>
            <w:tcBorders>
              <w:top w:val="single" w:sz="4" w:space="0" w:color="auto"/>
              <w:left w:val="nil"/>
              <w:right w:val="nil"/>
            </w:tcBorders>
            <w:noWrap/>
            <w:vAlign w:val="bottom"/>
          </w:tcPr>
          <w:p w14:paraId="0798F85B"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p>
        </w:tc>
      </w:tr>
      <w:tr w:rsidR="001D009C" w:rsidRPr="00300914" w14:paraId="1B0F82AC" w14:textId="77777777" w:rsidTr="001D009C">
        <w:trPr>
          <w:trHeight w:hRule="exact" w:val="255"/>
          <w:jc w:val="center"/>
        </w:trPr>
        <w:tc>
          <w:tcPr>
            <w:tcW w:w="6600" w:type="dxa"/>
            <w:gridSpan w:val="2"/>
            <w:tcBorders>
              <w:left w:val="nil"/>
              <w:bottom w:val="single" w:sz="12" w:space="0" w:color="auto"/>
              <w:right w:val="nil"/>
            </w:tcBorders>
            <w:vAlign w:val="bottom"/>
          </w:tcPr>
          <w:p w14:paraId="49F71776" w14:textId="77777777" w:rsidR="001D009C" w:rsidRPr="00300914" w:rsidRDefault="001D009C" w:rsidP="001D009C">
            <w:pPr>
              <w:widowControl/>
              <w:autoSpaceDE/>
              <w:autoSpaceDN/>
              <w:adjustRightInd/>
              <w:ind w:left="142" w:right="114"/>
              <w:rPr>
                <w:rFonts w:ascii="Arial" w:eastAsia="SimSun" w:hAnsi="Arial" w:cs="Arial"/>
                <w:sz w:val="20"/>
                <w:szCs w:val="20"/>
                <w:lang w:val="en-US" w:eastAsia="zh-CN"/>
              </w:rPr>
            </w:pPr>
            <w:r w:rsidRPr="00300914">
              <w:rPr>
                <w:rFonts w:ascii="Arial" w:eastAsia="SimSun" w:hAnsi="Arial" w:cs="Arial"/>
                <w:sz w:val="20"/>
                <w:szCs w:val="20"/>
                <w:lang w:val="en-US" w:eastAsia="zh-CN"/>
              </w:rPr>
              <w:t>Listing expense</w:t>
            </w:r>
          </w:p>
        </w:tc>
        <w:tc>
          <w:tcPr>
            <w:tcW w:w="1362" w:type="dxa"/>
            <w:tcBorders>
              <w:left w:val="nil"/>
              <w:bottom w:val="single" w:sz="12" w:space="0" w:color="auto"/>
              <w:right w:val="nil"/>
            </w:tcBorders>
            <w:noWrap/>
            <w:vAlign w:val="bottom"/>
          </w:tcPr>
          <w:p w14:paraId="274BD639" w14:textId="77777777" w:rsidR="001D009C" w:rsidRPr="00300914"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1,454,743</w:t>
            </w:r>
          </w:p>
        </w:tc>
        <w:tc>
          <w:tcPr>
            <w:tcW w:w="1819" w:type="dxa"/>
            <w:tcBorders>
              <w:left w:val="nil"/>
              <w:bottom w:val="single" w:sz="12" w:space="0" w:color="auto"/>
              <w:right w:val="nil"/>
            </w:tcBorders>
            <w:vAlign w:val="bottom"/>
          </w:tcPr>
          <w:p w14:paraId="2365FFB5" w14:textId="77777777" w:rsidR="001D009C" w:rsidRDefault="001D009C" w:rsidP="001D009C">
            <w:pPr>
              <w:widowControl/>
              <w:autoSpaceDE/>
              <w:autoSpaceDN/>
              <w:adjustRightInd/>
              <w:ind w:left="142" w:right="114"/>
              <w:jc w:val="right"/>
              <w:rPr>
                <w:rFonts w:ascii="Arial" w:eastAsia="SimSun" w:hAnsi="Arial" w:cs="Arial"/>
                <w:sz w:val="20"/>
                <w:szCs w:val="20"/>
                <w:lang w:val="en-US" w:eastAsia="zh-CN"/>
              </w:rPr>
            </w:pPr>
            <w:r>
              <w:rPr>
                <w:rFonts w:ascii="Arial" w:eastAsia="SimSun" w:hAnsi="Arial" w:cs="Arial"/>
                <w:sz w:val="20"/>
                <w:szCs w:val="20"/>
                <w:lang w:val="en-US" w:eastAsia="zh-CN"/>
              </w:rPr>
              <w:t>1,108,514</w:t>
            </w:r>
          </w:p>
        </w:tc>
      </w:tr>
    </w:tbl>
    <w:p w14:paraId="3D14B1A3" w14:textId="77777777" w:rsidR="0004014C" w:rsidRDefault="0004014C" w:rsidP="00835ADA">
      <w:pPr>
        <w:rPr>
          <w:rFonts w:ascii="Arial" w:hAnsi="Arial" w:cs="Arial"/>
          <w:sz w:val="20"/>
          <w:szCs w:val="20"/>
        </w:rPr>
      </w:pPr>
    </w:p>
    <w:p w14:paraId="5DEF9A0C" w14:textId="77777777" w:rsidR="0050726C" w:rsidRDefault="0050726C" w:rsidP="003D746A">
      <w:pPr>
        <w:pStyle w:val="ListParagraph"/>
        <w:ind w:left="360"/>
        <w:rPr>
          <w:rFonts w:ascii="Arial" w:hAnsi="Arial" w:cs="Arial"/>
          <w:b/>
          <w:bCs/>
          <w:sz w:val="20"/>
          <w:szCs w:val="20"/>
        </w:rPr>
      </w:pPr>
    </w:p>
    <w:p w14:paraId="4BF5A469" w14:textId="77777777" w:rsidR="000565AB" w:rsidRDefault="000565AB">
      <w:pPr>
        <w:widowControl/>
        <w:autoSpaceDE/>
        <w:autoSpaceDN/>
        <w:adjustRightInd/>
        <w:spacing w:after="160" w:line="259" w:lineRule="auto"/>
        <w:jc w:val="left"/>
        <w:rPr>
          <w:rFonts w:ascii="Arial" w:hAnsi="Arial" w:cs="Arial"/>
          <w:b/>
          <w:sz w:val="20"/>
          <w:szCs w:val="20"/>
        </w:rPr>
      </w:pPr>
    </w:p>
    <w:p w14:paraId="29B1391F" w14:textId="77777777" w:rsidR="000565AB" w:rsidRDefault="000565AB" w:rsidP="00C24597">
      <w:pPr>
        <w:widowControl/>
        <w:tabs>
          <w:tab w:val="left" w:pos="-1440"/>
          <w:tab w:val="left" w:pos="1440"/>
          <w:tab w:val="left" w:pos="2160"/>
          <w:tab w:val="left" w:pos="2520"/>
          <w:tab w:val="left" w:pos="2880"/>
          <w:tab w:val="left" w:pos="3600"/>
          <w:tab w:val="left" w:pos="4320"/>
          <w:tab w:val="left" w:pos="4896"/>
        </w:tabs>
        <w:ind w:left="360" w:hanging="360"/>
        <w:rPr>
          <w:rFonts w:ascii="Arial" w:hAnsi="Arial" w:cs="Arial"/>
          <w:b/>
          <w:sz w:val="20"/>
          <w:szCs w:val="20"/>
        </w:rPr>
        <w:sectPr w:rsidR="000565AB" w:rsidSect="00D32164">
          <w:headerReference w:type="default" r:id="rId11"/>
          <w:endnotePr>
            <w:numFmt w:val="decimal"/>
          </w:endnotePr>
          <w:pgSz w:w="12240" w:h="15840" w:code="1"/>
          <w:pgMar w:top="680" w:right="964" w:bottom="510" w:left="1134" w:header="648" w:footer="291" w:gutter="0"/>
          <w:cols w:space="720"/>
          <w:noEndnote/>
        </w:sectPr>
      </w:pPr>
    </w:p>
    <w:p w14:paraId="20811DA6" w14:textId="27BD249C" w:rsidR="00A11493" w:rsidRDefault="00F42147" w:rsidP="00C31A39">
      <w:pPr>
        <w:pStyle w:val="ListParagraph"/>
        <w:widowControl/>
        <w:numPr>
          <w:ilvl w:val="0"/>
          <w:numId w:val="6"/>
        </w:numPr>
        <w:tabs>
          <w:tab w:val="left" w:pos="-1440"/>
          <w:tab w:val="left" w:pos="1440"/>
          <w:tab w:val="left" w:pos="2160"/>
          <w:tab w:val="left" w:pos="2520"/>
          <w:tab w:val="left" w:pos="2880"/>
          <w:tab w:val="left" w:pos="3600"/>
          <w:tab w:val="left" w:pos="4320"/>
          <w:tab w:val="left" w:pos="4896"/>
        </w:tabs>
        <w:ind w:left="567" w:hanging="567"/>
        <w:rPr>
          <w:rFonts w:ascii="Arial" w:hAnsi="Arial" w:cs="Arial"/>
          <w:b/>
          <w:sz w:val="20"/>
          <w:szCs w:val="20"/>
        </w:rPr>
      </w:pPr>
      <w:r>
        <w:rPr>
          <w:rFonts w:ascii="Arial" w:hAnsi="Arial" w:cs="Arial"/>
          <w:b/>
          <w:sz w:val="20"/>
          <w:szCs w:val="20"/>
        </w:rPr>
        <w:lastRenderedPageBreak/>
        <w:t xml:space="preserve">ACQUISITION OF </w:t>
      </w:r>
      <w:r w:rsidR="006B492A">
        <w:rPr>
          <w:rFonts w:ascii="Arial" w:hAnsi="Arial" w:cs="Arial"/>
          <w:b/>
          <w:sz w:val="20"/>
          <w:szCs w:val="20"/>
        </w:rPr>
        <w:t>DELIC LABS INC.</w:t>
      </w:r>
    </w:p>
    <w:p w14:paraId="07FD7615" w14:textId="2BE7D033" w:rsidR="00E26456" w:rsidRDefault="00E26456" w:rsidP="00E26456">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p>
    <w:p w14:paraId="4906E701" w14:textId="36DC709A" w:rsidR="00E26456" w:rsidRPr="00A11493" w:rsidRDefault="00325B5F" w:rsidP="00E26456">
      <w:pPr>
        <w:widowControl/>
        <w:autoSpaceDE/>
        <w:autoSpaceDN/>
        <w:adjustRightInd/>
        <w:rPr>
          <w:rFonts w:ascii="Arial" w:hAnsi="Arial" w:cs="Arial"/>
          <w:bCs/>
          <w:sz w:val="20"/>
          <w:szCs w:val="20"/>
        </w:rPr>
      </w:pPr>
      <w:r>
        <w:rPr>
          <w:rFonts w:ascii="Arial" w:hAnsi="Arial" w:cs="Arial"/>
          <w:bCs/>
          <w:sz w:val="20"/>
          <w:szCs w:val="20"/>
        </w:rPr>
        <w:t>On May 27, 2021, the Company acquired</w:t>
      </w:r>
      <w:r w:rsidR="00E26456" w:rsidRPr="00A11493">
        <w:rPr>
          <w:rFonts w:ascii="Arial" w:hAnsi="Arial" w:cs="Arial"/>
          <w:bCs/>
          <w:sz w:val="20"/>
          <w:szCs w:val="20"/>
        </w:rPr>
        <w:t xml:space="preserve"> </w:t>
      </w:r>
      <w:proofErr w:type="gramStart"/>
      <w:r w:rsidR="00E26456" w:rsidRPr="00A11493">
        <w:rPr>
          <w:rFonts w:ascii="Arial" w:hAnsi="Arial" w:cs="Arial"/>
          <w:bCs/>
          <w:sz w:val="20"/>
          <w:szCs w:val="20"/>
        </w:rPr>
        <w:t>all of</w:t>
      </w:r>
      <w:proofErr w:type="gramEnd"/>
      <w:r w:rsidR="00E26456" w:rsidRPr="00A11493">
        <w:rPr>
          <w:rFonts w:ascii="Arial" w:hAnsi="Arial" w:cs="Arial"/>
          <w:bCs/>
          <w:sz w:val="20"/>
          <w:szCs w:val="20"/>
        </w:rPr>
        <w:t xml:space="preserve"> the issued and outstanding shares in the capital of</w:t>
      </w:r>
      <w:r w:rsidR="006B492A">
        <w:rPr>
          <w:rFonts w:ascii="Arial" w:hAnsi="Arial" w:cs="Arial"/>
          <w:bCs/>
          <w:sz w:val="20"/>
          <w:szCs w:val="20"/>
        </w:rPr>
        <w:t xml:space="preserve"> Delic Labs Inc. (formerly</w:t>
      </w:r>
      <w:r w:rsidR="00E26456" w:rsidRPr="00A11493">
        <w:rPr>
          <w:rFonts w:ascii="Arial" w:hAnsi="Arial" w:cs="Arial"/>
          <w:bCs/>
          <w:sz w:val="20"/>
          <w:szCs w:val="20"/>
        </w:rPr>
        <w:t xml:space="preserve"> </w:t>
      </w:r>
      <w:r>
        <w:rPr>
          <w:rFonts w:ascii="Arial" w:hAnsi="Arial" w:cs="Arial"/>
          <w:bCs/>
          <w:sz w:val="20"/>
          <w:szCs w:val="20"/>
        </w:rPr>
        <w:t>Complex Biotech Discovery Ventures Ltd. “CBDV”)</w:t>
      </w:r>
      <w:r w:rsidR="00E26456" w:rsidRPr="00A11493">
        <w:rPr>
          <w:rFonts w:ascii="Arial" w:hAnsi="Arial" w:cs="Arial"/>
          <w:bCs/>
          <w:sz w:val="20"/>
          <w:szCs w:val="20"/>
        </w:rPr>
        <w:t>. The purchase price w</w:t>
      </w:r>
      <w:r>
        <w:rPr>
          <w:rFonts w:ascii="Arial" w:hAnsi="Arial" w:cs="Arial"/>
          <w:bCs/>
          <w:sz w:val="20"/>
          <w:szCs w:val="20"/>
        </w:rPr>
        <w:t>as</w:t>
      </w:r>
      <w:r w:rsidR="00E26456" w:rsidRPr="00A11493">
        <w:rPr>
          <w:rFonts w:ascii="Arial" w:hAnsi="Arial" w:cs="Arial"/>
          <w:bCs/>
          <w:sz w:val="20"/>
          <w:szCs w:val="20"/>
        </w:rPr>
        <w:t xml:space="preserve"> satisfied through the issuance of</w:t>
      </w:r>
      <w:r w:rsidR="00DC569C">
        <w:rPr>
          <w:rFonts w:ascii="Arial" w:hAnsi="Arial" w:cs="Arial"/>
          <w:bCs/>
          <w:sz w:val="20"/>
          <w:szCs w:val="20"/>
        </w:rPr>
        <w:t xml:space="preserve"> 10,000,000</w:t>
      </w:r>
      <w:r w:rsidR="008E44C7">
        <w:rPr>
          <w:rFonts w:ascii="Arial" w:hAnsi="Arial" w:cs="Arial"/>
          <w:bCs/>
          <w:sz w:val="20"/>
          <w:szCs w:val="20"/>
        </w:rPr>
        <w:t xml:space="preserve"> </w:t>
      </w:r>
      <w:r w:rsidR="00E26456">
        <w:rPr>
          <w:rFonts w:ascii="Arial" w:hAnsi="Arial" w:cs="Arial"/>
          <w:bCs/>
          <w:sz w:val="20"/>
          <w:szCs w:val="20"/>
        </w:rPr>
        <w:t>SVS</w:t>
      </w:r>
      <w:r w:rsidR="00E26456" w:rsidRPr="00A11493">
        <w:rPr>
          <w:rFonts w:ascii="Arial" w:hAnsi="Arial" w:cs="Arial"/>
          <w:bCs/>
          <w:sz w:val="20"/>
          <w:szCs w:val="20"/>
        </w:rPr>
        <w:t xml:space="preserve"> in the capital of the Company (the "Consideration Shares")</w:t>
      </w:r>
      <w:r w:rsidR="00DC569C">
        <w:rPr>
          <w:rFonts w:ascii="Arial" w:hAnsi="Arial" w:cs="Arial"/>
          <w:bCs/>
          <w:sz w:val="20"/>
          <w:szCs w:val="20"/>
        </w:rPr>
        <w:t xml:space="preserve">.  </w:t>
      </w:r>
      <w:r w:rsidR="00100B3A">
        <w:rPr>
          <w:rFonts w:ascii="Arial" w:hAnsi="Arial" w:cs="Arial"/>
          <w:bCs/>
          <w:sz w:val="20"/>
          <w:szCs w:val="20"/>
        </w:rPr>
        <w:t>As per the terms of the acquisition agreement (the “Agreement”) t</w:t>
      </w:r>
      <w:r w:rsidR="00DC569C">
        <w:rPr>
          <w:rFonts w:ascii="Arial" w:hAnsi="Arial" w:cs="Arial"/>
          <w:bCs/>
          <w:sz w:val="20"/>
          <w:szCs w:val="20"/>
        </w:rPr>
        <w:t>he Consideration Shares were issued at a price</w:t>
      </w:r>
      <w:r w:rsidR="00E26456" w:rsidRPr="00A11493">
        <w:rPr>
          <w:rFonts w:ascii="Arial" w:hAnsi="Arial" w:cs="Arial"/>
          <w:bCs/>
          <w:sz w:val="20"/>
          <w:szCs w:val="20"/>
        </w:rPr>
        <w:t xml:space="preserve"> equal in value to CAD$</w:t>
      </w:r>
      <w:r w:rsidR="00DC569C">
        <w:rPr>
          <w:rFonts w:ascii="Arial" w:hAnsi="Arial" w:cs="Arial"/>
          <w:bCs/>
          <w:sz w:val="20"/>
          <w:szCs w:val="20"/>
        </w:rPr>
        <w:t>7</w:t>
      </w:r>
      <w:r w:rsidR="00E26456" w:rsidRPr="00A11493">
        <w:rPr>
          <w:rFonts w:ascii="Arial" w:hAnsi="Arial" w:cs="Arial"/>
          <w:bCs/>
          <w:sz w:val="20"/>
          <w:szCs w:val="20"/>
        </w:rPr>
        <w:t xml:space="preserve">,000,000 (the "Purchase Price") issued at a price per share equal to the higher of: (a) the ten trading day volume weighted average trading price ("VWAP") of the Consideration Shares on the </w:t>
      </w:r>
      <w:r w:rsidR="00A4028A" w:rsidRPr="00883305">
        <w:rPr>
          <w:rFonts w:ascii="Arial" w:hAnsi="Arial" w:cs="Arial"/>
          <w:bCs/>
          <w:sz w:val="20"/>
          <w:szCs w:val="20"/>
        </w:rPr>
        <w:t>Canadian Securities Exchange (the "</w:t>
      </w:r>
      <w:r w:rsidR="00A4028A">
        <w:rPr>
          <w:rFonts w:ascii="Arial" w:hAnsi="Arial" w:cs="Arial"/>
          <w:bCs/>
          <w:sz w:val="20"/>
          <w:szCs w:val="20"/>
        </w:rPr>
        <w:t>CSE</w:t>
      </w:r>
      <w:r w:rsidR="00A4028A" w:rsidRPr="00883305">
        <w:rPr>
          <w:rFonts w:ascii="Arial" w:hAnsi="Arial" w:cs="Arial"/>
          <w:bCs/>
          <w:sz w:val="20"/>
          <w:szCs w:val="20"/>
        </w:rPr>
        <w:t xml:space="preserve">") </w:t>
      </w:r>
      <w:r w:rsidR="00E26456" w:rsidRPr="00A11493">
        <w:rPr>
          <w:rFonts w:ascii="Arial" w:hAnsi="Arial" w:cs="Arial"/>
          <w:bCs/>
          <w:sz w:val="20"/>
          <w:szCs w:val="20"/>
        </w:rPr>
        <w:t xml:space="preserve">immediately prior to the date of the Agreement, and (b) the maximum discount under the policies of the </w:t>
      </w:r>
      <w:r w:rsidR="00E26456">
        <w:rPr>
          <w:rFonts w:ascii="Arial" w:hAnsi="Arial" w:cs="Arial"/>
          <w:bCs/>
          <w:sz w:val="20"/>
          <w:szCs w:val="20"/>
        </w:rPr>
        <w:t>CSE</w:t>
      </w:r>
      <w:r w:rsidR="00E26456" w:rsidRPr="00A11493">
        <w:rPr>
          <w:rFonts w:ascii="Arial" w:hAnsi="Arial" w:cs="Arial"/>
          <w:bCs/>
          <w:sz w:val="20"/>
          <w:szCs w:val="20"/>
        </w:rPr>
        <w:t xml:space="preserve"> applicable to the closing price of the Consideration Shares on the </w:t>
      </w:r>
      <w:r w:rsidR="00E26456">
        <w:rPr>
          <w:rFonts w:ascii="Arial" w:hAnsi="Arial" w:cs="Arial"/>
          <w:bCs/>
          <w:sz w:val="20"/>
          <w:szCs w:val="20"/>
        </w:rPr>
        <w:t>CSE</w:t>
      </w:r>
      <w:r w:rsidR="00E26456" w:rsidRPr="00A11493">
        <w:rPr>
          <w:rFonts w:ascii="Arial" w:hAnsi="Arial" w:cs="Arial"/>
          <w:bCs/>
          <w:sz w:val="20"/>
          <w:szCs w:val="20"/>
        </w:rPr>
        <w:t xml:space="preserve"> on the trading day immediately prior to the closing date.</w:t>
      </w:r>
      <w:r w:rsidR="00100B3A">
        <w:rPr>
          <w:rFonts w:ascii="Arial" w:hAnsi="Arial" w:cs="Arial"/>
          <w:bCs/>
          <w:sz w:val="20"/>
          <w:szCs w:val="20"/>
        </w:rPr>
        <w:t xml:space="preserve">  However, the market price of the Company’s SVS on the date of issuance was CAD$0.30 per SVS.  Accordingly, the Consideration Shares were valued at CAD$3,000,000.  T</w:t>
      </w:r>
      <w:r w:rsidR="00E26456" w:rsidRPr="00A11493">
        <w:rPr>
          <w:rFonts w:ascii="Arial" w:hAnsi="Arial" w:cs="Arial"/>
          <w:bCs/>
          <w:sz w:val="20"/>
          <w:szCs w:val="20"/>
        </w:rPr>
        <w:t xml:space="preserve">he Consideration Shares issued to the sellers of CBDV </w:t>
      </w:r>
      <w:r w:rsidR="008E44C7">
        <w:rPr>
          <w:rFonts w:ascii="Arial" w:hAnsi="Arial" w:cs="Arial"/>
          <w:bCs/>
          <w:sz w:val="20"/>
          <w:szCs w:val="20"/>
        </w:rPr>
        <w:t>are</w:t>
      </w:r>
      <w:r w:rsidR="00E26456" w:rsidRPr="00A11493">
        <w:rPr>
          <w:rFonts w:ascii="Arial" w:hAnsi="Arial" w:cs="Arial"/>
          <w:bCs/>
          <w:sz w:val="20"/>
          <w:szCs w:val="20"/>
        </w:rPr>
        <w:t xml:space="preserve"> subject to certain contractual hold periods. In addition, each of the sellers of CBDV </w:t>
      </w:r>
      <w:r w:rsidR="008E44C7">
        <w:rPr>
          <w:rFonts w:ascii="Arial" w:hAnsi="Arial" w:cs="Arial"/>
          <w:bCs/>
          <w:sz w:val="20"/>
          <w:szCs w:val="20"/>
        </w:rPr>
        <w:t>has entered</w:t>
      </w:r>
      <w:r w:rsidR="00E26456" w:rsidRPr="00A11493">
        <w:rPr>
          <w:rFonts w:ascii="Arial" w:hAnsi="Arial" w:cs="Arial"/>
          <w:bCs/>
          <w:sz w:val="20"/>
          <w:szCs w:val="20"/>
        </w:rPr>
        <w:t xml:space="preserve"> into voting support agreements with a two-year term, pursuant to which they agree</w:t>
      </w:r>
      <w:r w:rsidR="008E44C7">
        <w:rPr>
          <w:rFonts w:ascii="Arial" w:hAnsi="Arial" w:cs="Arial"/>
          <w:bCs/>
          <w:sz w:val="20"/>
          <w:szCs w:val="20"/>
        </w:rPr>
        <w:t>d</w:t>
      </w:r>
      <w:r w:rsidR="00E26456" w:rsidRPr="00A11493">
        <w:rPr>
          <w:rFonts w:ascii="Arial" w:hAnsi="Arial" w:cs="Arial"/>
          <w:bCs/>
          <w:sz w:val="20"/>
          <w:szCs w:val="20"/>
        </w:rPr>
        <w:t xml:space="preserve"> to vote their Consideration Shares as directed by the board of directors of </w:t>
      </w:r>
      <w:r w:rsidR="00E26456">
        <w:rPr>
          <w:rFonts w:ascii="Arial" w:hAnsi="Arial" w:cs="Arial"/>
          <w:bCs/>
          <w:sz w:val="20"/>
          <w:szCs w:val="20"/>
        </w:rPr>
        <w:t>the Company</w:t>
      </w:r>
      <w:r w:rsidR="00E26456" w:rsidRPr="00A11493">
        <w:rPr>
          <w:rFonts w:ascii="Arial" w:hAnsi="Arial" w:cs="Arial"/>
          <w:bCs/>
          <w:sz w:val="20"/>
          <w:szCs w:val="20"/>
        </w:rPr>
        <w:t xml:space="preserve">, subject to certain </w:t>
      </w:r>
      <w:r w:rsidR="00E26456">
        <w:rPr>
          <w:rFonts w:ascii="Arial" w:hAnsi="Arial" w:cs="Arial"/>
          <w:bCs/>
          <w:sz w:val="20"/>
          <w:szCs w:val="20"/>
        </w:rPr>
        <w:t>exceptions</w:t>
      </w:r>
      <w:r w:rsidR="00E26456" w:rsidRPr="00A11493">
        <w:rPr>
          <w:rFonts w:ascii="Arial" w:hAnsi="Arial" w:cs="Arial"/>
          <w:bCs/>
          <w:sz w:val="20"/>
          <w:szCs w:val="20"/>
        </w:rPr>
        <w:t>.</w:t>
      </w:r>
      <w:r w:rsidR="00E26456">
        <w:rPr>
          <w:rFonts w:ascii="Arial" w:hAnsi="Arial" w:cs="Arial"/>
          <w:bCs/>
          <w:sz w:val="20"/>
          <w:szCs w:val="20"/>
        </w:rPr>
        <w:t xml:space="preserve">  </w:t>
      </w:r>
    </w:p>
    <w:p w14:paraId="28D8DC85" w14:textId="77777777" w:rsidR="00E26456" w:rsidRDefault="00E26456" w:rsidP="00E26456">
      <w:pPr>
        <w:pStyle w:val="ListParagraph"/>
        <w:widowControl/>
        <w:autoSpaceDE/>
        <w:autoSpaceDN/>
        <w:adjustRightInd/>
        <w:ind w:left="567" w:hanging="567"/>
        <w:rPr>
          <w:rFonts w:ascii="Arial" w:hAnsi="Arial" w:cs="Arial"/>
          <w:bCs/>
          <w:sz w:val="20"/>
          <w:szCs w:val="20"/>
        </w:rPr>
      </w:pPr>
    </w:p>
    <w:p w14:paraId="772B090B" w14:textId="6C18A886" w:rsidR="00E26456" w:rsidRPr="00E26456" w:rsidRDefault="00E26456" w:rsidP="00E26456">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r>
        <w:rPr>
          <w:rFonts w:ascii="Arial" w:hAnsi="Arial" w:cs="Arial"/>
          <w:bCs/>
          <w:sz w:val="20"/>
          <w:szCs w:val="20"/>
        </w:rPr>
        <w:t>Management of CBDV</w:t>
      </w:r>
      <w:r w:rsidRPr="00A11493">
        <w:rPr>
          <w:rFonts w:ascii="Arial" w:hAnsi="Arial" w:cs="Arial"/>
          <w:bCs/>
          <w:sz w:val="20"/>
          <w:szCs w:val="20"/>
        </w:rPr>
        <w:t xml:space="preserve"> will be eligible to earn additional consideration </w:t>
      </w:r>
      <w:r>
        <w:rPr>
          <w:rFonts w:ascii="Arial" w:hAnsi="Arial" w:cs="Arial"/>
          <w:bCs/>
          <w:sz w:val="20"/>
          <w:szCs w:val="20"/>
        </w:rPr>
        <w:t xml:space="preserve">upon reaching </w:t>
      </w:r>
      <w:r w:rsidRPr="00A11493">
        <w:rPr>
          <w:rFonts w:ascii="Arial" w:hAnsi="Arial" w:cs="Arial"/>
          <w:bCs/>
          <w:sz w:val="20"/>
          <w:szCs w:val="20"/>
        </w:rPr>
        <w:t>certain milestones.</w:t>
      </w:r>
      <w:r w:rsidR="00E91795">
        <w:rPr>
          <w:rFonts w:ascii="Arial" w:hAnsi="Arial" w:cs="Arial"/>
          <w:bCs/>
          <w:sz w:val="20"/>
          <w:szCs w:val="20"/>
        </w:rPr>
        <w:t xml:space="preserve">  </w:t>
      </w:r>
      <w:r w:rsidR="00723E11">
        <w:rPr>
          <w:rFonts w:ascii="Arial" w:hAnsi="Arial" w:cs="Arial"/>
          <w:bCs/>
          <w:sz w:val="20"/>
          <w:szCs w:val="20"/>
        </w:rPr>
        <w:t>Contingent consideration consists of</w:t>
      </w:r>
      <w:r w:rsidR="00723E11" w:rsidRPr="00E91795">
        <w:rPr>
          <w:rFonts w:ascii="Arial" w:hAnsi="Arial" w:cs="Arial"/>
          <w:bCs/>
          <w:sz w:val="20"/>
          <w:szCs w:val="20"/>
        </w:rPr>
        <w:t xml:space="preserve">: (a) $500,000 to be issued on the earlier of (i) the date CBDV's Section 56 Exemption is renewed or a new authorization is issued by Health Canada or (ii) the date CBDV's application for a dealer's license from Health Canada is received; (b) $1,250,000 to be issued if CBDV achieves gross revenue equal to at least $1,200,000 in the first 12 months following closing of the transaction; and (c) $1,250,000 to be issued if CBDV achieves gross revenue equal to at least $3,600,000 in the first 24 months following closing of the transaction (each such event, a "Milestone"). Such additional consideration to satisfied by </w:t>
      </w:r>
      <w:r w:rsidR="00723E11">
        <w:rPr>
          <w:rFonts w:ascii="Arial" w:hAnsi="Arial" w:cs="Arial"/>
          <w:bCs/>
          <w:sz w:val="20"/>
          <w:szCs w:val="20"/>
        </w:rPr>
        <w:t>the Company</w:t>
      </w:r>
      <w:r w:rsidR="00723E11" w:rsidRPr="00E91795">
        <w:rPr>
          <w:rFonts w:ascii="Arial" w:hAnsi="Arial" w:cs="Arial"/>
          <w:bCs/>
          <w:sz w:val="20"/>
          <w:szCs w:val="20"/>
        </w:rPr>
        <w:t xml:space="preserve">'s issuance of additional consideration shares at a price per share equal to the ten (10) trading day VWAP of the consideration shares on the </w:t>
      </w:r>
      <w:r w:rsidR="00723E11">
        <w:rPr>
          <w:rFonts w:ascii="Arial" w:hAnsi="Arial" w:cs="Arial"/>
          <w:bCs/>
          <w:sz w:val="20"/>
          <w:szCs w:val="20"/>
        </w:rPr>
        <w:t>CSE</w:t>
      </w:r>
      <w:r w:rsidR="00723E11" w:rsidRPr="00E91795">
        <w:rPr>
          <w:rFonts w:ascii="Arial" w:hAnsi="Arial" w:cs="Arial"/>
          <w:bCs/>
          <w:sz w:val="20"/>
          <w:szCs w:val="20"/>
        </w:rPr>
        <w:t xml:space="preserve"> on the trading day prior to the date the Milestone is reached.</w:t>
      </w:r>
      <w:r w:rsidR="00723E11">
        <w:rPr>
          <w:rFonts w:ascii="Arial" w:hAnsi="Arial" w:cs="Arial"/>
          <w:bCs/>
          <w:sz w:val="20"/>
          <w:szCs w:val="20"/>
        </w:rPr>
        <w:t xml:space="preserve">  The contingent consideration was assigned a value of CAD$1,041,667.</w:t>
      </w:r>
    </w:p>
    <w:p w14:paraId="205A634A" w14:textId="5E37846E" w:rsidR="0099303D" w:rsidRDefault="0099303D" w:rsidP="00A11493">
      <w:pPr>
        <w:widowControl/>
        <w:autoSpaceDE/>
        <w:autoSpaceDN/>
        <w:adjustRightInd/>
        <w:rPr>
          <w:rFonts w:ascii="Arial" w:hAnsi="Arial" w:cs="Arial"/>
          <w:bCs/>
          <w:sz w:val="20"/>
          <w:szCs w:val="20"/>
        </w:rPr>
      </w:pPr>
    </w:p>
    <w:p w14:paraId="76EC2EDE" w14:textId="62D1E8DF" w:rsidR="008E44C7" w:rsidRDefault="008E44C7" w:rsidP="00A11493">
      <w:pPr>
        <w:widowControl/>
        <w:autoSpaceDE/>
        <w:autoSpaceDN/>
        <w:adjustRightInd/>
        <w:rPr>
          <w:rFonts w:ascii="Arial" w:hAnsi="Arial" w:cs="Arial"/>
          <w:bCs/>
          <w:sz w:val="20"/>
          <w:szCs w:val="20"/>
        </w:rPr>
      </w:pPr>
      <w:r w:rsidRPr="008E44C7">
        <w:rPr>
          <w:rFonts w:ascii="Arial" w:hAnsi="Arial" w:cs="Arial"/>
          <w:bCs/>
          <w:sz w:val="20"/>
          <w:szCs w:val="20"/>
        </w:rPr>
        <w:t>In determining that the Company was the acquirer, the Company considered the guidance in IFRS 3. The Company considered which party transferred the assets, the relative voting rights of the resulting entity, the presence of any significant minority shareholders, the composition of both the governing body and senior management of the resulting issuer, the terms of exchange of equity interests, and which combining entity’s relative size was greatest.</w:t>
      </w:r>
    </w:p>
    <w:p w14:paraId="7EA30731" w14:textId="78B31067" w:rsidR="008E44C7" w:rsidRDefault="008E44C7" w:rsidP="00A11493">
      <w:pPr>
        <w:widowControl/>
        <w:autoSpaceDE/>
        <w:autoSpaceDN/>
        <w:adjustRightInd/>
        <w:rPr>
          <w:rFonts w:ascii="Arial" w:hAnsi="Arial" w:cs="Arial"/>
          <w:bCs/>
          <w:sz w:val="20"/>
          <w:szCs w:val="20"/>
        </w:rPr>
      </w:pPr>
    </w:p>
    <w:p w14:paraId="088947A4" w14:textId="158E1AC0" w:rsidR="00E91795" w:rsidRDefault="00E91795" w:rsidP="00A11493">
      <w:pPr>
        <w:widowControl/>
        <w:autoSpaceDE/>
        <w:autoSpaceDN/>
        <w:adjustRightInd/>
        <w:rPr>
          <w:rFonts w:ascii="Arial" w:hAnsi="Arial" w:cs="Arial"/>
          <w:bCs/>
          <w:sz w:val="20"/>
          <w:szCs w:val="20"/>
        </w:rPr>
      </w:pPr>
    </w:p>
    <w:p w14:paraId="07A4E5C2" w14:textId="5C0F0B2E" w:rsidR="00E91795" w:rsidRDefault="00E91795" w:rsidP="00A11493">
      <w:pPr>
        <w:widowControl/>
        <w:autoSpaceDE/>
        <w:autoSpaceDN/>
        <w:adjustRightInd/>
        <w:rPr>
          <w:rFonts w:ascii="Arial" w:hAnsi="Arial" w:cs="Arial"/>
          <w:bCs/>
          <w:sz w:val="20"/>
          <w:szCs w:val="20"/>
        </w:rPr>
      </w:pPr>
    </w:p>
    <w:p w14:paraId="482CDD65" w14:textId="7C3644ED" w:rsidR="00E91795" w:rsidRDefault="00E91795" w:rsidP="00A11493">
      <w:pPr>
        <w:widowControl/>
        <w:autoSpaceDE/>
        <w:autoSpaceDN/>
        <w:adjustRightInd/>
        <w:rPr>
          <w:rFonts w:ascii="Arial" w:hAnsi="Arial" w:cs="Arial"/>
          <w:bCs/>
          <w:sz w:val="20"/>
          <w:szCs w:val="20"/>
        </w:rPr>
      </w:pPr>
    </w:p>
    <w:p w14:paraId="48FF451D" w14:textId="040B3DAF" w:rsidR="00E91795" w:rsidRDefault="00E91795" w:rsidP="00A11493">
      <w:pPr>
        <w:widowControl/>
        <w:autoSpaceDE/>
        <w:autoSpaceDN/>
        <w:adjustRightInd/>
        <w:rPr>
          <w:rFonts w:ascii="Arial" w:hAnsi="Arial" w:cs="Arial"/>
          <w:bCs/>
          <w:sz w:val="20"/>
          <w:szCs w:val="20"/>
        </w:rPr>
      </w:pPr>
    </w:p>
    <w:p w14:paraId="3E4A1560" w14:textId="3B22E38F" w:rsidR="00E91795" w:rsidRDefault="00E91795" w:rsidP="00A11493">
      <w:pPr>
        <w:widowControl/>
        <w:autoSpaceDE/>
        <w:autoSpaceDN/>
        <w:adjustRightInd/>
        <w:rPr>
          <w:rFonts w:ascii="Arial" w:hAnsi="Arial" w:cs="Arial"/>
          <w:bCs/>
          <w:sz w:val="20"/>
          <w:szCs w:val="20"/>
        </w:rPr>
      </w:pPr>
    </w:p>
    <w:p w14:paraId="4480BD11" w14:textId="19E20008" w:rsidR="00E91795" w:rsidRDefault="00E91795" w:rsidP="00A11493">
      <w:pPr>
        <w:widowControl/>
        <w:autoSpaceDE/>
        <w:autoSpaceDN/>
        <w:adjustRightInd/>
        <w:rPr>
          <w:rFonts w:ascii="Arial" w:hAnsi="Arial" w:cs="Arial"/>
          <w:bCs/>
          <w:sz w:val="20"/>
          <w:szCs w:val="20"/>
        </w:rPr>
      </w:pPr>
    </w:p>
    <w:p w14:paraId="0E27F7FE" w14:textId="2E6190E2" w:rsidR="00E91795" w:rsidRDefault="00E91795" w:rsidP="00A11493">
      <w:pPr>
        <w:widowControl/>
        <w:autoSpaceDE/>
        <w:autoSpaceDN/>
        <w:adjustRightInd/>
        <w:rPr>
          <w:rFonts w:ascii="Arial" w:hAnsi="Arial" w:cs="Arial"/>
          <w:bCs/>
          <w:sz w:val="20"/>
          <w:szCs w:val="20"/>
        </w:rPr>
      </w:pPr>
    </w:p>
    <w:p w14:paraId="6FFFFE1F" w14:textId="4AC4EB2A" w:rsidR="00E91795" w:rsidRDefault="00E91795" w:rsidP="00A11493">
      <w:pPr>
        <w:widowControl/>
        <w:autoSpaceDE/>
        <w:autoSpaceDN/>
        <w:adjustRightInd/>
        <w:rPr>
          <w:rFonts w:ascii="Arial" w:hAnsi="Arial" w:cs="Arial"/>
          <w:bCs/>
          <w:sz w:val="20"/>
          <w:szCs w:val="20"/>
        </w:rPr>
      </w:pPr>
    </w:p>
    <w:p w14:paraId="7F7E867E" w14:textId="33FA809E" w:rsidR="00E91795" w:rsidRDefault="00E91795" w:rsidP="00A11493">
      <w:pPr>
        <w:widowControl/>
        <w:autoSpaceDE/>
        <w:autoSpaceDN/>
        <w:adjustRightInd/>
        <w:rPr>
          <w:rFonts w:ascii="Arial" w:hAnsi="Arial" w:cs="Arial"/>
          <w:bCs/>
          <w:sz w:val="20"/>
          <w:szCs w:val="20"/>
        </w:rPr>
      </w:pPr>
    </w:p>
    <w:p w14:paraId="2C24F628" w14:textId="21041E52" w:rsidR="00E91795" w:rsidRDefault="00E91795" w:rsidP="00A11493">
      <w:pPr>
        <w:widowControl/>
        <w:autoSpaceDE/>
        <w:autoSpaceDN/>
        <w:adjustRightInd/>
        <w:rPr>
          <w:rFonts w:ascii="Arial" w:hAnsi="Arial" w:cs="Arial"/>
          <w:bCs/>
          <w:sz w:val="20"/>
          <w:szCs w:val="20"/>
        </w:rPr>
      </w:pPr>
    </w:p>
    <w:p w14:paraId="360BF5B3" w14:textId="03DD9991" w:rsidR="00E91795" w:rsidRDefault="00E91795" w:rsidP="00A11493">
      <w:pPr>
        <w:widowControl/>
        <w:autoSpaceDE/>
        <w:autoSpaceDN/>
        <w:adjustRightInd/>
        <w:rPr>
          <w:rFonts w:ascii="Arial" w:hAnsi="Arial" w:cs="Arial"/>
          <w:bCs/>
          <w:sz w:val="20"/>
          <w:szCs w:val="20"/>
        </w:rPr>
      </w:pPr>
    </w:p>
    <w:p w14:paraId="6758F25E" w14:textId="5A56DDCF" w:rsidR="00E91795" w:rsidRDefault="00E91795" w:rsidP="00A11493">
      <w:pPr>
        <w:widowControl/>
        <w:autoSpaceDE/>
        <w:autoSpaceDN/>
        <w:adjustRightInd/>
        <w:rPr>
          <w:rFonts w:ascii="Arial" w:hAnsi="Arial" w:cs="Arial"/>
          <w:bCs/>
          <w:sz w:val="20"/>
          <w:szCs w:val="20"/>
        </w:rPr>
      </w:pPr>
    </w:p>
    <w:p w14:paraId="518829FC" w14:textId="6FBF95F1" w:rsidR="00E91795" w:rsidRDefault="00E91795" w:rsidP="00A11493">
      <w:pPr>
        <w:widowControl/>
        <w:autoSpaceDE/>
        <w:autoSpaceDN/>
        <w:adjustRightInd/>
        <w:rPr>
          <w:rFonts w:ascii="Arial" w:hAnsi="Arial" w:cs="Arial"/>
          <w:bCs/>
          <w:sz w:val="20"/>
          <w:szCs w:val="20"/>
        </w:rPr>
      </w:pPr>
    </w:p>
    <w:p w14:paraId="23E81FE2" w14:textId="1B1BF925" w:rsidR="00E91795" w:rsidRDefault="00E91795" w:rsidP="00A11493">
      <w:pPr>
        <w:widowControl/>
        <w:autoSpaceDE/>
        <w:autoSpaceDN/>
        <w:adjustRightInd/>
        <w:rPr>
          <w:rFonts w:ascii="Arial" w:hAnsi="Arial" w:cs="Arial"/>
          <w:bCs/>
          <w:sz w:val="20"/>
          <w:szCs w:val="20"/>
        </w:rPr>
      </w:pPr>
    </w:p>
    <w:p w14:paraId="1B31C454" w14:textId="5F4593B8" w:rsidR="00E91795" w:rsidRDefault="00E91795" w:rsidP="00A11493">
      <w:pPr>
        <w:widowControl/>
        <w:autoSpaceDE/>
        <w:autoSpaceDN/>
        <w:adjustRightInd/>
        <w:rPr>
          <w:rFonts w:ascii="Arial" w:hAnsi="Arial" w:cs="Arial"/>
          <w:bCs/>
          <w:sz w:val="20"/>
          <w:szCs w:val="20"/>
        </w:rPr>
      </w:pPr>
    </w:p>
    <w:p w14:paraId="0B40E572" w14:textId="53AEF398" w:rsidR="00E91795" w:rsidRDefault="00E91795" w:rsidP="00A11493">
      <w:pPr>
        <w:widowControl/>
        <w:autoSpaceDE/>
        <w:autoSpaceDN/>
        <w:adjustRightInd/>
        <w:rPr>
          <w:rFonts w:ascii="Arial" w:hAnsi="Arial" w:cs="Arial"/>
          <w:bCs/>
          <w:sz w:val="20"/>
          <w:szCs w:val="20"/>
        </w:rPr>
      </w:pPr>
    </w:p>
    <w:p w14:paraId="79C3FC5C" w14:textId="6EB55612" w:rsidR="00E91795" w:rsidRDefault="00E91795" w:rsidP="00A11493">
      <w:pPr>
        <w:widowControl/>
        <w:autoSpaceDE/>
        <w:autoSpaceDN/>
        <w:adjustRightInd/>
        <w:rPr>
          <w:rFonts w:ascii="Arial" w:hAnsi="Arial" w:cs="Arial"/>
          <w:bCs/>
          <w:sz w:val="20"/>
          <w:szCs w:val="20"/>
        </w:rPr>
      </w:pPr>
    </w:p>
    <w:p w14:paraId="3DB3EC19" w14:textId="3A7542CA" w:rsidR="00E91795" w:rsidRDefault="00E91795" w:rsidP="00A11493">
      <w:pPr>
        <w:widowControl/>
        <w:autoSpaceDE/>
        <w:autoSpaceDN/>
        <w:adjustRightInd/>
        <w:rPr>
          <w:rFonts w:ascii="Arial" w:hAnsi="Arial" w:cs="Arial"/>
          <w:bCs/>
          <w:sz w:val="20"/>
          <w:szCs w:val="20"/>
        </w:rPr>
      </w:pPr>
    </w:p>
    <w:p w14:paraId="3F9012B4" w14:textId="152A5CA2" w:rsidR="00E91795" w:rsidRDefault="00E91795" w:rsidP="00A11493">
      <w:pPr>
        <w:widowControl/>
        <w:autoSpaceDE/>
        <w:autoSpaceDN/>
        <w:adjustRightInd/>
        <w:rPr>
          <w:rFonts w:ascii="Arial" w:hAnsi="Arial" w:cs="Arial"/>
          <w:bCs/>
          <w:sz w:val="20"/>
          <w:szCs w:val="20"/>
        </w:rPr>
      </w:pPr>
    </w:p>
    <w:p w14:paraId="15307325" w14:textId="7EBE0012" w:rsidR="00E91795" w:rsidRDefault="00E91795" w:rsidP="00A11493">
      <w:pPr>
        <w:widowControl/>
        <w:autoSpaceDE/>
        <w:autoSpaceDN/>
        <w:adjustRightInd/>
        <w:rPr>
          <w:rFonts w:ascii="Arial" w:hAnsi="Arial" w:cs="Arial"/>
          <w:bCs/>
          <w:sz w:val="20"/>
          <w:szCs w:val="20"/>
        </w:rPr>
      </w:pPr>
    </w:p>
    <w:p w14:paraId="5A15A421" w14:textId="0B466DEB" w:rsidR="00E91795" w:rsidRDefault="00E91795" w:rsidP="00A11493">
      <w:pPr>
        <w:widowControl/>
        <w:autoSpaceDE/>
        <w:autoSpaceDN/>
        <w:adjustRightInd/>
        <w:rPr>
          <w:rFonts w:ascii="Arial" w:hAnsi="Arial" w:cs="Arial"/>
          <w:bCs/>
          <w:sz w:val="20"/>
          <w:szCs w:val="20"/>
        </w:rPr>
      </w:pPr>
    </w:p>
    <w:p w14:paraId="27F38160" w14:textId="43B711C6" w:rsidR="00E91795" w:rsidRDefault="00E91795" w:rsidP="00A11493">
      <w:pPr>
        <w:widowControl/>
        <w:autoSpaceDE/>
        <w:autoSpaceDN/>
        <w:adjustRightInd/>
        <w:rPr>
          <w:rFonts w:ascii="Arial" w:hAnsi="Arial" w:cs="Arial"/>
          <w:bCs/>
          <w:sz w:val="20"/>
          <w:szCs w:val="20"/>
        </w:rPr>
      </w:pPr>
    </w:p>
    <w:p w14:paraId="6131A0DC" w14:textId="47F50026" w:rsidR="00E91795" w:rsidRDefault="00E91795" w:rsidP="00A11493">
      <w:pPr>
        <w:widowControl/>
        <w:autoSpaceDE/>
        <w:autoSpaceDN/>
        <w:adjustRightInd/>
        <w:rPr>
          <w:rFonts w:ascii="Arial" w:hAnsi="Arial" w:cs="Arial"/>
          <w:bCs/>
          <w:sz w:val="20"/>
          <w:szCs w:val="20"/>
        </w:rPr>
      </w:pPr>
    </w:p>
    <w:p w14:paraId="1D137EAF" w14:textId="0FEFC0FD" w:rsidR="00E91795" w:rsidRDefault="00E91795" w:rsidP="00A11493">
      <w:pPr>
        <w:widowControl/>
        <w:autoSpaceDE/>
        <w:autoSpaceDN/>
        <w:adjustRightInd/>
        <w:rPr>
          <w:rFonts w:ascii="Arial" w:hAnsi="Arial" w:cs="Arial"/>
          <w:bCs/>
          <w:sz w:val="20"/>
          <w:szCs w:val="20"/>
        </w:rPr>
      </w:pPr>
    </w:p>
    <w:p w14:paraId="25512B4A" w14:textId="77777777" w:rsidR="008E44C7" w:rsidRDefault="008E44C7" w:rsidP="00A11493">
      <w:pPr>
        <w:widowControl/>
        <w:autoSpaceDE/>
        <w:autoSpaceDN/>
        <w:adjustRightInd/>
        <w:rPr>
          <w:rFonts w:ascii="Arial" w:hAnsi="Arial" w:cs="Arial"/>
          <w:bCs/>
          <w:sz w:val="20"/>
          <w:szCs w:val="20"/>
        </w:rPr>
      </w:pPr>
      <w:r w:rsidRPr="008E44C7">
        <w:rPr>
          <w:rFonts w:ascii="Arial" w:hAnsi="Arial" w:cs="Arial"/>
          <w:bCs/>
          <w:sz w:val="20"/>
          <w:szCs w:val="20"/>
        </w:rPr>
        <w:lastRenderedPageBreak/>
        <w:t xml:space="preserve">The accounting for this transaction resulted in the following: </w:t>
      </w:r>
    </w:p>
    <w:p w14:paraId="4DB28C5D" w14:textId="77777777" w:rsidR="008E44C7" w:rsidRDefault="008E44C7" w:rsidP="00A11493">
      <w:pPr>
        <w:widowControl/>
        <w:autoSpaceDE/>
        <w:autoSpaceDN/>
        <w:adjustRightInd/>
        <w:rPr>
          <w:rFonts w:ascii="Arial" w:hAnsi="Arial" w:cs="Arial"/>
          <w:bCs/>
          <w:sz w:val="20"/>
          <w:szCs w:val="20"/>
        </w:rPr>
      </w:pPr>
    </w:p>
    <w:p w14:paraId="58DE1624" w14:textId="302BD857" w:rsidR="00723E11" w:rsidRDefault="008E44C7" w:rsidP="00723E11">
      <w:pPr>
        <w:widowControl/>
        <w:autoSpaceDE/>
        <w:autoSpaceDN/>
        <w:adjustRightInd/>
        <w:rPr>
          <w:rFonts w:ascii="Arial" w:hAnsi="Arial" w:cs="Arial"/>
          <w:bCs/>
          <w:i/>
          <w:iCs/>
          <w:sz w:val="20"/>
          <w:szCs w:val="20"/>
        </w:rPr>
      </w:pPr>
      <w:r w:rsidRPr="008E44C7">
        <w:rPr>
          <w:rFonts w:ascii="Arial" w:hAnsi="Arial" w:cs="Arial"/>
          <w:bCs/>
          <w:sz w:val="20"/>
          <w:szCs w:val="20"/>
        </w:rPr>
        <w:t xml:space="preserve">As </w:t>
      </w:r>
      <w:r w:rsidR="00AA3696">
        <w:rPr>
          <w:rFonts w:ascii="Arial" w:hAnsi="Arial" w:cs="Arial"/>
          <w:bCs/>
          <w:sz w:val="20"/>
          <w:szCs w:val="20"/>
        </w:rPr>
        <w:t>Delic Labs</w:t>
      </w:r>
      <w:r w:rsidRPr="008E44C7">
        <w:rPr>
          <w:rFonts w:ascii="Arial" w:hAnsi="Arial" w:cs="Arial"/>
          <w:bCs/>
          <w:sz w:val="20"/>
          <w:szCs w:val="20"/>
        </w:rPr>
        <w:t xml:space="preserve"> </w:t>
      </w:r>
      <w:proofErr w:type="gramStart"/>
      <w:r w:rsidRPr="008E44C7">
        <w:rPr>
          <w:rFonts w:ascii="Arial" w:hAnsi="Arial" w:cs="Arial"/>
          <w:bCs/>
          <w:sz w:val="20"/>
          <w:szCs w:val="20"/>
        </w:rPr>
        <w:t>was considered to be</w:t>
      </w:r>
      <w:proofErr w:type="gramEnd"/>
      <w:r w:rsidRPr="008E44C7">
        <w:rPr>
          <w:rFonts w:ascii="Arial" w:hAnsi="Arial" w:cs="Arial"/>
          <w:bCs/>
          <w:sz w:val="20"/>
          <w:szCs w:val="20"/>
        </w:rPr>
        <w:t xml:space="preserve"> the acquiree for accounting purposes, its assets and liabilities are included in the </w:t>
      </w:r>
      <w:r>
        <w:rPr>
          <w:rFonts w:ascii="Arial" w:hAnsi="Arial" w:cs="Arial"/>
          <w:bCs/>
          <w:sz w:val="20"/>
          <w:szCs w:val="20"/>
        </w:rPr>
        <w:t xml:space="preserve">condensed </w:t>
      </w:r>
      <w:r w:rsidRPr="008E44C7">
        <w:rPr>
          <w:rFonts w:ascii="Arial" w:hAnsi="Arial" w:cs="Arial"/>
          <w:bCs/>
          <w:sz w:val="20"/>
          <w:szCs w:val="20"/>
        </w:rPr>
        <w:t xml:space="preserve">consolidated </w:t>
      </w:r>
      <w:r>
        <w:rPr>
          <w:rFonts w:ascii="Arial" w:hAnsi="Arial" w:cs="Arial"/>
          <w:bCs/>
          <w:sz w:val="20"/>
          <w:szCs w:val="20"/>
        </w:rPr>
        <w:t xml:space="preserve">interim </w:t>
      </w:r>
      <w:r w:rsidRPr="008E44C7">
        <w:rPr>
          <w:rFonts w:ascii="Arial" w:hAnsi="Arial" w:cs="Arial"/>
          <w:bCs/>
          <w:sz w:val="20"/>
          <w:szCs w:val="20"/>
        </w:rPr>
        <w:t xml:space="preserve">financial statements at their fair value as of the acquisition date. Management has determined </w:t>
      </w:r>
      <w:r w:rsidR="006B492A">
        <w:rPr>
          <w:rFonts w:ascii="Arial" w:hAnsi="Arial" w:cs="Arial"/>
          <w:bCs/>
          <w:sz w:val="20"/>
          <w:szCs w:val="20"/>
        </w:rPr>
        <w:t>that the acquisition was a business combination and accordingly recorded the fair value of the assets acquired and liability assumed as follows:</w:t>
      </w:r>
      <w:r w:rsidRPr="008E44C7">
        <w:rPr>
          <w:rFonts w:ascii="Arial" w:hAnsi="Arial" w:cs="Arial"/>
          <w:bCs/>
          <w:sz w:val="20"/>
          <w:szCs w:val="20"/>
        </w:rPr>
        <w:t xml:space="preserve"> </w:t>
      </w:r>
    </w:p>
    <w:tbl>
      <w:tblPr>
        <w:tblW w:w="10142" w:type="dxa"/>
        <w:jc w:val="center"/>
        <w:tblLook w:val="04A0" w:firstRow="1" w:lastRow="0" w:firstColumn="1" w:lastColumn="0" w:noHBand="0" w:noVBand="1"/>
      </w:tblPr>
      <w:tblGrid>
        <w:gridCol w:w="6237"/>
        <w:gridCol w:w="328"/>
        <w:gridCol w:w="1720"/>
        <w:gridCol w:w="548"/>
        <w:gridCol w:w="1309"/>
      </w:tblGrid>
      <w:tr w:rsidR="00723E11" w:rsidRPr="00E9060D" w14:paraId="7A1C2E63" w14:textId="77777777" w:rsidTr="001D2E70">
        <w:trPr>
          <w:trHeight w:val="246"/>
          <w:jc w:val="center"/>
        </w:trPr>
        <w:tc>
          <w:tcPr>
            <w:tcW w:w="6237" w:type="dxa"/>
            <w:tcBorders>
              <w:top w:val="single" w:sz="4" w:space="0" w:color="auto"/>
              <w:left w:val="nil"/>
              <w:right w:val="nil"/>
            </w:tcBorders>
            <w:shd w:val="clear" w:color="auto" w:fill="auto"/>
            <w:noWrap/>
            <w:vAlign w:val="bottom"/>
            <w:hideMark/>
          </w:tcPr>
          <w:p w14:paraId="5B0441DC" w14:textId="77777777" w:rsidR="00723E11" w:rsidRPr="00E9060D" w:rsidRDefault="00723E11" w:rsidP="00262B9C">
            <w:pPr>
              <w:widowControl/>
              <w:autoSpaceDE/>
              <w:autoSpaceDN/>
              <w:adjustRightInd/>
              <w:jc w:val="left"/>
              <w:rPr>
                <w:sz w:val="24"/>
                <w:szCs w:val="20"/>
                <w:lang w:eastAsia="en-CA"/>
              </w:rPr>
            </w:pPr>
          </w:p>
        </w:tc>
        <w:tc>
          <w:tcPr>
            <w:tcW w:w="272" w:type="dxa"/>
            <w:tcBorders>
              <w:top w:val="single" w:sz="4" w:space="0" w:color="auto"/>
              <w:left w:val="nil"/>
              <w:right w:val="nil"/>
            </w:tcBorders>
            <w:shd w:val="clear" w:color="auto" w:fill="auto"/>
            <w:noWrap/>
            <w:vAlign w:val="bottom"/>
            <w:hideMark/>
          </w:tcPr>
          <w:p w14:paraId="4D5F8C82" w14:textId="77777777" w:rsidR="00723E11" w:rsidRPr="00E9060D" w:rsidRDefault="00723E11" w:rsidP="00262B9C">
            <w:pPr>
              <w:widowControl/>
              <w:autoSpaceDE/>
              <w:autoSpaceDN/>
              <w:adjustRightInd/>
              <w:jc w:val="left"/>
              <w:rPr>
                <w:sz w:val="20"/>
                <w:szCs w:val="20"/>
                <w:lang w:eastAsia="en-CA"/>
              </w:rPr>
            </w:pPr>
          </w:p>
        </w:tc>
        <w:tc>
          <w:tcPr>
            <w:tcW w:w="1720" w:type="dxa"/>
            <w:tcBorders>
              <w:top w:val="single" w:sz="4" w:space="0" w:color="auto"/>
              <w:left w:val="nil"/>
              <w:right w:val="nil"/>
            </w:tcBorders>
            <w:shd w:val="clear" w:color="auto" w:fill="auto"/>
            <w:noWrap/>
            <w:vAlign w:val="bottom"/>
            <w:hideMark/>
          </w:tcPr>
          <w:p w14:paraId="659E2D2B"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sidRPr="00E9060D">
              <w:rPr>
                <w:rFonts w:ascii="Arial" w:hAnsi="Arial" w:cs="Arial"/>
                <w:b/>
                <w:bCs/>
                <w:color w:val="000000"/>
                <w:sz w:val="20"/>
                <w:szCs w:val="20"/>
                <w:lang w:eastAsia="en-CA"/>
              </w:rPr>
              <w:t>CAD</w:t>
            </w:r>
          </w:p>
        </w:tc>
        <w:tc>
          <w:tcPr>
            <w:tcW w:w="577" w:type="dxa"/>
            <w:tcBorders>
              <w:top w:val="single" w:sz="4" w:space="0" w:color="auto"/>
              <w:left w:val="nil"/>
              <w:right w:val="nil"/>
            </w:tcBorders>
          </w:tcPr>
          <w:p w14:paraId="0037B194" w14:textId="77777777" w:rsidR="00723E11" w:rsidRDefault="00723E11" w:rsidP="00262B9C">
            <w:pPr>
              <w:widowControl/>
              <w:autoSpaceDE/>
              <w:autoSpaceDN/>
              <w:adjustRightInd/>
              <w:jc w:val="right"/>
              <w:rPr>
                <w:rFonts w:ascii="Arial" w:hAnsi="Arial" w:cs="Arial"/>
                <w:b/>
                <w:bCs/>
                <w:color w:val="000000"/>
                <w:sz w:val="20"/>
                <w:szCs w:val="20"/>
                <w:lang w:eastAsia="en-CA"/>
              </w:rPr>
            </w:pPr>
          </w:p>
        </w:tc>
        <w:tc>
          <w:tcPr>
            <w:tcW w:w="1336" w:type="dxa"/>
            <w:tcBorders>
              <w:top w:val="single" w:sz="4" w:space="0" w:color="auto"/>
              <w:left w:val="nil"/>
              <w:right w:val="nil"/>
            </w:tcBorders>
          </w:tcPr>
          <w:p w14:paraId="73A41DE7"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USD</w:t>
            </w:r>
          </w:p>
        </w:tc>
      </w:tr>
      <w:tr w:rsidR="00723E11" w:rsidRPr="00E9060D" w14:paraId="75A6DEA8" w14:textId="77777777" w:rsidTr="001D2E70">
        <w:trPr>
          <w:trHeight w:val="246"/>
          <w:jc w:val="center"/>
        </w:trPr>
        <w:tc>
          <w:tcPr>
            <w:tcW w:w="6237" w:type="dxa"/>
            <w:tcBorders>
              <w:top w:val="nil"/>
              <w:left w:val="nil"/>
              <w:right w:val="nil"/>
            </w:tcBorders>
            <w:shd w:val="clear" w:color="auto" w:fill="auto"/>
            <w:noWrap/>
            <w:vAlign w:val="bottom"/>
            <w:hideMark/>
          </w:tcPr>
          <w:p w14:paraId="262C83C7"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Share consideration</w:t>
            </w:r>
            <w:r>
              <w:rPr>
                <w:rFonts w:ascii="Arial" w:hAnsi="Arial" w:cs="Arial"/>
                <w:b/>
                <w:bCs/>
                <w:color w:val="000000"/>
                <w:sz w:val="20"/>
                <w:szCs w:val="20"/>
                <w:lang w:eastAsia="en-CA"/>
              </w:rPr>
              <w:t xml:space="preserve"> (Note 7)</w:t>
            </w:r>
          </w:p>
        </w:tc>
        <w:tc>
          <w:tcPr>
            <w:tcW w:w="272" w:type="dxa"/>
            <w:tcBorders>
              <w:top w:val="nil"/>
              <w:left w:val="nil"/>
              <w:right w:val="nil"/>
            </w:tcBorders>
            <w:shd w:val="clear" w:color="auto" w:fill="auto"/>
            <w:noWrap/>
            <w:vAlign w:val="bottom"/>
            <w:hideMark/>
          </w:tcPr>
          <w:p w14:paraId="14C82DDB"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w:t>
            </w:r>
            <w:r>
              <w:rPr>
                <w:rFonts w:ascii="Arial" w:hAnsi="Arial" w:cs="Arial"/>
                <w:b/>
                <w:bCs/>
                <w:color w:val="000000"/>
                <w:sz w:val="20"/>
                <w:szCs w:val="20"/>
                <w:lang w:eastAsia="en-CA"/>
              </w:rPr>
              <w:t xml:space="preserve"> </w:t>
            </w:r>
          </w:p>
        </w:tc>
        <w:tc>
          <w:tcPr>
            <w:tcW w:w="1720" w:type="dxa"/>
            <w:tcBorders>
              <w:top w:val="nil"/>
              <w:left w:val="nil"/>
              <w:right w:val="nil"/>
            </w:tcBorders>
            <w:shd w:val="clear" w:color="auto" w:fill="auto"/>
            <w:noWrap/>
            <w:vAlign w:val="bottom"/>
            <w:hideMark/>
          </w:tcPr>
          <w:p w14:paraId="5E93E5C0"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sidRPr="00E9060D">
              <w:rPr>
                <w:rFonts w:ascii="Arial" w:hAnsi="Arial" w:cs="Arial"/>
                <w:b/>
                <w:bCs/>
                <w:color w:val="000000"/>
                <w:sz w:val="20"/>
                <w:szCs w:val="20"/>
                <w:lang w:eastAsia="en-CA"/>
              </w:rPr>
              <w:t xml:space="preserve">     </w:t>
            </w:r>
            <w:r>
              <w:rPr>
                <w:rFonts w:ascii="Arial" w:hAnsi="Arial" w:cs="Arial"/>
                <w:b/>
                <w:bCs/>
                <w:color w:val="000000"/>
                <w:sz w:val="20"/>
                <w:szCs w:val="20"/>
                <w:lang w:eastAsia="en-CA"/>
              </w:rPr>
              <w:t>3</w:t>
            </w:r>
            <w:r w:rsidRPr="00E9060D">
              <w:rPr>
                <w:rFonts w:ascii="Arial" w:hAnsi="Arial" w:cs="Arial"/>
                <w:b/>
                <w:bCs/>
                <w:color w:val="000000"/>
                <w:sz w:val="20"/>
                <w:szCs w:val="20"/>
                <w:lang w:eastAsia="en-CA"/>
              </w:rPr>
              <w:t xml:space="preserve">,000,000 </w:t>
            </w:r>
          </w:p>
        </w:tc>
        <w:tc>
          <w:tcPr>
            <w:tcW w:w="577" w:type="dxa"/>
            <w:tcBorders>
              <w:top w:val="nil"/>
              <w:left w:val="nil"/>
              <w:right w:val="nil"/>
            </w:tcBorders>
          </w:tcPr>
          <w:p w14:paraId="6AE1E39E" w14:textId="77777777" w:rsidR="00723E11"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w:t>
            </w:r>
          </w:p>
        </w:tc>
        <w:tc>
          <w:tcPr>
            <w:tcW w:w="1336" w:type="dxa"/>
            <w:tcBorders>
              <w:top w:val="nil"/>
              <w:left w:val="nil"/>
              <w:right w:val="nil"/>
            </w:tcBorders>
          </w:tcPr>
          <w:p w14:paraId="76E621AD"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2,481,390</w:t>
            </w:r>
          </w:p>
        </w:tc>
      </w:tr>
      <w:tr w:rsidR="00723E11" w:rsidRPr="00E9060D" w14:paraId="76C0764F" w14:textId="77777777" w:rsidTr="001D2E70">
        <w:trPr>
          <w:trHeight w:val="246"/>
          <w:jc w:val="center"/>
        </w:trPr>
        <w:tc>
          <w:tcPr>
            <w:tcW w:w="6237" w:type="dxa"/>
            <w:tcBorders>
              <w:left w:val="nil"/>
              <w:bottom w:val="single" w:sz="4" w:space="0" w:color="auto"/>
              <w:right w:val="nil"/>
            </w:tcBorders>
            <w:shd w:val="clear" w:color="auto" w:fill="auto"/>
            <w:noWrap/>
            <w:vAlign w:val="bottom"/>
          </w:tcPr>
          <w:p w14:paraId="1DB8DA21"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lang w:eastAsia="en-CA"/>
              </w:rPr>
              <w:t>Contingent consideration</w:t>
            </w:r>
          </w:p>
        </w:tc>
        <w:tc>
          <w:tcPr>
            <w:tcW w:w="272" w:type="dxa"/>
            <w:tcBorders>
              <w:left w:val="nil"/>
              <w:bottom w:val="single" w:sz="4" w:space="0" w:color="auto"/>
              <w:right w:val="nil"/>
            </w:tcBorders>
            <w:shd w:val="clear" w:color="auto" w:fill="auto"/>
            <w:noWrap/>
            <w:vAlign w:val="bottom"/>
          </w:tcPr>
          <w:p w14:paraId="5794EAA5"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p>
        </w:tc>
        <w:tc>
          <w:tcPr>
            <w:tcW w:w="1720" w:type="dxa"/>
            <w:tcBorders>
              <w:left w:val="nil"/>
              <w:bottom w:val="single" w:sz="4" w:space="0" w:color="auto"/>
              <w:right w:val="nil"/>
            </w:tcBorders>
            <w:shd w:val="clear" w:color="auto" w:fill="auto"/>
            <w:noWrap/>
            <w:vAlign w:val="bottom"/>
          </w:tcPr>
          <w:p w14:paraId="06FAA0CC"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1,041,667</w:t>
            </w:r>
          </w:p>
        </w:tc>
        <w:tc>
          <w:tcPr>
            <w:tcW w:w="577" w:type="dxa"/>
            <w:tcBorders>
              <w:left w:val="nil"/>
              <w:bottom w:val="single" w:sz="4" w:space="0" w:color="auto"/>
              <w:right w:val="nil"/>
            </w:tcBorders>
          </w:tcPr>
          <w:p w14:paraId="57F77851" w14:textId="77777777" w:rsidR="00723E11" w:rsidRDefault="00723E11" w:rsidP="00262B9C">
            <w:pPr>
              <w:widowControl/>
              <w:autoSpaceDE/>
              <w:autoSpaceDN/>
              <w:adjustRightInd/>
              <w:jc w:val="right"/>
              <w:rPr>
                <w:rFonts w:ascii="Arial" w:hAnsi="Arial" w:cs="Arial"/>
                <w:b/>
                <w:bCs/>
                <w:color w:val="000000"/>
                <w:sz w:val="20"/>
                <w:szCs w:val="20"/>
                <w:lang w:eastAsia="en-CA"/>
              </w:rPr>
            </w:pPr>
          </w:p>
        </w:tc>
        <w:tc>
          <w:tcPr>
            <w:tcW w:w="1336" w:type="dxa"/>
            <w:tcBorders>
              <w:left w:val="nil"/>
              <w:bottom w:val="single" w:sz="4" w:space="0" w:color="auto"/>
              <w:right w:val="nil"/>
            </w:tcBorders>
          </w:tcPr>
          <w:p w14:paraId="4BCF9CD5"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861,594</w:t>
            </w:r>
          </w:p>
        </w:tc>
      </w:tr>
      <w:tr w:rsidR="00723E11" w:rsidRPr="00E9060D" w14:paraId="54EAC840" w14:textId="77777777" w:rsidTr="001D2E70">
        <w:trPr>
          <w:trHeight w:val="246"/>
          <w:jc w:val="center"/>
        </w:trPr>
        <w:tc>
          <w:tcPr>
            <w:tcW w:w="6237" w:type="dxa"/>
            <w:tcBorders>
              <w:top w:val="nil"/>
              <w:left w:val="nil"/>
              <w:bottom w:val="single" w:sz="4" w:space="0" w:color="auto"/>
              <w:right w:val="nil"/>
            </w:tcBorders>
            <w:shd w:val="clear" w:color="auto" w:fill="auto"/>
            <w:noWrap/>
            <w:vAlign w:val="bottom"/>
          </w:tcPr>
          <w:p w14:paraId="5087BA39" w14:textId="77777777" w:rsidR="00723E11" w:rsidRDefault="00723E11" w:rsidP="00262B9C">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lang w:eastAsia="en-CA"/>
              </w:rPr>
              <w:t>Total consideration</w:t>
            </w:r>
          </w:p>
        </w:tc>
        <w:tc>
          <w:tcPr>
            <w:tcW w:w="272" w:type="dxa"/>
            <w:tcBorders>
              <w:top w:val="nil"/>
              <w:left w:val="nil"/>
              <w:bottom w:val="single" w:sz="4" w:space="0" w:color="auto"/>
              <w:right w:val="nil"/>
            </w:tcBorders>
            <w:shd w:val="clear" w:color="auto" w:fill="auto"/>
            <w:noWrap/>
            <w:vAlign w:val="bottom"/>
          </w:tcPr>
          <w:p w14:paraId="01FFEA90"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p>
        </w:tc>
        <w:tc>
          <w:tcPr>
            <w:tcW w:w="1720" w:type="dxa"/>
            <w:tcBorders>
              <w:top w:val="nil"/>
              <w:left w:val="nil"/>
              <w:bottom w:val="single" w:sz="4" w:space="0" w:color="auto"/>
              <w:right w:val="nil"/>
            </w:tcBorders>
            <w:shd w:val="clear" w:color="auto" w:fill="auto"/>
            <w:noWrap/>
            <w:vAlign w:val="bottom"/>
          </w:tcPr>
          <w:p w14:paraId="51D63F39" w14:textId="77777777" w:rsidR="00723E11"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4,041,667</w:t>
            </w:r>
          </w:p>
        </w:tc>
        <w:tc>
          <w:tcPr>
            <w:tcW w:w="577" w:type="dxa"/>
            <w:tcBorders>
              <w:top w:val="nil"/>
              <w:left w:val="nil"/>
              <w:bottom w:val="single" w:sz="4" w:space="0" w:color="auto"/>
              <w:right w:val="nil"/>
            </w:tcBorders>
          </w:tcPr>
          <w:p w14:paraId="23444E4B" w14:textId="77777777" w:rsidR="00723E11" w:rsidRDefault="00723E11" w:rsidP="00262B9C">
            <w:pPr>
              <w:widowControl/>
              <w:autoSpaceDE/>
              <w:autoSpaceDN/>
              <w:adjustRightInd/>
              <w:jc w:val="right"/>
              <w:rPr>
                <w:rFonts w:ascii="Arial" w:hAnsi="Arial" w:cs="Arial"/>
                <w:b/>
                <w:bCs/>
                <w:color w:val="000000"/>
                <w:sz w:val="20"/>
                <w:szCs w:val="20"/>
                <w:lang w:eastAsia="en-CA"/>
              </w:rPr>
            </w:pPr>
          </w:p>
        </w:tc>
        <w:tc>
          <w:tcPr>
            <w:tcW w:w="1336" w:type="dxa"/>
            <w:tcBorders>
              <w:top w:val="nil"/>
              <w:left w:val="nil"/>
              <w:bottom w:val="single" w:sz="4" w:space="0" w:color="auto"/>
              <w:right w:val="nil"/>
            </w:tcBorders>
          </w:tcPr>
          <w:p w14:paraId="0E7C62E6"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3,342,983</w:t>
            </w:r>
          </w:p>
        </w:tc>
      </w:tr>
      <w:tr w:rsidR="00723E11" w:rsidRPr="00E9060D" w14:paraId="207B0CBF" w14:textId="77777777" w:rsidTr="001D2E70">
        <w:trPr>
          <w:trHeight w:val="246"/>
          <w:jc w:val="center"/>
        </w:trPr>
        <w:tc>
          <w:tcPr>
            <w:tcW w:w="6237" w:type="dxa"/>
            <w:tcBorders>
              <w:top w:val="nil"/>
              <w:left w:val="nil"/>
              <w:bottom w:val="nil"/>
              <w:right w:val="nil"/>
            </w:tcBorders>
            <w:shd w:val="clear" w:color="auto" w:fill="auto"/>
            <w:noWrap/>
            <w:vAlign w:val="bottom"/>
          </w:tcPr>
          <w:p w14:paraId="4E113004"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p>
        </w:tc>
        <w:tc>
          <w:tcPr>
            <w:tcW w:w="272" w:type="dxa"/>
            <w:tcBorders>
              <w:top w:val="nil"/>
              <w:left w:val="nil"/>
              <w:bottom w:val="nil"/>
              <w:right w:val="nil"/>
            </w:tcBorders>
            <w:shd w:val="clear" w:color="auto" w:fill="auto"/>
            <w:noWrap/>
            <w:vAlign w:val="bottom"/>
          </w:tcPr>
          <w:p w14:paraId="046BF175" w14:textId="77777777" w:rsidR="00723E11" w:rsidRPr="00E9060D" w:rsidRDefault="00723E11" w:rsidP="00262B9C">
            <w:pPr>
              <w:widowControl/>
              <w:autoSpaceDE/>
              <w:autoSpaceDN/>
              <w:adjustRightInd/>
              <w:jc w:val="left"/>
              <w:rPr>
                <w:sz w:val="20"/>
                <w:szCs w:val="20"/>
                <w:lang w:eastAsia="en-CA"/>
              </w:rPr>
            </w:pPr>
          </w:p>
        </w:tc>
        <w:tc>
          <w:tcPr>
            <w:tcW w:w="1720" w:type="dxa"/>
            <w:tcBorders>
              <w:top w:val="nil"/>
              <w:left w:val="nil"/>
              <w:bottom w:val="nil"/>
              <w:right w:val="nil"/>
            </w:tcBorders>
            <w:shd w:val="clear" w:color="auto" w:fill="auto"/>
            <w:noWrap/>
            <w:vAlign w:val="bottom"/>
          </w:tcPr>
          <w:p w14:paraId="3C1ACD7A" w14:textId="77777777" w:rsidR="00723E11" w:rsidRPr="00E9060D" w:rsidRDefault="00723E11" w:rsidP="00262B9C">
            <w:pPr>
              <w:widowControl/>
              <w:autoSpaceDE/>
              <w:autoSpaceDN/>
              <w:adjustRightInd/>
              <w:jc w:val="right"/>
              <w:rPr>
                <w:sz w:val="20"/>
                <w:szCs w:val="20"/>
                <w:lang w:eastAsia="en-CA"/>
              </w:rPr>
            </w:pPr>
          </w:p>
        </w:tc>
        <w:tc>
          <w:tcPr>
            <w:tcW w:w="577" w:type="dxa"/>
            <w:tcBorders>
              <w:top w:val="nil"/>
              <w:left w:val="nil"/>
              <w:bottom w:val="nil"/>
              <w:right w:val="nil"/>
            </w:tcBorders>
          </w:tcPr>
          <w:p w14:paraId="6B498F18" w14:textId="77777777" w:rsidR="00723E11" w:rsidRPr="00E9060D" w:rsidRDefault="00723E11" w:rsidP="00262B9C">
            <w:pPr>
              <w:widowControl/>
              <w:autoSpaceDE/>
              <w:autoSpaceDN/>
              <w:adjustRightInd/>
              <w:jc w:val="right"/>
              <w:rPr>
                <w:sz w:val="20"/>
                <w:szCs w:val="20"/>
                <w:lang w:eastAsia="en-CA"/>
              </w:rPr>
            </w:pPr>
          </w:p>
        </w:tc>
        <w:tc>
          <w:tcPr>
            <w:tcW w:w="1336" w:type="dxa"/>
            <w:tcBorders>
              <w:top w:val="nil"/>
              <w:left w:val="nil"/>
              <w:bottom w:val="nil"/>
              <w:right w:val="nil"/>
            </w:tcBorders>
          </w:tcPr>
          <w:p w14:paraId="00037A64" w14:textId="77777777" w:rsidR="00723E11" w:rsidRPr="00E9060D" w:rsidRDefault="00723E11" w:rsidP="00262B9C">
            <w:pPr>
              <w:widowControl/>
              <w:autoSpaceDE/>
              <w:autoSpaceDN/>
              <w:adjustRightInd/>
              <w:jc w:val="right"/>
              <w:rPr>
                <w:sz w:val="20"/>
                <w:szCs w:val="20"/>
                <w:lang w:eastAsia="en-CA"/>
              </w:rPr>
            </w:pPr>
          </w:p>
        </w:tc>
      </w:tr>
      <w:tr w:rsidR="00723E11" w:rsidRPr="00E9060D" w14:paraId="11379871"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2BA4BAA1"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Cash</w:t>
            </w:r>
          </w:p>
        </w:tc>
        <w:tc>
          <w:tcPr>
            <w:tcW w:w="272" w:type="dxa"/>
            <w:tcBorders>
              <w:top w:val="nil"/>
              <w:left w:val="nil"/>
              <w:bottom w:val="nil"/>
              <w:right w:val="nil"/>
            </w:tcBorders>
            <w:shd w:val="clear" w:color="auto" w:fill="auto"/>
            <w:noWrap/>
            <w:vAlign w:val="bottom"/>
            <w:hideMark/>
          </w:tcPr>
          <w:p w14:paraId="69987F7A"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1A5F4A5F"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157,853 </w:t>
            </w:r>
          </w:p>
        </w:tc>
        <w:tc>
          <w:tcPr>
            <w:tcW w:w="577" w:type="dxa"/>
            <w:tcBorders>
              <w:top w:val="nil"/>
              <w:left w:val="nil"/>
              <w:bottom w:val="nil"/>
              <w:right w:val="nil"/>
            </w:tcBorders>
          </w:tcPr>
          <w:p w14:paraId="54B4CE9D"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37674E67"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130,565 </w:t>
            </w:r>
          </w:p>
        </w:tc>
      </w:tr>
      <w:tr w:rsidR="00723E11" w:rsidRPr="00E9060D" w14:paraId="2090E7B6"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1CDFE46B"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Amounts receivable</w:t>
            </w:r>
          </w:p>
        </w:tc>
        <w:tc>
          <w:tcPr>
            <w:tcW w:w="272" w:type="dxa"/>
            <w:tcBorders>
              <w:top w:val="nil"/>
              <w:left w:val="nil"/>
              <w:bottom w:val="nil"/>
              <w:right w:val="nil"/>
            </w:tcBorders>
            <w:shd w:val="clear" w:color="auto" w:fill="auto"/>
            <w:noWrap/>
            <w:vAlign w:val="bottom"/>
            <w:hideMark/>
          </w:tcPr>
          <w:p w14:paraId="544AADA5"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4FF46570"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429,1</w:t>
            </w:r>
            <w:r>
              <w:rPr>
                <w:rFonts w:ascii="Arial" w:hAnsi="Arial" w:cs="Arial"/>
                <w:color w:val="000000"/>
                <w:sz w:val="20"/>
                <w:szCs w:val="20"/>
                <w:lang w:eastAsia="en-CA"/>
              </w:rPr>
              <w:t>30</w:t>
            </w:r>
          </w:p>
        </w:tc>
        <w:tc>
          <w:tcPr>
            <w:tcW w:w="577" w:type="dxa"/>
            <w:tcBorders>
              <w:top w:val="nil"/>
              <w:left w:val="nil"/>
              <w:bottom w:val="nil"/>
              <w:right w:val="nil"/>
            </w:tcBorders>
          </w:tcPr>
          <w:p w14:paraId="6DE45300"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6B51149E"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354,946 </w:t>
            </w:r>
          </w:p>
        </w:tc>
      </w:tr>
      <w:tr w:rsidR="00723E11" w:rsidRPr="00E9060D" w14:paraId="33958F36"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721603C3"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Prepaids</w:t>
            </w:r>
          </w:p>
        </w:tc>
        <w:tc>
          <w:tcPr>
            <w:tcW w:w="272" w:type="dxa"/>
            <w:tcBorders>
              <w:top w:val="nil"/>
              <w:left w:val="nil"/>
              <w:bottom w:val="nil"/>
              <w:right w:val="nil"/>
            </w:tcBorders>
            <w:shd w:val="clear" w:color="auto" w:fill="auto"/>
            <w:noWrap/>
            <w:vAlign w:val="bottom"/>
            <w:hideMark/>
          </w:tcPr>
          <w:p w14:paraId="519B3717"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4A9D52E2"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14,344 </w:t>
            </w:r>
          </w:p>
        </w:tc>
        <w:tc>
          <w:tcPr>
            <w:tcW w:w="577" w:type="dxa"/>
            <w:tcBorders>
              <w:top w:val="nil"/>
              <w:left w:val="nil"/>
              <w:bottom w:val="nil"/>
              <w:right w:val="nil"/>
            </w:tcBorders>
          </w:tcPr>
          <w:p w14:paraId="108186AA"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5417E413"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11,864 </w:t>
            </w:r>
          </w:p>
        </w:tc>
      </w:tr>
      <w:tr w:rsidR="00723E11" w:rsidRPr="00E9060D" w14:paraId="6FC66240"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0BA3CA16"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 xml:space="preserve">Equipment </w:t>
            </w:r>
          </w:p>
        </w:tc>
        <w:tc>
          <w:tcPr>
            <w:tcW w:w="272" w:type="dxa"/>
            <w:tcBorders>
              <w:top w:val="nil"/>
              <w:left w:val="nil"/>
              <w:bottom w:val="nil"/>
              <w:right w:val="nil"/>
            </w:tcBorders>
            <w:shd w:val="clear" w:color="auto" w:fill="auto"/>
            <w:noWrap/>
            <w:vAlign w:val="bottom"/>
            <w:hideMark/>
          </w:tcPr>
          <w:p w14:paraId="258C5BB3"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14A6B43A"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99,459 </w:t>
            </w:r>
          </w:p>
        </w:tc>
        <w:tc>
          <w:tcPr>
            <w:tcW w:w="577" w:type="dxa"/>
            <w:tcBorders>
              <w:top w:val="nil"/>
              <w:left w:val="nil"/>
              <w:bottom w:val="nil"/>
              <w:right w:val="nil"/>
            </w:tcBorders>
          </w:tcPr>
          <w:p w14:paraId="5A5CD283"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3604C355"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82,266 </w:t>
            </w:r>
          </w:p>
        </w:tc>
      </w:tr>
      <w:tr w:rsidR="00723E11" w:rsidRPr="00E9060D" w14:paraId="672B3EF4" w14:textId="77777777" w:rsidTr="001D2E70">
        <w:trPr>
          <w:trHeight w:val="246"/>
          <w:jc w:val="center"/>
        </w:trPr>
        <w:tc>
          <w:tcPr>
            <w:tcW w:w="6237" w:type="dxa"/>
            <w:tcBorders>
              <w:top w:val="nil"/>
              <w:left w:val="nil"/>
              <w:bottom w:val="nil"/>
              <w:right w:val="nil"/>
            </w:tcBorders>
            <w:shd w:val="clear" w:color="auto" w:fill="auto"/>
            <w:noWrap/>
            <w:vAlign w:val="bottom"/>
          </w:tcPr>
          <w:p w14:paraId="28B4314E"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Intangible assets</w:t>
            </w:r>
          </w:p>
        </w:tc>
        <w:tc>
          <w:tcPr>
            <w:tcW w:w="272" w:type="dxa"/>
            <w:tcBorders>
              <w:top w:val="nil"/>
              <w:left w:val="nil"/>
              <w:bottom w:val="nil"/>
              <w:right w:val="nil"/>
            </w:tcBorders>
            <w:shd w:val="clear" w:color="auto" w:fill="auto"/>
            <w:noWrap/>
            <w:vAlign w:val="bottom"/>
          </w:tcPr>
          <w:p w14:paraId="23D44126"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tcPr>
          <w:p w14:paraId="20D4110B"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3,653,349</w:t>
            </w:r>
          </w:p>
        </w:tc>
        <w:tc>
          <w:tcPr>
            <w:tcW w:w="577" w:type="dxa"/>
            <w:tcBorders>
              <w:top w:val="nil"/>
              <w:left w:val="nil"/>
              <w:bottom w:val="nil"/>
              <w:right w:val="nil"/>
            </w:tcBorders>
          </w:tcPr>
          <w:p w14:paraId="029E9C5B"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19E0FBDE"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3,021,794 </w:t>
            </w:r>
          </w:p>
        </w:tc>
      </w:tr>
      <w:tr w:rsidR="00723E11" w:rsidRPr="00E9060D" w14:paraId="74A2CDA5"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011AF62E"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Goodwill</w:t>
            </w:r>
          </w:p>
        </w:tc>
        <w:tc>
          <w:tcPr>
            <w:tcW w:w="272" w:type="dxa"/>
            <w:tcBorders>
              <w:top w:val="nil"/>
              <w:left w:val="nil"/>
              <w:bottom w:val="nil"/>
              <w:right w:val="nil"/>
            </w:tcBorders>
            <w:shd w:val="clear" w:color="auto" w:fill="auto"/>
            <w:noWrap/>
            <w:vAlign w:val="bottom"/>
            <w:hideMark/>
          </w:tcPr>
          <w:p w14:paraId="0262E688"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27329C24"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w:t>
            </w:r>
            <w:r>
              <w:rPr>
                <w:rFonts w:ascii="Arial" w:hAnsi="Arial" w:cs="Arial"/>
                <w:color w:val="000000"/>
                <w:sz w:val="20"/>
                <w:szCs w:val="20"/>
                <w:lang w:eastAsia="en-CA"/>
              </w:rPr>
              <w:t>913,337</w:t>
            </w:r>
            <w:r w:rsidRPr="00E9060D">
              <w:rPr>
                <w:rFonts w:ascii="Arial" w:hAnsi="Arial" w:cs="Arial"/>
                <w:color w:val="000000"/>
                <w:sz w:val="20"/>
                <w:szCs w:val="20"/>
                <w:lang w:eastAsia="en-CA"/>
              </w:rPr>
              <w:t xml:space="preserve"> </w:t>
            </w:r>
          </w:p>
        </w:tc>
        <w:tc>
          <w:tcPr>
            <w:tcW w:w="577" w:type="dxa"/>
            <w:tcBorders>
              <w:top w:val="nil"/>
              <w:left w:val="nil"/>
              <w:bottom w:val="nil"/>
              <w:right w:val="nil"/>
            </w:tcBorders>
          </w:tcPr>
          <w:p w14:paraId="5B9CE0E9"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2C6D354E"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755,448 </w:t>
            </w:r>
          </w:p>
        </w:tc>
      </w:tr>
      <w:tr w:rsidR="00723E11" w:rsidRPr="00E9060D" w14:paraId="237C0C1C"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24B82AC1"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Accounts payable and accrued liabilities</w:t>
            </w:r>
          </w:p>
        </w:tc>
        <w:tc>
          <w:tcPr>
            <w:tcW w:w="272" w:type="dxa"/>
            <w:tcBorders>
              <w:top w:val="nil"/>
              <w:left w:val="nil"/>
              <w:bottom w:val="nil"/>
              <w:right w:val="nil"/>
            </w:tcBorders>
            <w:shd w:val="clear" w:color="auto" w:fill="auto"/>
            <w:noWrap/>
            <w:vAlign w:val="bottom"/>
            <w:hideMark/>
          </w:tcPr>
          <w:p w14:paraId="484CF2AC"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4B06920A"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(8,567)</w:t>
            </w:r>
          </w:p>
        </w:tc>
        <w:tc>
          <w:tcPr>
            <w:tcW w:w="577" w:type="dxa"/>
            <w:tcBorders>
              <w:top w:val="nil"/>
              <w:left w:val="nil"/>
              <w:bottom w:val="nil"/>
              <w:right w:val="nil"/>
            </w:tcBorders>
          </w:tcPr>
          <w:p w14:paraId="561D7681" w14:textId="77777777" w:rsidR="00723E11"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435809C8" w14:textId="77777777" w:rsidR="00723E11"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(7,086)</w:t>
            </w:r>
          </w:p>
        </w:tc>
      </w:tr>
      <w:tr w:rsidR="00723E11" w:rsidRPr="00E9060D" w14:paraId="4AB16C2C"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68E94877"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Goods and services tax payable</w:t>
            </w:r>
          </w:p>
        </w:tc>
        <w:tc>
          <w:tcPr>
            <w:tcW w:w="272" w:type="dxa"/>
            <w:tcBorders>
              <w:top w:val="nil"/>
              <w:left w:val="nil"/>
              <w:bottom w:val="nil"/>
              <w:right w:val="nil"/>
            </w:tcBorders>
            <w:shd w:val="clear" w:color="auto" w:fill="auto"/>
            <w:noWrap/>
            <w:vAlign w:val="bottom"/>
            <w:hideMark/>
          </w:tcPr>
          <w:p w14:paraId="588DE335"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56524A42"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(20,2</w:t>
            </w:r>
            <w:r>
              <w:rPr>
                <w:rFonts w:ascii="Arial" w:hAnsi="Arial" w:cs="Arial"/>
                <w:color w:val="000000"/>
                <w:sz w:val="20"/>
                <w:szCs w:val="20"/>
                <w:lang w:eastAsia="en-CA"/>
              </w:rPr>
              <w:t>23</w:t>
            </w:r>
            <w:r w:rsidRPr="00E9060D">
              <w:rPr>
                <w:rFonts w:ascii="Arial" w:hAnsi="Arial" w:cs="Arial"/>
                <w:color w:val="000000"/>
                <w:sz w:val="20"/>
                <w:szCs w:val="20"/>
                <w:lang w:eastAsia="en-CA"/>
              </w:rPr>
              <w:t>)</w:t>
            </w:r>
          </w:p>
        </w:tc>
        <w:tc>
          <w:tcPr>
            <w:tcW w:w="577" w:type="dxa"/>
            <w:tcBorders>
              <w:top w:val="nil"/>
              <w:left w:val="nil"/>
              <w:bottom w:val="nil"/>
              <w:right w:val="nil"/>
            </w:tcBorders>
          </w:tcPr>
          <w:p w14:paraId="2DF7B64C"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13193FCE"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(16,727)</w:t>
            </w:r>
          </w:p>
        </w:tc>
      </w:tr>
      <w:tr w:rsidR="00723E11" w:rsidRPr="00E9060D" w14:paraId="3124EA37"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138F9F84"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Income tax payable</w:t>
            </w:r>
          </w:p>
        </w:tc>
        <w:tc>
          <w:tcPr>
            <w:tcW w:w="272" w:type="dxa"/>
            <w:tcBorders>
              <w:top w:val="nil"/>
              <w:left w:val="nil"/>
              <w:bottom w:val="nil"/>
              <w:right w:val="nil"/>
            </w:tcBorders>
            <w:shd w:val="clear" w:color="auto" w:fill="auto"/>
            <w:noWrap/>
            <w:vAlign w:val="bottom"/>
            <w:hideMark/>
          </w:tcPr>
          <w:p w14:paraId="07E74207"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4DDCCD6D"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(98,978)</w:t>
            </w:r>
          </w:p>
        </w:tc>
        <w:tc>
          <w:tcPr>
            <w:tcW w:w="577" w:type="dxa"/>
            <w:tcBorders>
              <w:top w:val="nil"/>
              <w:left w:val="nil"/>
              <w:bottom w:val="nil"/>
              <w:right w:val="nil"/>
            </w:tcBorders>
          </w:tcPr>
          <w:p w14:paraId="2AC1A1FF"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61706D7B"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(81,868)</w:t>
            </w:r>
          </w:p>
        </w:tc>
      </w:tr>
      <w:tr w:rsidR="00723E11" w:rsidRPr="00E9060D" w14:paraId="1941BA58"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703A1459"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Deferred revenue</w:t>
            </w:r>
          </w:p>
        </w:tc>
        <w:tc>
          <w:tcPr>
            <w:tcW w:w="272" w:type="dxa"/>
            <w:tcBorders>
              <w:top w:val="nil"/>
              <w:left w:val="nil"/>
              <w:bottom w:val="nil"/>
              <w:right w:val="nil"/>
            </w:tcBorders>
            <w:shd w:val="clear" w:color="auto" w:fill="auto"/>
            <w:noWrap/>
            <w:vAlign w:val="bottom"/>
            <w:hideMark/>
          </w:tcPr>
          <w:p w14:paraId="7F2B8866"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441CAAD0"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(93,698)</w:t>
            </w:r>
          </w:p>
        </w:tc>
        <w:tc>
          <w:tcPr>
            <w:tcW w:w="577" w:type="dxa"/>
            <w:tcBorders>
              <w:top w:val="nil"/>
              <w:left w:val="nil"/>
              <w:bottom w:val="nil"/>
              <w:right w:val="nil"/>
            </w:tcBorders>
          </w:tcPr>
          <w:p w14:paraId="1AD1CDD9"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7DD2C0F7"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(77,501)</w:t>
            </w:r>
          </w:p>
        </w:tc>
      </w:tr>
      <w:tr w:rsidR="00723E11" w:rsidRPr="00E9060D" w14:paraId="7DE8F39C" w14:textId="77777777" w:rsidTr="001D2E70">
        <w:trPr>
          <w:trHeight w:val="246"/>
          <w:jc w:val="center"/>
        </w:trPr>
        <w:tc>
          <w:tcPr>
            <w:tcW w:w="6237" w:type="dxa"/>
            <w:tcBorders>
              <w:top w:val="nil"/>
              <w:left w:val="nil"/>
              <w:bottom w:val="nil"/>
              <w:right w:val="nil"/>
            </w:tcBorders>
            <w:shd w:val="clear" w:color="auto" w:fill="auto"/>
            <w:noWrap/>
            <w:vAlign w:val="bottom"/>
            <w:hideMark/>
          </w:tcPr>
          <w:p w14:paraId="09968A21"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Deferred income tax liability</w:t>
            </w:r>
          </w:p>
        </w:tc>
        <w:tc>
          <w:tcPr>
            <w:tcW w:w="272" w:type="dxa"/>
            <w:tcBorders>
              <w:top w:val="nil"/>
              <w:left w:val="nil"/>
              <w:bottom w:val="nil"/>
              <w:right w:val="nil"/>
            </w:tcBorders>
            <w:shd w:val="clear" w:color="auto" w:fill="auto"/>
            <w:noWrap/>
            <w:vAlign w:val="bottom"/>
            <w:hideMark/>
          </w:tcPr>
          <w:p w14:paraId="6F3DC464"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2FA41735"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w:t>
            </w:r>
            <w:r>
              <w:rPr>
                <w:rFonts w:ascii="Arial" w:hAnsi="Arial" w:cs="Arial"/>
                <w:color w:val="000000"/>
                <w:sz w:val="20"/>
                <w:szCs w:val="20"/>
                <w:lang w:eastAsia="en-CA"/>
              </w:rPr>
              <w:t>944,337</w:t>
            </w:r>
            <w:r w:rsidRPr="00E9060D">
              <w:rPr>
                <w:rFonts w:ascii="Arial" w:hAnsi="Arial" w:cs="Arial"/>
                <w:color w:val="000000"/>
                <w:sz w:val="20"/>
                <w:szCs w:val="20"/>
                <w:lang w:eastAsia="en-CA"/>
              </w:rPr>
              <w:t>)</w:t>
            </w:r>
          </w:p>
        </w:tc>
        <w:tc>
          <w:tcPr>
            <w:tcW w:w="577" w:type="dxa"/>
            <w:tcBorders>
              <w:top w:val="nil"/>
              <w:left w:val="nil"/>
              <w:bottom w:val="nil"/>
              <w:right w:val="nil"/>
            </w:tcBorders>
          </w:tcPr>
          <w:p w14:paraId="451B0EDD"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nil"/>
              <w:right w:val="nil"/>
            </w:tcBorders>
            <w:vAlign w:val="bottom"/>
          </w:tcPr>
          <w:p w14:paraId="3A16207B"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rPr>
              <w:t xml:space="preserve">    (781,090)</w:t>
            </w:r>
          </w:p>
        </w:tc>
      </w:tr>
      <w:tr w:rsidR="00723E11" w:rsidRPr="00E9060D" w14:paraId="59CF672A" w14:textId="77777777" w:rsidTr="00262B9C">
        <w:trPr>
          <w:trHeight w:val="246"/>
          <w:jc w:val="center"/>
        </w:trPr>
        <w:tc>
          <w:tcPr>
            <w:tcW w:w="6509" w:type="dxa"/>
            <w:gridSpan w:val="2"/>
            <w:tcBorders>
              <w:top w:val="nil"/>
              <w:left w:val="nil"/>
              <w:bottom w:val="single" w:sz="4" w:space="0" w:color="auto"/>
              <w:right w:val="nil"/>
            </w:tcBorders>
            <w:shd w:val="clear" w:color="auto" w:fill="auto"/>
            <w:noWrap/>
            <w:vAlign w:val="bottom"/>
            <w:hideMark/>
          </w:tcPr>
          <w:p w14:paraId="6CD69B35"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Canada Emergency Business Account Loan</w:t>
            </w:r>
          </w:p>
        </w:tc>
        <w:tc>
          <w:tcPr>
            <w:tcW w:w="1720" w:type="dxa"/>
            <w:tcBorders>
              <w:top w:val="nil"/>
              <w:left w:val="nil"/>
              <w:bottom w:val="single" w:sz="4" w:space="0" w:color="auto"/>
              <w:right w:val="nil"/>
            </w:tcBorders>
            <w:shd w:val="clear" w:color="auto" w:fill="auto"/>
            <w:noWrap/>
            <w:vAlign w:val="bottom"/>
            <w:hideMark/>
          </w:tcPr>
          <w:p w14:paraId="000D440F"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(60,000)</w:t>
            </w:r>
          </w:p>
        </w:tc>
        <w:tc>
          <w:tcPr>
            <w:tcW w:w="577" w:type="dxa"/>
            <w:tcBorders>
              <w:top w:val="nil"/>
              <w:left w:val="nil"/>
              <w:bottom w:val="single" w:sz="4" w:space="0" w:color="auto"/>
              <w:right w:val="nil"/>
            </w:tcBorders>
          </w:tcPr>
          <w:p w14:paraId="17F8940C"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p>
        </w:tc>
        <w:tc>
          <w:tcPr>
            <w:tcW w:w="1336" w:type="dxa"/>
            <w:tcBorders>
              <w:top w:val="nil"/>
              <w:left w:val="nil"/>
              <w:bottom w:val="single" w:sz="4" w:space="0" w:color="auto"/>
              <w:right w:val="nil"/>
            </w:tcBorders>
          </w:tcPr>
          <w:p w14:paraId="3654445D"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(49,628)</w:t>
            </w:r>
          </w:p>
        </w:tc>
      </w:tr>
      <w:tr w:rsidR="00723E11" w:rsidRPr="00E9060D" w14:paraId="5BA2BDD8" w14:textId="77777777" w:rsidTr="001D2E70">
        <w:trPr>
          <w:trHeight w:val="140"/>
          <w:jc w:val="center"/>
        </w:trPr>
        <w:tc>
          <w:tcPr>
            <w:tcW w:w="6237" w:type="dxa"/>
            <w:tcBorders>
              <w:top w:val="nil"/>
              <w:left w:val="nil"/>
              <w:bottom w:val="nil"/>
              <w:right w:val="nil"/>
            </w:tcBorders>
            <w:shd w:val="clear" w:color="auto" w:fill="auto"/>
            <w:noWrap/>
            <w:vAlign w:val="bottom"/>
            <w:hideMark/>
          </w:tcPr>
          <w:p w14:paraId="04B5938C"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272" w:type="dxa"/>
            <w:tcBorders>
              <w:top w:val="nil"/>
              <w:left w:val="nil"/>
              <w:bottom w:val="nil"/>
              <w:right w:val="nil"/>
            </w:tcBorders>
            <w:shd w:val="clear" w:color="auto" w:fill="auto"/>
            <w:noWrap/>
            <w:vAlign w:val="bottom"/>
            <w:hideMark/>
          </w:tcPr>
          <w:p w14:paraId="44EA1ACE" w14:textId="77777777" w:rsidR="00723E11" w:rsidRPr="00E9060D" w:rsidRDefault="00723E11" w:rsidP="00262B9C">
            <w:pPr>
              <w:widowControl/>
              <w:autoSpaceDE/>
              <w:autoSpaceDN/>
              <w:adjustRightInd/>
              <w:jc w:val="left"/>
              <w:rPr>
                <w:sz w:val="20"/>
                <w:szCs w:val="20"/>
                <w:lang w:eastAsia="en-CA"/>
              </w:rPr>
            </w:pPr>
          </w:p>
        </w:tc>
        <w:tc>
          <w:tcPr>
            <w:tcW w:w="1720" w:type="dxa"/>
            <w:tcBorders>
              <w:top w:val="nil"/>
              <w:left w:val="nil"/>
              <w:bottom w:val="nil"/>
              <w:right w:val="nil"/>
            </w:tcBorders>
            <w:shd w:val="clear" w:color="auto" w:fill="auto"/>
            <w:noWrap/>
            <w:vAlign w:val="bottom"/>
            <w:hideMark/>
          </w:tcPr>
          <w:p w14:paraId="64132C79" w14:textId="77777777" w:rsidR="00723E11" w:rsidRPr="00E9060D" w:rsidRDefault="00723E11" w:rsidP="00262B9C">
            <w:pPr>
              <w:widowControl/>
              <w:autoSpaceDE/>
              <w:autoSpaceDN/>
              <w:adjustRightInd/>
              <w:jc w:val="right"/>
              <w:rPr>
                <w:sz w:val="20"/>
                <w:szCs w:val="20"/>
                <w:lang w:eastAsia="en-CA"/>
              </w:rPr>
            </w:pPr>
          </w:p>
        </w:tc>
        <w:tc>
          <w:tcPr>
            <w:tcW w:w="577" w:type="dxa"/>
            <w:tcBorders>
              <w:top w:val="nil"/>
              <w:left w:val="nil"/>
              <w:bottom w:val="nil"/>
              <w:right w:val="nil"/>
            </w:tcBorders>
          </w:tcPr>
          <w:p w14:paraId="4E9DFD6A" w14:textId="77777777" w:rsidR="00723E11" w:rsidRPr="00E9060D" w:rsidRDefault="00723E11" w:rsidP="00262B9C">
            <w:pPr>
              <w:widowControl/>
              <w:autoSpaceDE/>
              <w:autoSpaceDN/>
              <w:adjustRightInd/>
              <w:jc w:val="right"/>
              <w:rPr>
                <w:sz w:val="20"/>
                <w:szCs w:val="20"/>
                <w:lang w:eastAsia="en-CA"/>
              </w:rPr>
            </w:pPr>
          </w:p>
        </w:tc>
        <w:tc>
          <w:tcPr>
            <w:tcW w:w="1336" w:type="dxa"/>
            <w:tcBorders>
              <w:top w:val="nil"/>
              <w:left w:val="nil"/>
              <w:bottom w:val="nil"/>
              <w:right w:val="nil"/>
            </w:tcBorders>
          </w:tcPr>
          <w:p w14:paraId="1E0FB516" w14:textId="77777777" w:rsidR="00723E11" w:rsidRPr="00E9060D" w:rsidRDefault="00723E11" w:rsidP="00262B9C">
            <w:pPr>
              <w:widowControl/>
              <w:autoSpaceDE/>
              <w:autoSpaceDN/>
              <w:adjustRightInd/>
              <w:jc w:val="right"/>
              <w:rPr>
                <w:sz w:val="20"/>
                <w:szCs w:val="20"/>
                <w:lang w:eastAsia="en-CA"/>
              </w:rPr>
            </w:pPr>
          </w:p>
        </w:tc>
      </w:tr>
      <w:tr w:rsidR="00723E11" w:rsidRPr="00E9060D" w14:paraId="259B0E8F" w14:textId="77777777" w:rsidTr="001D2E70">
        <w:trPr>
          <w:trHeight w:val="246"/>
          <w:jc w:val="center"/>
        </w:trPr>
        <w:tc>
          <w:tcPr>
            <w:tcW w:w="6237" w:type="dxa"/>
            <w:tcBorders>
              <w:top w:val="nil"/>
              <w:left w:val="nil"/>
              <w:bottom w:val="single" w:sz="4" w:space="0" w:color="auto"/>
              <w:right w:val="nil"/>
            </w:tcBorders>
            <w:shd w:val="clear" w:color="auto" w:fill="auto"/>
            <w:noWrap/>
            <w:vAlign w:val="bottom"/>
            <w:hideMark/>
          </w:tcPr>
          <w:p w14:paraId="0D59F1CC"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Net assets acquired</w:t>
            </w:r>
          </w:p>
        </w:tc>
        <w:tc>
          <w:tcPr>
            <w:tcW w:w="272" w:type="dxa"/>
            <w:tcBorders>
              <w:top w:val="nil"/>
              <w:left w:val="nil"/>
              <w:bottom w:val="single" w:sz="4" w:space="0" w:color="auto"/>
              <w:right w:val="nil"/>
            </w:tcBorders>
            <w:shd w:val="clear" w:color="auto" w:fill="auto"/>
            <w:noWrap/>
            <w:vAlign w:val="bottom"/>
            <w:hideMark/>
          </w:tcPr>
          <w:p w14:paraId="4E9DC8EB"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w:t>
            </w:r>
          </w:p>
        </w:tc>
        <w:tc>
          <w:tcPr>
            <w:tcW w:w="1720" w:type="dxa"/>
            <w:tcBorders>
              <w:top w:val="nil"/>
              <w:left w:val="nil"/>
              <w:bottom w:val="single" w:sz="4" w:space="0" w:color="auto"/>
              <w:right w:val="nil"/>
            </w:tcBorders>
            <w:shd w:val="clear" w:color="auto" w:fill="auto"/>
            <w:noWrap/>
            <w:vAlign w:val="bottom"/>
            <w:hideMark/>
          </w:tcPr>
          <w:p w14:paraId="1631C6DA"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sidRPr="00E9060D">
              <w:rPr>
                <w:rFonts w:ascii="Arial" w:hAnsi="Arial" w:cs="Arial"/>
                <w:b/>
                <w:bCs/>
                <w:color w:val="000000"/>
                <w:sz w:val="20"/>
                <w:szCs w:val="20"/>
                <w:lang w:eastAsia="en-CA"/>
              </w:rPr>
              <w:t xml:space="preserve">     </w:t>
            </w:r>
            <w:r>
              <w:rPr>
                <w:rFonts w:ascii="Arial" w:hAnsi="Arial" w:cs="Arial"/>
                <w:b/>
                <w:bCs/>
                <w:color w:val="000000"/>
                <w:sz w:val="20"/>
                <w:szCs w:val="20"/>
                <w:lang w:eastAsia="en-CA"/>
              </w:rPr>
              <w:t>4,041,667</w:t>
            </w:r>
            <w:r w:rsidRPr="00E9060D">
              <w:rPr>
                <w:rFonts w:ascii="Arial" w:hAnsi="Arial" w:cs="Arial"/>
                <w:b/>
                <w:bCs/>
                <w:color w:val="000000"/>
                <w:sz w:val="20"/>
                <w:szCs w:val="20"/>
                <w:lang w:eastAsia="en-CA"/>
              </w:rPr>
              <w:t xml:space="preserve"> </w:t>
            </w:r>
          </w:p>
        </w:tc>
        <w:tc>
          <w:tcPr>
            <w:tcW w:w="577" w:type="dxa"/>
            <w:tcBorders>
              <w:top w:val="nil"/>
              <w:left w:val="nil"/>
              <w:bottom w:val="single" w:sz="4" w:space="0" w:color="auto"/>
              <w:right w:val="nil"/>
            </w:tcBorders>
          </w:tcPr>
          <w:p w14:paraId="0EA646C1"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w:t>
            </w:r>
          </w:p>
        </w:tc>
        <w:tc>
          <w:tcPr>
            <w:tcW w:w="1336" w:type="dxa"/>
            <w:tcBorders>
              <w:top w:val="nil"/>
              <w:left w:val="nil"/>
              <w:bottom w:val="single" w:sz="4" w:space="0" w:color="auto"/>
              <w:right w:val="nil"/>
            </w:tcBorders>
          </w:tcPr>
          <w:p w14:paraId="1BF51E60"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3,342,983</w:t>
            </w:r>
          </w:p>
        </w:tc>
      </w:tr>
    </w:tbl>
    <w:p w14:paraId="49D8CD8E" w14:textId="1D52963B" w:rsidR="008E44C7" w:rsidRDefault="008E44C7">
      <w:pPr>
        <w:widowControl/>
        <w:autoSpaceDE/>
        <w:autoSpaceDN/>
        <w:adjustRightInd/>
        <w:rPr>
          <w:rFonts w:ascii="Arial" w:hAnsi="Arial" w:cs="Arial"/>
          <w:bCs/>
          <w:sz w:val="20"/>
          <w:szCs w:val="20"/>
        </w:rPr>
      </w:pPr>
    </w:p>
    <w:p w14:paraId="31629949" w14:textId="77777777" w:rsidR="008E44C7" w:rsidRPr="008E44C7" w:rsidRDefault="008E44C7" w:rsidP="008E44C7">
      <w:pPr>
        <w:widowControl/>
        <w:autoSpaceDE/>
        <w:autoSpaceDN/>
        <w:adjustRightInd/>
        <w:rPr>
          <w:rFonts w:ascii="Arial" w:hAnsi="Arial" w:cs="Arial"/>
          <w:bCs/>
          <w:sz w:val="20"/>
          <w:szCs w:val="20"/>
        </w:rPr>
      </w:pPr>
      <w:r w:rsidRPr="008E44C7">
        <w:rPr>
          <w:rFonts w:ascii="Arial" w:hAnsi="Arial" w:cs="Arial"/>
          <w:bCs/>
          <w:sz w:val="20"/>
          <w:szCs w:val="20"/>
        </w:rPr>
        <w:t>The resulting goodwill represents the growth potential of CBDV and will not be deductible for tax purposes.</w:t>
      </w:r>
    </w:p>
    <w:p w14:paraId="4BC69F02" w14:textId="21E8B386" w:rsidR="00996A78" w:rsidRDefault="00996A78" w:rsidP="008E44C7">
      <w:pPr>
        <w:widowControl/>
        <w:autoSpaceDE/>
        <w:autoSpaceDN/>
        <w:adjustRightInd/>
        <w:rPr>
          <w:rFonts w:ascii="Arial" w:hAnsi="Arial" w:cs="Arial"/>
          <w:bCs/>
          <w:sz w:val="20"/>
          <w:szCs w:val="20"/>
        </w:rPr>
      </w:pPr>
    </w:p>
    <w:p w14:paraId="1C94DC60" w14:textId="51F1FEBE" w:rsidR="008E44C7" w:rsidRPr="008E44C7" w:rsidRDefault="008E44C7" w:rsidP="008E44C7">
      <w:pPr>
        <w:widowControl/>
        <w:autoSpaceDE/>
        <w:autoSpaceDN/>
        <w:adjustRightInd/>
        <w:rPr>
          <w:rFonts w:ascii="Arial" w:hAnsi="Arial" w:cs="Arial"/>
          <w:bCs/>
          <w:sz w:val="20"/>
          <w:szCs w:val="20"/>
        </w:rPr>
      </w:pPr>
      <w:r w:rsidRPr="008E44C7">
        <w:rPr>
          <w:rFonts w:ascii="Arial" w:hAnsi="Arial" w:cs="Arial"/>
          <w:bCs/>
          <w:sz w:val="20"/>
          <w:szCs w:val="20"/>
        </w:rPr>
        <w:t>The accounting for this business combination has not yet been finalized and the Company is reporting provisional amounts for the items for which the accounting is not complete. These provisional amounts may be adjusted during the measurement period, or additional assets or liabilities may be recognized, to reflect new information obtained about facts and circumstances that existed at the acquisition date that, if known, would have affected the amounts recognized at that date.</w:t>
      </w:r>
    </w:p>
    <w:p w14:paraId="5D881E84" w14:textId="4A078877" w:rsidR="0056172B" w:rsidRDefault="0056172B" w:rsidP="00A11493">
      <w:pPr>
        <w:widowControl/>
        <w:autoSpaceDE/>
        <w:autoSpaceDN/>
        <w:adjustRightInd/>
        <w:rPr>
          <w:rFonts w:ascii="Arial" w:hAnsi="Arial" w:cs="Arial"/>
          <w:bCs/>
          <w:i/>
          <w:iCs/>
          <w:sz w:val="20"/>
          <w:szCs w:val="20"/>
        </w:rPr>
      </w:pPr>
    </w:p>
    <w:p w14:paraId="4B830A5E" w14:textId="35541106" w:rsidR="0056172B" w:rsidRPr="0056172B" w:rsidRDefault="0056172B" w:rsidP="0056172B">
      <w:pPr>
        <w:pStyle w:val="ListParagraph"/>
        <w:widowControl/>
        <w:numPr>
          <w:ilvl w:val="0"/>
          <w:numId w:val="6"/>
        </w:numPr>
        <w:autoSpaceDE/>
        <w:autoSpaceDN/>
        <w:adjustRightInd/>
        <w:ind w:left="567" w:hanging="567"/>
        <w:rPr>
          <w:rFonts w:ascii="Arial" w:hAnsi="Arial" w:cs="Arial"/>
          <w:b/>
          <w:sz w:val="20"/>
          <w:szCs w:val="20"/>
        </w:rPr>
      </w:pPr>
      <w:r w:rsidRPr="0056172B">
        <w:rPr>
          <w:rFonts w:ascii="Arial" w:hAnsi="Arial" w:cs="Arial"/>
          <w:b/>
          <w:sz w:val="20"/>
          <w:szCs w:val="20"/>
        </w:rPr>
        <w:t>ACQUISITION OF KETAMINE INFUSION CENTERS LLC</w:t>
      </w:r>
    </w:p>
    <w:p w14:paraId="0A45E9F9" w14:textId="021A985C" w:rsidR="00A11493" w:rsidRPr="00A11493" w:rsidRDefault="00A11493" w:rsidP="00A11493">
      <w:pPr>
        <w:widowControl/>
        <w:autoSpaceDE/>
        <w:autoSpaceDN/>
        <w:adjustRightInd/>
        <w:rPr>
          <w:rFonts w:ascii="Arial" w:hAnsi="Arial" w:cs="Arial"/>
          <w:bCs/>
          <w:i/>
          <w:iCs/>
          <w:sz w:val="20"/>
          <w:szCs w:val="20"/>
        </w:rPr>
      </w:pPr>
    </w:p>
    <w:p w14:paraId="794EE4D8" w14:textId="7D42607D" w:rsidR="00A4759A" w:rsidRDefault="00883305" w:rsidP="00A11493">
      <w:pPr>
        <w:widowControl/>
        <w:autoSpaceDE/>
        <w:autoSpaceDN/>
        <w:adjustRightInd/>
        <w:rPr>
          <w:rFonts w:ascii="Arial" w:hAnsi="Arial" w:cs="Arial"/>
          <w:bCs/>
          <w:sz w:val="20"/>
          <w:szCs w:val="20"/>
        </w:rPr>
      </w:pPr>
      <w:r>
        <w:rPr>
          <w:rFonts w:ascii="Arial" w:hAnsi="Arial" w:cs="Arial"/>
          <w:bCs/>
          <w:sz w:val="20"/>
          <w:szCs w:val="20"/>
        </w:rPr>
        <w:t xml:space="preserve">On June 30, 2021, the Company </w:t>
      </w:r>
      <w:r w:rsidRPr="00883305">
        <w:rPr>
          <w:rFonts w:ascii="Arial" w:hAnsi="Arial" w:cs="Arial"/>
          <w:bCs/>
          <w:sz w:val="20"/>
          <w:szCs w:val="20"/>
        </w:rPr>
        <w:t xml:space="preserve">acquired all of the issued and outstanding securities of </w:t>
      </w:r>
      <w:r w:rsidRPr="00A11493">
        <w:rPr>
          <w:rFonts w:ascii="Arial" w:hAnsi="Arial" w:cs="Arial"/>
          <w:bCs/>
          <w:sz w:val="20"/>
          <w:szCs w:val="20"/>
        </w:rPr>
        <w:t>Ketamine I</w:t>
      </w:r>
      <w:r w:rsidRPr="004764F2">
        <w:rPr>
          <w:rFonts w:ascii="Arial" w:hAnsi="Arial" w:cs="Arial"/>
          <w:bCs/>
          <w:sz w:val="20"/>
          <w:szCs w:val="20"/>
        </w:rPr>
        <w:t>nfusion Centers LLC ("KIC") from its members for a purchase price of USD$3,0</w:t>
      </w:r>
      <w:r w:rsidR="004764F2" w:rsidRPr="004764F2">
        <w:rPr>
          <w:rFonts w:ascii="Arial" w:hAnsi="Arial" w:cs="Arial"/>
          <w:bCs/>
          <w:sz w:val="20"/>
          <w:szCs w:val="20"/>
        </w:rPr>
        <w:t>40,312</w:t>
      </w:r>
      <w:r w:rsidRPr="00883305">
        <w:rPr>
          <w:rFonts w:ascii="Arial" w:hAnsi="Arial" w:cs="Arial"/>
          <w:bCs/>
          <w:sz w:val="20"/>
          <w:szCs w:val="20"/>
        </w:rPr>
        <w:t xml:space="preserve"> (the "Purchase Price") paid as follows: (i) USD$2,2</w:t>
      </w:r>
      <w:r w:rsidR="004764F2">
        <w:rPr>
          <w:rFonts w:ascii="Arial" w:hAnsi="Arial" w:cs="Arial"/>
          <w:bCs/>
          <w:sz w:val="20"/>
          <w:szCs w:val="20"/>
        </w:rPr>
        <w:t>40,312</w:t>
      </w:r>
      <w:r w:rsidRPr="00883305">
        <w:rPr>
          <w:rFonts w:ascii="Arial" w:hAnsi="Arial" w:cs="Arial"/>
          <w:bCs/>
          <w:sz w:val="20"/>
          <w:szCs w:val="20"/>
        </w:rPr>
        <w:t xml:space="preserve"> in consideration shares issued on the closing date representing 89,130 </w:t>
      </w:r>
      <w:r w:rsidR="00EC2456">
        <w:rPr>
          <w:rFonts w:ascii="Arial" w:hAnsi="Arial" w:cs="Arial"/>
          <w:bCs/>
          <w:sz w:val="20"/>
          <w:szCs w:val="20"/>
        </w:rPr>
        <w:t>MVS</w:t>
      </w:r>
      <w:r w:rsidRPr="00883305">
        <w:rPr>
          <w:rFonts w:ascii="Arial" w:hAnsi="Arial" w:cs="Arial"/>
          <w:bCs/>
          <w:sz w:val="20"/>
          <w:szCs w:val="20"/>
        </w:rPr>
        <w:t xml:space="preserve"> of </w:t>
      </w:r>
      <w:r>
        <w:rPr>
          <w:rFonts w:ascii="Arial" w:hAnsi="Arial" w:cs="Arial"/>
          <w:bCs/>
          <w:sz w:val="20"/>
          <w:szCs w:val="20"/>
        </w:rPr>
        <w:t>the Company</w:t>
      </w:r>
      <w:r w:rsidRPr="00883305">
        <w:rPr>
          <w:rFonts w:ascii="Arial" w:hAnsi="Arial" w:cs="Arial"/>
          <w:bCs/>
          <w:sz w:val="20"/>
          <w:szCs w:val="20"/>
        </w:rPr>
        <w:t xml:space="preserve"> (the "Closing Date Payment"); and (ii) USD$800,000 in consideration shares to be issued on the date KIC's Bakersfield, California clinic achieves a net profit in three consecutive months in the twelve months following the closing date, while achieving minimum revenues of USD$125,000 in the same three month period (the "Bakersfield Milestone Payment") plus certain amounts, if any, to be earned by </w:t>
      </w:r>
      <w:r>
        <w:rPr>
          <w:rFonts w:ascii="Arial" w:hAnsi="Arial" w:cs="Arial"/>
          <w:bCs/>
          <w:sz w:val="20"/>
          <w:szCs w:val="20"/>
        </w:rPr>
        <w:t>management</w:t>
      </w:r>
      <w:r w:rsidRPr="00883305">
        <w:rPr>
          <w:rFonts w:ascii="Arial" w:hAnsi="Arial" w:cs="Arial"/>
          <w:bCs/>
          <w:sz w:val="20"/>
          <w:szCs w:val="20"/>
        </w:rPr>
        <w:t xml:space="preserve">, pursuant to </w:t>
      </w:r>
      <w:r>
        <w:rPr>
          <w:rFonts w:ascii="Arial" w:hAnsi="Arial" w:cs="Arial"/>
          <w:bCs/>
          <w:sz w:val="20"/>
          <w:szCs w:val="20"/>
        </w:rPr>
        <w:t>reaching certain</w:t>
      </w:r>
      <w:r w:rsidRPr="00FF1EED">
        <w:rPr>
          <w:rFonts w:ascii="Arial" w:hAnsi="Arial" w:cs="Arial"/>
          <w:bCs/>
          <w:sz w:val="20"/>
          <w:szCs w:val="20"/>
        </w:rPr>
        <w:t xml:space="preserve"> milestone</w:t>
      </w:r>
      <w:r>
        <w:rPr>
          <w:rFonts w:ascii="Arial" w:hAnsi="Arial" w:cs="Arial"/>
          <w:bCs/>
          <w:sz w:val="20"/>
          <w:szCs w:val="20"/>
        </w:rPr>
        <w:t>s</w:t>
      </w:r>
      <w:r w:rsidRPr="00FF1EED">
        <w:rPr>
          <w:rFonts w:ascii="Arial" w:hAnsi="Arial" w:cs="Arial"/>
          <w:bCs/>
          <w:sz w:val="20"/>
          <w:szCs w:val="20"/>
        </w:rPr>
        <w:t xml:space="preserve">. </w:t>
      </w:r>
      <w:r>
        <w:rPr>
          <w:rFonts w:ascii="Arial" w:hAnsi="Arial" w:cs="Arial"/>
          <w:bCs/>
          <w:sz w:val="20"/>
          <w:szCs w:val="20"/>
        </w:rPr>
        <w:t>T</w:t>
      </w:r>
      <w:r w:rsidRPr="00883305">
        <w:rPr>
          <w:rFonts w:ascii="Arial" w:hAnsi="Arial" w:cs="Arial"/>
          <w:bCs/>
          <w:sz w:val="20"/>
          <w:szCs w:val="20"/>
        </w:rPr>
        <w:t xml:space="preserve">he </w:t>
      </w:r>
      <w:r w:rsidR="00A4028A">
        <w:rPr>
          <w:rFonts w:ascii="Arial" w:hAnsi="Arial" w:cs="Arial"/>
          <w:bCs/>
          <w:sz w:val="20"/>
          <w:szCs w:val="20"/>
        </w:rPr>
        <w:t xml:space="preserve">Purchase Price was satisfied </w:t>
      </w:r>
      <w:r w:rsidRPr="00883305">
        <w:rPr>
          <w:rFonts w:ascii="Arial" w:hAnsi="Arial" w:cs="Arial"/>
          <w:bCs/>
          <w:sz w:val="20"/>
          <w:szCs w:val="20"/>
        </w:rPr>
        <w:t xml:space="preserve">through the issuance of the number of </w:t>
      </w:r>
      <w:proofErr w:type="gramStart"/>
      <w:r w:rsidRPr="00883305">
        <w:rPr>
          <w:rFonts w:ascii="Arial" w:hAnsi="Arial" w:cs="Arial"/>
          <w:bCs/>
          <w:sz w:val="20"/>
          <w:szCs w:val="20"/>
        </w:rPr>
        <w:t>consideration</w:t>
      </w:r>
      <w:proofErr w:type="gramEnd"/>
      <w:r w:rsidRPr="00883305">
        <w:rPr>
          <w:rFonts w:ascii="Arial" w:hAnsi="Arial" w:cs="Arial"/>
          <w:bCs/>
          <w:sz w:val="20"/>
          <w:szCs w:val="20"/>
        </w:rPr>
        <w:t xml:space="preserve"> shares equal in value to the Closing Date Payment amount, issued at a price per share equal to the ten (10) trading day VWAP of such consideration shares on the </w:t>
      </w:r>
      <w:r w:rsidR="00A4028A">
        <w:rPr>
          <w:rFonts w:ascii="Arial" w:hAnsi="Arial" w:cs="Arial"/>
          <w:bCs/>
          <w:sz w:val="20"/>
          <w:szCs w:val="20"/>
        </w:rPr>
        <w:t xml:space="preserve">CSE </w:t>
      </w:r>
      <w:r w:rsidRPr="00883305">
        <w:rPr>
          <w:rFonts w:ascii="Arial" w:hAnsi="Arial" w:cs="Arial"/>
          <w:bCs/>
          <w:sz w:val="20"/>
          <w:szCs w:val="20"/>
        </w:rPr>
        <w:t xml:space="preserve">on the trading day immediately prior to the closing date (representing a price of $0.3114 per share). </w:t>
      </w:r>
    </w:p>
    <w:p w14:paraId="4C8508B7" w14:textId="77777777" w:rsidR="00A4759A" w:rsidRDefault="00A4759A" w:rsidP="00A11493">
      <w:pPr>
        <w:widowControl/>
        <w:autoSpaceDE/>
        <w:autoSpaceDN/>
        <w:adjustRightInd/>
        <w:rPr>
          <w:rFonts w:ascii="Arial" w:hAnsi="Arial" w:cs="Arial"/>
          <w:bCs/>
          <w:sz w:val="20"/>
          <w:szCs w:val="20"/>
        </w:rPr>
      </w:pPr>
    </w:p>
    <w:p w14:paraId="16B5BD96" w14:textId="3AFD8E1C" w:rsidR="00883305" w:rsidRPr="00307A61" w:rsidRDefault="00723E11" w:rsidP="00A11493">
      <w:pPr>
        <w:widowControl/>
        <w:autoSpaceDE/>
        <w:autoSpaceDN/>
        <w:adjustRightInd/>
        <w:rPr>
          <w:rFonts w:ascii="Arial" w:hAnsi="Arial" w:cs="Arial"/>
          <w:bCs/>
          <w:sz w:val="20"/>
          <w:szCs w:val="20"/>
        </w:rPr>
      </w:pPr>
      <w:r>
        <w:rPr>
          <w:rFonts w:ascii="Arial" w:hAnsi="Arial" w:cs="Arial"/>
          <w:bCs/>
          <w:sz w:val="20"/>
          <w:szCs w:val="20"/>
        </w:rPr>
        <w:t>Management of KIC</w:t>
      </w:r>
      <w:r w:rsidRPr="00A11493">
        <w:rPr>
          <w:rFonts w:ascii="Arial" w:hAnsi="Arial" w:cs="Arial"/>
          <w:bCs/>
          <w:sz w:val="20"/>
          <w:szCs w:val="20"/>
        </w:rPr>
        <w:t xml:space="preserve"> will be eligible to earn additional consideration </w:t>
      </w:r>
      <w:r>
        <w:rPr>
          <w:rFonts w:ascii="Arial" w:hAnsi="Arial" w:cs="Arial"/>
          <w:bCs/>
          <w:sz w:val="20"/>
          <w:szCs w:val="20"/>
        </w:rPr>
        <w:t xml:space="preserve">upon reaching </w:t>
      </w:r>
      <w:r w:rsidRPr="00A11493">
        <w:rPr>
          <w:rFonts w:ascii="Arial" w:hAnsi="Arial" w:cs="Arial"/>
          <w:bCs/>
          <w:sz w:val="20"/>
          <w:szCs w:val="20"/>
        </w:rPr>
        <w:t>certain milestones.</w:t>
      </w:r>
      <w:r>
        <w:rPr>
          <w:rFonts w:ascii="Arial" w:hAnsi="Arial" w:cs="Arial"/>
          <w:bCs/>
          <w:sz w:val="20"/>
          <w:szCs w:val="20"/>
        </w:rPr>
        <w:t xml:space="preserve"> Contingent consideration consists of </w:t>
      </w:r>
      <w:r w:rsidRPr="00307A61">
        <w:rPr>
          <w:rFonts w:ascii="Arial" w:hAnsi="Arial" w:cs="Arial"/>
          <w:sz w:val="20"/>
          <w:szCs w:val="20"/>
        </w:rPr>
        <w:t>USD$800,000 in consideration shares to be issued on the date KIC's Bakersfield, California clinic achieves a net profit in three consecutive months in the twelve months following the closing date, while achieving minimum revenues of USD$125,000 in the same three</w:t>
      </w:r>
      <w:r>
        <w:rPr>
          <w:rFonts w:ascii="Arial" w:hAnsi="Arial" w:cs="Arial"/>
          <w:sz w:val="20"/>
          <w:szCs w:val="20"/>
        </w:rPr>
        <w:t>-</w:t>
      </w:r>
      <w:r w:rsidRPr="00307A61">
        <w:rPr>
          <w:rFonts w:ascii="Arial" w:hAnsi="Arial" w:cs="Arial"/>
          <w:sz w:val="20"/>
          <w:szCs w:val="20"/>
        </w:rPr>
        <w:t>month period</w:t>
      </w:r>
      <w:r>
        <w:rPr>
          <w:rFonts w:ascii="Arial" w:hAnsi="Arial" w:cs="Arial"/>
          <w:sz w:val="20"/>
          <w:szCs w:val="20"/>
        </w:rPr>
        <w:t xml:space="preserve">.  </w:t>
      </w:r>
      <w:r>
        <w:rPr>
          <w:rFonts w:ascii="Arial" w:hAnsi="Arial" w:cs="Arial"/>
          <w:bCs/>
          <w:sz w:val="20"/>
          <w:szCs w:val="20"/>
        </w:rPr>
        <w:t xml:space="preserve">The contingent consideration was assigned a value of $666,667. </w:t>
      </w:r>
      <w:r>
        <w:rPr>
          <w:rFonts w:ascii="Arial" w:hAnsi="Arial" w:cs="Arial"/>
          <w:sz w:val="20"/>
          <w:szCs w:val="20"/>
        </w:rPr>
        <w:t xml:space="preserve">  </w:t>
      </w:r>
    </w:p>
    <w:p w14:paraId="1D5598F5" w14:textId="77777777" w:rsidR="00A4759A" w:rsidRDefault="00A4759A" w:rsidP="00A4759A">
      <w:pPr>
        <w:widowControl/>
        <w:autoSpaceDE/>
        <w:autoSpaceDN/>
        <w:adjustRightInd/>
        <w:rPr>
          <w:rFonts w:ascii="Arial" w:hAnsi="Arial" w:cs="Arial"/>
          <w:bCs/>
          <w:sz w:val="20"/>
          <w:szCs w:val="20"/>
        </w:rPr>
      </w:pPr>
      <w:r w:rsidRPr="008E44C7">
        <w:rPr>
          <w:rFonts w:ascii="Arial" w:hAnsi="Arial" w:cs="Arial"/>
          <w:bCs/>
          <w:sz w:val="20"/>
          <w:szCs w:val="20"/>
        </w:rPr>
        <w:t xml:space="preserve">In determining that the Company was the acquirer, the Company considered the guidance in IFRS 3. The Company considered which party transferred the assets, the relative voting rights of the resulting entity, the presence of any </w:t>
      </w:r>
      <w:r w:rsidRPr="008E44C7">
        <w:rPr>
          <w:rFonts w:ascii="Arial" w:hAnsi="Arial" w:cs="Arial"/>
          <w:bCs/>
          <w:sz w:val="20"/>
          <w:szCs w:val="20"/>
        </w:rPr>
        <w:lastRenderedPageBreak/>
        <w:t>significant minority shareholders, the composition of both the governing body and senior management of the resulting issuer, the terms of exchange of equity interests, and which combining entity’s relative size was greatest.</w:t>
      </w:r>
    </w:p>
    <w:p w14:paraId="77D9BF06" w14:textId="77777777" w:rsidR="00A4759A" w:rsidRPr="008E44C7" w:rsidRDefault="00A4759A" w:rsidP="00A4759A">
      <w:pPr>
        <w:widowControl/>
        <w:autoSpaceDE/>
        <w:autoSpaceDN/>
        <w:adjustRightInd/>
        <w:rPr>
          <w:rFonts w:ascii="Arial" w:hAnsi="Arial" w:cs="Arial"/>
          <w:bCs/>
          <w:sz w:val="20"/>
          <w:szCs w:val="20"/>
        </w:rPr>
      </w:pPr>
    </w:p>
    <w:p w14:paraId="77824914" w14:textId="77777777" w:rsidR="00A4759A" w:rsidRDefault="00A4759A" w:rsidP="00A4759A">
      <w:pPr>
        <w:widowControl/>
        <w:autoSpaceDE/>
        <w:autoSpaceDN/>
        <w:adjustRightInd/>
        <w:rPr>
          <w:rFonts w:ascii="Arial" w:hAnsi="Arial" w:cs="Arial"/>
          <w:bCs/>
          <w:sz w:val="20"/>
          <w:szCs w:val="20"/>
        </w:rPr>
      </w:pPr>
      <w:r w:rsidRPr="008E44C7">
        <w:rPr>
          <w:rFonts w:ascii="Arial" w:hAnsi="Arial" w:cs="Arial"/>
          <w:bCs/>
          <w:sz w:val="20"/>
          <w:szCs w:val="20"/>
        </w:rPr>
        <w:t xml:space="preserve">The accounting for this transaction resulted in the following: </w:t>
      </w:r>
    </w:p>
    <w:p w14:paraId="5C3A86DD" w14:textId="77777777" w:rsidR="00A4759A" w:rsidRDefault="00A4759A" w:rsidP="00A4759A">
      <w:pPr>
        <w:widowControl/>
        <w:autoSpaceDE/>
        <w:autoSpaceDN/>
        <w:adjustRightInd/>
        <w:rPr>
          <w:rFonts w:ascii="Arial" w:hAnsi="Arial" w:cs="Arial"/>
          <w:bCs/>
          <w:sz w:val="20"/>
          <w:szCs w:val="20"/>
        </w:rPr>
      </w:pPr>
    </w:p>
    <w:p w14:paraId="50016D11" w14:textId="604AE67B" w:rsidR="00E66380" w:rsidRDefault="00A4759A" w:rsidP="00E66380">
      <w:pPr>
        <w:widowControl/>
        <w:autoSpaceDE/>
        <w:autoSpaceDN/>
        <w:adjustRightInd/>
        <w:rPr>
          <w:rFonts w:ascii="Arial" w:hAnsi="Arial" w:cs="Arial"/>
          <w:bCs/>
          <w:sz w:val="20"/>
          <w:szCs w:val="20"/>
        </w:rPr>
      </w:pPr>
      <w:r w:rsidRPr="008E44C7">
        <w:rPr>
          <w:rFonts w:ascii="Arial" w:hAnsi="Arial" w:cs="Arial"/>
          <w:bCs/>
          <w:sz w:val="20"/>
          <w:szCs w:val="20"/>
        </w:rPr>
        <w:t xml:space="preserve">As </w:t>
      </w:r>
      <w:r>
        <w:rPr>
          <w:rFonts w:ascii="Arial" w:hAnsi="Arial" w:cs="Arial"/>
          <w:bCs/>
          <w:sz w:val="20"/>
          <w:szCs w:val="20"/>
        </w:rPr>
        <w:t>KIC</w:t>
      </w:r>
      <w:r w:rsidRPr="008E44C7">
        <w:rPr>
          <w:rFonts w:ascii="Arial" w:hAnsi="Arial" w:cs="Arial"/>
          <w:bCs/>
          <w:sz w:val="20"/>
          <w:szCs w:val="20"/>
        </w:rPr>
        <w:t xml:space="preserve"> </w:t>
      </w:r>
      <w:proofErr w:type="gramStart"/>
      <w:r w:rsidRPr="008E44C7">
        <w:rPr>
          <w:rFonts w:ascii="Arial" w:hAnsi="Arial" w:cs="Arial"/>
          <w:bCs/>
          <w:sz w:val="20"/>
          <w:szCs w:val="20"/>
        </w:rPr>
        <w:t>was considered to be</w:t>
      </w:r>
      <w:proofErr w:type="gramEnd"/>
      <w:r w:rsidRPr="008E44C7">
        <w:rPr>
          <w:rFonts w:ascii="Arial" w:hAnsi="Arial" w:cs="Arial"/>
          <w:bCs/>
          <w:sz w:val="20"/>
          <w:szCs w:val="20"/>
        </w:rPr>
        <w:t xml:space="preserve"> the acquiree for accounting purposes, its assets and liabilities are included in the </w:t>
      </w:r>
      <w:r>
        <w:rPr>
          <w:rFonts w:ascii="Arial" w:hAnsi="Arial" w:cs="Arial"/>
          <w:bCs/>
          <w:sz w:val="20"/>
          <w:szCs w:val="20"/>
        </w:rPr>
        <w:t xml:space="preserve">condensed </w:t>
      </w:r>
      <w:r w:rsidRPr="008E44C7">
        <w:rPr>
          <w:rFonts w:ascii="Arial" w:hAnsi="Arial" w:cs="Arial"/>
          <w:bCs/>
          <w:sz w:val="20"/>
          <w:szCs w:val="20"/>
        </w:rPr>
        <w:t xml:space="preserve">consolidated </w:t>
      </w:r>
      <w:r>
        <w:rPr>
          <w:rFonts w:ascii="Arial" w:hAnsi="Arial" w:cs="Arial"/>
          <w:bCs/>
          <w:sz w:val="20"/>
          <w:szCs w:val="20"/>
        </w:rPr>
        <w:t xml:space="preserve">interim </w:t>
      </w:r>
      <w:r w:rsidRPr="008E44C7">
        <w:rPr>
          <w:rFonts w:ascii="Arial" w:hAnsi="Arial" w:cs="Arial"/>
          <w:bCs/>
          <w:sz w:val="20"/>
          <w:szCs w:val="20"/>
        </w:rPr>
        <w:t xml:space="preserve">financial statements at their fair value as of the acquisition date. </w:t>
      </w:r>
      <w:r w:rsidR="00E66380" w:rsidRPr="008E44C7">
        <w:rPr>
          <w:rFonts w:ascii="Arial" w:hAnsi="Arial" w:cs="Arial"/>
          <w:bCs/>
          <w:sz w:val="20"/>
          <w:szCs w:val="20"/>
        </w:rPr>
        <w:t xml:space="preserve">Management has determined </w:t>
      </w:r>
      <w:r w:rsidR="00E66380">
        <w:rPr>
          <w:rFonts w:ascii="Arial" w:hAnsi="Arial" w:cs="Arial"/>
          <w:bCs/>
          <w:sz w:val="20"/>
          <w:szCs w:val="20"/>
        </w:rPr>
        <w:t>that the acquisition was a business combination and accordingly recorded the fair value of the assets acquired and liability assumed as follows:</w:t>
      </w:r>
      <w:r w:rsidR="00E66380" w:rsidRPr="008E44C7">
        <w:rPr>
          <w:rFonts w:ascii="Arial" w:hAnsi="Arial" w:cs="Arial"/>
          <w:bCs/>
          <w:sz w:val="20"/>
          <w:szCs w:val="20"/>
        </w:rPr>
        <w:t xml:space="preserve"> </w:t>
      </w:r>
    </w:p>
    <w:p w14:paraId="31483CFA" w14:textId="2C4194C0" w:rsidR="00723E11" w:rsidRDefault="00723E11" w:rsidP="00723E11">
      <w:pPr>
        <w:widowControl/>
        <w:autoSpaceDE/>
        <w:autoSpaceDN/>
        <w:adjustRightInd/>
        <w:rPr>
          <w:rFonts w:ascii="Arial" w:hAnsi="Arial" w:cs="Arial"/>
          <w:bCs/>
          <w:sz w:val="20"/>
          <w:szCs w:val="20"/>
        </w:rPr>
      </w:pPr>
    </w:p>
    <w:tbl>
      <w:tblPr>
        <w:tblW w:w="8229" w:type="dxa"/>
        <w:jc w:val="center"/>
        <w:tblLook w:val="04A0" w:firstRow="1" w:lastRow="0" w:firstColumn="1" w:lastColumn="0" w:noHBand="0" w:noVBand="1"/>
      </w:tblPr>
      <w:tblGrid>
        <w:gridCol w:w="4941"/>
        <w:gridCol w:w="1568"/>
        <w:gridCol w:w="1720"/>
      </w:tblGrid>
      <w:tr w:rsidR="00723E11" w:rsidRPr="00E9060D" w14:paraId="3514885C" w14:textId="77777777" w:rsidTr="00262B9C">
        <w:trPr>
          <w:trHeight w:val="246"/>
          <w:jc w:val="center"/>
        </w:trPr>
        <w:tc>
          <w:tcPr>
            <w:tcW w:w="4941" w:type="dxa"/>
            <w:tcBorders>
              <w:top w:val="single" w:sz="4" w:space="0" w:color="auto"/>
              <w:left w:val="nil"/>
              <w:right w:val="nil"/>
            </w:tcBorders>
            <w:shd w:val="clear" w:color="auto" w:fill="auto"/>
            <w:noWrap/>
            <w:vAlign w:val="bottom"/>
            <w:hideMark/>
          </w:tcPr>
          <w:p w14:paraId="3B5818C4" w14:textId="77777777" w:rsidR="00723E11" w:rsidRPr="00E9060D" w:rsidRDefault="00723E11" w:rsidP="00262B9C">
            <w:pPr>
              <w:widowControl/>
              <w:autoSpaceDE/>
              <w:autoSpaceDN/>
              <w:adjustRightInd/>
              <w:jc w:val="left"/>
              <w:rPr>
                <w:sz w:val="24"/>
                <w:szCs w:val="20"/>
                <w:lang w:eastAsia="en-CA"/>
              </w:rPr>
            </w:pPr>
          </w:p>
        </w:tc>
        <w:tc>
          <w:tcPr>
            <w:tcW w:w="1568" w:type="dxa"/>
            <w:tcBorders>
              <w:top w:val="single" w:sz="4" w:space="0" w:color="auto"/>
              <w:left w:val="nil"/>
              <w:right w:val="nil"/>
            </w:tcBorders>
            <w:shd w:val="clear" w:color="auto" w:fill="auto"/>
            <w:noWrap/>
            <w:vAlign w:val="bottom"/>
            <w:hideMark/>
          </w:tcPr>
          <w:p w14:paraId="3DBAD7CB" w14:textId="77777777" w:rsidR="00723E11" w:rsidRPr="00E9060D" w:rsidRDefault="00723E11" w:rsidP="00262B9C">
            <w:pPr>
              <w:widowControl/>
              <w:autoSpaceDE/>
              <w:autoSpaceDN/>
              <w:adjustRightInd/>
              <w:jc w:val="left"/>
              <w:rPr>
                <w:sz w:val="20"/>
                <w:szCs w:val="20"/>
                <w:lang w:eastAsia="en-CA"/>
              </w:rPr>
            </w:pPr>
          </w:p>
        </w:tc>
        <w:tc>
          <w:tcPr>
            <w:tcW w:w="1720" w:type="dxa"/>
            <w:tcBorders>
              <w:top w:val="single" w:sz="4" w:space="0" w:color="auto"/>
              <w:left w:val="nil"/>
              <w:right w:val="nil"/>
            </w:tcBorders>
            <w:shd w:val="clear" w:color="auto" w:fill="auto"/>
            <w:noWrap/>
            <w:vAlign w:val="bottom"/>
            <w:hideMark/>
          </w:tcPr>
          <w:p w14:paraId="43F55040" w14:textId="77777777" w:rsidR="00723E11" w:rsidRPr="00E9060D" w:rsidRDefault="00723E11" w:rsidP="00262B9C">
            <w:pPr>
              <w:widowControl/>
              <w:autoSpaceDE/>
              <w:autoSpaceDN/>
              <w:adjustRightInd/>
              <w:jc w:val="center"/>
              <w:rPr>
                <w:rFonts w:ascii="Arial" w:hAnsi="Arial" w:cs="Arial"/>
                <w:b/>
                <w:bCs/>
                <w:color w:val="000000"/>
                <w:sz w:val="20"/>
                <w:szCs w:val="20"/>
                <w:lang w:eastAsia="en-CA"/>
              </w:rPr>
            </w:pPr>
          </w:p>
        </w:tc>
      </w:tr>
      <w:tr w:rsidR="00723E11" w:rsidRPr="00E9060D" w14:paraId="0F594E03" w14:textId="77777777" w:rsidTr="00262B9C">
        <w:trPr>
          <w:trHeight w:val="246"/>
          <w:jc w:val="center"/>
        </w:trPr>
        <w:tc>
          <w:tcPr>
            <w:tcW w:w="4941" w:type="dxa"/>
            <w:tcBorders>
              <w:top w:val="nil"/>
              <w:left w:val="nil"/>
              <w:right w:val="nil"/>
            </w:tcBorders>
            <w:shd w:val="clear" w:color="auto" w:fill="auto"/>
            <w:noWrap/>
            <w:vAlign w:val="bottom"/>
            <w:hideMark/>
          </w:tcPr>
          <w:p w14:paraId="6FBFF47B"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Share consideration</w:t>
            </w:r>
            <w:r>
              <w:rPr>
                <w:rFonts w:ascii="Arial" w:hAnsi="Arial" w:cs="Arial"/>
                <w:b/>
                <w:bCs/>
                <w:color w:val="000000"/>
                <w:sz w:val="20"/>
                <w:szCs w:val="20"/>
                <w:lang w:eastAsia="en-CA"/>
              </w:rPr>
              <w:t xml:space="preserve"> (Note 7)</w:t>
            </w:r>
          </w:p>
        </w:tc>
        <w:tc>
          <w:tcPr>
            <w:tcW w:w="1568" w:type="dxa"/>
            <w:tcBorders>
              <w:top w:val="nil"/>
              <w:left w:val="nil"/>
              <w:right w:val="nil"/>
            </w:tcBorders>
            <w:shd w:val="clear" w:color="auto" w:fill="auto"/>
            <w:noWrap/>
            <w:vAlign w:val="bottom"/>
            <w:hideMark/>
          </w:tcPr>
          <w:p w14:paraId="32130254"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w:t>
            </w:r>
          </w:p>
        </w:tc>
        <w:tc>
          <w:tcPr>
            <w:tcW w:w="1720" w:type="dxa"/>
            <w:tcBorders>
              <w:top w:val="nil"/>
              <w:left w:val="nil"/>
              <w:right w:val="nil"/>
            </w:tcBorders>
            <w:shd w:val="clear" w:color="auto" w:fill="auto"/>
            <w:noWrap/>
            <w:vAlign w:val="bottom"/>
            <w:hideMark/>
          </w:tcPr>
          <w:p w14:paraId="1E4D1CDF"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sidRPr="00E9060D">
              <w:rPr>
                <w:rFonts w:ascii="Arial" w:hAnsi="Arial" w:cs="Arial"/>
                <w:b/>
                <w:bCs/>
                <w:color w:val="000000"/>
                <w:sz w:val="20"/>
                <w:szCs w:val="20"/>
                <w:lang w:eastAsia="en-CA"/>
              </w:rPr>
              <w:t xml:space="preserve">     </w:t>
            </w:r>
            <w:r>
              <w:rPr>
                <w:rFonts w:ascii="Arial" w:hAnsi="Arial" w:cs="Arial"/>
                <w:b/>
                <w:bCs/>
                <w:color w:val="000000"/>
                <w:sz w:val="20"/>
                <w:szCs w:val="20"/>
                <w:lang w:eastAsia="en-CA"/>
              </w:rPr>
              <w:t>2,240,312</w:t>
            </w:r>
            <w:r w:rsidRPr="00E9060D">
              <w:rPr>
                <w:rFonts w:ascii="Arial" w:hAnsi="Arial" w:cs="Arial"/>
                <w:b/>
                <w:bCs/>
                <w:color w:val="000000"/>
                <w:sz w:val="20"/>
                <w:szCs w:val="20"/>
                <w:lang w:eastAsia="en-CA"/>
              </w:rPr>
              <w:t xml:space="preserve"> </w:t>
            </w:r>
          </w:p>
        </w:tc>
      </w:tr>
      <w:tr w:rsidR="00723E11" w:rsidRPr="00E9060D" w14:paraId="12D9F418" w14:textId="77777777" w:rsidTr="00262B9C">
        <w:trPr>
          <w:trHeight w:val="246"/>
          <w:jc w:val="center"/>
        </w:trPr>
        <w:tc>
          <w:tcPr>
            <w:tcW w:w="4941" w:type="dxa"/>
            <w:tcBorders>
              <w:left w:val="nil"/>
              <w:bottom w:val="single" w:sz="4" w:space="0" w:color="auto"/>
              <w:right w:val="nil"/>
            </w:tcBorders>
            <w:shd w:val="clear" w:color="auto" w:fill="auto"/>
            <w:noWrap/>
            <w:vAlign w:val="bottom"/>
          </w:tcPr>
          <w:p w14:paraId="70128900"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lang w:eastAsia="en-CA"/>
              </w:rPr>
              <w:t>Contingent consideration</w:t>
            </w:r>
          </w:p>
        </w:tc>
        <w:tc>
          <w:tcPr>
            <w:tcW w:w="1568" w:type="dxa"/>
            <w:tcBorders>
              <w:left w:val="nil"/>
              <w:bottom w:val="single" w:sz="4" w:space="0" w:color="auto"/>
              <w:right w:val="nil"/>
            </w:tcBorders>
            <w:shd w:val="clear" w:color="auto" w:fill="auto"/>
            <w:noWrap/>
            <w:vAlign w:val="bottom"/>
          </w:tcPr>
          <w:p w14:paraId="121EC2E2"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p>
        </w:tc>
        <w:tc>
          <w:tcPr>
            <w:tcW w:w="1720" w:type="dxa"/>
            <w:tcBorders>
              <w:left w:val="nil"/>
              <w:bottom w:val="single" w:sz="4" w:space="0" w:color="auto"/>
              <w:right w:val="nil"/>
            </w:tcBorders>
            <w:shd w:val="clear" w:color="auto" w:fill="auto"/>
            <w:noWrap/>
            <w:vAlign w:val="bottom"/>
          </w:tcPr>
          <w:p w14:paraId="41271192"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666,667</w:t>
            </w:r>
          </w:p>
        </w:tc>
      </w:tr>
      <w:tr w:rsidR="00723E11" w:rsidRPr="00E9060D" w14:paraId="6D8F4588" w14:textId="77777777" w:rsidTr="00262B9C">
        <w:trPr>
          <w:trHeight w:val="246"/>
          <w:jc w:val="center"/>
        </w:trPr>
        <w:tc>
          <w:tcPr>
            <w:tcW w:w="4941" w:type="dxa"/>
            <w:tcBorders>
              <w:top w:val="nil"/>
              <w:left w:val="nil"/>
              <w:bottom w:val="single" w:sz="4" w:space="0" w:color="auto"/>
              <w:right w:val="nil"/>
            </w:tcBorders>
            <w:shd w:val="clear" w:color="auto" w:fill="auto"/>
            <w:noWrap/>
            <w:vAlign w:val="bottom"/>
          </w:tcPr>
          <w:p w14:paraId="4E75FF54" w14:textId="77777777" w:rsidR="00723E11" w:rsidRDefault="00723E11" w:rsidP="00262B9C">
            <w:pPr>
              <w:widowControl/>
              <w:autoSpaceDE/>
              <w:autoSpaceDN/>
              <w:adjustRightInd/>
              <w:jc w:val="left"/>
              <w:rPr>
                <w:rFonts w:ascii="Arial" w:hAnsi="Arial" w:cs="Arial"/>
                <w:b/>
                <w:bCs/>
                <w:color w:val="000000"/>
                <w:sz w:val="20"/>
                <w:szCs w:val="20"/>
                <w:lang w:eastAsia="en-CA"/>
              </w:rPr>
            </w:pPr>
            <w:r>
              <w:rPr>
                <w:rFonts w:ascii="Arial" w:hAnsi="Arial" w:cs="Arial"/>
                <w:b/>
                <w:bCs/>
                <w:color w:val="000000"/>
                <w:sz w:val="20"/>
                <w:szCs w:val="20"/>
                <w:lang w:eastAsia="en-CA"/>
              </w:rPr>
              <w:t>Total consideration</w:t>
            </w:r>
          </w:p>
        </w:tc>
        <w:tc>
          <w:tcPr>
            <w:tcW w:w="1568" w:type="dxa"/>
            <w:tcBorders>
              <w:top w:val="nil"/>
              <w:left w:val="nil"/>
              <w:bottom w:val="single" w:sz="4" w:space="0" w:color="auto"/>
              <w:right w:val="nil"/>
            </w:tcBorders>
            <w:shd w:val="clear" w:color="auto" w:fill="auto"/>
            <w:noWrap/>
            <w:vAlign w:val="bottom"/>
          </w:tcPr>
          <w:p w14:paraId="1FD125B7"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p>
        </w:tc>
        <w:tc>
          <w:tcPr>
            <w:tcW w:w="1720" w:type="dxa"/>
            <w:tcBorders>
              <w:top w:val="nil"/>
              <w:left w:val="nil"/>
              <w:bottom w:val="single" w:sz="4" w:space="0" w:color="auto"/>
              <w:right w:val="nil"/>
            </w:tcBorders>
            <w:shd w:val="clear" w:color="auto" w:fill="auto"/>
            <w:noWrap/>
            <w:vAlign w:val="bottom"/>
          </w:tcPr>
          <w:p w14:paraId="35A09C0C" w14:textId="77777777" w:rsidR="00723E11"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2,906,979</w:t>
            </w:r>
          </w:p>
        </w:tc>
      </w:tr>
      <w:tr w:rsidR="00723E11" w:rsidRPr="00E9060D" w14:paraId="72612BDD" w14:textId="77777777" w:rsidTr="00262B9C">
        <w:trPr>
          <w:trHeight w:val="246"/>
          <w:jc w:val="center"/>
        </w:trPr>
        <w:tc>
          <w:tcPr>
            <w:tcW w:w="4941" w:type="dxa"/>
            <w:tcBorders>
              <w:top w:val="nil"/>
              <w:left w:val="nil"/>
              <w:bottom w:val="nil"/>
              <w:right w:val="nil"/>
            </w:tcBorders>
            <w:shd w:val="clear" w:color="auto" w:fill="auto"/>
            <w:noWrap/>
            <w:vAlign w:val="bottom"/>
            <w:hideMark/>
          </w:tcPr>
          <w:p w14:paraId="2C6B760F"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p>
        </w:tc>
        <w:tc>
          <w:tcPr>
            <w:tcW w:w="1568" w:type="dxa"/>
            <w:tcBorders>
              <w:top w:val="nil"/>
              <w:left w:val="nil"/>
              <w:bottom w:val="nil"/>
              <w:right w:val="nil"/>
            </w:tcBorders>
            <w:shd w:val="clear" w:color="auto" w:fill="auto"/>
            <w:noWrap/>
            <w:vAlign w:val="bottom"/>
            <w:hideMark/>
          </w:tcPr>
          <w:p w14:paraId="319CD679" w14:textId="77777777" w:rsidR="00723E11" w:rsidRPr="00E9060D" w:rsidRDefault="00723E11" w:rsidP="00262B9C">
            <w:pPr>
              <w:widowControl/>
              <w:autoSpaceDE/>
              <w:autoSpaceDN/>
              <w:adjustRightInd/>
              <w:jc w:val="left"/>
              <w:rPr>
                <w:sz w:val="20"/>
                <w:szCs w:val="20"/>
                <w:lang w:eastAsia="en-CA"/>
              </w:rPr>
            </w:pPr>
          </w:p>
        </w:tc>
        <w:tc>
          <w:tcPr>
            <w:tcW w:w="1720" w:type="dxa"/>
            <w:tcBorders>
              <w:top w:val="nil"/>
              <w:left w:val="nil"/>
              <w:bottom w:val="nil"/>
              <w:right w:val="nil"/>
            </w:tcBorders>
            <w:shd w:val="clear" w:color="auto" w:fill="auto"/>
            <w:noWrap/>
            <w:vAlign w:val="bottom"/>
            <w:hideMark/>
          </w:tcPr>
          <w:p w14:paraId="68DC9C32" w14:textId="77777777" w:rsidR="00723E11" w:rsidRPr="00E9060D" w:rsidRDefault="00723E11" w:rsidP="00262B9C">
            <w:pPr>
              <w:widowControl/>
              <w:autoSpaceDE/>
              <w:autoSpaceDN/>
              <w:adjustRightInd/>
              <w:jc w:val="left"/>
              <w:rPr>
                <w:sz w:val="20"/>
                <w:szCs w:val="20"/>
                <w:lang w:eastAsia="en-CA"/>
              </w:rPr>
            </w:pPr>
          </w:p>
        </w:tc>
      </w:tr>
      <w:tr w:rsidR="00723E11" w:rsidRPr="00E9060D" w14:paraId="45915EC0" w14:textId="77777777" w:rsidTr="00262B9C">
        <w:trPr>
          <w:trHeight w:val="246"/>
          <w:jc w:val="center"/>
        </w:trPr>
        <w:tc>
          <w:tcPr>
            <w:tcW w:w="4941" w:type="dxa"/>
            <w:tcBorders>
              <w:top w:val="nil"/>
              <w:left w:val="nil"/>
              <w:bottom w:val="nil"/>
              <w:right w:val="nil"/>
            </w:tcBorders>
            <w:shd w:val="clear" w:color="auto" w:fill="auto"/>
            <w:noWrap/>
            <w:vAlign w:val="bottom"/>
            <w:hideMark/>
          </w:tcPr>
          <w:p w14:paraId="14DCA73D"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Cash</w:t>
            </w:r>
          </w:p>
        </w:tc>
        <w:tc>
          <w:tcPr>
            <w:tcW w:w="1568" w:type="dxa"/>
            <w:tcBorders>
              <w:top w:val="nil"/>
              <w:left w:val="nil"/>
              <w:bottom w:val="nil"/>
              <w:right w:val="nil"/>
            </w:tcBorders>
            <w:shd w:val="clear" w:color="auto" w:fill="auto"/>
            <w:noWrap/>
            <w:vAlign w:val="bottom"/>
            <w:hideMark/>
          </w:tcPr>
          <w:p w14:paraId="70087CA4"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10A2833C"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w:t>
            </w:r>
            <w:r>
              <w:rPr>
                <w:rFonts w:ascii="Arial" w:hAnsi="Arial" w:cs="Arial"/>
                <w:color w:val="000000"/>
                <w:sz w:val="20"/>
                <w:szCs w:val="20"/>
                <w:lang w:eastAsia="en-CA"/>
              </w:rPr>
              <w:t>82,092</w:t>
            </w:r>
            <w:r w:rsidRPr="00E9060D">
              <w:rPr>
                <w:rFonts w:ascii="Arial" w:hAnsi="Arial" w:cs="Arial"/>
                <w:color w:val="000000"/>
                <w:sz w:val="20"/>
                <w:szCs w:val="20"/>
                <w:lang w:eastAsia="en-CA"/>
              </w:rPr>
              <w:t xml:space="preserve"> </w:t>
            </w:r>
          </w:p>
        </w:tc>
      </w:tr>
      <w:tr w:rsidR="00723E11" w:rsidRPr="00E9060D" w14:paraId="6043BC6A" w14:textId="77777777" w:rsidTr="00262B9C">
        <w:trPr>
          <w:trHeight w:val="246"/>
          <w:jc w:val="center"/>
        </w:trPr>
        <w:tc>
          <w:tcPr>
            <w:tcW w:w="4941" w:type="dxa"/>
            <w:tcBorders>
              <w:top w:val="nil"/>
              <w:left w:val="nil"/>
              <w:bottom w:val="nil"/>
              <w:right w:val="nil"/>
            </w:tcBorders>
            <w:shd w:val="clear" w:color="auto" w:fill="auto"/>
            <w:noWrap/>
            <w:vAlign w:val="bottom"/>
            <w:hideMark/>
          </w:tcPr>
          <w:p w14:paraId="74ECD04D"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A</w:t>
            </w:r>
            <w:r>
              <w:rPr>
                <w:rFonts w:ascii="Arial" w:hAnsi="Arial" w:cs="Arial"/>
                <w:color w:val="000000"/>
                <w:sz w:val="20"/>
                <w:szCs w:val="20"/>
                <w:lang w:eastAsia="en-CA"/>
              </w:rPr>
              <w:t>ccounts</w:t>
            </w:r>
            <w:r w:rsidRPr="00E9060D">
              <w:rPr>
                <w:rFonts w:ascii="Arial" w:hAnsi="Arial" w:cs="Arial"/>
                <w:color w:val="000000"/>
                <w:sz w:val="20"/>
                <w:szCs w:val="20"/>
                <w:lang w:eastAsia="en-CA"/>
              </w:rPr>
              <w:t xml:space="preserve"> receivable</w:t>
            </w:r>
          </w:p>
        </w:tc>
        <w:tc>
          <w:tcPr>
            <w:tcW w:w="1568" w:type="dxa"/>
            <w:tcBorders>
              <w:top w:val="nil"/>
              <w:left w:val="nil"/>
              <w:bottom w:val="nil"/>
              <w:right w:val="nil"/>
            </w:tcBorders>
            <w:shd w:val="clear" w:color="auto" w:fill="auto"/>
            <w:noWrap/>
            <w:vAlign w:val="bottom"/>
            <w:hideMark/>
          </w:tcPr>
          <w:p w14:paraId="3C001109"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699A51DF"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203,161</w:t>
            </w:r>
          </w:p>
        </w:tc>
      </w:tr>
      <w:tr w:rsidR="00723E11" w:rsidRPr="00E9060D" w14:paraId="32FDD6B4" w14:textId="77777777" w:rsidTr="00262B9C">
        <w:trPr>
          <w:trHeight w:val="246"/>
          <w:jc w:val="center"/>
        </w:trPr>
        <w:tc>
          <w:tcPr>
            <w:tcW w:w="4941" w:type="dxa"/>
            <w:tcBorders>
              <w:top w:val="nil"/>
              <w:left w:val="nil"/>
              <w:bottom w:val="nil"/>
              <w:right w:val="nil"/>
            </w:tcBorders>
            <w:shd w:val="clear" w:color="auto" w:fill="auto"/>
            <w:noWrap/>
            <w:vAlign w:val="bottom"/>
            <w:hideMark/>
          </w:tcPr>
          <w:p w14:paraId="21A017A2"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Deposits</w:t>
            </w:r>
          </w:p>
        </w:tc>
        <w:tc>
          <w:tcPr>
            <w:tcW w:w="1568" w:type="dxa"/>
            <w:tcBorders>
              <w:top w:val="nil"/>
              <w:left w:val="nil"/>
              <w:bottom w:val="nil"/>
              <w:right w:val="nil"/>
            </w:tcBorders>
            <w:shd w:val="clear" w:color="auto" w:fill="auto"/>
            <w:noWrap/>
            <w:vAlign w:val="bottom"/>
            <w:hideMark/>
          </w:tcPr>
          <w:p w14:paraId="15B775A0"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3A283173"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1,745</w:t>
            </w:r>
          </w:p>
        </w:tc>
      </w:tr>
      <w:tr w:rsidR="00723E11" w:rsidRPr="00E9060D" w14:paraId="3CA22018" w14:textId="77777777" w:rsidTr="00262B9C">
        <w:trPr>
          <w:trHeight w:val="246"/>
          <w:jc w:val="center"/>
        </w:trPr>
        <w:tc>
          <w:tcPr>
            <w:tcW w:w="4941" w:type="dxa"/>
            <w:tcBorders>
              <w:top w:val="nil"/>
              <w:left w:val="nil"/>
              <w:bottom w:val="nil"/>
              <w:right w:val="nil"/>
            </w:tcBorders>
            <w:shd w:val="clear" w:color="auto" w:fill="auto"/>
            <w:noWrap/>
            <w:vAlign w:val="bottom"/>
            <w:hideMark/>
          </w:tcPr>
          <w:p w14:paraId="4F228DA2"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Right of use assets</w:t>
            </w:r>
          </w:p>
        </w:tc>
        <w:tc>
          <w:tcPr>
            <w:tcW w:w="1568" w:type="dxa"/>
            <w:tcBorders>
              <w:top w:val="nil"/>
              <w:left w:val="nil"/>
              <w:bottom w:val="nil"/>
              <w:right w:val="nil"/>
            </w:tcBorders>
            <w:shd w:val="clear" w:color="auto" w:fill="auto"/>
            <w:noWrap/>
            <w:vAlign w:val="bottom"/>
            <w:hideMark/>
          </w:tcPr>
          <w:p w14:paraId="7BA05C4F"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52024872"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39,301</w:t>
            </w:r>
          </w:p>
        </w:tc>
      </w:tr>
      <w:tr w:rsidR="00723E11" w:rsidRPr="00E9060D" w14:paraId="06C7B74F" w14:textId="77777777" w:rsidTr="00262B9C">
        <w:trPr>
          <w:trHeight w:val="246"/>
          <w:jc w:val="center"/>
        </w:trPr>
        <w:tc>
          <w:tcPr>
            <w:tcW w:w="4941" w:type="dxa"/>
            <w:tcBorders>
              <w:top w:val="nil"/>
              <w:left w:val="nil"/>
              <w:bottom w:val="nil"/>
              <w:right w:val="nil"/>
            </w:tcBorders>
            <w:shd w:val="clear" w:color="auto" w:fill="auto"/>
            <w:noWrap/>
            <w:vAlign w:val="bottom"/>
          </w:tcPr>
          <w:p w14:paraId="32B61B07" w14:textId="77777777" w:rsidR="00723E11"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Intangible assets</w:t>
            </w:r>
          </w:p>
        </w:tc>
        <w:tc>
          <w:tcPr>
            <w:tcW w:w="1568" w:type="dxa"/>
            <w:tcBorders>
              <w:top w:val="nil"/>
              <w:left w:val="nil"/>
              <w:bottom w:val="nil"/>
              <w:right w:val="nil"/>
            </w:tcBorders>
            <w:shd w:val="clear" w:color="auto" w:fill="auto"/>
            <w:noWrap/>
            <w:vAlign w:val="bottom"/>
          </w:tcPr>
          <w:p w14:paraId="0F379B03"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tcPr>
          <w:p w14:paraId="63426FCB" w14:textId="77777777" w:rsidR="00723E11"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2,783,580</w:t>
            </w:r>
          </w:p>
        </w:tc>
      </w:tr>
      <w:tr w:rsidR="00723E11" w:rsidRPr="00E9060D" w14:paraId="03052873" w14:textId="77777777" w:rsidTr="00262B9C">
        <w:trPr>
          <w:trHeight w:val="246"/>
          <w:jc w:val="center"/>
        </w:trPr>
        <w:tc>
          <w:tcPr>
            <w:tcW w:w="4941" w:type="dxa"/>
            <w:tcBorders>
              <w:top w:val="nil"/>
              <w:left w:val="nil"/>
              <w:bottom w:val="nil"/>
              <w:right w:val="nil"/>
            </w:tcBorders>
            <w:shd w:val="clear" w:color="auto" w:fill="auto"/>
            <w:noWrap/>
            <w:vAlign w:val="bottom"/>
            <w:hideMark/>
          </w:tcPr>
          <w:p w14:paraId="36D00F24"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Goodwill</w:t>
            </w:r>
          </w:p>
        </w:tc>
        <w:tc>
          <w:tcPr>
            <w:tcW w:w="1568" w:type="dxa"/>
            <w:tcBorders>
              <w:top w:val="nil"/>
              <w:left w:val="nil"/>
              <w:bottom w:val="nil"/>
              <w:right w:val="nil"/>
            </w:tcBorders>
            <w:shd w:val="clear" w:color="auto" w:fill="auto"/>
            <w:noWrap/>
            <w:vAlign w:val="bottom"/>
            <w:hideMark/>
          </w:tcPr>
          <w:p w14:paraId="66E1AFD1"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bottom w:val="nil"/>
              <w:right w:val="nil"/>
            </w:tcBorders>
            <w:shd w:val="clear" w:color="auto" w:fill="auto"/>
            <w:noWrap/>
            <w:vAlign w:val="bottom"/>
            <w:hideMark/>
          </w:tcPr>
          <w:p w14:paraId="7B22D9A9"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695,895</w:t>
            </w:r>
          </w:p>
        </w:tc>
      </w:tr>
      <w:tr w:rsidR="00723E11" w:rsidRPr="00E9060D" w14:paraId="5BFFFC50" w14:textId="77777777" w:rsidTr="00262B9C">
        <w:trPr>
          <w:trHeight w:val="246"/>
          <w:jc w:val="center"/>
        </w:trPr>
        <w:tc>
          <w:tcPr>
            <w:tcW w:w="4941" w:type="dxa"/>
            <w:tcBorders>
              <w:top w:val="nil"/>
              <w:left w:val="nil"/>
              <w:right w:val="nil"/>
            </w:tcBorders>
            <w:shd w:val="clear" w:color="auto" w:fill="auto"/>
            <w:noWrap/>
            <w:vAlign w:val="bottom"/>
            <w:hideMark/>
          </w:tcPr>
          <w:p w14:paraId="77ED8796"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sidRPr="00E9060D">
              <w:rPr>
                <w:rFonts w:ascii="Arial" w:hAnsi="Arial" w:cs="Arial"/>
                <w:color w:val="000000"/>
                <w:sz w:val="20"/>
                <w:szCs w:val="20"/>
                <w:lang w:eastAsia="en-CA"/>
              </w:rPr>
              <w:t>Accounts payable and accrued liabilities</w:t>
            </w:r>
          </w:p>
        </w:tc>
        <w:tc>
          <w:tcPr>
            <w:tcW w:w="1568" w:type="dxa"/>
            <w:tcBorders>
              <w:top w:val="nil"/>
              <w:left w:val="nil"/>
              <w:right w:val="nil"/>
            </w:tcBorders>
            <w:shd w:val="clear" w:color="auto" w:fill="auto"/>
            <w:noWrap/>
            <w:vAlign w:val="bottom"/>
            <w:hideMark/>
          </w:tcPr>
          <w:p w14:paraId="6E776E18"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right w:val="nil"/>
            </w:tcBorders>
            <w:shd w:val="clear" w:color="auto" w:fill="auto"/>
            <w:noWrap/>
            <w:vAlign w:val="bottom"/>
            <w:hideMark/>
          </w:tcPr>
          <w:p w14:paraId="76C76F26"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w:t>
            </w:r>
            <w:r>
              <w:rPr>
                <w:rFonts w:ascii="Arial" w:hAnsi="Arial" w:cs="Arial"/>
                <w:color w:val="000000"/>
                <w:sz w:val="20"/>
                <w:szCs w:val="20"/>
                <w:lang w:eastAsia="en-CA"/>
              </w:rPr>
              <w:t>120,230</w:t>
            </w:r>
            <w:r w:rsidRPr="00E9060D">
              <w:rPr>
                <w:rFonts w:ascii="Arial" w:hAnsi="Arial" w:cs="Arial"/>
                <w:color w:val="000000"/>
                <w:sz w:val="20"/>
                <w:szCs w:val="20"/>
                <w:lang w:eastAsia="en-CA"/>
              </w:rPr>
              <w:t>)</w:t>
            </w:r>
          </w:p>
        </w:tc>
      </w:tr>
      <w:tr w:rsidR="00723E11" w:rsidRPr="00E9060D" w14:paraId="1206ECBC" w14:textId="77777777" w:rsidTr="00262B9C">
        <w:trPr>
          <w:trHeight w:val="246"/>
          <w:jc w:val="center"/>
        </w:trPr>
        <w:tc>
          <w:tcPr>
            <w:tcW w:w="4941" w:type="dxa"/>
            <w:tcBorders>
              <w:top w:val="nil"/>
              <w:left w:val="nil"/>
              <w:right w:val="nil"/>
            </w:tcBorders>
            <w:shd w:val="clear" w:color="auto" w:fill="auto"/>
            <w:noWrap/>
            <w:vAlign w:val="bottom"/>
            <w:hideMark/>
          </w:tcPr>
          <w:p w14:paraId="067F7E7B"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Lease liabilities</w:t>
            </w:r>
          </w:p>
        </w:tc>
        <w:tc>
          <w:tcPr>
            <w:tcW w:w="1568" w:type="dxa"/>
            <w:tcBorders>
              <w:top w:val="nil"/>
              <w:left w:val="nil"/>
              <w:right w:val="nil"/>
            </w:tcBorders>
            <w:shd w:val="clear" w:color="auto" w:fill="auto"/>
            <w:noWrap/>
            <w:vAlign w:val="bottom"/>
            <w:hideMark/>
          </w:tcPr>
          <w:p w14:paraId="6423D9FF"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top w:val="nil"/>
              <w:left w:val="nil"/>
              <w:right w:val="nil"/>
            </w:tcBorders>
            <w:shd w:val="clear" w:color="auto" w:fill="auto"/>
            <w:noWrap/>
            <w:vAlign w:val="bottom"/>
            <w:hideMark/>
          </w:tcPr>
          <w:p w14:paraId="4E6EF702"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sidRPr="00E9060D">
              <w:rPr>
                <w:rFonts w:ascii="Arial" w:hAnsi="Arial" w:cs="Arial"/>
                <w:color w:val="000000"/>
                <w:sz w:val="20"/>
                <w:szCs w:val="20"/>
                <w:lang w:eastAsia="en-CA"/>
              </w:rPr>
              <w:t xml:space="preserve">        (</w:t>
            </w:r>
            <w:r>
              <w:rPr>
                <w:rFonts w:ascii="Arial" w:hAnsi="Arial" w:cs="Arial"/>
                <w:color w:val="000000"/>
                <w:sz w:val="20"/>
                <w:szCs w:val="20"/>
                <w:lang w:eastAsia="en-CA"/>
              </w:rPr>
              <w:t>82,670</w:t>
            </w:r>
            <w:r w:rsidRPr="00E9060D">
              <w:rPr>
                <w:rFonts w:ascii="Arial" w:hAnsi="Arial" w:cs="Arial"/>
                <w:color w:val="000000"/>
                <w:sz w:val="20"/>
                <w:szCs w:val="20"/>
                <w:lang w:eastAsia="en-CA"/>
              </w:rPr>
              <w:t>)</w:t>
            </w:r>
          </w:p>
        </w:tc>
      </w:tr>
      <w:tr w:rsidR="00723E11" w:rsidRPr="00E9060D" w14:paraId="0AF12710" w14:textId="77777777" w:rsidTr="00262B9C">
        <w:trPr>
          <w:trHeight w:val="246"/>
          <w:jc w:val="center"/>
        </w:trPr>
        <w:tc>
          <w:tcPr>
            <w:tcW w:w="4941" w:type="dxa"/>
            <w:tcBorders>
              <w:left w:val="nil"/>
              <w:bottom w:val="single" w:sz="4" w:space="0" w:color="auto"/>
              <w:right w:val="nil"/>
            </w:tcBorders>
            <w:shd w:val="clear" w:color="auto" w:fill="auto"/>
            <w:noWrap/>
            <w:vAlign w:val="bottom"/>
          </w:tcPr>
          <w:p w14:paraId="2EB49614" w14:textId="77777777" w:rsidR="00723E11" w:rsidRDefault="00723E11" w:rsidP="00262B9C">
            <w:pPr>
              <w:widowControl/>
              <w:autoSpaceDE/>
              <w:autoSpaceDN/>
              <w:adjustRightInd/>
              <w:jc w:val="left"/>
              <w:rPr>
                <w:rFonts w:ascii="Arial" w:hAnsi="Arial" w:cs="Arial"/>
                <w:color w:val="000000"/>
                <w:sz w:val="20"/>
                <w:szCs w:val="20"/>
                <w:lang w:eastAsia="en-CA"/>
              </w:rPr>
            </w:pPr>
            <w:r>
              <w:rPr>
                <w:rFonts w:ascii="Arial" w:hAnsi="Arial" w:cs="Arial"/>
                <w:color w:val="000000"/>
                <w:sz w:val="20"/>
                <w:szCs w:val="20"/>
                <w:lang w:eastAsia="en-CA"/>
              </w:rPr>
              <w:t>Deferred income tax liability</w:t>
            </w:r>
          </w:p>
        </w:tc>
        <w:tc>
          <w:tcPr>
            <w:tcW w:w="1568" w:type="dxa"/>
            <w:tcBorders>
              <w:left w:val="nil"/>
              <w:bottom w:val="single" w:sz="4" w:space="0" w:color="auto"/>
              <w:right w:val="nil"/>
            </w:tcBorders>
            <w:shd w:val="clear" w:color="auto" w:fill="auto"/>
            <w:noWrap/>
            <w:vAlign w:val="bottom"/>
          </w:tcPr>
          <w:p w14:paraId="60EE566E"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720" w:type="dxa"/>
            <w:tcBorders>
              <w:left w:val="nil"/>
              <w:bottom w:val="single" w:sz="4" w:space="0" w:color="auto"/>
              <w:right w:val="nil"/>
            </w:tcBorders>
            <w:shd w:val="clear" w:color="auto" w:fill="auto"/>
            <w:noWrap/>
            <w:vAlign w:val="bottom"/>
          </w:tcPr>
          <w:p w14:paraId="327699A5" w14:textId="77777777" w:rsidR="00723E11" w:rsidRPr="00E9060D" w:rsidRDefault="00723E11" w:rsidP="00262B9C">
            <w:pPr>
              <w:widowControl/>
              <w:autoSpaceDE/>
              <w:autoSpaceDN/>
              <w:adjustRightInd/>
              <w:jc w:val="right"/>
              <w:rPr>
                <w:rFonts w:ascii="Arial" w:hAnsi="Arial" w:cs="Arial"/>
                <w:color w:val="000000"/>
                <w:sz w:val="20"/>
                <w:szCs w:val="20"/>
                <w:lang w:eastAsia="en-CA"/>
              </w:rPr>
            </w:pPr>
            <w:r>
              <w:rPr>
                <w:rFonts w:ascii="Arial" w:hAnsi="Arial" w:cs="Arial"/>
                <w:color w:val="000000"/>
                <w:sz w:val="20"/>
                <w:szCs w:val="20"/>
                <w:lang w:eastAsia="en-CA"/>
              </w:rPr>
              <w:t>(695,895)</w:t>
            </w:r>
          </w:p>
        </w:tc>
      </w:tr>
      <w:tr w:rsidR="00723E11" w:rsidRPr="00E9060D" w14:paraId="3B2BB87E" w14:textId="77777777" w:rsidTr="00262B9C">
        <w:trPr>
          <w:trHeight w:val="140"/>
          <w:jc w:val="center"/>
        </w:trPr>
        <w:tc>
          <w:tcPr>
            <w:tcW w:w="4941" w:type="dxa"/>
            <w:tcBorders>
              <w:top w:val="nil"/>
              <w:left w:val="nil"/>
              <w:bottom w:val="nil"/>
              <w:right w:val="nil"/>
            </w:tcBorders>
            <w:shd w:val="clear" w:color="auto" w:fill="auto"/>
            <w:noWrap/>
            <w:vAlign w:val="bottom"/>
            <w:hideMark/>
          </w:tcPr>
          <w:p w14:paraId="6074354D" w14:textId="77777777" w:rsidR="00723E11" w:rsidRPr="00E9060D" w:rsidRDefault="00723E11" w:rsidP="00262B9C">
            <w:pPr>
              <w:widowControl/>
              <w:autoSpaceDE/>
              <w:autoSpaceDN/>
              <w:adjustRightInd/>
              <w:jc w:val="left"/>
              <w:rPr>
                <w:rFonts w:ascii="Arial" w:hAnsi="Arial" w:cs="Arial"/>
                <w:color w:val="000000"/>
                <w:sz w:val="20"/>
                <w:szCs w:val="20"/>
                <w:lang w:eastAsia="en-CA"/>
              </w:rPr>
            </w:pPr>
          </w:p>
        </w:tc>
        <w:tc>
          <w:tcPr>
            <w:tcW w:w="1568" w:type="dxa"/>
            <w:tcBorders>
              <w:top w:val="nil"/>
              <w:left w:val="nil"/>
              <w:bottom w:val="nil"/>
              <w:right w:val="nil"/>
            </w:tcBorders>
            <w:shd w:val="clear" w:color="auto" w:fill="auto"/>
            <w:noWrap/>
            <w:vAlign w:val="bottom"/>
            <w:hideMark/>
          </w:tcPr>
          <w:p w14:paraId="652DB66B" w14:textId="77777777" w:rsidR="00723E11" w:rsidRPr="00E9060D" w:rsidRDefault="00723E11" w:rsidP="00262B9C">
            <w:pPr>
              <w:widowControl/>
              <w:autoSpaceDE/>
              <w:autoSpaceDN/>
              <w:adjustRightInd/>
              <w:jc w:val="left"/>
              <w:rPr>
                <w:sz w:val="20"/>
                <w:szCs w:val="20"/>
                <w:lang w:eastAsia="en-CA"/>
              </w:rPr>
            </w:pPr>
          </w:p>
        </w:tc>
        <w:tc>
          <w:tcPr>
            <w:tcW w:w="1720" w:type="dxa"/>
            <w:tcBorders>
              <w:top w:val="nil"/>
              <w:left w:val="nil"/>
              <w:bottom w:val="nil"/>
              <w:right w:val="nil"/>
            </w:tcBorders>
            <w:shd w:val="clear" w:color="auto" w:fill="auto"/>
            <w:noWrap/>
            <w:vAlign w:val="bottom"/>
            <w:hideMark/>
          </w:tcPr>
          <w:p w14:paraId="25BC12D8" w14:textId="77777777" w:rsidR="00723E11" w:rsidRPr="00E9060D" w:rsidRDefault="00723E11" w:rsidP="00262B9C">
            <w:pPr>
              <w:widowControl/>
              <w:autoSpaceDE/>
              <w:autoSpaceDN/>
              <w:adjustRightInd/>
              <w:jc w:val="right"/>
              <w:rPr>
                <w:sz w:val="20"/>
                <w:szCs w:val="20"/>
                <w:lang w:eastAsia="en-CA"/>
              </w:rPr>
            </w:pPr>
          </w:p>
        </w:tc>
      </w:tr>
      <w:tr w:rsidR="00723E11" w:rsidRPr="00E9060D" w14:paraId="7F4D84DA" w14:textId="77777777" w:rsidTr="00262B9C">
        <w:trPr>
          <w:trHeight w:val="246"/>
          <w:jc w:val="center"/>
        </w:trPr>
        <w:tc>
          <w:tcPr>
            <w:tcW w:w="4941" w:type="dxa"/>
            <w:tcBorders>
              <w:top w:val="nil"/>
              <w:left w:val="nil"/>
              <w:bottom w:val="single" w:sz="4" w:space="0" w:color="auto"/>
              <w:right w:val="nil"/>
            </w:tcBorders>
            <w:shd w:val="clear" w:color="auto" w:fill="auto"/>
            <w:noWrap/>
            <w:vAlign w:val="bottom"/>
            <w:hideMark/>
          </w:tcPr>
          <w:p w14:paraId="17519351"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Net assets acquired</w:t>
            </w:r>
          </w:p>
        </w:tc>
        <w:tc>
          <w:tcPr>
            <w:tcW w:w="1568" w:type="dxa"/>
            <w:tcBorders>
              <w:top w:val="nil"/>
              <w:left w:val="nil"/>
              <w:bottom w:val="single" w:sz="4" w:space="0" w:color="auto"/>
              <w:right w:val="nil"/>
            </w:tcBorders>
            <w:shd w:val="clear" w:color="auto" w:fill="auto"/>
            <w:noWrap/>
            <w:vAlign w:val="bottom"/>
            <w:hideMark/>
          </w:tcPr>
          <w:p w14:paraId="2F8D403A" w14:textId="77777777" w:rsidR="00723E11" w:rsidRPr="00E9060D" w:rsidRDefault="00723E11" w:rsidP="00262B9C">
            <w:pPr>
              <w:widowControl/>
              <w:autoSpaceDE/>
              <w:autoSpaceDN/>
              <w:adjustRightInd/>
              <w:jc w:val="left"/>
              <w:rPr>
                <w:rFonts w:ascii="Arial" w:hAnsi="Arial" w:cs="Arial"/>
                <w:b/>
                <w:bCs/>
                <w:color w:val="000000"/>
                <w:sz w:val="20"/>
                <w:szCs w:val="20"/>
                <w:lang w:eastAsia="en-CA"/>
              </w:rPr>
            </w:pPr>
            <w:r w:rsidRPr="00E9060D">
              <w:rPr>
                <w:rFonts w:ascii="Arial" w:hAnsi="Arial" w:cs="Arial"/>
                <w:b/>
                <w:bCs/>
                <w:color w:val="000000"/>
                <w:sz w:val="20"/>
                <w:szCs w:val="20"/>
                <w:lang w:eastAsia="en-CA"/>
              </w:rPr>
              <w:t>$</w:t>
            </w:r>
          </w:p>
        </w:tc>
        <w:tc>
          <w:tcPr>
            <w:tcW w:w="1720" w:type="dxa"/>
            <w:tcBorders>
              <w:top w:val="nil"/>
              <w:left w:val="nil"/>
              <w:bottom w:val="single" w:sz="4" w:space="0" w:color="auto"/>
              <w:right w:val="nil"/>
            </w:tcBorders>
            <w:shd w:val="clear" w:color="auto" w:fill="auto"/>
            <w:noWrap/>
            <w:vAlign w:val="bottom"/>
            <w:hideMark/>
          </w:tcPr>
          <w:p w14:paraId="58E5B494" w14:textId="77777777" w:rsidR="00723E11" w:rsidRPr="00E9060D" w:rsidRDefault="00723E11" w:rsidP="00262B9C">
            <w:pPr>
              <w:widowControl/>
              <w:autoSpaceDE/>
              <w:autoSpaceDN/>
              <w:adjustRightInd/>
              <w:jc w:val="right"/>
              <w:rPr>
                <w:rFonts w:ascii="Arial" w:hAnsi="Arial" w:cs="Arial"/>
                <w:b/>
                <w:bCs/>
                <w:color w:val="000000"/>
                <w:sz w:val="20"/>
                <w:szCs w:val="20"/>
                <w:lang w:eastAsia="en-CA"/>
              </w:rPr>
            </w:pPr>
            <w:r>
              <w:rPr>
                <w:rFonts w:ascii="Arial" w:hAnsi="Arial" w:cs="Arial"/>
                <w:b/>
                <w:bCs/>
                <w:color w:val="000000"/>
                <w:sz w:val="20"/>
                <w:szCs w:val="20"/>
                <w:lang w:eastAsia="en-CA"/>
              </w:rPr>
              <w:t>2,906,979</w:t>
            </w:r>
          </w:p>
        </w:tc>
      </w:tr>
    </w:tbl>
    <w:p w14:paraId="5BEE9F65" w14:textId="77777777" w:rsidR="00723E11" w:rsidRDefault="00723E11" w:rsidP="00723E11">
      <w:pPr>
        <w:widowControl/>
        <w:autoSpaceDE/>
        <w:autoSpaceDN/>
        <w:adjustRightInd/>
        <w:rPr>
          <w:rFonts w:ascii="Arial" w:hAnsi="Arial" w:cs="Arial"/>
          <w:bCs/>
          <w:sz w:val="20"/>
          <w:szCs w:val="20"/>
        </w:rPr>
      </w:pPr>
    </w:p>
    <w:p w14:paraId="072EDC21" w14:textId="6C65DDCD" w:rsidR="00A4759A" w:rsidRDefault="00A4759A" w:rsidP="00A4759A">
      <w:pPr>
        <w:widowControl/>
        <w:autoSpaceDE/>
        <w:autoSpaceDN/>
        <w:adjustRightInd/>
        <w:rPr>
          <w:rFonts w:ascii="Arial" w:hAnsi="Arial" w:cs="Arial"/>
          <w:bCs/>
          <w:sz w:val="20"/>
          <w:szCs w:val="20"/>
        </w:rPr>
      </w:pPr>
      <w:r w:rsidRPr="008E44C7">
        <w:rPr>
          <w:rFonts w:ascii="Arial" w:hAnsi="Arial" w:cs="Arial"/>
          <w:bCs/>
          <w:sz w:val="20"/>
          <w:szCs w:val="20"/>
        </w:rPr>
        <w:t xml:space="preserve">The resulting goodwill represents the growth potential of </w:t>
      </w:r>
      <w:r w:rsidR="001C3093">
        <w:rPr>
          <w:rFonts w:ascii="Arial" w:hAnsi="Arial" w:cs="Arial"/>
          <w:bCs/>
          <w:sz w:val="20"/>
          <w:szCs w:val="20"/>
        </w:rPr>
        <w:t>KIC</w:t>
      </w:r>
      <w:r w:rsidRPr="008E44C7">
        <w:rPr>
          <w:rFonts w:ascii="Arial" w:hAnsi="Arial" w:cs="Arial"/>
          <w:bCs/>
          <w:sz w:val="20"/>
          <w:szCs w:val="20"/>
        </w:rPr>
        <w:t xml:space="preserve"> and will not be deductible for tax purposes.</w:t>
      </w:r>
    </w:p>
    <w:p w14:paraId="603E8F76" w14:textId="77777777" w:rsidR="00F90563" w:rsidRPr="008E44C7" w:rsidRDefault="00F90563" w:rsidP="00A4759A">
      <w:pPr>
        <w:widowControl/>
        <w:autoSpaceDE/>
        <w:autoSpaceDN/>
        <w:adjustRightInd/>
        <w:rPr>
          <w:rFonts w:ascii="Arial" w:hAnsi="Arial" w:cs="Arial"/>
          <w:bCs/>
          <w:sz w:val="20"/>
          <w:szCs w:val="20"/>
        </w:rPr>
      </w:pPr>
    </w:p>
    <w:p w14:paraId="7DD8C65D" w14:textId="2BBF9DC1" w:rsidR="00A11493" w:rsidRDefault="00A4759A" w:rsidP="00A4759A">
      <w:pPr>
        <w:pStyle w:val="ListParagraph"/>
        <w:widowControl/>
        <w:autoSpaceDE/>
        <w:autoSpaceDN/>
        <w:adjustRightInd/>
        <w:ind w:left="0"/>
        <w:rPr>
          <w:rFonts w:ascii="Arial" w:hAnsi="Arial" w:cs="Arial"/>
          <w:bCs/>
          <w:sz w:val="20"/>
          <w:szCs w:val="20"/>
        </w:rPr>
      </w:pPr>
      <w:r w:rsidRPr="008E44C7">
        <w:rPr>
          <w:rFonts w:ascii="Arial" w:hAnsi="Arial" w:cs="Arial"/>
          <w:bCs/>
          <w:sz w:val="20"/>
          <w:szCs w:val="20"/>
        </w:rPr>
        <w:t>The accounting for this business combination has not yet been finalized and the Company is reporting provisional amounts for the items for which the accounting is not complete. These provisional amounts may be adjusted during the measurement period, or additional assets or liabilities may be recognized, to reflect new information obtained about facts and circumstances that existed at the acquisition date that, if known, would have affected the amounts recognized at that date.</w:t>
      </w:r>
      <w:r w:rsidR="00B632A8">
        <w:rPr>
          <w:rFonts w:ascii="Arial" w:hAnsi="Arial" w:cs="Arial"/>
          <w:bCs/>
          <w:sz w:val="20"/>
          <w:szCs w:val="20"/>
        </w:rPr>
        <w:t xml:space="preserve"> </w:t>
      </w:r>
    </w:p>
    <w:p w14:paraId="003EE316" w14:textId="619E8A61" w:rsidR="00A11493" w:rsidRDefault="00A11493" w:rsidP="00DB383C">
      <w:pPr>
        <w:widowControl/>
        <w:autoSpaceDE/>
        <w:autoSpaceDN/>
        <w:adjustRightInd/>
        <w:rPr>
          <w:rFonts w:ascii="Arial" w:hAnsi="Arial" w:cs="Arial"/>
          <w:bCs/>
          <w:sz w:val="20"/>
          <w:szCs w:val="20"/>
        </w:rPr>
      </w:pPr>
    </w:p>
    <w:p w14:paraId="759DAE1B" w14:textId="77777777" w:rsidR="00DB383C" w:rsidRPr="00C31A39" w:rsidRDefault="00745F39" w:rsidP="00BE6F76">
      <w:pPr>
        <w:pStyle w:val="ListParagraph"/>
        <w:widowControl/>
        <w:numPr>
          <w:ilvl w:val="0"/>
          <w:numId w:val="6"/>
        </w:numPr>
        <w:autoSpaceDE/>
        <w:autoSpaceDN/>
        <w:adjustRightInd/>
        <w:ind w:left="567" w:hanging="567"/>
        <w:rPr>
          <w:rFonts w:ascii="Arial" w:hAnsi="Arial" w:cs="Arial"/>
          <w:b/>
          <w:sz w:val="20"/>
          <w:szCs w:val="20"/>
        </w:rPr>
      </w:pPr>
      <w:r w:rsidRPr="00C31A39">
        <w:rPr>
          <w:rFonts w:ascii="Arial" w:hAnsi="Arial" w:cs="Arial"/>
          <w:b/>
          <w:sz w:val="20"/>
          <w:szCs w:val="20"/>
        </w:rPr>
        <w:t>INTANGIBLE ASSETS</w:t>
      </w:r>
    </w:p>
    <w:p w14:paraId="3D2D4515" w14:textId="77777777" w:rsidR="00DB383C" w:rsidRDefault="00DB383C" w:rsidP="00A11493">
      <w:pPr>
        <w:pStyle w:val="ListParagraph"/>
        <w:widowControl/>
        <w:autoSpaceDE/>
        <w:autoSpaceDN/>
        <w:adjustRightInd/>
        <w:ind w:left="567" w:hanging="567"/>
        <w:rPr>
          <w:rFonts w:ascii="Arial" w:hAnsi="Arial" w:cs="Arial"/>
          <w:bCs/>
          <w:sz w:val="20"/>
          <w:szCs w:val="20"/>
        </w:rPr>
      </w:pPr>
    </w:p>
    <w:p w14:paraId="0CC01976" w14:textId="77777777" w:rsidR="00745F39" w:rsidRPr="00A11493" w:rsidRDefault="00745F39" w:rsidP="00745F39">
      <w:pPr>
        <w:widowControl/>
        <w:autoSpaceDE/>
        <w:autoSpaceDN/>
        <w:adjustRightInd/>
        <w:rPr>
          <w:rFonts w:ascii="Arial" w:hAnsi="Arial" w:cs="Arial"/>
          <w:bCs/>
          <w:i/>
          <w:iCs/>
          <w:sz w:val="20"/>
          <w:szCs w:val="20"/>
        </w:rPr>
      </w:pPr>
      <w:r>
        <w:rPr>
          <w:rFonts w:ascii="Arial" w:hAnsi="Arial" w:cs="Arial"/>
          <w:bCs/>
          <w:i/>
          <w:iCs/>
          <w:sz w:val="20"/>
          <w:szCs w:val="20"/>
        </w:rPr>
        <w:t>Homestead</w:t>
      </w:r>
    </w:p>
    <w:p w14:paraId="409D8DBF" w14:textId="77777777" w:rsidR="00745F39" w:rsidRDefault="00745F39" w:rsidP="00745F39">
      <w:pPr>
        <w:widowControl/>
        <w:autoSpaceDE/>
        <w:autoSpaceDN/>
        <w:adjustRightInd/>
        <w:rPr>
          <w:rFonts w:ascii="Arial" w:hAnsi="Arial" w:cs="Arial"/>
          <w:bCs/>
          <w:sz w:val="20"/>
          <w:szCs w:val="20"/>
        </w:rPr>
      </w:pPr>
    </w:p>
    <w:p w14:paraId="7753B5F8" w14:textId="77777777" w:rsidR="00745F39" w:rsidRPr="00A11493" w:rsidRDefault="00745F39" w:rsidP="00745F39">
      <w:pPr>
        <w:widowControl/>
        <w:autoSpaceDE/>
        <w:autoSpaceDN/>
        <w:adjustRightInd/>
        <w:rPr>
          <w:rFonts w:ascii="Arial" w:hAnsi="Arial" w:cs="Arial"/>
          <w:bCs/>
          <w:sz w:val="20"/>
          <w:szCs w:val="20"/>
        </w:rPr>
      </w:pPr>
      <w:r>
        <w:rPr>
          <w:rFonts w:ascii="Arial" w:hAnsi="Arial" w:cs="Arial"/>
          <w:bCs/>
          <w:sz w:val="20"/>
          <w:szCs w:val="20"/>
        </w:rPr>
        <w:t>The Company e</w:t>
      </w:r>
      <w:r w:rsidRPr="00A11493">
        <w:rPr>
          <w:rFonts w:ascii="Arial" w:hAnsi="Arial" w:cs="Arial"/>
          <w:bCs/>
          <w:sz w:val="20"/>
          <w:szCs w:val="20"/>
        </w:rPr>
        <w:t>xecuted a definitive asset purchase agreement (the "Agreement") to acquire the brand and intellectual property of Homestead ("Homestead"), a legacy counterculture distributor of psychedelic media and creator of one of the first self-contained mushroom grow kits (the "Transaction").</w:t>
      </w:r>
    </w:p>
    <w:p w14:paraId="6178E646" w14:textId="77777777" w:rsidR="00745F39" w:rsidRDefault="00745F39" w:rsidP="00745F39">
      <w:pPr>
        <w:pStyle w:val="ListParagraph"/>
        <w:widowControl/>
        <w:autoSpaceDE/>
        <w:autoSpaceDN/>
        <w:adjustRightInd/>
        <w:ind w:left="567"/>
        <w:rPr>
          <w:rFonts w:ascii="Arial" w:hAnsi="Arial" w:cs="Arial"/>
          <w:bCs/>
          <w:sz w:val="20"/>
          <w:szCs w:val="20"/>
        </w:rPr>
      </w:pPr>
    </w:p>
    <w:p w14:paraId="7626FCF1" w14:textId="2EA6F832" w:rsidR="00745F39" w:rsidRPr="00A11493" w:rsidRDefault="00745F39" w:rsidP="00745F39">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r w:rsidRPr="00A11493">
        <w:rPr>
          <w:rFonts w:ascii="Arial" w:hAnsi="Arial" w:cs="Arial"/>
          <w:bCs/>
          <w:sz w:val="20"/>
          <w:szCs w:val="20"/>
        </w:rPr>
        <w:t>In consideration for acquisition of the Homestead assets, the Company issued</w:t>
      </w:r>
      <w:r>
        <w:rPr>
          <w:rFonts w:ascii="Arial" w:hAnsi="Arial" w:cs="Arial"/>
          <w:bCs/>
          <w:sz w:val="20"/>
          <w:szCs w:val="20"/>
        </w:rPr>
        <w:t xml:space="preserve"> Subordinated voting</w:t>
      </w:r>
      <w:r w:rsidRPr="00A11493">
        <w:rPr>
          <w:rFonts w:ascii="Arial" w:hAnsi="Arial" w:cs="Arial"/>
          <w:bCs/>
          <w:sz w:val="20"/>
          <w:szCs w:val="20"/>
        </w:rPr>
        <w:t xml:space="preserve"> </w:t>
      </w:r>
      <w:r>
        <w:rPr>
          <w:rFonts w:ascii="Arial" w:hAnsi="Arial" w:cs="Arial"/>
          <w:bCs/>
          <w:sz w:val="20"/>
          <w:szCs w:val="20"/>
        </w:rPr>
        <w:t>common shares</w:t>
      </w:r>
      <w:r w:rsidRPr="00A11493">
        <w:rPr>
          <w:rFonts w:ascii="Arial" w:hAnsi="Arial" w:cs="Arial"/>
          <w:bCs/>
          <w:sz w:val="20"/>
          <w:szCs w:val="20"/>
        </w:rPr>
        <w:t xml:space="preserve"> having an aggregate value of $</w:t>
      </w:r>
      <w:r w:rsidR="00C31A39">
        <w:rPr>
          <w:rFonts w:ascii="Arial" w:hAnsi="Arial" w:cs="Arial"/>
          <w:bCs/>
          <w:sz w:val="20"/>
          <w:szCs w:val="20"/>
        </w:rPr>
        <w:t>4</w:t>
      </w:r>
      <w:r w:rsidR="005913BE">
        <w:rPr>
          <w:rFonts w:ascii="Arial" w:hAnsi="Arial" w:cs="Arial"/>
          <w:bCs/>
          <w:sz w:val="20"/>
          <w:szCs w:val="20"/>
        </w:rPr>
        <w:t>5,564</w:t>
      </w:r>
      <w:r w:rsidR="00C31A39">
        <w:rPr>
          <w:rFonts w:ascii="Arial" w:hAnsi="Arial" w:cs="Arial"/>
          <w:bCs/>
          <w:sz w:val="20"/>
          <w:szCs w:val="20"/>
        </w:rPr>
        <w:t>.</w:t>
      </w:r>
      <w:r>
        <w:rPr>
          <w:rFonts w:ascii="Arial" w:hAnsi="Arial" w:cs="Arial"/>
          <w:bCs/>
          <w:sz w:val="20"/>
          <w:szCs w:val="20"/>
        </w:rPr>
        <w:t xml:space="preserve">  The Company also granted 108,887</w:t>
      </w:r>
      <w:r w:rsidRPr="00A11493">
        <w:rPr>
          <w:rFonts w:ascii="Arial" w:hAnsi="Arial" w:cs="Arial"/>
          <w:bCs/>
          <w:sz w:val="20"/>
          <w:szCs w:val="20"/>
        </w:rPr>
        <w:t xml:space="preserve"> i</w:t>
      </w:r>
      <w:r w:rsidR="00BE6F76">
        <w:rPr>
          <w:rFonts w:ascii="Arial" w:hAnsi="Arial" w:cs="Arial"/>
          <w:bCs/>
          <w:sz w:val="20"/>
          <w:szCs w:val="20"/>
        </w:rPr>
        <w:t>n</w:t>
      </w:r>
      <w:r w:rsidRPr="00A11493">
        <w:rPr>
          <w:rFonts w:ascii="Arial" w:hAnsi="Arial" w:cs="Arial"/>
          <w:bCs/>
          <w:sz w:val="20"/>
          <w:szCs w:val="20"/>
        </w:rPr>
        <w:t>centive stock options to David Tatelman, the founder of Homestead, with an exercise price of $0.58, exercisable for a period of 3 years in accordance with the terms of the Company's Incentive Stock Option plan</w:t>
      </w:r>
      <w:r>
        <w:rPr>
          <w:rFonts w:ascii="Arial" w:hAnsi="Arial" w:cs="Arial"/>
          <w:bCs/>
          <w:sz w:val="20"/>
          <w:szCs w:val="20"/>
        </w:rPr>
        <w:t xml:space="preserve"> (Note </w:t>
      </w:r>
      <w:r w:rsidR="00BE6F76">
        <w:rPr>
          <w:rFonts w:ascii="Arial" w:hAnsi="Arial" w:cs="Arial"/>
          <w:bCs/>
          <w:sz w:val="20"/>
          <w:szCs w:val="20"/>
        </w:rPr>
        <w:t>7</w:t>
      </w:r>
      <w:r>
        <w:rPr>
          <w:rFonts w:ascii="Arial" w:hAnsi="Arial" w:cs="Arial"/>
          <w:bCs/>
          <w:sz w:val="20"/>
          <w:szCs w:val="20"/>
        </w:rPr>
        <w:t>)</w:t>
      </w:r>
      <w:r w:rsidRPr="00A11493">
        <w:rPr>
          <w:rFonts w:ascii="Arial" w:hAnsi="Arial" w:cs="Arial"/>
          <w:bCs/>
          <w:sz w:val="20"/>
          <w:szCs w:val="20"/>
        </w:rPr>
        <w:t>.</w:t>
      </w:r>
    </w:p>
    <w:p w14:paraId="50C2B0DF" w14:textId="177E355D" w:rsidR="00745F39" w:rsidRDefault="00745F39" w:rsidP="00A11493">
      <w:pPr>
        <w:pStyle w:val="ListParagraph"/>
        <w:widowControl/>
        <w:autoSpaceDE/>
        <w:autoSpaceDN/>
        <w:adjustRightInd/>
        <w:ind w:left="567" w:hanging="567"/>
        <w:rPr>
          <w:rFonts w:ascii="Arial" w:hAnsi="Arial" w:cs="Arial"/>
          <w:bCs/>
          <w:sz w:val="20"/>
          <w:szCs w:val="20"/>
        </w:rPr>
      </w:pPr>
    </w:p>
    <w:p w14:paraId="5FD1F39F" w14:textId="66F1F2DB" w:rsidR="00AF535C" w:rsidRDefault="00AF535C" w:rsidP="00A11493">
      <w:pPr>
        <w:pStyle w:val="ListParagraph"/>
        <w:widowControl/>
        <w:autoSpaceDE/>
        <w:autoSpaceDN/>
        <w:adjustRightInd/>
        <w:ind w:left="567" w:hanging="567"/>
        <w:rPr>
          <w:rFonts w:ascii="Arial" w:hAnsi="Arial" w:cs="Arial"/>
          <w:bCs/>
          <w:sz w:val="20"/>
          <w:szCs w:val="20"/>
        </w:rPr>
      </w:pPr>
    </w:p>
    <w:p w14:paraId="6AFEA43B" w14:textId="7A1E6B75" w:rsidR="00AF535C" w:rsidRDefault="00AF535C" w:rsidP="00A11493">
      <w:pPr>
        <w:pStyle w:val="ListParagraph"/>
        <w:widowControl/>
        <w:autoSpaceDE/>
        <w:autoSpaceDN/>
        <w:adjustRightInd/>
        <w:ind w:left="567" w:hanging="567"/>
        <w:rPr>
          <w:rFonts w:ascii="Arial" w:hAnsi="Arial" w:cs="Arial"/>
          <w:bCs/>
          <w:sz w:val="20"/>
          <w:szCs w:val="20"/>
        </w:rPr>
      </w:pPr>
    </w:p>
    <w:p w14:paraId="7C0D6322" w14:textId="32F40C8A" w:rsidR="00AF535C" w:rsidRDefault="00AF535C" w:rsidP="00A11493">
      <w:pPr>
        <w:pStyle w:val="ListParagraph"/>
        <w:widowControl/>
        <w:autoSpaceDE/>
        <w:autoSpaceDN/>
        <w:adjustRightInd/>
        <w:ind w:left="567" w:hanging="567"/>
        <w:rPr>
          <w:rFonts w:ascii="Arial" w:hAnsi="Arial" w:cs="Arial"/>
          <w:bCs/>
          <w:sz w:val="20"/>
          <w:szCs w:val="20"/>
        </w:rPr>
      </w:pPr>
    </w:p>
    <w:p w14:paraId="5791E0F9" w14:textId="44D9E59A" w:rsidR="00AF535C" w:rsidRDefault="00AF535C" w:rsidP="00A11493">
      <w:pPr>
        <w:pStyle w:val="ListParagraph"/>
        <w:widowControl/>
        <w:autoSpaceDE/>
        <w:autoSpaceDN/>
        <w:adjustRightInd/>
        <w:ind w:left="567" w:hanging="567"/>
        <w:rPr>
          <w:rFonts w:ascii="Arial" w:hAnsi="Arial" w:cs="Arial"/>
          <w:bCs/>
          <w:sz w:val="20"/>
          <w:szCs w:val="20"/>
        </w:rPr>
      </w:pPr>
    </w:p>
    <w:p w14:paraId="764A2167" w14:textId="1270F69B" w:rsidR="00AF535C" w:rsidRDefault="00AF535C" w:rsidP="00A11493">
      <w:pPr>
        <w:pStyle w:val="ListParagraph"/>
        <w:widowControl/>
        <w:autoSpaceDE/>
        <w:autoSpaceDN/>
        <w:adjustRightInd/>
        <w:ind w:left="567" w:hanging="567"/>
        <w:rPr>
          <w:rFonts w:ascii="Arial" w:hAnsi="Arial" w:cs="Arial"/>
          <w:bCs/>
          <w:sz w:val="20"/>
          <w:szCs w:val="20"/>
        </w:rPr>
      </w:pPr>
    </w:p>
    <w:p w14:paraId="12B15860" w14:textId="389819F7" w:rsidR="00EC79CF" w:rsidRDefault="00EC79CF" w:rsidP="00A11493">
      <w:pPr>
        <w:pStyle w:val="ListParagraph"/>
        <w:widowControl/>
        <w:autoSpaceDE/>
        <w:autoSpaceDN/>
        <w:adjustRightInd/>
        <w:ind w:left="567" w:hanging="567"/>
        <w:rPr>
          <w:rFonts w:ascii="Arial" w:hAnsi="Arial" w:cs="Arial"/>
          <w:bCs/>
          <w:sz w:val="20"/>
          <w:szCs w:val="20"/>
        </w:rPr>
      </w:pPr>
    </w:p>
    <w:p w14:paraId="3E28F052" w14:textId="77777777" w:rsidR="00EC79CF" w:rsidRDefault="00EC79CF" w:rsidP="00A11493">
      <w:pPr>
        <w:pStyle w:val="ListParagraph"/>
        <w:widowControl/>
        <w:autoSpaceDE/>
        <w:autoSpaceDN/>
        <w:adjustRightInd/>
        <w:ind w:left="567" w:hanging="567"/>
        <w:rPr>
          <w:rFonts w:ascii="Arial" w:hAnsi="Arial" w:cs="Arial"/>
          <w:bCs/>
          <w:sz w:val="20"/>
          <w:szCs w:val="20"/>
        </w:rPr>
      </w:pPr>
    </w:p>
    <w:p w14:paraId="2253A681" w14:textId="7430C974" w:rsidR="00C24597" w:rsidRPr="007D0CE2" w:rsidRDefault="00BE6F76" w:rsidP="00C31A39">
      <w:pPr>
        <w:widowControl/>
        <w:tabs>
          <w:tab w:val="left" w:pos="-1440"/>
          <w:tab w:val="left" w:pos="1440"/>
          <w:tab w:val="left" w:pos="2160"/>
          <w:tab w:val="left" w:pos="2520"/>
          <w:tab w:val="left" w:pos="2880"/>
          <w:tab w:val="left" w:pos="3600"/>
          <w:tab w:val="left" w:pos="4320"/>
          <w:tab w:val="left" w:pos="4896"/>
        </w:tabs>
        <w:ind w:left="567" w:hanging="567"/>
        <w:rPr>
          <w:rFonts w:ascii="Arial" w:hAnsi="Arial" w:cs="Arial"/>
          <w:b/>
          <w:sz w:val="20"/>
          <w:szCs w:val="20"/>
        </w:rPr>
      </w:pPr>
      <w:r>
        <w:rPr>
          <w:rFonts w:ascii="Arial" w:hAnsi="Arial" w:cs="Arial"/>
          <w:b/>
          <w:sz w:val="20"/>
          <w:szCs w:val="20"/>
        </w:rPr>
        <w:lastRenderedPageBreak/>
        <w:t>7</w:t>
      </w:r>
      <w:r w:rsidR="00C24597" w:rsidRPr="007D0CE2">
        <w:rPr>
          <w:rFonts w:ascii="Arial" w:hAnsi="Arial" w:cs="Arial"/>
          <w:b/>
          <w:sz w:val="20"/>
          <w:szCs w:val="20"/>
        </w:rPr>
        <w:t xml:space="preserve">.    </w:t>
      </w:r>
      <w:r w:rsidR="00AE3BF2">
        <w:rPr>
          <w:rFonts w:ascii="Arial" w:hAnsi="Arial" w:cs="Arial"/>
          <w:b/>
          <w:sz w:val="20"/>
          <w:szCs w:val="20"/>
        </w:rPr>
        <w:tab/>
      </w:r>
      <w:r w:rsidR="00105763">
        <w:rPr>
          <w:rFonts w:ascii="Arial" w:hAnsi="Arial" w:cs="Arial"/>
          <w:b/>
          <w:sz w:val="20"/>
          <w:szCs w:val="20"/>
        </w:rPr>
        <w:t>SHARE CAPITAL</w:t>
      </w:r>
    </w:p>
    <w:p w14:paraId="7E276A0B" w14:textId="77777777" w:rsidR="00C24597" w:rsidRPr="007D0CE2" w:rsidRDefault="00C24597" w:rsidP="00C24597">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p>
    <w:p w14:paraId="491C1744" w14:textId="77777777" w:rsidR="00C24597" w:rsidRPr="007D0CE2" w:rsidRDefault="00C24597" w:rsidP="00C24597">
      <w:pPr>
        <w:widowControl/>
        <w:tabs>
          <w:tab w:val="left" w:pos="-1440"/>
          <w:tab w:val="left" w:pos="709"/>
          <w:tab w:val="left" w:pos="1418"/>
          <w:tab w:val="left" w:pos="2520"/>
          <w:tab w:val="left" w:pos="2880"/>
          <w:tab w:val="left" w:pos="3600"/>
          <w:tab w:val="left" w:pos="4320"/>
          <w:tab w:val="left" w:pos="4896"/>
        </w:tabs>
        <w:rPr>
          <w:rFonts w:ascii="Arial" w:hAnsi="Arial" w:cs="Arial"/>
          <w:b/>
          <w:sz w:val="20"/>
          <w:szCs w:val="20"/>
        </w:rPr>
      </w:pPr>
      <w:r w:rsidRPr="007D0CE2">
        <w:rPr>
          <w:rFonts w:ascii="Arial" w:hAnsi="Arial" w:cs="Arial"/>
          <w:b/>
          <w:sz w:val="20"/>
          <w:szCs w:val="20"/>
        </w:rPr>
        <w:t>Authorized share capital</w:t>
      </w:r>
    </w:p>
    <w:p w14:paraId="55B55B80" w14:textId="77777777" w:rsidR="00C24597" w:rsidRPr="007D0CE2" w:rsidRDefault="00C24597" w:rsidP="00C24597">
      <w:pPr>
        <w:widowControl/>
        <w:tabs>
          <w:tab w:val="left" w:pos="-1440"/>
          <w:tab w:val="left" w:pos="1440"/>
          <w:tab w:val="left" w:pos="2160"/>
          <w:tab w:val="left" w:pos="2520"/>
          <w:tab w:val="left" w:pos="2880"/>
          <w:tab w:val="left" w:pos="3600"/>
          <w:tab w:val="left" w:pos="4320"/>
          <w:tab w:val="left" w:pos="4896"/>
        </w:tabs>
        <w:rPr>
          <w:rFonts w:ascii="Arial" w:hAnsi="Arial" w:cs="Arial"/>
          <w:b/>
          <w:sz w:val="20"/>
          <w:szCs w:val="20"/>
        </w:rPr>
      </w:pPr>
    </w:p>
    <w:p w14:paraId="29842880" w14:textId="6604F7F9" w:rsidR="00DC5927" w:rsidRDefault="00C24597" w:rsidP="00C24597">
      <w:pPr>
        <w:widowControl/>
        <w:tabs>
          <w:tab w:val="left" w:pos="-1440"/>
          <w:tab w:val="left" w:pos="567"/>
          <w:tab w:val="left" w:pos="1843"/>
          <w:tab w:val="left" w:pos="2520"/>
          <w:tab w:val="left" w:pos="2880"/>
          <w:tab w:val="left" w:pos="3600"/>
          <w:tab w:val="left" w:pos="4320"/>
          <w:tab w:val="left" w:pos="4896"/>
        </w:tabs>
        <w:rPr>
          <w:rFonts w:ascii="Arial" w:hAnsi="Arial" w:cs="Arial"/>
          <w:sz w:val="20"/>
          <w:szCs w:val="20"/>
        </w:rPr>
      </w:pPr>
      <w:r w:rsidRPr="007D0CE2">
        <w:rPr>
          <w:rFonts w:ascii="Arial" w:hAnsi="Arial" w:cs="Arial"/>
          <w:sz w:val="20"/>
          <w:szCs w:val="20"/>
        </w:rPr>
        <w:t xml:space="preserve">Unlimited number of </w:t>
      </w:r>
      <w:r w:rsidR="00376E73">
        <w:rPr>
          <w:rFonts w:ascii="Arial" w:hAnsi="Arial" w:cs="Arial"/>
          <w:sz w:val="20"/>
          <w:szCs w:val="20"/>
        </w:rPr>
        <w:t>s</w:t>
      </w:r>
      <w:r w:rsidR="00DC5927">
        <w:rPr>
          <w:rFonts w:ascii="Arial" w:hAnsi="Arial" w:cs="Arial"/>
          <w:sz w:val="20"/>
          <w:szCs w:val="20"/>
        </w:rPr>
        <w:t xml:space="preserve">ubordinated </w:t>
      </w:r>
      <w:r w:rsidR="00D64A5F">
        <w:rPr>
          <w:rFonts w:ascii="Arial" w:hAnsi="Arial" w:cs="Arial"/>
          <w:sz w:val="20"/>
          <w:szCs w:val="20"/>
        </w:rPr>
        <w:t>v</w:t>
      </w:r>
      <w:r w:rsidR="00DC5927">
        <w:rPr>
          <w:rFonts w:ascii="Arial" w:hAnsi="Arial" w:cs="Arial"/>
          <w:sz w:val="20"/>
          <w:szCs w:val="20"/>
        </w:rPr>
        <w:t>oting</w:t>
      </w:r>
      <w:r w:rsidR="00376E73">
        <w:rPr>
          <w:rFonts w:ascii="Arial" w:hAnsi="Arial" w:cs="Arial"/>
          <w:sz w:val="20"/>
          <w:szCs w:val="20"/>
        </w:rPr>
        <w:t xml:space="preserve"> common</w:t>
      </w:r>
      <w:r w:rsidR="00DC5927">
        <w:rPr>
          <w:rFonts w:ascii="Arial" w:hAnsi="Arial" w:cs="Arial"/>
          <w:sz w:val="20"/>
          <w:szCs w:val="20"/>
        </w:rPr>
        <w:t xml:space="preserve"> shares</w:t>
      </w:r>
      <w:r w:rsidR="0050726C">
        <w:rPr>
          <w:rFonts w:ascii="Arial" w:hAnsi="Arial" w:cs="Arial"/>
          <w:sz w:val="20"/>
          <w:szCs w:val="20"/>
        </w:rPr>
        <w:t xml:space="preserve"> without par value</w:t>
      </w:r>
      <w:r w:rsidR="00DC5927">
        <w:rPr>
          <w:rFonts w:ascii="Arial" w:hAnsi="Arial" w:cs="Arial"/>
          <w:sz w:val="20"/>
          <w:szCs w:val="20"/>
        </w:rPr>
        <w:t xml:space="preserve">.  </w:t>
      </w:r>
    </w:p>
    <w:p w14:paraId="4E1278A9" w14:textId="67A9FCD2" w:rsidR="00DC5927" w:rsidRPr="007D0CE2" w:rsidRDefault="00DC5927" w:rsidP="00C24597">
      <w:pPr>
        <w:widowControl/>
        <w:tabs>
          <w:tab w:val="left" w:pos="-1440"/>
          <w:tab w:val="left" w:pos="567"/>
          <w:tab w:val="left" w:pos="1843"/>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Unlimited number of </w:t>
      </w:r>
      <w:r w:rsidR="00376E73">
        <w:rPr>
          <w:rFonts w:ascii="Arial" w:hAnsi="Arial" w:cs="Arial"/>
          <w:sz w:val="20"/>
          <w:szCs w:val="20"/>
        </w:rPr>
        <w:t>m</w:t>
      </w:r>
      <w:r>
        <w:rPr>
          <w:rFonts w:ascii="Arial" w:hAnsi="Arial" w:cs="Arial"/>
          <w:sz w:val="20"/>
          <w:szCs w:val="20"/>
        </w:rPr>
        <w:t xml:space="preserve">ultiple </w:t>
      </w:r>
      <w:r w:rsidR="00D64A5F">
        <w:rPr>
          <w:rFonts w:ascii="Arial" w:hAnsi="Arial" w:cs="Arial"/>
          <w:sz w:val="20"/>
          <w:szCs w:val="20"/>
        </w:rPr>
        <w:t>v</w:t>
      </w:r>
      <w:r>
        <w:rPr>
          <w:rFonts w:ascii="Arial" w:hAnsi="Arial" w:cs="Arial"/>
          <w:sz w:val="20"/>
          <w:szCs w:val="20"/>
        </w:rPr>
        <w:t xml:space="preserve">oting </w:t>
      </w:r>
      <w:r w:rsidR="00376E73">
        <w:rPr>
          <w:rFonts w:ascii="Arial" w:hAnsi="Arial" w:cs="Arial"/>
          <w:sz w:val="20"/>
          <w:szCs w:val="20"/>
        </w:rPr>
        <w:t xml:space="preserve">common </w:t>
      </w:r>
      <w:r>
        <w:rPr>
          <w:rFonts w:ascii="Arial" w:hAnsi="Arial" w:cs="Arial"/>
          <w:sz w:val="20"/>
          <w:szCs w:val="20"/>
        </w:rPr>
        <w:t>shares</w:t>
      </w:r>
      <w:r w:rsidR="0050726C">
        <w:rPr>
          <w:rFonts w:ascii="Arial" w:hAnsi="Arial" w:cs="Arial"/>
          <w:sz w:val="20"/>
          <w:szCs w:val="20"/>
        </w:rPr>
        <w:t xml:space="preserve"> without par value</w:t>
      </w:r>
      <w:r>
        <w:rPr>
          <w:rFonts w:ascii="Arial" w:hAnsi="Arial" w:cs="Arial"/>
          <w:sz w:val="20"/>
          <w:szCs w:val="20"/>
        </w:rPr>
        <w:t xml:space="preserve">.  </w:t>
      </w:r>
    </w:p>
    <w:p w14:paraId="35ABD425" w14:textId="77777777" w:rsidR="0050726C" w:rsidRDefault="0050726C" w:rsidP="00C24597">
      <w:pPr>
        <w:widowControl/>
        <w:tabs>
          <w:tab w:val="left" w:pos="-1440"/>
          <w:tab w:val="left" w:pos="1418"/>
          <w:tab w:val="left" w:pos="2520"/>
          <w:tab w:val="left" w:pos="2880"/>
          <w:tab w:val="left" w:pos="3600"/>
          <w:tab w:val="left" w:pos="4320"/>
          <w:tab w:val="left" w:pos="4896"/>
        </w:tabs>
        <w:rPr>
          <w:rFonts w:ascii="Arial" w:hAnsi="Arial" w:cs="Arial"/>
          <w:i/>
          <w:iCs/>
          <w:sz w:val="20"/>
          <w:szCs w:val="20"/>
        </w:rPr>
      </w:pPr>
    </w:p>
    <w:p w14:paraId="1BF666BC" w14:textId="28A7ABE1" w:rsidR="00C251ED" w:rsidRDefault="00C251ED" w:rsidP="00C24597">
      <w:pPr>
        <w:widowControl/>
        <w:tabs>
          <w:tab w:val="left" w:pos="-1440"/>
          <w:tab w:val="left" w:pos="1418"/>
          <w:tab w:val="left" w:pos="2520"/>
          <w:tab w:val="left" w:pos="2880"/>
          <w:tab w:val="left" w:pos="3600"/>
          <w:tab w:val="left" w:pos="4320"/>
          <w:tab w:val="left" w:pos="4896"/>
        </w:tabs>
        <w:rPr>
          <w:rFonts w:ascii="Arial" w:hAnsi="Arial" w:cs="Arial"/>
          <w:i/>
          <w:iCs/>
          <w:sz w:val="20"/>
          <w:szCs w:val="20"/>
        </w:rPr>
      </w:pPr>
      <w:r>
        <w:rPr>
          <w:rFonts w:ascii="Arial" w:hAnsi="Arial" w:cs="Arial"/>
          <w:i/>
          <w:iCs/>
          <w:sz w:val="20"/>
          <w:szCs w:val="20"/>
        </w:rPr>
        <w:t xml:space="preserve">For the </w:t>
      </w:r>
      <w:r w:rsidR="00683034">
        <w:rPr>
          <w:rFonts w:ascii="Arial" w:hAnsi="Arial" w:cs="Arial"/>
          <w:i/>
          <w:iCs/>
          <w:sz w:val="20"/>
          <w:szCs w:val="20"/>
        </w:rPr>
        <w:t>six</w:t>
      </w:r>
      <w:r>
        <w:rPr>
          <w:rFonts w:ascii="Arial" w:hAnsi="Arial" w:cs="Arial"/>
          <w:i/>
          <w:iCs/>
          <w:sz w:val="20"/>
          <w:szCs w:val="20"/>
        </w:rPr>
        <w:t xml:space="preserve"> months ended </w:t>
      </w:r>
      <w:r w:rsidR="00683034">
        <w:rPr>
          <w:rFonts w:ascii="Arial" w:hAnsi="Arial" w:cs="Arial"/>
          <w:i/>
          <w:iCs/>
          <w:sz w:val="20"/>
          <w:szCs w:val="20"/>
        </w:rPr>
        <w:t>June 30</w:t>
      </w:r>
      <w:r>
        <w:rPr>
          <w:rFonts w:ascii="Arial" w:hAnsi="Arial" w:cs="Arial"/>
          <w:i/>
          <w:iCs/>
          <w:sz w:val="20"/>
          <w:szCs w:val="20"/>
        </w:rPr>
        <w:t>, 2021</w:t>
      </w:r>
    </w:p>
    <w:p w14:paraId="56D00539" w14:textId="77777777" w:rsidR="00C251ED" w:rsidRDefault="00C251ED" w:rsidP="00C24597">
      <w:pPr>
        <w:widowControl/>
        <w:tabs>
          <w:tab w:val="left" w:pos="-1440"/>
          <w:tab w:val="left" w:pos="1418"/>
          <w:tab w:val="left" w:pos="2520"/>
          <w:tab w:val="left" w:pos="2880"/>
          <w:tab w:val="left" w:pos="3600"/>
          <w:tab w:val="left" w:pos="4320"/>
          <w:tab w:val="left" w:pos="4896"/>
        </w:tabs>
        <w:rPr>
          <w:rFonts w:ascii="Arial" w:hAnsi="Arial" w:cs="Arial"/>
          <w:i/>
          <w:iCs/>
          <w:sz w:val="20"/>
          <w:szCs w:val="20"/>
        </w:rPr>
      </w:pPr>
    </w:p>
    <w:p w14:paraId="05654E20" w14:textId="03947B53" w:rsidR="00C251ED" w:rsidRDefault="00C251ED"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On January 6, 2021, the Company issued 50,000 </w:t>
      </w:r>
      <w:r w:rsidR="00C909D5">
        <w:rPr>
          <w:rFonts w:ascii="Arial" w:hAnsi="Arial" w:cs="Arial"/>
          <w:sz w:val="20"/>
          <w:szCs w:val="20"/>
        </w:rPr>
        <w:t>SVS</w:t>
      </w:r>
      <w:r>
        <w:rPr>
          <w:rFonts w:ascii="Arial" w:hAnsi="Arial" w:cs="Arial"/>
          <w:sz w:val="20"/>
          <w:szCs w:val="20"/>
        </w:rPr>
        <w:t xml:space="preserve"> upon the exercise of 50,000 stock options for gross proceeds of $3,</w:t>
      </w:r>
      <w:r w:rsidR="00745376">
        <w:rPr>
          <w:rFonts w:ascii="Arial" w:hAnsi="Arial" w:cs="Arial"/>
          <w:sz w:val="20"/>
          <w:szCs w:val="20"/>
        </w:rPr>
        <w:t>279</w:t>
      </w:r>
      <w:r>
        <w:rPr>
          <w:rFonts w:ascii="Arial" w:hAnsi="Arial" w:cs="Arial"/>
          <w:sz w:val="20"/>
          <w:szCs w:val="20"/>
        </w:rPr>
        <w:t>.  Reserves of $2,4</w:t>
      </w:r>
      <w:r w:rsidR="00745376">
        <w:rPr>
          <w:rFonts w:ascii="Arial" w:hAnsi="Arial" w:cs="Arial"/>
          <w:sz w:val="20"/>
          <w:szCs w:val="20"/>
        </w:rPr>
        <w:t>55</w:t>
      </w:r>
      <w:r>
        <w:rPr>
          <w:rFonts w:ascii="Arial" w:hAnsi="Arial" w:cs="Arial"/>
          <w:sz w:val="20"/>
          <w:szCs w:val="20"/>
        </w:rPr>
        <w:t xml:space="preserve"> was reclassified.</w:t>
      </w:r>
    </w:p>
    <w:p w14:paraId="1A72E31D" w14:textId="77777777" w:rsidR="00C251ED" w:rsidRDefault="00C251ED"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447F9FEF" w14:textId="27AA9F62" w:rsidR="00247A18" w:rsidRDefault="00C251ED"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On February 2, 2021, the Company issued 150,000 </w:t>
      </w:r>
      <w:r w:rsidR="00C909D5">
        <w:rPr>
          <w:rFonts w:ascii="Arial" w:hAnsi="Arial" w:cs="Arial"/>
          <w:sz w:val="20"/>
          <w:szCs w:val="20"/>
        </w:rPr>
        <w:t>SVS</w:t>
      </w:r>
      <w:r>
        <w:rPr>
          <w:rFonts w:ascii="Arial" w:hAnsi="Arial" w:cs="Arial"/>
          <w:sz w:val="20"/>
          <w:szCs w:val="20"/>
        </w:rPr>
        <w:t xml:space="preserve"> </w:t>
      </w:r>
      <w:r w:rsidR="00C909D5">
        <w:rPr>
          <w:rFonts w:ascii="Arial" w:hAnsi="Arial" w:cs="Arial"/>
          <w:sz w:val="20"/>
          <w:szCs w:val="20"/>
        </w:rPr>
        <w:t xml:space="preserve">in exchange </w:t>
      </w:r>
      <w:r>
        <w:rPr>
          <w:rFonts w:ascii="Arial" w:hAnsi="Arial" w:cs="Arial"/>
          <w:sz w:val="20"/>
          <w:szCs w:val="20"/>
        </w:rPr>
        <w:t>for services</w:t>
      </w:r>
      <w:r w:rsidR="00C909D5">
        <w:rPr>
          <w:rFonts w:ascii="Arial" w:hAnsi="Arial" w:cs="Arial"/>
          <w:sz w:val="20"/>
          <w:szCs w:val="20"/>
        </w:rPr>
        <w:t xml:space="preserve"> rendered to the Company</w:t>
      </w:r>
      <w:r>
        <w:rPr>
          <w:rFonts w:ascii="Arial" w:hAnsi="Arial" w:cs="Arial"/>
          <w:sz w:val="20"/>
          <w:szCs w:val="20"/>
        </w:rPr>
        <w:t xml:space="preserve"> at a fair value of $71,</w:t>
      </w:r>
      <w:r w:rsidR="00745376">
        <w:rPr>
          <w:rFonts w:ascii="Arial" w:hAnsi="Arial" w:cs="Arial"/>
          <w:sz w:val="20"/>
          <w:szCs w:val="20"/>
        </w:rPr>
        <w:t>058</w:t>
      </w:r>
      <w:r>
        <w:rPr>
          <w:rFonts w:ascii="Arial" w:hAnsi="Arial" w:cs="Arial"/>
          <w:sz w:val="20"/>
          <w:szCs w:val="20"/>
        </w:rPr>
        <w:t>.</w:t>
      </w:r>
      <w:r w:rsidR="00745376">
        <w:rPr>
          <w:rFonts w:ascii="Arial" w:hAnsi="Arial" w:cs="Arial"/>
          <w:sz w:val="20"/>
          <w:szCs w:val="20"/>
        </w:rPr>
        <w:t xml:space="preserve">  The Company recorded the </w:t>
      </w:r>
      <w:r w:rsidR="00966F00">
        <w:rPr>
          <w:rFonts w:ascii="Arial" w:hAnsi="Arial" w:cs="Arial"/>
          <w:sz w:val="20"/>
          <w:szCs w:val="20"/>
        </w:rPr>
        <w:t>fair value</w:t>
      </w:r>
      <w:r w:rsidR="00745376">
        <w:rPr>
          <w:rFonts w:ascii="Arial" w:hAnsi="Arial" w:cs="Arial"/>
          <w:sz w:val="20"/>
          <w:szCs w:val="20"/>
        </w:rPr>
        <w:t xml:space="preserve"> as share-based payments.  </w:t>
      </w:r>
    </w:p>
    <w:p w14:paraId="6F2769D7" w14:textId="77777777" w:rsidR="00247A18" w:rsidRDefault="00247A18"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56144B06" w14:textId="1EAAF0FD" w:rsidR="00C251ED" w:rsidRDefault="00247A18"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On March 11, 2021, the Company issued 108,887 </w:t>
      </w:r>
      <w:r w:rsidR="00C909D5">
        <w:rPr>
          <w:rFonts w:ascii="Arial" w:hAnsi="Arial" w:cs="Arial"/>
          <w:sz w:val="20"/>
          <w:szCs w:val="20"/>
        </w:rPr>
        <w:t>SVS</w:t>
      </w:r>
      <w:r>
        <w:rPr>
          <w:rFonts w:ascii="Arial" w:hAnsi="Arial" w:cs="Arial"/>
          <w:sz w:val="20"/>
          <w:szCs w:val="20"/>
        </w:rPr>
        <w:t xml:space="preserve"> </w:t>
      </w:r>
      <w:r w:rsidR="00775605">
        <w:rPr>
          <w:rFonts w:ascii="Arial" w:hAnsi="Arial" w:cs="Arial"/>
          <w:sz w:val="20"/>
          <w:szCs w:val="20"/>
        </w:rPr>
        <w:t>as part of the acquisition of the Homestead assets</w:t>
      </w:r>
      <w:r w:rsidR="00B77026">
        <w:rPr>
          <w:rFonts w:ascii="Arial" w:hAnsi="Arial" w:cs="Arial"/>
          <w:sz w:val="20"/>
          <w:szCs w:val="20"/>
        </w:rPr>
        <w:t xml:space="preserve"> (Note </w:t>
      </w:r>
      <w:r w:rsidR="00EC2456">
        <w:rPr>
          <w:rFonts w:ascii="Arial" w:hAnsi="Arial" w:cs="Arial"/>
          <w:sz w:val="20"/>
          <w:szCs w:val="20"/>
        </w:rPr>
        <w:t>6</w:t>
      </w:r>
      <w:r w:rsidR="00B77026">
        <w:rPr>
          <w:rFonts w:ascii="Arial" w:hAnsi="Arial" w:cs="Arial"/>
          <w:sz w:val="20"/>
          <w:szCs w:val="20"/>
        </w:rPr>
        <w:t>) at a fair value of $45,</w:t>
      </w:r>
      <w:r w:rsidR="00966F00">
        <w:rPr>
          <w:rFonts w:ascii="Arial" w:hAnsi="Arial" w:cs="Arial"/>
          <w:sz w:val="20"/>
          <w:szCs w:val="20"/>
        </w:rPr>
        <w:t>564</w:t>
      </w:r>
      <w:r w:rsidR="00775605">
        <w:rPr>
          <w:rFonts w:ascii="Arial" w:hAnsi="Arial" w:cs="Arial"/>
          <w:sz w:val="20"/>
          <w:szCs w:val="20"/>
        </w:rPr>
        <w:t>.</w:t>
      </w:r>
      <w:r w:rsidR="00B77026">
        <w:rPr>
          <w:rFonts w:ascii="Arial" w:hAnsi="Arial" w:cs="Arial"/>
          <w:sz w:val="20"/>
          <w:szCs w:val="20"/>
        </w:rPr>
        <w:t xml:space="preserve"> </w:t>
      </w:r>
      <w:r w:rsidR="00775605">
        <w:rPr>
          <w:rFonts w:ascii="Arial" w:hAnsi="Arial" w:cs="Arial"/>
          <w:sz w:val="20"/>
          <w:szCs w:val="20"/>
        </w:rPr>
        <w:t xml:space="preserve"> </w:t>
      </w:r>
      <w:r w:rsidR="00C251ED">
        <w:rPr>
          <w:rFonts w:ascii="Arial" w:hAnsi="Arial" w:cs="Arial"/>
          <w:sz w:val="20"/>
          <w:szCs w:val="20"/>
        </w:rPr>
        <w:t xml:space="preserve">  </w:t>
      </w:r>
    </w:p>
    <w:p w14:paraId="79BF8500" w14:textId="435E38DA" w:rsidR="00EC2456" w:rsidRDefault="00EC2456"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10B7D3BF" w14:textId="4754A5AB" w:rsidR="00EC2456" w:rsidRDefault="00EC2456"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 xml:space="preserve">On May 26, 2021, the Company issued 10,000,000 SVS as part of the acquisition of </w:t>
      </w:r>
      <w:r w:rsidR="0006149B">
        <w:rPr>
          <w:rFonts w:ascii="Arial" w:hAnsi="Arial" w:cs="Arial"/>
          <w:sz w:val="20"/>
          <w:szCs w:val="20"/>
        </w:rPr>
        <w:t>Delic Labs</w:t>
      </w:r>
      <w:r>
        <w:rPr>
          <w:rFonts w:ascii="Arial" w:hAnsi="Arial" w:cs="Arial"/>
          <w:sz w:val="20"/>
          <w:szCs w:val="20"/>
        </w:rPr>
        <w:t xml:space="preserve"> (Note 4)</w:t>
      </w:r>
      <w:r w:rsidR="009218FA">
        <w:rPr>
          <w:rFonts w:ascii="Arial" w:hAnsi="Arial" w:cs="Arial"/>
          <w:sz w:val="20"/>
          <w:szCs w:val="20"/>
        </w:rPr>
        <w:t xml:space="preserve"> at a fair value of </w:t>
      </w:r>
      <w:r w:rsidR="0006149B">
        <w:rPr>
          <w:rFonts w:ascii="Arial" w:hAnsi="Arial" w:cs="Arial"/>
          <w:sz w:val="20"/>
          <w:szCs w:val="20"/>
        </w:rPr>
        <w:t>$2,368,608</w:t>
      </w:r>
      <w:r w:rsidR="009218FA">
        <w:rPr>
          <w:rFonts w:ascii="Arial" w:hAnsi="Arial" w:cs="Arial"/>
          <w:sz w:val="20"/>
          <w:szCs w:val="20"/>
        </w:rPr>
        <w:t>.</w:t>
      </w:r>
    </w:p>
    <w:p w14:paraId="4DCDB71F" w14:textId="67F6EC50" w:rsidR="009218FA" w:rsidRDefault="009218FA"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06D4A0EB" w14:textId="156468CA" w:rsidR="009218FA" w:rsidRDefault="00AA3696"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On May 26, 2021, the Com</w:t>
      </w:r>
      <w:r w:rsidR="004A7FD4">
        <w:rPr>
          <w:rFonts w:ascii="Arial" w:hAnsi="Arial" w:cs="Arial"/>
          <w:sz w:val="20"/>
          <w:szCs w:val="20"/>
        </w:rPr>
        <w:t xml:space="preserve">pany </w:t>
      </w:r>
      <w:r w:rsidR="004A7FD4" w:rsidRPr="004A7FD4">
        <w:rPr>
          <w:rFonts w:ascii="Arial" w:hAnsi="Arial" w:cs="Arial"/>
          <w:sz w:val="20"/>
          <w:szCs w:val="20"/>
        </w:rPr>
        <w:t xml:space="preserve">completed a non-brokered private placement (the "Offering") of 11,441,189 subscription receipts (the "Subscription Receipts") at a price of $0.30 per Subscription Receipt for gross proceeds of </w:t>
      </w:r>
      <w:r w:rsidR="004A7FD4">
        <w:rPr>
          <w:rFonts w:ascii="Arial" w:hAnsi="Arial" w:cs="Arial"/>
          <w:sz w:val="20"/>
          <w:szCs w:val="20"/>
        </w:rPr>
        <w:t>CAD</w:t>
      </w:r>
      <w:r w:rsidR="004A7FD4" w:rsidRPr="004A7FD4">
        <w:rPr>
          <w:rFonts w:ascii="Arial" w:hAnsi="Arial" w:cs="Arial"/>
          <w:sz w:val="20"/>
          <w:szCs w:val="20"/>
        </w:rPr>
        <w:t xml:space="preserve">$3,432,356. </w:t>
      </w:r>
      <w:r w:rsidR="004A7FD4">
        <w:rPr>
          <w:rFonts w:ascii="Arial" w:hAnsi="Arial" w:cs="Arial"/>
          <w:sz w:val="20"/>
          <w:szCs w:val="20"/>
        </w:rPr>
        <w:t>Upon completion of the Offering, each Subscription Receipt</w:t>
      </w:r>
      <w:r w:rsidR="004A7FD4" w:rsidRPr="004A7FD4">
        <w:rPr>
          <w:rFonts w:ascii="Arial" w:hAnsi="Arial" w:cs="Arial"/>
          <w:sz w:val="20"/>
          <w:szCs w:val="20"/>
        </w:rPr>
        <w:t xml:space="preserve"> w</w:t>
      </w:r>
      <w:r w:rsidR="004A7FD4">
        <w:rPr>
          <w:rFonts w:ascii="Arial" w:hAnsi="Arial" w:cs="Arial"/>
          <w:sz w:val="20"/>
          <w:szCs w:val="20"/>
        </w:rPr>
        <w:t>as</w:t>
      </w:r>
      <w:r w:rsidR="004A7FD4" w:rsidRPr="004A7FD4">
        <w:rPr>
          <w:rFonts w:ascii="Arial" w:hAnsi="Arial" w:cs="Arial"/>
          <w:sz w:val="20"/>
          <w:szCs w:val="20"/>
        </w:rPr>
        <w:t xml:space="preserve"> converted into one </w:t>
      </w:r>
      <w:r w:rsidR="004A7FD4">
        <w:rPr>
          <w:rFonts w:ascii="Arial" w:hAnsi="Arial" w:cs="Arial"/>
          <w:sz w:val="20"/>
          <w:szCs w:val="20"/>
        </w:rPr>
        <w:t>SVS</w:t>
      </w:r>
      <w:r w:rsidR="004A7FD4" w:rsidRPr="004A7FD4">
        <w:rPr>
          <w:rFonts w:ascii="Arial" w:hAnsi="Arial" w:cs="Arial"/>
          <w:sz w:val="20"/>
          <w:szCs w:val="20"/>
        </w:rPr>
        <w:t xml:space="preserve"> and one common share purchase warrant (each, a "Warrant")</w:t>
      </w:r>
      <w:r w:rsidR="004A7FD4">
        <w:rPr>
          <w:rFonts w:ascii="Arial" w:hAnsi="Arial" w:cs="Arial"/>
          <w:sz w:val="20"/>
          <w:szCs w:val="20"/>
        </w:rPr>
        <w:t xml:space="preserve">.  Each Warrant is exercisable at CAD$0.30 for a period of 24 months from the date of issuance. The Company </w:t>
      </w:r>
      <w:r w:rsidR="004A7FD4" w:rsidRPr="004A7FD4">
        <w:rPr>
          <w:rFonts w:ascii="Arial" w:hAnsi="Arial" w:cs="Arial"/>
          <w:sz w:val="20"/>
          <w:szCs w:val="20"/>
        </w:rPr>
        <w:t xml:space="preserve">paid aggregate finders' fees of </w:t>
      </w:r>
      <w:r w:rsidR="004A7FD4">
        <w:rPr>
          <w:rFonts w:ascii="Arial" w:hAnsi="Arial" w:cs="Arial"/>
          <w:sz w:val="20"/>
          <w:szCs w:val="20"/>
        </w:rPr>
        <w:t>CAD</w:t>
      </w:r>
      <w:r w:rsidR="004A7FD4" w:rsidRPr="004A7FD4">
        <w:rPr>
          <w:rFonts w:ascii="Arial" w:hAnsi="Arial" w:cs="Arial"/>
          <w:sz w:val="20"/>
          <w:szCs w:val="20"/>
        </w:rPr>
        <w:t>$</w:t>
      </w:r>
      <w:r w:rsidR="004A7FD4">
        <w:rPr>
          <w:rFonts w:ascii="Arial" w:hAnsi="Arial" w:cs="Arial"/>
          <w:sz w:val="20"/>
          <w:szCs w:val="20"/>
        </w:rPr>
        <w:t>15</w:t>
      </w:r>
      <w:r w:rsidR="004A7FD4" w:rsidRPr="004A7FD4">
        <w:rPr>
          <w:rFonts w:ascii="Arial" w:hAnsi="Arial" w:cs="Arial"/>
          <w:sz w:val="20"/>
          <w:szCs w:val="20"/>
        </w:rPr>
        <w:t>2,08</w:t>
      </w:r>
      <w:r w:rsidR="004A7FD4">
        <w:rPr>
          <w:rFonts w:ascii="Arial" w:hAnsi="Arial" w:cs="Arial"/>
          <w:sz w:val="20"/>
          <w:szCs w:val="20"/>
        </w:rPr>
        <w:t>6</w:t>
      </w:r>
      <w:r w:rsidR="004A7FD4" w:rsidRPr="004A7FD4">
        <w:rPr>
          <w:rFonts w:ascii="Arial" w:hAnsi="Arial" w:cs="Arial"/>
          <w:sz w:val="20"/>
          <w:szCs w:val="20"/>
        </w:rPr>
        <w:t xml:space="preserve"> </w:t>
      </w:r>
      <w:r w:rsidR="004A7FD4">
        <w:rPr>
          <w:rFonts w:ascii="Arial" w:hAnsi="Arial" w:cs="Arial"/>
          <w:sz w:val="20"/>
          <w:szCs w:val="20"/>
        </w:rPr>
        <w:t xml:space="preserve">in </w:t>
      </w:r>
      <w:r w:rsidR="004A7FD4" w:rsidRPr="004A7FD4">
        <w:rPr>
          <w:rFonts w:ascii="Arial" w:hAnsi="Arial" w:cs="Arial"/>
          <w:sz w:val="20"/>
          <w:szCs w:val="20"/>
        </w:rPr>
        <w:t xml:space="preserve">cash and issued finders an aggregate of </w:t>
      </w:r>
      <w:r w:rsidR="004A7FD4">
        <w:rPr>
          <w:rFonts w:ascii="Arial" w:hAnsi="Arial" w:cs="Arial"/>
          <w:sz w:val="20"/>
          <w:szCs w:val="20"/>
        </w:rPr>
        <w:t>5</w:t>
      </w:r>
      <w:r w:rsidR="004A7FD4" w:rsidRPr="004A7FD4">
        <w:rPr>
          <w:rFonts w:ascii="Arial" w:hAnsi="Arial" w:cs="Arial"/>
          <w:sz w:val="20"/>
          <w:szCs w:val="20"/>
        </w:rPr>
        <w:t>06,951 share purchase warrants.</w:t>
      </w:r>
      <w:r w:rsidR="004D32F2">
        <w:rPr>
          <w:rFonts w:ascii="Arial" w:hAnsi="Arial" w:cs="Arial"/>
          <w:sz w:val="20"/>
          <w:szCs w:val="20"/>
        </w:rPr>
        <w:t xml:space="preserve">  </w:t>
      </w:r>
      <w:r w:rsidR="004D32F2">
        <w:rPr>
          <w:rFonts w:ascii="Arial" w:hAnsi="Arial" w:cs="Arial"/>
          <w:bCs/>
          <w:sz w:val="20"/>
          <w:szCs w:val="20"/>
          <w:lang w:val="en-US"/>
        </w:rPr>
        <w:t xml:space="preserve">The warrants were valued at CAD$48,063 </w:t>
      </w:r>
      <w:r w:rsidR="004D32F2">
        <w:rPr>
          <w:rFonts w:ascii="Arial" w:hAnsi="Arial" w:cs="Arial"/>
          <w:sz w:val="20"/>
          <w:szCs w:val="20"/>
        </w:rPr>
        <w:t>using the Black-Scholes option pricing model with the following weight average assumptions: risk-free interest rate – 0.30%; volatility – 100%; expected dividend yield – 0.0%; expected warrant life in years – 2.</w:t>
      </w:r>
      <w:r w:rsidR="004A7FD4" w:rsidRPr="004A7FD4">
        <w:rPr>
          <w:rFonts w:ascii="Arial" w:hAnsi="Arial" w:cs="Arial"/>
          <w:sz w:val="20"/>
          <w:szCs w:val="20"/>
        </w:rPr>
        <w:t xml:space="preserve"> </w:t>
      </w:r>
    </w:p>
    <w:p w14:paraId="4814D4CA" w14:textId="62342731" w:rsidR="0006149B" w:rsidRDefault="0006149B"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p>
    <w:p w14:paraId="05D06C87" w14:textId="7FA6675A" w:rsidR="0006149B" w:rsidRPr="00C251ED" w:rsidRDefault="0006149B"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On June 30, 2021, the Company issued 89,130 MVS as part of the acquisition of KIC (Note 5) at a fair value of $2,240,312.</w:t>
      </w:r>
    </w:p>
    <w:p w14:paraId="638F1100" w14:textId="77777777" w:rsidR="00C251ED" w:rsidRDefault="00C251ED" w:rsidP="00C24597">
      <w:pPr>
        <w:widowControl/>
        <w:tabs>
          <w:tab w:val="left" w:pos="-1440"/>
          <w:tab w:val="left" w:pos="1418"/>
          <w:tab w:val="left" w:pos="2520"/>
          <w:tab w:val="left" w:pos="2880"/>
          <w:tab w:val="left" w:pos="3600"/>
          <w:tab w:val="left" w:pos="4320"/>
          <w:tab w:val="left" w:pos="4896"/>
        </w:tabs>
        <w:rPr>
          <w:rFonts w:ascii="Arial" w:hAnsi="Arial" w:cs="Arial"/>
          <w:i/>
          <w:iCs/>
          <w:sz w:val="20"/>
          <w:szCs w:val="20"/>
        </w:rPr>
      </w:pPr>
    </w:p>
    <w:p w14:paraId="028C1574" w14:textId="119E3FE3" w:rsidR="00AE5F3F" w:rsidRPr="00AE5F3F" w:rsidRDefault="00AE5F3F" w:rsidP="00C24597">
      <w:pPr>
        <w:widowControl/>
        <w:tabs>
          <w:tab w:val="left" w:pos="-1440"/>
          <w:tab w:val="left" w:pos="1418"/>
          <w:tab w:val="left" w:pos="2520"/>
          <w:tab w:val="left" w:pos="2880"/>
          <w:tab w:val="left" w:pos="3600"/>
          <w:tab w:val="left" w:pos="4320"/>
          <w:tab w:val="left" w:pos="4896"/>
        </w:tabs>
        <w:rPr>
          <w:rFonts w:ascii="Arial" w:hAnsi="Arial" w:cs="Arial"/>
          <w:i/>
          <w:iCs/>
          <w:sz w:val="20"/>
          <w:szCs w:val="20"/>
        </w:rPr>
      </w:pPr>
      <w:r w:rsidRPr="00AE5F3F">
        <w:rPr>
          <w:rFonts w:ascii="Arial" w:hAnsi="Arial" w:cs="Arial"/>
          <w:i/>
          <w:iCs/>
          <w:sz w:val="20"/>
          <w:szCs w:val="20"/>
        </w:rPr>
        <w:t xml:space="preserve">For the </w:t>
      </w:r>
      <w:r w:rsidR="009218FA">
        <w:rPr>
          <w:rFonts w:ascii="Arial" w:hAnsi="Arial" w:cs="Arial"/>
          <w:i/>
          <w:iCs/>
          <w:sz w:val="20"/>
          <w:szCs w:val="20"/>
        </w:rPr>
        <w:t>six</w:t>
      </w:r>
      <w:r w:rsidR="00CD6483">
        <w:rPr>
          <w:rFonts w:ascii="Arial" w:hAnsi="Arial" w:cs="Arial"/>
          <w:i/>
          <w:iCs/>
          <w:sz w:val="20"/>
          <w:szCs w:val="20"/>
        </w:rPr>
        <w:t xml:space="preserve"> months ended </w:t>
      </w:r>
      <w:r w:rsidR="009218FA">
        <w:rPr>
          <w:rFonts w:ascii="Arial" w:hAnsi="Arial" w:cs="Arial"/>
          <w:i/>
          <w:iCs/>
          <w:sz w:val="20"/>
          <w:szCs w:val="20"/>
        </w:rPr>
        <w:t>June 30</w:t>
      </w:r>
      <w:r w:rsidR="00CD6483">
        <w:rPr>
          <w:rFonts w:ascii="Arial" w:hAnsi="Arial" w:cs="Arial"/>
          <w:i/>
          <w:iCs/>
          <w:sz w:val="20"/>
          <w:szCs w:val="20"/>
        </w:rPr>
        <w:t>, 2020</w:t>
      </w:r>
    </w:p>
    <w:p w14:paraId="531FBE8F" w14:textId="77777777" w:rsidR="00663806" w:rsidRDefault="00663806" w:rsidP="00C24597">
      <w:pPr>
        <w:widowControl/>
        <w:tabs>
          <w:tab w:val="left" w:pos="-1440"/>
          <w:tab w:val="left" w:pos="1418"/>
          <w:tab w:val="left" w:pos="2520"/>
          <w:tab w:val="left" w:pos="2880"/>
          <w:tab w:val="left" w:pos="3600"/>
          <w:tab w:val="left" w:pos="4320"/>
          <w:tab w:val="left" w:pos="4896"/>
        </w:tabs>
        <w:rPr>
          <w:rFonts w:ascii="Arial" w:hAnsi="Arial" w:cs="Arial"/>
          <w:sz w:val="20"/>
          <w:szCs w:val="20"/>
        </w:rPr>
      </w:pPr>
      <w:bookmarkStart w:id="2" w:name="_Hlk54983474"/>
    </w:p>
    <w:p w14:paraId="03DE4F5E" w14:textId="7FE630CC" w:rsidR="00DB383C" w:rsidRDefault="00CD6483" w:rsidP="00CD6483">
      <w:pPr>
        <w:widowControl/>
        <w:tabs>
          <w:tab w:val="left" w:pos="-1440"/>
          <w:tab w:val="left" w:pos="1440"/>
          <w:tab w:val="left" w:pos="2520"/>
          <w:tab w:val="left" w:pos="2880"/>
          <w:tab w:val="left" w:pos="3600"/>
          <w:tab w:val="left" w:pos="4320"/>
          <w:tab w:val="left" w:pos="4896"/>
        </w:tabs>
        <w:rPr>
          <w:rFonts w:ascii="Arial" w:hAnsi="Arial" w:cs="Arial"/>
          <w:sz w:val="20"/>
          <w:szCs w:val="20"/>
        </w:rPr>
      </w:pPr>
      <w:r>
        <w:rPr>
          <w:rFonts w:ascii="Arial" w:hAnsi="Arial" w:cs="Arial"/>
          <w:sz w:val="20"/>
          <w:szCs w:val="20"/>
        </w:rPr>
        <w:t>There were no share capital transaction</w:t>
      </w:r>
      <w:r w:rsidR="001D2E70">
        <w:rPr>
          <w:rFonts w:ascii="Arial" w:hAnsi="Arial" w:cs="Arial"/>
          <w:sz w:val="20"/>
          <w:szCs w:val="20"/>
        </w:rPr>
        <w:t>s</w:t>
      </w:r>
      <w:r>
        <w:rPr>
          <w:rFonts w:ascii="Arial" w:hAnsi="Arial" w:cs="Arial"/>
          <w:sz w:val="20"/>
          <w:szCs w:val="20"/>
        </w:rPr>
        <w:t xml:space="preserve"> during the period. </w:t>
      </w:r>
      <w:bookmarkEnd w:id="2"/>
    </w:p>
    <w:p w14:paraId="02978459" w14:textId="09721CBB" w:rsidR="00DB383C" w:rsidRDefault="00DB383C"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09BCEA7B" w14:textId="77777777" w:rsidR="00AC750E" w:rsidRDefault="00AC750E" w:rsidP="00C24597">
      <w:pPr>
        <w:widowControl/>
        <w:tabs>
          <w:tab w:val="left" w:pos="-1440"/>
          <w:tab w:val="left" w:pos="0"/>
          <w:tab w:val="left" w:pos="720"/>
          <w:tab w:val="left" w:pos="1440"/>
          <w:tab w:val="left" w:pos="2160"/>
          <w:tab w:val="left" w:pos="2880"/>
          <w:tab w:val="left" w:pos="4896"/>
        </w:tabs>
        <w:outlineLvl w:val="0"/>
        <w:rPr>
          <w:rFonts w:ascii="Arial" w:hAnsi="Arial" w:cs="Arial"/>
          <w:b/>
          <w:bCs/>
          <w:sz w:val="20"/>
          <w:szCs w:val="20"/>
        </w:rPr>
      </w:pPr>
      <w:r>
        <w:rPr>
          <w:rFonts w:ascii="Arial" w:hAnsi="Arial" w:cs="Arial"/>
          <w:b/>
          <w:bCs/>
          <w:sz w:val="20"/>
          <w:szCs w:val="20"/>
        </w:rPr>
        <w:t>Escrow shares</w:t>
      </w:r>
    </w:p>
    <w:p w14:paraId="2F7C213E" w14:textId="77777777" w:rsidR="00AC750E" w:rsidRPr="00AC750E" w:rsidRDefault="00AC750E" w:rsidP="00AC750E">
      <w:pPr>
        <w:widowControl/>
        <w:tabs>
          <w:tab w:val="left" w:pos="-1440"/>
          <w:tab w:val="left" w:pos="0"/>
          <w:tab w:val="left" w:pos="4896"/>
        </w:tabs>
        <w:outlineLvl w:val="0"/>
        <w:rPr>
          <w:rFonts w:ascii="Arial" w:hAnsi="Arial" w:cs="Arial"/>
          <w:b/>
          <w:bCs/>
          <w:sz w:val="20"/>
          <w:szCs w:val="20"/>
        </w:rPr>
      </w:pPr>
    </w:p>
    <w:p w14:paraId="54ECE15F" w14:textId="3B42F11F" w:rsidR="00CD6483" w:rsidRPr="00C31A39" w:rsidRDefault="00AC750E" w:rsidP="00C31A39">
      <w:pPr>
        <w:snapToGrid w:val="0"/>
        <w:ind w:hanging="19"/>
        <w:rPr>
          <w:rFonts w:ascii="Arial" w:hAnsi="Arial" w:cs="Arial"/>
          <w:b/>
          <w:bCs/>
          <w:sz w:val="20"/>
          <w:szCs w:val="20"/>
        </w:rPr>
      </w:pPr>
      <w:r w:rsidRPr="00AC750E">
        <w:rPr>
          <w:rFonts w:ascii="Arial" w:hAnsi="Arial" w:cs="Arial"/>
          <w:sz w:val="20"/>
          <w:szCs w:val="20"/>
        </w:rPr>
        <w:t xml:space="preserve">Pursuant to an escrow agreement dated November 16, 2020, </w:t>
      </w:r>
      <w:r>
        <w:rPr>
          <w:rFonts w:ascii="Arial" w:hAnsi="Arial" w:cs="Arial"/>
          <w:sz w:val="20"/>
          <w:szCs w:val="20"/>
        </w:rPr>
        <w:t>8</w:t>
      </w:r>
      <w:r w:rsidRPr="00AC750E">
        <w:rPr>
          <w:rFonts w:ascii="Arial" w:hAnsi="Arial" w:cs="Arial"/>
          <w:sz w:val="20"/>
          <w:szCs w:val="20"/>
        </w:rPr>
        <w:t>,</w:t>
      </w:r>
      <w:r>
        <w:rPr>
          <w:rFonts w:ascii="Arial" w:hAnsi="Arial" w:cs="Arial"/>
          <w:sz w:val="20"/>
          <w:szCs w:val="20"/>
        </w:rPr>
        <w:t>161</w:t>
      </w:r>
      <w:r w:rsidRPr="00AC750E">
        <w:rPr>
          <w:rFonts w:ascii="Arial" w:hAnsi="Arial" w:cs="Arial"/>
          <w:sz w:val="20"/>
          <w:szCs w:val="20"/>
        </w:rPr>
        <w:t>,</w:t>
      </w:r>
      <w:r>
        <w:rPr>
          <w:rFonts w:ascii="Arial" w:hAnsi="Arial" w:cs="Arial"/>
          <w:sz w:val="20"/>
          <w:szCs w:val="20"/>
        </w:rPr>
        <w:t>7</w:t>
      </w:r>
      <w:r w:rsidRPr="00AC750E">
        <w:rPr>
          <w:rFonts w:ascii="Arial" w:hAnsi="Arial" w:cs="Arial"/>
          <w:sz w:val="20"/>
          <w:szCs w:val="20"/>
        </w:rPr>
        <w:t xml:space="preserve">00 </w:t>
      </w:r>
      <w:r>
        <w:rPr>
          <w:rFonts w:ascii="Arial" w:hAnsi="Arial" w:cs="Arial"/>
          <w:sz w:val="20"/>
          <w:szCs w:val="20"/>
        </w:rPr>
        <w:t xml:space="preserve">SVS and 137,300 MVS </w:t>
      </w:r>
      <w:r w:rsidRPr="00AC750E">
        <w:rPr>
          <w:rFonts w:ascii="Arial" w:hAnsi="Arial" w:cs="Arial"/>
          <w:sz w:val="20"/>
          <w:szCs w:val="20"/>
        </w:rPr>
        <w:t>are subject to escrow restrictions.</w:t>
      </w:r>
      <w:r>
        <w:rPr>
          <w:rFonts w:ascii="Arial" w:hAnsi="Arial" w:cs="Arial"/>
          <w:sz w:val="20"/>
          <w:szCs w:val="20"/>
        </w:rPr>
        <w:t xml:space="preserve">  10% of the escrow shares were released on the reverse acquisition date.  </w:t>
      </w:r>
      <w:r w:rsidRPr="00AC750E">
        <w:rPr>
          <w:rFonts w:ascii="Arial" w:hAnsi="Arial" w:cs="Arial"/>
          <w:sz w:val="20"/>
          <w:szCs w:val="20"/>
        </w:rPr>
        <w:t>The</w:t>
      </w:r>
      <w:r>
        <w:rPr>
          <w:rFonts w:ascii="Arial" w:hAnsi="Arial" w:cs="Arial"/>
          <w:sz w:val="20"/>
          <w:szCs w:val="20"/>
        </w:rPr>
        <w:t xml:space="preserve"> remaining</w:t>
      </w:r>
      <w:r w:rsidRPr="00AC750E">
        <w:rPr>
          <w:rFonts w:ascii="Arial" w:hAnsi="Arial" w:cs="Arial"/>
          <w:sz w:val="20"/>
          <w:szCs w:val="20"/>
        </w:rPr>
        <w:t xml:space="preserve"> escrow shares will be released </w:t>
      </w:r>
      <w:r>
        <w:rPr>
          <w:rFonts w:ascii="Arial" w:hAnsi="Arial" w:cs="Arial"/>
          <w:sz w:val="20"/>
          <w:szCs w:val="20"/>
        </w:rPr>
        <w:t xml:space="preserve">at 15% every six months.  </w:t>
      </w:r>
      <w:proofErr w:type="gramStart"/>
      <w:r w:rsidRPr="00AC750E">
        <w:rPr>
          <w:rFonts w:ascii="Arial" w:hAnsi="Arial" w:cs="Arial"/>
          <w:sz w:val="20"/>
          <w:szCs w:val="20"/>
        </w:rPr>
        <w:t>At</w:t>
      </w:r>
      <w:proofErr w:type="gramEnd"/>
      <w:r w:rsidRPr="00AC750E">
        <w:rPr>
          <w:rFonts w:ascii="Arial" w:hAnsi="Arial" w:cs="Arial"/>
          <w:sz w:val="20"/>
          <w:szCs w:val="20"/>
        </w:rPr>
        <w:t xml:space="preserve"> </w:t>
      </w:r>
      <w:r w:rsidR="00661C75">
        <w:rPr>
          <w:rFonts w:ascii="Arial" w:hAnsi="Arial" w:cs="Arial"/>
          <w:sz w:val="20"/>
          <w:szCs w:val="20"/>
        </w:rPr>
        <w:t>June 30</w:t>
      </w:r>
      <w:r>
        <w:rPr>
          <w:rFonts w:ascii="Arial" w:hAnsi="Arial" w:cs="Arial"/>
          <w:sz w:val="20"/>
          <w:szCs w:val="20"/>
        </w:rPr>
        <w:t>, 202</w:t>
      </w:r>
      <w:r w:rsidR="00D03A13">
        <w:rPr>
          <w:rFonts w:ascii="Arial" w:hAnsi="Arial" w:cs="Arial"/>
          <w:sz w:val="20"/>
          <w:szCs w:val="20"/>
        </w:rPr>
        <w:t>1</w:t>
      </w:r>
      <w:r w:rsidRPr="00AC750E">
        <w:rPr>
          <w:rFonts w:ascii="Arial" w:hAnsi="Arial" w:cs="Arial"/>
          <w:sz w:val="20"/>
          <w:szCs w:val="20"/>
        </w:rPr>
        <w:t xml:space="preserve">, </w:t>
      </w:r>
      <w:r>
        <w:rPr>
          <w:rFonts w:ascii="Arial" w:hAnsi="Arial" w:cs="Arial"/>
          <w:sz w:val="20"/>
          <w:szCs w:val="20"/>
        </w:rPr>
        <w:t xml:space="preserve">there were </w:t>
      </w:r>
      <w:r w:rsidR="00661C75">
        <w:rPr>
          <w:rFonts w:ascii="Arial" w:hAnsi="Arial" w:cs="Arial"/>
          <w:sz w:val="20"/>
          <w:szCs w:val="20"/>
        </w:rPr>
        <w:t>6,121,275</w:t>
      </w:r>
      <w:r w:rsidRPr="00AC750E">
        <w:rPr>
          <w:rFonts w:ascii="Arial" w:hAnsi="Arial" w:cs="Arial"/>
          <w:sz w:val="20"/>
          <w:szCs w:val="20"/>
        </w:rPr>
        <w:t xml:space="preserve"> </w:t>
      </w:r>
      <w:r>
        <w:rPr>
          <w:rFonts w:ascii="Arial" w:hAnsi="Arial" w:cs="Arial"/>
          <w:sz w:val="20"/>
          <w:szCs w:val="20"/>
        </w:rPr>
        <w:t xml:space="preserve">SVS and </w:t>
      </w:r>
      <w:r w:rsidR="00661C75">
        <w:rPr>
          <w:rFonts w:ascii="Arial" w:hAnsi="Arial" w:cs="Arial"/>
          <w:sz w:val="20"/>
          <w:szCs w:val="20"/>
        </w:rPr>
        <w:t>102,975</w:t>
      </w:r>
      <w:r>
        <w:rPr>
          <w:rFonts w:ascii="Arial" w:hAnsi="Arial" w:cs="Arial"/>
          <w:sz w:val="20"/>
          <w:szCs w:val="20"/>
        </w:rPr>
        <w:t xml:space="preserve"> MVS</w:t>
      </w:r>
      <w:r w:rsidRPr="00AC750E">
        <w:rPr>
          <w:rFonts w:ascii="Arial" w:hAnsi="Arial" w:cs="Arial"/>
          <w:sz w:val="20"/>
          <w:szCs w:val="20"/>
        </w:rPr>
        <w:t xml:space="preserve"> remain in escrow</w:t>
      </w:r>
      <w:r>
        <w:rPr>
          <w:rFonts w:ascii="Arial" w:hAnsi="Arial" w:cs="Arial"/>
          <w:sz w:val="20"/>
          <w:szCs w:val="20"/>
        </w:rPr>
        <w:t xml:space="preserve">.  The next release date is </w:t>
      </w:r>
      <w:r w:rsidR="00F57B77">
        <w:rPr>
          <w:rFonts w:ascii="Arial" w:hAnsi="Arial" w:cs="Arial"/>
          <w:sz w:val="20"/>
          <w:szCs w:val="20"/>
        </w:rPr>
        <w:t>November 18</w:t>
      </w:r>
      <w:r>
        <w:rPr>
          <w:rFonts w:ascii="Arial" w:hAnsi="Arial" w:cs="Arial"/>
          <w:sz w:val="20"/>
          <w:szCs w:val="20"/>
        </w:rPr>
        <w:t>, 2021.</w:t>
      </w:r>
    </w:p>
    <w:p w14:paraId="1E8EDAD9" w14:textId="77777777" w:rsidR="00CD6483" w:rsidRPr="00AC750E" w:rsidRDefault="00CD6483" w:rsidP="00CD6483">
      <w:pPr>
        <w:widowControl/>
        <w:tabs>
          <w:tab w:val="left" w:pos="-1440"/>
          <w:tab w:val="left" w:pos="0"/>
          <w:tab w:val="left" w:pos="4896"/>
        </w:tabs>
        <w:outlineLvl w:val="0"/>
        <w:rPr>
          <w:rFonts w:ascii="Arial" w:hAnsi="Arial" w:cs="Arial"/>
          <w:sz w:val="20"/>
          <w:szCs w:val="20"/>
        </w:rPr>
      </w:pPr>
    </w:p>
    <w:p w14:paraId="696E686F" w14:textId="3628C605" w:rsidR="00C24597" w:rsidRPr="007D0CE2" w:rsidRDefault="00C24597" w:rsidP="00C24597">
      <w:pPr>
        <w:widowControl/>
        <w:tabs>
          <w:tab w:val="left" w:pos="-1440"/>
          <w:tab w:val="left" w:pos="0"/>
          <w:tab w:val="left" w:pos="1440"/>
          <w:tab w:val="left" w:pos="2160"/>
          <w:tab w:val="left" w:pos="2880"/>
          <w:tab w:val="left" w:pos="4896"/>
        </w:tabs>
        <w:outlineLvl w:val="0"/>
        <w:rPr>
          <w:rFonts w:ascii="Arial" w:hAnsi="Arial" w:cs="Arial"/>
          <w:b/>
          <w:bCs/>
          <w:sz w:val="20"/>
          <w:szCs w:val="20"/>
          <w:lang w:val="en-US"/>
        </w:rPr>
      </w:pPr>
      <w:r w:rsidRPr="007D0CE2">
        <w:rPr>
          <w:rFonts w:ascii="Arial" w:hAnsi="Arial" w:cs="Arial"/>
          <w:b/>
          <w:bCs/>
          <w:sz w:val="20"/>
          <w:szCs w:val="20"/>
          <w:lang w:val="en-US"/>
        </w:rPr>
        <w:t xml:space="preserve">Stock </w:t>
      </w:r>
      <w:r>
        <w:rPr>
          <w:rFonts w:ascii="Arial" w:hAnsi="Arial" w:cs="Arial"/>
          <w:b/>
          <w:bCs/>
          <w:sz w:val="20"/>
          <w:szCs w:val="20"/>
          <w:lang w:val="en-US"/>
        </w:rPr>
        <w:t>o</w:t>
      </w:r>
      <w:r w:rsidRPr="007D0CE2">
        <w:rPr>
          <w:rFonts w:ascii="Arial" w:hAnsi="Arial" w:cs="Arial"/>
          <w:b/>
          <w:bCs/>
          <w:sz w:val="20"/>
          <w:szCs w:val="20"/>
          <w:lang w:val="en-US"/>
        </w:rPr>
        <w:t>ptions</w:t>
      </w:r>
    </w:p>
    <w:p w14:paraId="4BA94D9B" w14:textId="77777777" w:rsidR="00C24597" w:rsidRPr="007D0CE2" w:rsidRDefault="00C24597" w:rsidP="00C24597">
      <w:pPr>
        <w:widowControl/>
        <w:tabs>
          <w:tab w:val="left" w:pos="-1440"/>
          <w:tab w:val="left" w:pos="0"/>
          <w:tab w:val="left" w:pos="720"/>
          <w:tab w:val="left" w:pos="1440"/>
          <w:tab w:val="left" w:pos="2160"/>
          <w:tab w:val="left" w:pos="2880"/>
          <w:tab w:val="left" w:pos="4896"/>
        </w:tabs>
        <w:outlineLvl w:val="0"/>
        <w:rPr>
          <w:rFonts w:ascii="Arial" w:hAnsi="Arial" w:cs="Arial"/>
          <w:b/>
          <w:bCs/>
          <w:sz w:val="20"/>
          <w:szCs w:val="20"/>
          <w:lang w:val="en-US"/>
        </w:rPr>
      </w:pPr>
    </w:p>
    <w:p w14:paraId="391300A3" w14:textId="77777777" w:rsidR="00C24597" w:rsidRDefault="00C24597"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r w:rsidRPr="007D0CE2">
        <w:rPr>
          <w:rFonts w:ascii="Arial" w:hAnsi="Arial" w:cs="Arial"/>
          <w:bCs/>
          <w:sz w:val="20"/>
          <w:szCs w:val="20"/>
          <w:lang w:val="en-US"/>
        </w:rPr>
        <w:t xml:space="preserve">The Company has adopted a 10% rolling Stock Option Plan (the “Plan”). Under the Plan, the Company may grant stock options to directors, officers, </w:t>
      </w:r>
      <w:proofErr w:type="gramStart"/>
      <w:r w:rsidRPr="007D0CE2">
        <w:rPr>
          <w:rFonts w:ascii="Arial" w:hAnsi="Arial" w:cs="Arial"/>
          <w:bCs/>
          <w:sz w:val="20"/>
          <w:szCs w:val="20"/>
          <w:lang w:val="en-US"/>
        </w:rPr>
        <w:t>employees</w:t>
      </w:r>
      <w:proofErr w:type="gramEnd"/>
      <w:r w:rsidRPr="007D0CE2">
        <w:rPr>
          <w:rFonts w:ascii="Arial" w:hAnsi="Arial" w:cs="Arial"/>
          <w:bCs/>
          <w:sz w:val="20"/>
          <w:szCs w:val="20"/>
          <w:lang w:val="en-US"/>
        </w:rPr>
        <w:t xml:space="preserve"> and consultants of the Company.  The terms and conditions of the options are determined by the Board of Directors.</w:t>
      </w:r>
    </w:p>
    <w:p w14:paraId="3B5BA092" w14:textId="552BAB11" w:rsidR="00825974" w:rsidRDefault="00825974"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074E9D98" w14:textId="6E0091B4" w:rsidR="00A036F2" w:rsidRDefault="00A036F2"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26E29D27" w14:textId="5EB3B742" w:rsidR="00A036F2" w:rsidRDefault="00A036F2"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2F8A53DE" w14:textId="68C02CE9" w:rsidR="00A036F2" w:rsidRDefault="00A036F2"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2F87C881" w14:textId="0723B8E2" w:rsidR="00A036F2" w:rsidRDefault="00A036F2"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00787C8A" w14:textId="294E63B8" w:rsidR="00A036F2" w:rsidRDefault="00A036F2"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3F545C6B" w14:textId="226A3A4B" w:rsidR="00A036F2" w:rsidRDefault="00A036F2"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53E9D9F8" w14:textId="6464272B" w:rsidR="00EB79B5" w:rsidRDefault="00ED3E41"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r>
        <w:rPr>
          <w:rFonts w:ascii="Arial" w:hAnsi="Arial" w:cs="Arial"/>
          <w:bCs/>
          <w:sz w:val="20"/>
          <w:szCs w:val="20"/>
          <w:lang w:val="en-US"/>
        </w:rPr>
        <w:lastRenderedPageBreak/>
        <w:t xml:space="preserve">The Company had the following stock options outstanding as </w:t>
      </w:r>
      <w:proofErr w:type="gramStart"/>
      <w:r>
        <w:rPr>
          <w:rFonts w:ascii="Arial" w:hAnsi="Arial" w:cs="Arial"/>
          <w:bCs/>
          <w:sz w:val="20"/>
          <w:szCs w:val="20"/>
          <w:lang w:val="en-US"/>
        </w:rPr>
        <w:t>at</w:t>
      </w:r>
      <w:proofErr w:type="gramEnd"/>
      <w:r w:rsidR="00CD31E7">
        <w:rPr>
          <w:rFonts w:ascii="Arial" w:hAnsi="Arial" w:cs="Arial"/>
          <w:bCs/>
          <w:sz w:val="20"/>
          <w:szCs w:val="20"/>
          <w:lang w:val="en-US"/>
        </w:rPr>
        <w:t xml:space="preserve"> </w:t>
      </w:r>
      <w:r w:rsidR="00374E69">
        <w:rPr>
          <w:rFonts w:ascii="Arial" w:hAnsi="Arial" w:cs="Arial"/>
          <w:bCs/>
          <w:sz w:val="20"/>
          <w:szCs w:val="20"/>
          <w:lang w:val="en-US"/>
        </w:rPr>
        <w:t>June 30</w:t>
      </w:r>
      <w:r>
        <w:rPr>
          <w:rFonts w:ascii="Arial" w:hAnsi="Arial" w:cs="Arial"/>
          <w:bCs/>
          <w:sz w:val="20"/>
          <w:szCs w:val="20"/>
          <w:lang w:val="en-US"/>
        </w:rPr>
        <w:t>, 202</w:t>
      </w:r>
      <w:r w:rsidR="00CD31E7">
        <w:rPr>
          <w:rFonts w:ascii="Arial" w:hAnsi="Arial" w:cs="Arial"/>
          <w:bCs/>
          <w:sz w:val="20"/>
          <w:szCs w:val="20"/>
          <w:lang w:val="en-US"/>
        </w:rPr>
        <w:t>1</w:t>
      </w:r>
      <w:r>
        <w:rPr>
          <w:rFonts w:ascii="Arial" w:hAnsi="Arial" w:cs="Arial"/>
          <w:bCs/>
          <w:sz w:val="20"/>
          <w:szCs w:val="20"/>
          <w:lang w:val="en-US"/>
        </w:rPr>
        <w:t>:</w:t>
      </w:r>
    </w:p>
    <w:tbl>
      <w:tblPr>
        <w:tblW w:w="9923" w:type="dxa"/>
        <w:tblInd w:w="142" w:type="dxa"/>
        <w:tblCellMar>
          <w:left w:w="115" w:type="dxa"/>
          <w:right w:w="115" w:type="dxa"/>
        </w:tblCellMar>
        <w:tblLook w:val="04A0" w:firstRow="1" w:lastRow="0" w:firstColumn="1" w:lastColumn="0" w:noHBand="0" w:noVBand="1"/>
      </w:tblPr>
      <w:tblGrid>
        <w:gridCol w:w="5076"/>
        <w:gridCol w:w="2410"/>
        <w:gridCol w:w="2437"/>
      </w:tblGrid>
      <w:tr w:rsidR="00EB79B5" w:rsidRPr="00EB79B5" w14:paraId="0B92D72A" w14:textId="77777777" w:rsidTr="0025701F">
        <w:trPr>
          <w:trHeight w:val="255"/>
        </w:trPr>
        <w:tc>
          <w:tcPr>
            <w:tcW w:w="5076" w:type="dxa"/>
            <w:tcBorders>
              <w:left w:val="nil"/>
              <w:bottom w:val="single" w:sz="4" w:space="0" w:color="auto"/>
              <w:right w:val="nil"/>
            </w:tcBorders>
            <w:vAlign w:val="bottom"/>
          </w:tcPr>
          <w:p w14:paraId="4D5BDB7B" w14:textId="77777777" w:rsidR="00EB79B5" w:rsidRPr="00EB79B5" w:rsidRDefault="00EB79B5" w:rsidP="00896256">
            <w:pPr>
              <w:rPr>
                <w:rFonts w:ascii="Arial" w:hAnsi="Arial" w:cs="Arial"/>
                <w:sz w:val="20"/>
                <w:szCs w:val="22"/>
              </w:rPr>
            </w:pPr>
          </w:p>
        </w:tc>
        <w:tc>
          <w:tcPr>
            <w:tcW w:w="2410" w:type="dxa"/>
            <w:tcBorders>
              <w:left w:val="nil"/>
              <w:bottom w:val="single" w:sz="4" w:space="0" w:color="auto"/>
              <w:right w:val="nil"/>
            </w:tcBorders>
            <w:noWrap/>
            <w:vAlign w:val="bottom"/>
          </w:tcPr>
          <w:p w14:paraId="57FFD619" w14:textId="77777777" w:rsidR="00EB79B5" w:rsidRPr="00EB79B5" w:rsidRDefault="00EB79B5" w:rsidP="00896256">
            <w:pPr>
              <w:jc w:val="right"/>
              <w:rPr>
                <w:rFonts w:ascii="Arial" w:hAnsi="Arial" w:cs="Arial"/>
                <w:sz w:val="20"/>
                <w:szCs w:val="22"/>
              </w:rPr>
            </w:pPr>
            <w:r w:rsidRPr="00EB79B5">
              <w:rPr>
                <w:rFonts w:ascii="Arial" w:hAnsi="Arial" w:cs="Arial"/>
                <w:sz w:val="20"/>
                <w:szCs w:val="22"/>
              </w:rPr>
              <w:t>Number</w:t>
            </w:r>
          </w:p>
        </w:tc>
        <w:tc>
          <w:tcPr>
            <w:tcW w:w="2437" w:type="dxa"/>
            <w:tcBorders>
              <w:left w:val="nil"/>
              <w:bottom w:val="single" w:sz="4" w:space="0" w:color="auto"/>
              <w:right w:val="nil"/>
            </w:tcBorders>
            <w:vAlign w:val="bottom"/>
          </w:tcPr>
          <w:p w14:paraId="0CC563D0" w14:textId="77777777" w:rsidR="00EB79B5" w:rsidRPr="00EB79B5" w:rsidRDefault="00EB79B5" w:rsidP="00896256">
            <w:pPr>
              <w:jc w:val="right"/>
              <w:rPr>
                <w:rFonts w:ascii="Arial" w:hAnsi="Arial" w:cs="Arial"/>
                <w:sz w:val="20"/>
                <w:szCs w:val="22"/>
              </w:rPr>
            </w:pPr>
            <w:r w:rsidRPr="00EB79B5">
              <w:rPr>
                <w:rFonts w:ascii="Arial" w:hAnsi="Arial" w:cs="Arial"/>
                <w:sz w:val="20"/>
                <w:szCs w:val="22"/>
              </w:rPr>
              <w:t>Weighted average exercise price</w:t>
            </w:r>
          </w:p>
        </w:tc>
      </w:tr>
      <w:tr w:rsidR="00EB79B5" w:rsidRPr="00EB79B5" w14:paraId="40FFB166" w14:textId="77777777" w:rsidTr="0025701F">
        <w:trPr>
          <w:trHeight w:val="290"/>
        </w:trPr>
        <w:tc>
          <w:tcPr>
            <w:tcW w:w="5076" w:type="dxa"/>
            <w:tcBorders>
              <w:top w:val="single" w:sz="4" w:space="0" w:color="auto"/>
              <w:left w:val="nil"/>
              <w:right w:val="nil"/>
            </w:tcBorders>
            <w:vAlign w:val="bottom"/>
          </w:tcPr>
          <w:p w14:paraId="1B552D5E" w14:textId="77777777" w:rsidR="00EB79B5" w:rsidRPr="00EB79B5" w:rsidRDefault="00EB79B5" w:rsidP="00896256">
            <w:pPr>
              <w:rPr>
                <w:rFonts w:ascii="Arial" w:hAnsi="Arial" w:cs="Arial"/>
                <w:sz w:val="20"/>
                <w:szCs w:val="22"/>
              </w:rPr>
            </w:pPr>
          </w:p>
        </w:tc>
        <w:tc>
          <w:tcPr>
            <w:tcW w:w="2410" w:type="dxa"/>
            <w:tcBorders>
              <w:top w:val="single" w:sz="4" w:space="0" w:color="auto"/>
              <w:left w:val="nil"/>
              <w:right w:val="nil"/>
            </w:tcBorders>
            <w:noWrap/>
            <w:vAlign w:val="bottom"/>
          </w:tcPr>
          <w:p w14:paraId="2DBA3116" w14:textId="77777777" w:rsidR="00EB79B5" w:rsidRPr="00EB79B5" w:rsidRDefault="00EB79B5" w:rsidP="00896256">
            <w:pPr>
              <w:jc w:val="right"/>
              <w:rPr>
                <w:rFonts w:ascii="Arial" w:hAnsi="Arial" w:cs="Arial"/>
                <w:sz w:val="20"/>
                <w:szCs w:val="22"/>
              </w:rPr>
            </w:pPr>
          </w:p>
        </w:tc>
        <w:tc>
          <w:tcPr>
            <w:tcW w:w="2437" w:type="dxa"/>
            <w:tcBorders>
              <w:top w:val="single" w:sz="4" w:space="0" w:color="auto"/>
              <w:left w:val="nil"/>
              <w:right w:val="nil"/>
            </w:tcBorders>
            <w:vAlign w:val="bottom"/>
          </w:tcPr>
          <w:p w14:paraId="5AF9ECD6" w14:textId="77777777" w:rsidR="00EB79B5" w:rsidRPr="00EB79B5" w:rsidRDefault="00EB79B5" w:rsidP="00896256">
            <w:pPr>
              <w:jc w:val="right"/>
              <w:rPr>
                <w:rFonts w:ascii="Arial" w:hAnsi="Arial" w:cs="Arial"/>
                <w:sz w:val="20"/>
                <w:szCs w:val="22"/>
              </w:rPr>
            </w:pPr>
            <w:r w:rsidRPr="00EB79B5">
              <w:rPr>
                <w:rFonts w:ascii="Arial" w:hAnsi="Arial" w:cs="Arial"/>
                <w:sz w:val="20"/>
                <w:szCs w:val="22"/>
              </w:rPr>
              <w:t>$</w:t>
            </w:r>
          </w:p>
        </w:tc>
      </w:tr>
      <w:tr w:rsidR="00EB79B5" w:rsidRPr="00EB79B5" w14:paraId="26E747C2" w14:textId="77777777" w:rsidTr="0025701F">
        <w:trPr>
          <w:trHeight w:val="290"/>
        </w:trPr>
        <w:tc>
          <w:tcPr>
            <w:tcW w:w="5076" w:type="dxa"/>
            <w:tcBorders>
              <w:left w:val="nil"/>
              <w:right w:val="nil"/>
            </w:tcBorders>
            <w:vAlign w:val="bottom"/>
          </w:tcPr>
          <w:p w14:paraId="2C455FDC" w14:textId="77777777" w:rsidR="00EB79B5" w:rsidRPr="00EB79B5" w:rsidRDefault="00EB79B5" w:rsidP="00896256">
            <w:pPr>
              <w:rPr>
                <w:rFonts w:ascii="Arial" w:hAnsi="Arial" w:cs="Arial"/>
                <w:sz w:val="20"/>
                <w:szCs w:val="22"/>
              </w:rPr>
            </w:pPr>
            <w:r w:rsidRPr="00EB79B5">
              <w:rPr>
                <w:rFonts w:ascii="Arial" w:hAnsi="Arial" w:cs="Arial"/>
                <w:sz w:val="20"/>
                <w:szCs w:val="22"/>
              </w:rPr>
              <w:t xml:space="preserve">Balance, </w:t>
            </w:r>
            <w:r w:rsidR="0025701F">
              <w:rPr>
                <w:rFonts w:ascii="Arial" w:hAnsi="Arial" w:cs="Arial"/>
                <w:sz w:val="20"/>
                <w:szCs w:val="22"/>
              </w:rPr>
              <w:t xml:space="preserve">December 31, </w:t>
            </w:r>
            <w:proofErr w:type="gramStart"/>
            <w:r w:rsidR="0025701F">
              <w:rPr>
                <w:rFonts w:ascii="Arial" w:hAnsi="Arial" w:cs="Arial"/>
                <w:sz w:val="20"/>
                <w:szCs w:val="22"/>
              </w:rPr>
              <w:t>2019</w:t>
            </w:r>
            <w:proofErr w:type="gramEnd"/>
            <w:r w:rsidR="0025701F">
              <w:rPr>
                <w:rFonts w:ascii="Arial" w:hAnsi="Arial" w:cs="Arial"/>
                <w:sz w:val="20"/>
                <w:szCs w:val="22"/>
              </w:rPr>
              <w:t xml:space="preserve"> </w:t>
            </w:r>
          </w:p>
        </w:tc>
        <w:tc>
          <w:tcPr>
            <w:tcW w:w="2410" w:type="dxa"/>
            <w:tcBorders>
              <w:left w:val="nil"/>
              <w:right w:val="nil"/>
            </w:tcBorders>
            <w:noWrap/>
            <w:vAlign w:val="bottom"/>
          </w:tcPr>
          <w:p w14:paraId="7C7B5189" w14:textId="77777777" w:rsidR="00EB79B5" w:rsidRPr="00EB79B5" w:rsidRDefault="0025701F" w:rsidP="00896256">
            <w:pPr>
              <w:jc w:val="right"/>
              <w:rPr>
                <w:rFonts w:ascii="Arial" w:hAnsi="Arial" w:cs="Arial"/>
                <w:sz w:val="20"/>
                <w:szCs w:val="22"/>
              </w:rPr>
            </w:pPr>
            <w:r>
              <w:rPr>
                <w:rFonts w:ascii="Arial" w:hAnsi="Arial" w:cs="Arial"/>
                <w:sz w:val="20"/>
                <w:szCs w:val="22"/>
              </w:rPr>
              <w:t>-</w:t>
            </w:r>
          </w:p>
        </w:tc>
        <w:tc>
          <w:tcPr>
            <w:tcW w:w="2437" w:type="dxa"/>
            <w:tcBorders>
              <w:left w:val="nil"/>
              <w:right w:val="nil"/>
            </w:tcBorders>
            <w:vAlign w:val="bottom"/>
          </w:tcPr>
          <w:p w14:paraId="21F3F413" w14:textId="77777777" w:rsidR="00EB79B5" w:rsidRPr="00EB79B5" w:rsidRDefault="0025701F" w:rsidP="00896256">
            <w:pPr>
              <w:jc w:val="right"/>
              <w:rPr>
                <w:rFonts w:ascii="Arial" w:hAnsi="Arial" w:cs="Arial"/>
                <w:sz w:val="20"/>
                <w:szCs w:val="22"/>
              </w:rPr>
            </w:pPr>
            <w:r>
              <w:rPr>
                <w:rFonts w:ascii="Arial" w:hAnsi="Arial" w:cs="Arial"/>
                <w:sz w:val="20"/>
                <w:szCs w:val="22"/>
              </w:rPr>
              <w:t>-</w:t>
            </w:r>
          </w:p>
        </w:tc>
      </w:tr>
      <w:tr w:rsidR="00EB79B5" w:rsidRPr="00EB79B5" w14:paraId="50305004" w14:textId="77777777" w:rsidTr="0025701F">
        <w:trPr>
          <w:trHeight w:val="70"/>
        </w:trPr>
        <w:tc>
          <w:tcPr>
            <w:tcW w:w="5076" w:type="dxa"/>
            <w:tcBorders>
              <w:left w:val="nil"/>
              <w:right w:val="nil"/>
            </w:tcBorders>
            <w:vAlign w:val="bottom"/>
          </w:tcPr>
          <w:p w14:paraId="11B8A290" w14:textId="77777777" w:rsidR="00EB79B5" w:rsidRPr="00EB79B5" w:rsidRDefault="00EB79B5" w:rsidP="00896256">
            <w:pPr>
              <w:rPr>
                <w:rFonts w:ascii="Arial" w:hAnsi="Arial" w:cs="Arial"/>
                <w:sz w:val="20"/>
                <w:szCs w:val="22"/>
              </w:rPr>
            </w:pPr>
            <w:r w:rsidRPr="00EB79B5">
              <w:rPr>
                <w:rFonts w:ascii="Arial" w:hAnsi="Arial" w:cs="Arial"/>
                <w:sz w:val="20"/>
                <w:szCs w:val="22"/>
              </w:rPr>
              <w:t>Granted</w:t>
            </w:r>
          </w:p>
        </w:tc>
        <w:tc>
          <w:tcPr>
            <w:tcW w:w="2410" w:type="dxa"/>
            <w:tcBorders>
              <w:left w:val="nil"/>
              <w:right w:val="nil"/>
            </w:tcBorders>
            <w:noWrap/>
            <w:vAlign w:val="bottom"/>
          </w:tcPr>
          <w:p w14:paraId="734133EB" w14:textId="77777777" w:rsidR="00EB79B5" w:rsidRPr="00EB79B5" w:rsidRDefault="0025701F" w:rsidP="00896256">
            <w:pPr>
              <w:jc w:val="right"/>
              <w:rPr>
                <w:rFonts w:ascii="Arial" w:hAnsi="Arial" w:cs="Arial"/>
                <w:sz w:val="20"/>
                <w:szCs w:val="22"/>
              </w:rPr>
            </w:pPr>
            <w:r>
              <w:rPr>
                <w:rFonts w:ascii="Arial" w:hAnsi="Arial" w:cs="Arial"/>
                <w:sz w:val="20"/>
                <w:szCs w:val="22"/>
              </w:rPr>
              <w:t>4,175,000</w:t>
            </w:r>
          </w:p>
        </w:tc>
        <w:tc>
          <w:tcPr>
            <w:tcW w:w="2437" w:type="dxa"/>
            <w:tcBorders>
              <w:left w:val="nil"/>
              <w:right w:val="nil"/>
            </w:tcBorders>
            <w:vAlign w:val="bottom"/>
          </w:tcPr>
          <w:p w14:paraId="2771B4C2" w14:textId="77777777" w:rsidR="00EB79B5" w:rsidRPr="00EB79B5" w:rsidRDefault="0025701F" w:rsidP="00896256">
            <w:pPr>
              <w:jc w:val="right"/>
              <w:rPr>
                <w:rFonts w:ascii="Arial" w:hAnsi="Arial" w:cs="Arial"/>
                <w:sz w:val="20"/>
                <w:szCs w:val="22"/>
              </w:rPr>
            </w:pPr>
            <w:r>
              <w:rPr>
                <w:rFonts w:ascii="Arial" w:hAnsi="Arial" w:cs="Arial"/>
                <w:sz w:val="20"/>
                <w:szCs w:val="22"/>
              </w:rPr>
              <w:t>0.25</w:t>
            </w:r>
          </w:p>
        </w:tc>
      </w:tr>
      <w:tr w:rsidR="00EB79B5" w:rsidRPr="00EB79B5" w14:paraId="38331A5A" w14:textId="77777777" w:rsidTr="0025701F">
        <w:trPr>
          <w:trHeight w:val="70"/>
        </w:trPr>
        <w:tc>
          <w:tcPr>
            <w:tcW w:w="5076" w:type="dxa"/>
            <w:tcBorders>
              <w:left w:val="nil"/>
              <w:right w:val="nil"/>
            </w:tcBorders>
            <w:vAlign w:val="bottom"/>
          </w:tcPr>
          <w:p w14:paraId="687A859D" w14:textId="77777777" w:rsidR="00EB79B5" w:rsidRPr="00EB79B5" w:rsidRDefault="00EB79B5" w:rsidP="00896256">
            <w:pPr>
              <w:rPr>
                <w:rFonts w:ascii="Arial" w:hAnsi="Arial" w:cs="Arial"/>
                <w:sz w:val="20"/>
                <w:szCs w:val="22"/>
              </w:rPr>
            </w:pPr>
            <w:r w:rsidRPr="00EB79B5">
              <w:rPr>
                <w:rFonts w:ascii="Arial" w:hAnsi="Arial" w:cs="Arial"/>
                <w:sz w:val="20"/>
                <w:szCs w:val="22"/>
              </w:rPr>
              <w:t>Exercised</w:t>
            </w:r>
          </w:p>
        </w:tc>
        <w:tc>
          <w:tcPr>
            <w:tcW w:w="2410" w:type="dxa"/>
            <w:tcBorders>
              <w:left w:val="nil"/>
              <w:right w:val="nil"/>
            </w:tcBorders>
            <w:noWrap/>
            <w:vAlign w:val="bottom"/>
          </w:tcPr>
          <w:p w14:paraId="3F64C1E9" w14:textId="77777777" w:rsidR="00EB79B5" w:rsidRPr="00EB79B5" w:rsidRDefault="0025701F" w:rsidP="00896256">
            <w:pPr>
              <w:jc w:val="right"/>
              <w:rPr>
                <w:rFonts w:ascii="Arial" w:hAnsi="Arial" w:cs="Arial"/>
                <w:sz w:val="20"/>
                <w:szCs w:val="22"/>
              </w:rPr>
            </w:pPr>
            <w:r>
              <w:rPr>
                <w:rFonts w:ascii="Arial" w:hAnsi="Arial" w:cs="Arial"/>
                <w:sz w:val="20"/>
                <w:szCs w:val="22"/>
              </w:rPr>
              <w:t>(100,000)</w:t>
            </w:r>
          </w:p>
        </w:tc>
        <w:tc>
          <w:tcPr>
            <w:tcW w:w="2437" w:type="dxa"/>
            <w:tcBorders>
              <w:left w:val="nil"/>
              <w:right w:val="nil"/>
            </w:tcBorders>
            <w:vAlign w:val="bottom"/>
          </w:tcPr>
          <w:p w14:paraId="176FD460" w14:textId="77777777" w:rsidR="00EB79B5" w:rsidRPr="00EB79B5" w:rsidRDefault="0025701F" w:rsidP="00896256">
            <w:pPr>
              <w:jc w:val="right"/>
              <w:rPr>
                <w:rFonts w:ascii="Arial" w:hAnsi="Arial" w:cs="Arial"/>
                <w:sz w:val="20"/>
                <w:szCs w:val="22"/>
              </w:rPr>
            </w:pPr>
            <w:r>
              <w:rPr>
                <w:rFonts w:ascii="Arial" w:hAnsi="Arial" w:cs="Arial"/>
                <w:sz w:val="20"/>
                <w:szCs w:val="22"/>
              </w:rPr>
              <w:t>0.08</w:t>
            </w:r>
          </w:p>
        </w:tc>
      </w:tr>
      <w:tr w:rsidR="00EB79B5" w:rsidRPr="00EB79B5" w14:paraId="79E7082C" w14:textId="77777777" w:rsidTr="00AD64E4">
        <w:trPr>
          <w:trHeight w:val="227"/>
        </w:trPr>
        <w:tc>
          <w:tcPr>
            <w:tcW w:w="5076" w:type="dxa"/>
            <w:tcBorders>
              <w:top w:val="single" w:sz="4" w:space="0" w:color="auto"/>
              <w:left w:val="nil"/>
              <w:right w:val="nil"/>
            </w:tcBorders>
            <w:vAlign w:val="bottom"/>
          </w:tcPr>
          <w:p w14:paraId="1B86C05F" w14:textId="77777777" w:rsidR="00EB79B5" w:rsidRPr="00EB79B5" w:rsidRDefault="00EB79B5" w:rsidP="00896256">
            <w:pPr>
              <w:rPr>
                <w:rFonts w:ascii="Arial" w:hAnsi="Arial" w:cs="Arial"/>
                <w:sz w:val="20"/>
                <w:szCs w:val="22"/>
              </w:rPr>
            </w:pPr>
            <w:r w:rsidRPr="00EB79B5">
              <w:rPr>
                <w:rFonts w:ascii="Arial" w:hAnsi="Arial" w:cs="Arial"/>
                <w:sz w:val="20"/>
                <w:szCs w:val="22"/>
              </w:rPr>
              <w:t xml:space="preserve">Balance, </w:t>
            </w:r>
            <w:r w:rsidR="0025701F">
              <w:rPr>
                <w:rFonts w:ascii="Arial" w:hAnsi="Arial" w:cs="Arial"/>
                <w:sz w:val="20"/>
                <w:szCs w:val="22"/>
              </w:rPr>
              <w:t>December 31, 2020</w:t>
            </w:r>
          </w:p>
        </w:tc>
        <w:tc>
          <w:tcPr>
            <w:tcW w:w="2410" w:type="dxa"/>
            <w:tcBorders>
              <w:top w:val="single" w:sz="4" w:space="0" w:color="auto"/>
              <w:left w:val="nil"/>
              <w:right w:val="nil"/>
            </w:tcBorders>
            <w:noWrap/>
            <w:vAlign w:val="bottom"/>
          </w:tcPr>
          <w:p w14:paraId="1B8EAF8A" w14:textId="77777777" w:rsidR="00EB79B5" w:rsidRPr="00EB79B5" w:rsidRDefault="0025701F" w:rsidP="00896256">
            <w:pPr>
              <w:jc w:val="right"/>
              <w:rPr>
                <w:rFonts w:ascii="Arial" w:hAnsi="Arial" w:cs="Arial"/>
                <w:sz w:val="20"/>
                <w:szCs w:val="22"/>
              </w:rPr>
            </w:pPr>
            <w:r>
              <w:rPr>
                <w:rFonts w:ascii="Arial" w:hAnsi="Arial" w:cs="Arial"/>
                <w:sz w:val="20"/>
                <w:szCs w:val="22"/>
              </w:rPr>
              <w:t>4,075,000</w:t>
            </w:r>
          </w:p>
        </w:tc>
        <w:tc>
          <w:tcPr>
            <w:tcW w:w="2437" w:type="dxa"/>
            <w:tcBorders>
              <w:top w:val="single" w:sz="4" w:space="0" w:color="auto"/>
              <w:left w:val="nil"/>
              <w:right w:val="nil"/>
            </w:tcBorders>
            <w:vAlign w:val="bottom"/>
          </w:tcPr>
          <w:p w14:paraId="4BF10F5C" w14:textId="77777777" w:rsidR="00EB79B5" w:rsidRPr="00EB79B5" w:rsidRDefault="0025701F" w:rsidP="00896256">
            <w:pPr>
              <w:jc w:val="right"/>
              <w:rPr>
                <w:rFonts w:ascii="Arial" w:hAnsi="Arial" w:cs="Arial"/>
                <w:sz w:val="20"/>
                <w:szCs w:val="22"/>
              </w:rPr>
            </w:pPr>
            <w:r>
              <w:rPr>
                <w:rFonts w:ascii="Arial" w:hAnsi="Arial" w:cs="Arial"/>
                <w:sz w:val="20"/>
                <w:szCs w:val="22"/>
              </w:rPr>
              <w:t>0.23</w:t>
            </w:r>
          </w:p>
        </w:tc>
      </w:tr>
      <w:tr w:rsidR="00571E69" w:rsidRPr="00EB79B5" w14:paraId="50411ACE" w14:textId="77777777" w:rsidTr="00AD64E4">
        <w:trPr>
          <w:trHeight w:val="227"/>
        </w:trPr>
        <w:tc>
          <w:tcPr>
            <w:tcW w:w="5076" w:type="dxa"/>
            <w:tcBorders>
              <w:left w:val="nil"/>
              <w:right w:val="nil"/>
            </w:tcBorders>
            <w:vAlign w:val="bottom"/>
          </w:tcPr>
          <w:p w14:paraId="2F317254" w14:textId="77777777" w:rsidR="00571E69" w:rsidRPr="00EB79B5" w:rsidRDefault="00571E69" w:rsidP="00896256">
            <w:pPr>
              <w:rPr>
                <w:rFonts w:ascii="Arial" w:hAnsi="Arial" w:cs="Arial"/>
                <w:sz w:val="20"/>
                <w:szCs w:val="22"/>
              </w:rPr>
            </w:pPr>
            <w:r>
              <w:rPr>
                <w:rFonts w:ascii="Arial" w:hAnsi="Arial" w:cs="Arial"/>
                <w:sz w:val="20"/>
                <w:szCs w:val="22"/>
              </w:rPr>
              <w:t>Granted</w:t>
            </w:r>
          </w:p>
        </w:tc>
        <w:tc>
          <w:tcPr>
            <w:tcW w:w="2410" w:type="dxa"/>
            <w:tcBorders>
              <w:left w:val="nil"/>
              <w:right w:val="nil"/>
            </w:tcBorders>
            <w:noWrap/>
            <w:vAlign w:val="bottom"/>
          </w:tcPr>
          <w:p w14:paraId="16FBBB30" w14:textId="77777777" w:rsidR="00571E69" w:rsidRDefault="00571E69" w:rsidP="00896256">
            <w:pPr>
              <w:jc w:val="right"/>
              <w:rPr>
                <w:rFonts w:ascii="Arial" w:hAnsi="Arial" w:cs="Arial"/>
                <w:sz w:val="20"/>
                <w:szCs w:val="22"/>
              </w:rPr>
            </w:pPr>
            <w:r>
              <w:rPr>
                <w:rFonts w:ascii="Arial" w:hAnsi="Arial" w:cs="Arial"/>
                <w:sz w:val="20"/>
                <w:szCs w:val="22"/>
              </w:rPr>
              <w:t>978,887</w:t>
            </w:r>
          </w:p>
        </w:tc>
        <w:tc>
          <w:tcPr>
            <w:tcW w:w="2437" w:type="dxa"/>
            <w:tcBorders>
              <w:left w:val="nil"/>
              <w:right w:val="nil"/>
            </w:tcBorders>
            <w:vAlign w:val="bottom"/>
          </w:tcPr>
          <w:p w14:paraId="5248DC87" w14:textId="77777777" w:rsidR="00571E69" w:rsidRDefault="00571E69" w:rsidP="00896256">
            <w:pPr>
              <w:jc w:val="right"/>
              <w:rPr>
                <w:rFonts w:ascii="Arial" w:hAnsi="Arial" w:cs="Arial"/>
                <w:sz w:val="20"/>
                <w:szCs w:val="22"/>
              </w:rPr>
            </w:pPr>
            <w:r>
              <w:rPr>
                <w:rFonts w:ascii="Arial" w:hAnsi="Arial" w:cs="Arial"/>
                <w:sz w:val="20"/>
                <w:szCs w:val="22"/>
              </w:rPr>
              <w:t>0.61</w:t>
            </w:r>
          </w:p>
        </w:tc>
      </w:tr>
      <w:tr w:rsidR="00571E69" w:rsidRPr="00EB79B5" w14:paraId="7F66EAD2" w14:textId="77777777" w:rsidTr="00AD64E4">
        <w:trPr>
          <w:trHeight w:val="227"/>
        </w:trPr>
        <w:tc>
          <w:tcPr>
            <w:tcW w:w="5076" w:type="dxa"/>
            <w:tcBorders>
              <w:left w:val="nil"/>
              <w:bottom w:val="single" w:sz="4" w:space="0" w:color="auto"/>
              <w:right w:val="nil"/>
            </w:tcBorders>
            <w:vAlign w:val="bottom"/>
          </w:tcPr>
          <w:p w14:paraId="6CAE4306" w14:textId="77777777" w:rsidR="00571E69" w:rsidRPr="00EB79B5" w:rsidRDefault="00571E69" w:rsidP="00896256">
            <w:pPr>
              <w:rPr>
                <w:rFonts w:ascii="Arial" w:hAnsi="Arial" w:cs="Arial"/>
                <w:sz w:val="20"/>
                <w:szCs w:val="22"/>
              </w:rPr>
            </w:pPr>
            <w:r>
              <w:rPr>
                <w:rFonts w:ascii="Arial" w:hAnsi="Arial" w:cs="Arial"/>
                <w:sz w:val="20"/>
                <w:szCs w:val="22"/>
              </w:rPr>
              <w:t>Exercised</w:t>
            </w:r>
          </w:p>
        </w:tc>
        <w:tc>
          <w:tcPr>
            <w:tcW w:w="2410" w:type="dxa"/>
            <w:tcBorders>
              <w:left w:val="nil"/>
              <w:bottom w:val="single" w:sz="4" w:space="0" w:color="auto"/>
              <w:right w:val="nil"/>
            </w:tcBorders>
            <w:noWrap/>
            <w:vAlign w:val="bottom"/>
          </w:tcPr>
          <w:p w14:paraId="744E367C" w14:textId="77777777" w:rsidR="00571E69" w:rsidRDefault="00571E69" w:rsidP="00896256">
            <w:pPr>
              <w:jc w:val="right"/>
              <w:rPr>
                <w:rFonts w:ascii="Arial" w:hAnsi="Arial" w:cs="Arial"/>
                <w:sz w:val="20"/>
                <w:szCs w:val="22"/>
              </w:rPr>
            </w:pPr>
            <w:r>
              <w:rPr>
                <w:rFonts w:ascii="Arial" w:hAnsi="Arial" w:cs="Arial"/>
                <w:sz w:val="20"/>
                <w:szCs w:val="22"/>
              </w:rPr>
              <w:t>(50,000)</w:t>
            </w:r>
          </w:p>
        </w:tc>
        <w:tc>
          <w:tcPr>
            <w:tcW w:w="2437" w:type="dxa"/>
            <w:tcBorders>
              <w:left w:val="nil"/>
              <w:bottom w:val="single" w:sz="4" w:space="0" w:color="auto"/>
              <w:right w:val="nil"/>
            </w:tcBorders>
            <w:vAlign w:val="bottom"/>
          </w:tcPr>
          <w:p w14:paraId="778D363E" w14:textId="77777777" w:rsidR="00571E69" w:rsidRDefault="00571E69" w:rsidP="00896256">
            <w:pPr>
              <w:jc w:val="right"/>
              <w:rPr>
                <w:rFonts w:ascii="Arial" w:hAnsi="Arial" w:cs="Arial"/>
                <w:sz w:val="20"/>
                <w:szCs w:val="22"/>
              </w:rPr>
            </w:pPr>
            <w:r>
              <w:rPr>
                <w:rFonts w:ascii="Arial" w:hAnsi="Arial" w:cs="Arial"/>
                <w:sz w:val="20"/>
                <w:szCs w:val="22"/>
              </w:rPr>
              <w:t>0.08</w:t>
            </w:r>
          </w:p>
        </w:tc>
      </w:tr>
      <w:tr w:rsidR="00571E69" w:rsidRPr="00EB79B5" w14:paraId="1A656CFA" w14:textId="77777777" w:rsidTr="00AD64E4">
        <w:trPr>
          <w:trHeight w:val="227"/>
        </w:trPr>
        <w:tc>
          <w:tcPr>
            <w:tcW w:w="5076" w:type="dxa"/>
            <w:tcBorders>
              <w:top w:val="single" w:sz="4" w:space="0" w:color="auto"/>
              <w:left w:val="nil"/>
              <w:bottom w:val="single" w:sz="12" w:space="0" w:color="auto"/>
              <w:right w:val="nil"/>
            </w:tcBorders>
            <w:vAlign w:val="bottom"/>
          </w:tcPr>
          <w:p w14:paraId="2A4B75B3" w14:textId="57B3A2AA" w:rsidR="00571E69" w:rsidRPr="00EB79B5" w:rsidRDefault="00571E69" w:rsidP="00896256">
            <w:pPr>
              <w:rPr>
                <w:rFonts w:ascii="Arial" w:hAnsi="Arial" w:cs="Arial"/>
                <w:sz w:val="20"/>
                <w:szCs w:val="22"/>
              </w:rPr>
            </w:pPr>
            <w:r>
              <w:rPr>
                <w:rFonts w:ascii="Arial" w:hAnsi="Arial" w:cs="Arial"/>
                <w:sz w:val="20"/>
                <w:szCs w:val="22"/>
              </w:rPr>
              <w:t xml:space="preserve">Balance, </w:t>
            </w:r>
            <w:r w:rsidR="00C30C12">
              <w:rPr>
                <w:rFonts w:ascii="Arial" w:hAnsi="Arial" w:cs="Arial"/>
                <w:sz w:val="20"/>
                <w:szCs w:val="22"/>
              </w:rPr>
              <w:t>June 30</w:t>
            </w:r>
            <w:r>
              <w:rPr>
                <w:rFonts w:ascii="Arial" w:hAnsi="Arial" w:cs="Arial"/>
                <w:sz w:val="20"/>
                <w:szCs w:val="22"/>
              </w:rPr>
              <w:t>, 2021</w:t>
            </w:r>
          </w:p>
        </w:tc>
        <w:tc>
          <w:tcPr>
            <w:tcW w:w="2410" w:type="dxa"/>
            <w:tcBorders>
              <w:top w:val="single" w:sz="4" w:space="0" w:color="auto"/>
              <w:left w:val="nil"/>
              <w:bottom w:val="single" w:sz="12" w:space="0" w:color="auto"/>
              <w:right w:val="nil"/>
            </w:tcBorders>
            <w:noWrap/>
            <w:vAlign w:val="bottom"/>
          </w:tcPr>
          <w:p w14:paraId="2BEF0DCC" w14:textId="77777777" w:rsidR="00571E69" w:rsidRDefault="00571E69" w:rsidP="00896256">
            <w:pPr>
              <w:jc w:val="right"/>
              <w:rPr>
                <w:rFonts w:ascii="Arial" w:hAnsi="Arial" w:cs="Arial"/>
                <w:sz w:val="20"/>
                <w:szCs w:val="22"/>
              </w:rPr>
            </w:pPr>
            <w:r>
              <w:rPr>
                <w:rFonts w:ascii="Arial" w:hAnsi="Arial" w:cs="Arial"/>
                <w:sz w:val="20"/>
                <w:szCs w:val="22"/>
              </w:rPr>
              <w:t>5,003,887</w:t>
            </w:r>
          </w:p>
        </w:tc>
        <w:tc>
          <w:tcPr>
            <w:tcW w:w="2437" w:type="dxa"/>
            <w:tcBorders>
              <w:top w:val="single" w:sz="4" w:space="0" w:color="auto"/>
              <w:left w:val="nil"/>
              <w:bottom w:val="single" w:sz="12" w:space="0" w:color="auto"/>
              <w:right w:val="nil"/>
            </w:tcBorders>
            <w:vAlign w:val="bottom"/>
          </w:tcPr>
          <w:p w14:paraId="0CF126AD" w14:textId="77777777" w:rsidR="00571E69" w:rsidRDefault="00571E69" w:rsidP="00896256">
            <w:pPr>
              <w:jc w:val="right"/>
              <w:rPr>
                <w:rFonts w:ascii="Arial" w:hAnsi="Arial" w:cs="Arial"/>
                <w:sz w:val="20"/>
                <w:szCs w:val="22"/>
              </w:rPr>
            </w:pPr>
            <w:r>
              <w:rPr>
                <w:rFonts w:ascii="Arial" w:hAnsi="Arial" w:cs="Arial"/>
                <w:sz w:val="20"/>
                <w:szCs w:val="22"/>
              </w:rPr>
              <w:t>0.33</w:t>
            </w:r>
          </w:p>
        </w:tc>
      </w:tr>
    </w:tbl>
    <w:p w14:paraId="40127A27" w14:textId="77777777" w:rsidR="00EB79B5" w:rsidRDefault="00EB79B5" w:rsidP="007A16BC">
      <w:pPr>
        <w:widowControl/>
        <w:tabs>
          <w:tab w:val="left" w:pos="-1440"/>
          <w:tab w:val="left" w:pos="0"/>
          <w:tab w:val="left" w:pos="720"/>
          <w:tab w:val="left" w:pos="1440"/>
          <w:tab w:val="left" w:pos="2160"/>
          <w:tab w:val="left" w:pos="2880"/>
          <w:tab w:val="left" w:pos="4896"/>
        </w:tabs>
        <w:ind w:firstLine="680"/>
        <w:outlineLvl w:val="0"/>
        <w:rPr>
          <w:rFonts w:ascii="Arial" w:hAnsi="Arial" w:cs="Arial"/>
          <w:bCs/>
          <w:sz w:val="20"/>
          <w:szCs w:val="20"/>
          <w:lang w:val="en-US"/>
        </w:rPr>
      </w:pPr>
    </w:p>
    <w:p w14:paraId="3F45638D" w14:textId="77777777" w:rsidR="00112C3D" w:rsidRDefault="00112C3D"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tbl>
      <w:tblPr>
        <w:tblW w:w="9923" w:type="dxa"/>
        <w:tblInd w:w="142" w:type="dxa"/>
        <w:tblCellMar>
          <w:left w:w="115" w:type="dxa"/>
          <w:right w:w="115" w:type="dxa"/>
        </w:tblCellMar>
        <w:tblLook w:val="04A0" w:firstRow="1" w:lastRow="0" w:firstColumn="1" w:lastColumn="0" w:noHBand="0" w:noVBand="1"/>
      </w:tblPr>
      <w:tblGrid>
        <w:gridCol w:w="2268"/>
        <w:gridCol w:w="2126"/>
        <w:gridCol w:w="1480"/>
        <w:gridCol w:w="1612"/>
        <w:gridCol w:w="2437"/>
      </w:tblGrid>
      <w:tr w:rsidR="0025701F" w:rsidRPr="007374B6" w14:paraId="54123780" w14:textId="77777777" w:rsidTr="00C576C2">
        <w:trPr>
          <w:trHeight w:val="57"/>
        </w:trPr>
        <w:tc>
          <w:tcPr>
            <w:tcW w:w="2268" w:type="dxa"/>
            <w:tcBorders>
              <w:left w:val="nil"/>
              <w:bottom w:val="single" w:sz="4" w:space="0" w:color="auto"/>
              <w:right w:val="nil"/>
            </w:tcBorders>
            <w:vAlign w:val="bottom"/>
          </w:tcPr>
          <w:p w14:paraId="6104DD3B"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Options</w:t>
            </w:r>
          </w:p>
          <w:p w14:paraId="12A81A58"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Outstanding</w:t>
            </w:r>
          </w:p>
        </w:tc>
        <w:tc>
          <w:tcPr>
            <w:tcW w:w="2126" w:type="dxa"/>
            <w:tcBorders>
              <w:left w:val="nil"/>
              <w:bottom w:val="single" w:sz="4" w:space="0" w:color="auto"/>
              <w:right w:val="nil"/>
            </w:tcBorders>
            <w:vAlign w:val="bottom"/>
          </w:tcPr>
          <w:p w14:paraId="560769C0"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 xml:space="preserve">Options </w:t>
            </w:r>
          </w:p>
          <w:p w14:paraId="7570C509"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exercisable</w:t>
            </w:r>
          </w:p>
        </w:tc>
        <w:tc>
          <w:tcPr>
            <w:tcW w:w="1480" w:type="dxa"/>
            <w:tcBorders>
              <w:left w:val="nil"/>
              <w:bottom w:val="single" w:sz="4" w:space="0" w:color="auto"/>
              <w:right w:val="nil"/>
            </w:tcBorders>
            <w:vAlign w:val="bottom"/>
          </w:tcPr>
          <w:p w14:paraId="0243E5C1"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Exercise price</w:t>
            </w:r>
          </w:p>
        </w:tc>
        <w:tc>
          <w:tcPr>
            <w:tcW w:w="1612" w:type="dxa"/>
            <w:tcBorders>
              <w:left w:val="nil"/>
              <w:bottom w:val="single" w:sz="4" w:space="0" w:color="auto"/>
              <w:right w:val="nil"/>
            </w:tcBorders>
            <w:noWrap/>
            <w:vAlign w:val="bottom"/>
          </w:tcPr>
          <w:p w14:paraId="01D1DDC8"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Remaining life</w:t>
            </w:r>
          </w:p>
          <w:p w14:paraId="6B35EBC4"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(years)</w:t>
            </w:r>
          </w:p>
        </w:tc>
        <w:tc>
          <w:tcPr>
            <w:tcW w:w="2437" w:type="dxa"/>
            <w:tcBorders>
              <w:left w:val="nil"/>
              <w:bottom w:val="single" w:sz="4" w:space="0" w:color="auto"/>
              <w:right w:val="nil"/>
            </w:tcBorders>
            <w:vAlign w:val="bottom"/>
          </w:tcPr>
          <w:p w14:paraId="0EA2B231"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Expiry</w:t>
            </w:r>
          </w:p>
          <w:p w14:paraId="129AB4AE" w14:textId="77777777" w:rsidR="0025701F" w:rsidRPr="007374B6" w:rsidRDefault="0025701F" w:rsidP="00896256">
            <w:pPr>
              <w:jc w:val="center"/>
              <w:rPr>
                <w:rFonts w:ascii="Arial" w:hAnsi="Arial" w:cs="Arial"/>
                <w:sz w:val="20"/>
                <w:szCs w:val="22"/>
              </w:rPr>
            </w:pPr>
            <w:r w:rsidRPr="007374B6">
              <w:rPr>
                <w:rFonts w:ascii="Arial" w:hAnsi="Arial" w:cs="Arial"/>
                <w:sz w:val="20"/>
                <w:szCs w:val="22"/>
              </w:rPr>
              <w:t>date</w:t>
            </w:r>
          </w:p>
        </w:tc>
      </w:tr>
      <w:tr w:rsidR="0025701F" w:rsidRPr="007374B6" w14:paraId="48948DD8" w14:textId="77777777" w:rsidTr="00C576C2">
        <w:trPr>
          <w:trHeight w:val="57"/>
        </w:trPr>
        <w:tc>
          <w:tcPr>
            <w:tcW w:w="2268" w:type="dxa"/>
            <w:tcBorders>
              <w:top w:val="single" w:sz="4" w:space="0" w:color="auto"/>
              <w:left w:val="nil"/>
              <w:right w:val="nil"/>
            </w:tcBorders>
            <w:vAlign w:val="bottom"/>
          </w:tcPr>
          <w:p w14:paraId="59E7FD7E" w14:textId="77777777" w:rsidR="0025701F" w:rsidRPr="007374B6" w:rsidRDefault="0025701F" w:rsidP="00896256">
            <w:pPr>
              <w:jc w:val="center"/>
              <w:rPr>
                <w:rFonts w:ascii="Arial" w:hAnsi="Arial" w:cs="Arial"/>
                <w:sz w:val="20"/>
                <w:szCs w:val="22"/>
              </w:rPr>
            </w:pPr>
          </w:p>
        </w:tc>
        <w:tc>
          <w:tcPr>
            <w:tcW w:w="2126" w:type="dxa"/>
            <w:tcBorders>
              <w:top w:val="single" w:sz="4" w:space="0" w:color="auto"/>
              <w:left w:val="nil"/>
              <w:right w:val="nil"/>
            </w:tcBorders>
            <w:vAlign w:val="bottom"/>
          </w:tcPr>
          <w:p w14:paraId="33F4BC5E" w14:textId="77777777" w:rsidR="0025701F" w:rsidRPr="007374B6" w:rsidRDefault="0025701F" w:rsidP="00896256">
            <w:pPr>
              <w:jc w:val="center"/>
              <w:rPr>
                <w:rFonts w:ascii="Arial" w:hAnsi="Arial" w:cs="Arial"/>
                <w:sz w:val="20"/>
                <w:szCs w:val="22"/>
              </w:rPr>
            </w:pPr>
          </w:p>
        </w:tc>
        <w:tc>
          <w:tcPr>
            <w:tcW w:w="1480" w:type="dxa"/>
            <w:tcBorders>
              <w:top w:val="single" w:sz="4" w:space="0" w:color="auto"/>
              <w:left w:val="nil"/>
              <w:right w:val="nil"/>
            </w:tcBorders>
            <w:vAlign w:val="bottom"/>
          </w:tcPr>
          <w:p w14:paraId="4EEB23B6" w14:textId="77777777" w:rsidR="0025701F" w:rsidRPr="007374B6" w:rsidRDefault="0025701F" w:rsidP="00383E0B">
            <w:pPr>
              <w:ind w:left="312"/>
              <w:jc w:val="center"/>
              <w:rPr>
                <w:rFonts w:ascii="Arial" w:hAnsi="Arial" w:cs="Arial"/>
                <w:sz w:val="20"/>
                <w:szCs w:val="22"/>
              </w:rPr>
            </w:pPr>
            <w:r w:rsidRPr="007374B6">
              <w:rPr>
                <w:rFonts w:ascii="Arial" w:hAnsi="Arial" w:cs="Arial"/>
                <w:sz w:val="20"/>
                <w:szCs w:val="22"/>
              </w:rPr>
              <w:t>$</w:t>
            </w:r>
          </w:p>
        </w:tc>
        <w:tc>
          <w:tcPr>
            <w:tcW w:w="1612" w:type="dxa"/>
            <w:tcBorders>
              <w:top w:val="single" w:sz="4" w:space="0" w:color="auto"/>
              <w:left w:val="nil"/>
              <w:right w:val="nil"/>
            </w:tcBorders>
            <w:noWrap/>
            <w:vAlign w:val="bottom"/>
          </w:tcPr>
          <w:p w14:paraId="2DC5D47C" w14:textId="77777777" w:rsidR="0025701F" w:rsidRPr="007374B6" w:rsidRDefault="0025701F" w:rsidP="00896256">
            <w:pPr>
              <w:jc w:val="center"/>
              <w:rPr>
                <w:rFonts w:ascii="Arial" w:hAnsi="Arial" w:cs="Arial"/>
                <w:sz w:val="20"/>
                <w:szCs w:val="22"/>
              </w:rPr>
            </w:pPr>
          </w:p>
        </w:tc>
        <w:tc>
          <w:tcPr>
            <w:tcW w:w="2437" w:type="dxa"/>
            <w:tcBorders>
              <w:top w:val="single" w:sz="4" w:space="0" w:color="auto"/>
              <w:left w:val="nil"/>
              <w:right w:val="nil"/>
            </w:tcBorders>
            <w:vAlign w:val="bottom"/>
          </w:tcPr>
          <w:p w14:paraId="19756AF2" w14:textId="77777777" w:rsidR="0025701F" w:rsidRPr="007374B6" w:rsidRDefault="0025701F" w:rsidP="00896256">
            <w:pPr>
              <w:jc w:val="center"/>
              <w:rPr>
                <w:rFonts w:ascii="Arial" w:hAnsi="Arial" w:cs="Arial"/>
                <w:sz w:val="20"/>
                <w:szCs w:val="22"/>
              </w:rPr>
            </w:pPr>
          </w:p>
        </w:tc>
      </w:tr>
      <w:tr w:rsidR="0025701F" w:rsidRPr="007374B6" w14:paraId="6709242E" w14:textId="77777777" w:rsidTr="00C576C2">
        <w:trPr>
          <w:trHeight w:val="57"/>
        </w:trPr>
        <w:tc>
          <w:tcPr>
            <w:tcW w:w="2268" w:type="dxa"/>
            <w:tcBorders>
              <w:left w:val="nil"/>
              <w:right w:val="nil"/>
            </w:tcBorders>
            <w:vAlign w:val="bottom"/>
          </w:tcPr>
          <w:p w14:paraId="06127FB3" w14:textId="77777777" w:rsidR="0025701F" w:rsidRPr="007374B6" w:rsidRDefault="0025701F" w:rsidP="0025701F">
            <w:pPr>
              <w:ind w:right="417"/>
              <w:jc w:val="right"/>
              <w:rPr>
                <w:rFonts w:ascii="Arial" w:hAnsi="Arial" w:cs="Arial"/>
                <w:sz w:val="20"/>
                <w:szCs w:val="22"/>
              </w:rPr>
            </w:pPr>
            <w:bookmarkStart w:id="3" w:name="_Hlk523346396"/>
            <w:r w:rsidRPr="007374B6">
              <w:rPr>
                <w:rFonts w:ascii="Arial" w:hAnsi="Arial" w:cs="Arial"/>
                <w:sz w:val="20"/>
                <w:szCs w:val="22"/>
              </w:rPr>
              <w:t>3,450,000</w:t>
            </w:r>
          </w:p>
        </w:tc>
        <w:tc>
          <w:tcPr>
            <w:tcW w:w="2126" w:type="dxa"/>
            <w:tcBorders>
              <w:left w:val="nil"/>
              <w:right w:val="nil"/>
            </w:tcBorders>
            <w:vAlign w:val="bottom"/>
          </w:tcPr>
          <w:p w14:paraId="0EB99C8B" w14:textId="77777777" w:rsidR="0025701F" w:rsidRPr="007374B6" w:rsidRDefault="0025701F" w:rsidP="0025701F">
            <w:pPr>
              <w:ind w:right="427"/>
              <w:jc w:val="right"/>
              <w:rPr>
                <w:rFonts w:ascii="Arial" w:hAnsi="Arial" w:cs="Arial"/>
                <w:sz w:val="20"/>
                <w:szCs w:val="22"/>
              </w:rPr>
            </w:pPr>
            <w:r w:rsidRPr="007374B6">
              <w:rPr>
                <w:rFonts w:ascii="Arial" w:hAnsi="Arial" w:cs="Arial"/>
                <w:sz w:val="20"/>
                <w:szCs w:val="22"/>
              </w:rPr>
              <w:t>-</w:t>
            </w:r>
          </w:p>
        </w:tc>
        <w:tc>
          <w:tcPr>
            <w:tcW w:w="1480" w:type="dxa"/>
            <w:tcBorders>
              <w:left w:val="nil"/>
              <w:right w:val="nil"/>
            </w:tcBorders>
            <w:vAlign w:val="bottom"/>
          </w:tcPr>
          <w:p w14:paraId="01B741EA" w14:textId="77777777" w:rsidR="0025701F" w:rsidRPr="007374B6" w:rsidRDefault="0025701F" w:rsidP="00E730C8">
            <w:pPr>
              <w:tabs>
                <w:tab w:val="left" w:pos="879"/>
              </w:tabs>
              <w:ind w:right="225"/>
              <w:jc w:val="right"/>
              <w:rPr>
                <w:rFonts w:ascii="Arial" w:hAnsi="Arial" w:cs="Arial"/>
                <w:sz w:val="20"/>
                <w:szCs w:val="22"/>
              </w:rPr>
            </w:pPr>
            <w:r w:rsidRPr="007374B6">
              <w:rPr>
                <w:rFonts w:ascii="Arial" w:hAnsi="Arial" w:cs="Arial"/>
                <w:sz w:val="20"/>
                <w:szCs w:val="22"/>
              </w:rPr>
              <w:t>0.25</w:t>
            </w:r>
          </w:p>
        </w:tc>
        <w:tc>
          <w:tcPr>
            <w:tcW w:w="1612" w:type="dxa"/>
            <w:tcBorders>
              <w:left w:val="nil"/>
              <w:right w:val="nil"/>
            </w:tcBorders>
            <w:noWrap/>
            <w:vAlign w:val="bottom"/>
          </w:tcPr>
          <w:p w14:paraId="6E685112" w14:textId="77777777" w:rsidR="0025701F" w:rsidRPr="007374B6" w:rsidRDefault="0025701F" w:rsidP="0025701F">
            <w:pPr>
              <w:jc w:val="right"/>
              <w:rPr>
                <w:rFonts w:ascii="Arial" w:hAnsi="Arial" w:cs="Arial"/>
                <w:sz w:val="20"/>
                <w:szCs w:val="22"/>
              </w:rPr>
            </w:pPr>
            <w:r w:rsidRPr="007374B6">
              <w:rPr>
                <w:rFonts w:ascii="Arial" w:hAnsi="Arial" w:cs="Arial"/>
                <w:sz w:val="20"/>
                <w:szCs w:val="22"/>
              </w:rPr>
              <w:t>2.</w:t>
            </w:r>
            <w:r w:rsidR="00E66E26">
              <w:rPr>
                <w:rFonts w:ascii="Arial" w:hAnsi="Arial" w:cs="Arial"/>
                <w:sz w:val="20"/>
                <w:szCs w:val="22"/>
              </w:rPr>
              <w:t>63</w:t>
            </w:r>
          </w:p>
        </w:tc>
        <w:tc>
          <w:tcPr>
            <w:tcW w:w="2437" w:type="dxa"/>
            <w:tcBorders>
              <w:left w:val="nil"/>
              <w:right w:val="nil"/>
            </w:tcBorders>
            <w:vAlign w:val="bottom"/>
          </w:tcPr>
          <w:p w14:paraId="32FB200B" w14:textId="77777777" w:rsidR="0025701F" w:rsidRPr="007374B6" w:rsidRDefault="0025701F" w:rsidP="0025701F">
            <w:pPr>
              <w:jc w:val="right"/>
              <w:rPr>
                <w:rFonts w:ascii="Arial" w:hAnsi="Arial" w:cs="Arial"/>
                <w:sz w:val="20"/>
                <w:szCs w:val="22"/>
              </w:rPr>
            </w:pPr>
            <w:r w:rsidRPr="007374B6">
              <w:rPr>
                <w:rFonts w:ascii="Arial" w:hAnsi="Arial" w:cs="Arial"/>
                <w:sz w:val="20"/>
                <w:szCs w:val="22"/>
              </w:rPr>
              <w:t>November 17, 2023</w:t>
            </w:r>
          </w:p>
        </w:tc>
      </w:tr>
      <w:tr w:rsidR="0025701F" w:rsidRPr="007374B6" w14:paraId="1A796CFA" w14:textId="77777777" w:rsidTr="00C576C2">
        <w:trPr>
          <w:trHeight w:val="57"/>
        </w:trPr>
        <w:tc>
          <w:tcPr>
            <w:tcW w:w="2268" w:type="dxa"/>
            <w:tcBorders>
              <w:left w:val="nil"/>
              <w:right w:val="nil"/>
            </w:tcBorders>
            <w:vAlign w:val="bottom"/>
          </w:tcPr>
          <w:p w14:paraId="64BDDEE9" w14:textId="77777777" w:rsidR="0025701F" w:rsidRPr="007374B6" w:rsidRDefault="0025701F" w:rsidP="0025701F">
            <w:pPr>
              <w:ind w:right="417"/>
              <w:jc w:val="right"/>
              <w:rPr>
                <w:rFonts w:ascii="Arial" w:hAnsi="Arial" w:cs="Arial"/>
                <w:sz w:val="20"/>
                <w:szCs w:val="22"/>
              </w:rPr>
            </w:pPr>
            <w:r w:rsidRPr="007374B6">
              <w:rPr>
                <w:rFonts w:ascii="Arial" w:hAnsi="Arial" w:cs="Arial"/>
                <w:sz w:val="20"/>
                <w:szCs w:val="22"/>
              </w:rPr>
              <w:t>150,000</w:t>
            </w:r>
          </w:p>
        </w:tc>
        <w:tc>
          <w:tcPr>
            <w:tcW w:w="2126" w:type="dxa"/>
            <w:tcBorders>
              <w:left w:val="nil"/>
              <w:right w:val="nil"/>
            </w:tcBorders>
            <w:vAlign w:val="bottom"/>
          </w:tcPr>
          <w:p w14:paraId="631D878E" w14:textId="77777777" w:rsidR="0025701F" w:rsidRPr="007374B6" w:rsidRDefault="0025701F" w:rsidP="0025701F">
            <w:pPr>
              <w:ind w:right="427"/>
              <w:jc w:val="right"/>
              <w:rPr>
                <w:rFonts w:ascii="Arial" w:hAnsi="Arial" w:cs="Arial"/>
                <w:sz w:val="20"/>
                <w:szCs w:val="22"/>
              </w:rPr>
            </w:pPr>
            <w:r w:rsidRPr="007374B6">
              <w:rPr>
                <w:rFonts w:ascii="Arial" w:hAnsi="Arial" w:cs="Arial"/>
                <w:sz w:val="20"/>
                <w:szCs w:val="22"/>
              </w:rPr>
              <w:t>-</w:t>
            </w:r>
          </w:p>
        </w:tc>
        <w:tc>
          <w:tcPr>
            <w:tcW w:w="1480" w:type="dxa"/>
            <w:tcBorders>
              <w:left w:val="nil"/>
              <w:right w:val="nil"/>
            </w:tcBorders>
            <w:vAlign w:val="bottom"/>
          </w:tcPr>
          <w:p w14:paraId="7EE63689" w14:textId="77777777" w:rsidR="0025701F" w:rsidRPr="007374B6" w:rsidRDefault="0025701F" w:rsidP="00E730C8">
            <w:pPr>
              <w:tabs>
                <w:tab w:val="left" w:pos="879"/>
              </w:tabs>
              <w:ind w:right="225"/>
              <w:jc w:val="right"/>
              <w:rPr>
                <w:rFonts w:ascii="Arial" w:hAnsi="Arial" w:cs="Arial"/>
                <w:sz w:val="20"/>
                <w:szCs w:val="22"/>
              </w:rPr>
            </w:pPr>
            <w:r w:rsidRPr="007374B6">
              <w:rPr>
                <w:rFonts w:ascii="Arial" w:hAnsi="Arial" w:cs="Arial"/>
                <w:sz w:val="20"/>
                <w:szCs w:val="22"/>
              </w:rPr>
              <w:t>0.25</w:t>
            </w:r>
          </w:p>
        </w:tc>
        <w:tc>
          <w:tcPr>
            <w:tcW w:w="1612" w:type="dxa"/>
            <w:tcBorders>
              <w:left w:val="nil"/>
              <w:right w:val="nil"/>
            </w:tcBorders>
            <w:noWrap/>
            <w:vAlign w:val="bottom"/>
          </w:tcPr>
          <w:p w14:paraId="60C731CF" w14:textId="77777777" w:rsidR="0025701F" w:rsidRPr="007374B6" w:rsidRDefault="00E66E26" w:rsidP="0025701F">
            <w:pPr>
              <w:jc w:val="right"/>
              <w:rPr>
                <w:rFonts w:ascii="Arial" w:hAnsi="Arial" w:cs="Arial"/>
                <w:sz w:val="20"/>
                <w:szCs w:val="22"/>
              </w:rPr>
            </w:pPr>
            <w:r>
              <w:rPr>
                <w:rFonts w:ascii="Arial" w:hAnsi="Arial" w:cs="Arial"/>
                <w:sz w:val="20"/>
                <w:szCs w:val="22"/>
              </w:rPr>
              <w:t>4.65</w:t>
            </w:r>
          </w:p>
        </w:tc>
        <w:tc>
          <w:tcPr>
            <w:tcW w:w="2437" w:type="dxa"/>
            <w:tcBorders>
              <w:left w:val="nil"/>
              <w:right w:val="nil"/>
            </w:tcBorders>
            <w:vAlign w:val="bottom"/>
          </w:tcPr>
          <w:p w14:paraId="54CEBEC5" w14:textId="77777777" w:rsidR="0025701F" w:rsidRPr="007374B6" w:rsidRDefault="0025701F" w:rsidP="0025701F">
            <w:pPr>
              <w:jc w:val="right"/>
              <w:rPr>
                <w:rFonts w:ascii="Arial" w:hAnsi="Arial" w:cs="Arial"/>
                <w:sz w:val="20"/>
                <w:szCs w:val="22"/>
              </w:rPr>
            </w:pPr>
            <w:r w:rsidRPr="007374B6">
              <w:rPr>
                <w:rFonts w:ascii="Arial" w:hAnsi="Arial" w:cs="Arial"/>
                <w:sz w:val="20"/>
                <w:szCs w:val="22"/>
              </w:rPr>
              <w:t>November 24, 2025</w:t>
            </w:r>
          </w:p>
        </w:tc>
      </w:tr>
      <w:tr w:rsidR="00E66E26" w:rsidRPr="007374B6" w14:paraId="709388C3" w14:textId="77777777" w:rsidTr="00C576C2">
        <w:trPr>
          <w:trHeight w:val="57"/>
        </w:trPr>
        <w:tc>
          <w:tcPr>
            <w:tcW w:w="2268" w:type="dxa"/>
            <w:tcBorders>
              <w:left w:val="nil"/>
              <w:right w:val="nil"/>
            </w:tcBorders>
            <w:vAlign w:val="bottom"/>
          </w:tcPr>
          <w:p w14:paraId="3F566B64" w14:textId="77777777" w:rsidR="00E66E26" w:rsidRPr="007374B6" w:rsidRDefault="00E66E26" w:rsidP="0025701F">
            <w:pPr>
              <w:ind w:right="417"/>
              <w:jc w:val="right"/>
              <w:rPr>
                <w:rFonts w:ascii="Arial" w:hAnsi="Arial" w:cs="Arial"/>
                <w:sz w:val="20"/>
                <w:szCs w:val="22"/>
              </w:rPr>
            </w:pPr>
            <w:r>
              <w:rPr>
                <w:rFonts w:ascii="Arial" w:hAnsi="Arial" w:cs="Arial"/>
                <w:sz w:val="20"/>
                <w:szCs w:val="22"/>
              </w:rPr>
              <w:t>425,000</w:t>
            </w:r>
          </w:p>
        </w:tc>
        <w:tc>
          <w:tcPr>
            <w:tcW w:w="2126" w:type="dxa"/>
            <w:tcBorders>
              <w:left w:val="nil"/>
              <w:right w:val="nil"/>
            </w:tcBorders>
            <w:vAlign w:val="bottom"/>
          </w:tcPr>
          <w:p w14:paraId="7162BA7C" w14:textId="77777777" w:rsidR="00E66E26" w:rsidRPr="007374B6" w:rsidRDefault="00E66E26" w:rsidP="0025701F">
            <w:pPr>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73991B1C" w14:textId="77777777" w:rsidR="00E66E26" w:rsidRPr="007374B6" w:rsidRDefault="00E66E26" w:rsidP="00E730C8">
            <w:pPr>
              <w:tabs>
                <w:tab w:val="left" w:pos="879"/>
              </w:tabs>
              <w:ind w:right="225"/>
              <w:jc w:val="right"/>
              <w:rPr>
                <w:rFonts w:ascii="Arial" w:hAnsi="Arial" w:cs="Arial"/>
                <w:sz w:val="20"/>
                <w:szCs w:val="22"/>
              </w:rPr>
            </w:pPr>
            <w:r>
              <w:rPr>
                <w:rFonts w:ascii="Arial" w:hAnsi="Arial" w:cs="Arial"/>
                <w:sz w:val="20"/>
                <w:szCs w:val="22"/>
              </w:rPr>
              <w:t>0.35</w:t>
            </w:r>
          </w:p>
        </w:tc>
        <w:tc>
          <w:tcPr>
            <w:tcW w:w="1612" w:type="dxa"/>
            <w:tcBorders>
              <w:left w:val="nil"/>
              <w:right w:val="nil"/>
            </w:tcBorders>
            <w:noWrap/>
            <w:vAlign w:val="bottom"/>
          </w:tcPr>
          <w:p w14:paraId="53B1E8F2" w14:textId="77777777" w:rsidR="00E66E26" w:rsidRPr="007374B6" w:rsidRDefault="00E66E26" w:rsidP="0025701F">
            <w:pPr>
              <w:jc w:val="right"/>
              <w:rPr>
                <w:rFonts w:ascii="Arial" w:hAnsi="Arial" w:cs="Arial"/>
                <w:sz w:val="20"/>
                <w:szCs w:val="22"/>
              </w:rPr>
            </w:pPr>
            <w:r>
              <w:rPr>
                <w:rFonts w:ascii="Arial" w:hAnsi="Arial" w:cs="Arial"/>
                <w:sz w:val="20"/>
                <w:szCs w:val="22"/>
              </w:rPr>
              <w:t>2.72</w:t>
            </w:r>
          </w:p>
        </w:tc>
        <w:tc>
          <w:tcPr>
            <w:tcW w:w="2437" w:type="dxa"/>
            <w:tcBorders>
              <w:left w:val="nil"/>
              <w:right w:val="nil"/>
            </w:tcBorders>
            <w:vAlign w:val="bottom"/>
          </w:tcPr>
          <w:p w14:paraId="6B427BC8" w14:textId="77777777" w:rsidR="00E66E26" w:rsidRPr="007374B6" w:rsidRDefault="00E66E26" w:rsidP="0025701F">
            <w:pPr>
              <w:jc w:val="right"/>
              <w:rPr>
                <w:rFonts w:ascii="Arial" w:hAnsi="Arial" w:cs="Arial"/>
                <w:sz w:val="20"/>
                <w:szCs w:val="22"/>
              </w:rPr>
            </w:pPr>
            <w:r>
              <w:rPr>
                <w:rFonts w:ascii="Arial" w:hAnsi="Arial" w:cs="Arial"/>
                <w:sz w:val="20"/>
                <w:szCs w:val="22"/>
              </w:rPr>
              <w:t>December 18, 2023</w:t>
            </w:r>
          </w:p>
        </w:tc>
      </w:tr>
      <w:tr w:rsidR="00E66E26" w:rsidRPr="007374B6" w14:paraId="2B5CFC4C" w14:textId="77777777" w:rsidTr="00C576C2">
        <w:trPr>
          <w:trHeight w:val="57"/>
        </w:trPr>
        <w:tc>
          <w:tcPr>
            <w:tcW w:w="2268" w:type="dxa"/>
            <w:tcBorders>
              <w:left w:val="nil"/>
              <w:right w:val="nil"/>
            </w:tcBorders>
            <w:vAlign w:val="bottom"/>
          </w:tcPr>
          <w:p w14:paraId="66F28A43" w14:textId="77777777" w:rsidR="00E66E26" w:rsidRPr="007374B6" w:rsidRDefault="00E66E26" w:rsidP="0025701F">
            <w:pPr>
              <w:ind w:right="417"/>
              <w:jc w:val="right"/>
              <w:rPr>
                <w:rFonts w:ascii="Arial" w:hAnsi="Arial" w:cs="Arial"/>
                <w:sz w:val="20"/>
                <w:szCs w:val="22"/>
              </w:rPr>
            </w:pPr>
            <w:r>
              <w:rPr>
                <w:rFonts w:ascii="Arial" w:hAnsi="Arial" w:cs="Arial"/>
                <w:sz w:val="20"/>
                <w:szCs w:val="22"/>
              </w:rPr>
              <w:t>400,000</w:t>
            </w:r>
          </w:p>
        </w:tc>
        <w:tc>
          <w:tcPr>
            <w:tcW w:w="2126" w:type="dxa"/>
            <w:tcBorders>
              <w:left w:val="nil"/>
              <w:right w:val="nil"/>
            </w:tcBorders>
            <w:vAlign w:val="bottom"/>
          </w:tcPr>
          <w:p w14:paraId="01AF1C10" w14:textId="77777777" w:rsidR="00E66E26" w:rsidRPr="007374B6" w:rsidRDefault="00E66E26" w:rsidP="0025701F">
            <w:pPr>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35D43E9F" w14:textId="77777777" w:rsidR="00E66E26" w:rsidRPr="007374B6" w:rsidRDefault="00E66E26" w:rsidP="00E730C8">
            <w:pPr>
              <w:tabs>
                <w:tab w:val="left" w:pos="879"/>
              </w:tabs>
              <w:ind w:right="225"/>
              <w:jc w:val="right"/>
              <w:rPr>
                <w:rFonts w:ascii="Arial" w:hAnsi="Arial" w:cs="Arial"/>
                <w:sz w:val="20"/>
                <w:szCs w:val="22"/>
              </w:rPr>
            </w:pPr>
            <w:r>
              <w:rPr>
                <w:rFonts w:ascii="Arial" w:hAnsi="Arial" w:cs="Arial"/>
                <w:sz w:val="20"/>
                <w:szCs w:val="22"/>
              </w:rPr>
              <w:t>0.65</w:t>
            </w:r>
          </w:p>
        </w:tc>
        <w:tc>
          <w:tcPr>
            <w:tcW w:w="1612" w:type="dxa"/>
            <w:tcBorders>
              <w:left w:val="nil"/>
              <w:right w:val="nil"/>
            </w:tcBorders>
            <w:noWrap/>
            <w:vAlign w:val="bottom"/>
          </w:tcPr>
          <w:p w14:paraId="2A732512" w14:textId="77777777" w:rsidR="00E66E26" w:rsidRPr="007374B6" w:rsidRDefault="00E66E26" w:rsidP="0025701F">
            <w:pPr>
              <w:jc w:val="right"/>
              <w:rPr>
                <w:rFonts w:ascii="Arial" w:hAnsi="Arial" w:cs="Arial"/>
                <w:sz w:val="20"/>
                <w:szCs w:val="22"/>
              </w:rPr>
            </w:pPr>
            <w:r>
              <w:rPr>
                <w:rFonts w:ascii="Arial" w:hAnsi="Arial" w:cs="Arial"/>
                <w:sz w:val="20"/>
                <w:szCs w:val="22"/>
              </w:rPr>
              <w:t>2.86</w:t>
            </w:r>
          </w:p>
        </w:tc>
        <w:tc>
          <w:tcPr>
            <w:tcW w:w="2437" w:type="dxa"/>
            <w:tcBorders>
              <w:left w:val="nil"/>
              <w:right w:val="nil"/>
            </w:tcBorders>
            <w:vAlign w:val="bottom"/>
          </w:tcPr>
          <w:p w14:paraId="1E61DCB6" w14:textId="77777777" w:rsidR="00E66E26" w:rsidRPr="007374B6" w:rsidRDefault="00E66E26" w:rsidP="0025701F">
            <w:pPr>
              <w:jc w:val="right"/>
              <w:rPr>
                <w:rFonts w:ascii="Arial" w:hAnsi="Arial" w:cs="Arial"/>
                <w:sz w:val="20"/>
                <w:szCs w:val="22"/>
              </w:rPr>
            </w:pPr>
            <w:r>
              <w:rPr>
                <w:rFonts w:ascii="Arial" w:hAnsi="Arial" w:cs="Arial"/>
                <w:sz w:val="20"/>
                <w:szCs w:val="22"/>
              </w:rPr>
              <w:t>February 8, 2024</w:t>
            </w:r>
          </w:p>
        </w:tc>
      </w:tr>
      <w:tr w:rsidR="00E66E26" w:rsidRPr="007374B6" w14:paraId="77F862F6" w14:textId="77777777" w:rsidTr="00C576C2">
        <w:trPr>
          <w:trHeight w:val="57"/>
        </w:trPr>
        <w:tc>
          <w:tcPr>
            <w:tcW w:w="2268" w:type="dxa"/>
            <w:tcBorders>
              <w:left w:val="nil"/>
              <w:right w:val="nil"/>
            </w:tcBorders>
            <w:vAlign w:val="bottom"/>
          </w:tcPr>
          <w:p w14:paraId="2947C2B5" w14:textId="77777777" w:rsidR="00E66E26" w:rsidRPr="007374B6" w:rsidRDefault="00E66E26" w:rsidP="0025701F">
            <w:pPr>
              <w:ind w:right="417"/>
              <w:jc w:val="right"/>
              <w:rPr>
                <w:rFonts w:ascii="Arial" w:hAnsi="Arial" w:cs="Arial"/>
                <w:sz w:val="20"/>
                <w:szCs w:val="22"/>
              </w:rPr>
            </w:pPr>
            <w:r>
              <w:rPr>
                <w:rFonts w:ascii="Arial" w:hAnsi="Arial" w:cs="Arial"/>
                <w:sz w:val="20"/>
                <w:szCs w:val="22"/>
              </w:rPr>
              <w:t>50,000</w:t>
            </w:r>
          </w:p>
        </w:tc>
        <w:tc>
          <w:tcPr>
            <w:tcW w:w="2126" w:type="dxa"/>
            <w:tcBorders>
              <w:left w:val="nil"/>
              <w:right w:val="nil"/>
            </w:tcBorders>
            <w:vAlign w:val="bottom"/>
          </w:tcPr>
          <w:p w14:paraId="41055E17" w14:textId="77777777" w:rsidR="00E66E26" w:rsidRPr="007374B6" w:rsidRDefault="00E66E26" w:rsidP="0025701F">
            <w:pPr>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05F76503" w14:textId="77777777" w:rsidR="00E66E26" w:rsidRPr="007374B6" w:rsidRDefault="00E66E26" w:rsidP="00E730C8">
            <w:pPr>
              <w:tabs>
                <w:tab w:val="left" w:pos="879"/>
              </w:tabs>
              <w:ind w:right="225"/>
              <w:jc w:val="right"/>
              <w:rPr>
                <w:rFonts w:ascii="Arial" w:hAnsi="Arial" w:cs="Arial"/>
                <w:sz w:val="20"/>
                <w:szCs w:val="22"/>
              </w:rPr>
            </w:pPr>
            <w:r>
              <w:rPr>
                <w:rFonts w:ascii="Arial" w:hAnsi="Arial" w:cs="Arial"/>
                <w:sz w:val="20"/>
                <w:szCs w:val="22"/>
              </w:rPr>
              <w:t>0.58</w:t>
            </w:r>
          </w:p>
        </w:tc>
        <w:tc>
          <w:tcPr>
            <w:tcW w:w="1612" w:type="dxa"/>
            <w:tcBorders>
              <w:left w:val="nil"/>
              <w:right w:val="nil"/>
            </w:tcBorders>
            <w:noWrap/>
            <w:vAlign w:val="bottom"/>
          </w:tcPr>
          <w:p w14:paraId="7EEAD098" w14:textId="77777777" w:rsidR="00E66E26" w:rsidRPr="007374B6" w:rsidRDefault="00E66E26" w:rsidP="0025701F">
            <w:pPr>
              <w:jc w:val="right"/>
              <w:rPr>
                <w:rFonts w:ascii="Arial" w:hAnsi="Arial" w:cs="Arial"/>
                <w:sz w:val="20"/>
                <w:szCs w:val="22"/>
              </w:rPr>
            </w:pPr>
            <w:r>
              <w:rPr>
                <w:rFonts w:ascii="Arial" w:hAnsi="Arial" w:cs="Arial"/>
                <w:sz w:val="20"/>
                <w:szCs w:val="22"/>
              </w:rPr>
              <w:t>2.87</w:t>
            </w:r>
          </w:p>
        </w:tc>
        <w:tc>
          <w:tcPr>
            <w:tcW w:w="2437" w:type="dxa"/>
            <w:tcBorders>
              <w:left w:val="nil"/>
              <w:right w:val="nil"/>
            </w:tcBorders>
            <w:vAlign w:val="bottom"/>
          </w:tcPr>
          <w:p w14:paraId="11515361" w14:textId="77777777" w:rsidR="00E66E26" w:rsidRPr="007374B6" w:rsidRDefault="00E66E26" w:rsidP="0025701F">
            <w:pPr>
              <w:jc w:val="right"/>
              <w:rPr>
                <w:rFonts w:ascii="Arial" w:hAnsi="Arial" w:cs="Arial"/>
                <w:sz w:val="20"/>
                <w:szCs w:val="22"/>
              </w:rPr>
            </w:pPr>
            <w:r>
              <w:rPr>
                <w:rFonts w:ascii="Arial" w:hAnsi="Arial" w:cs="Arial"/>
                <w:sz w:val="20"/>
                <w:szCs w:val="22"/>
              </w:rPr>
              <w:t>February 11, 2024</w:t>
            </w:r>
          </w:p>
        </w:tc>
      </w:tr>
      <w:tr w:rsidR="00E66E26" w:rsidRPr="007374B6" w14:paraId="075CF393" w14:textId="77777777" w:rsidTr="00C576C2">
        <w:trPr>
          <w:trHeight w:val="57"/>
        </w:trPr>
        <w:tc>
          <w:tcPr>
            <w:tcW w:w="2268" w:type="dxa"/>
            <w:tcBorders>
              <w:left w:val="nil"/>
              <w:right w:val="nil"/>
            </w:tcBorders>
            <w:vAlign w:val="bottom"/>
          </w:tcPr>
          <w:p w14:paraId="0EF97673" w14:textId="77777777" w:rsidR="00E66E26" w:rsidRPr="007374B6" w:rsidRDefault="00E66E26" w:rsidP="0025701F">
            <w:pPr>
              <w:ind w:right="417"/>
              <w:jc w:val="right"/>
              <w:rPr>
                <w:rFonts w:ascii="Arial" w:hAnsi="Arial" w:cs="Arial"/>
                <w:sz w:val="20"/>
                <w:szCs w:val="22"/>
              </w:rPr>
            </w:pPr>
            <w:r>
              <w:rPr>
                <w:rFonts w:ascii="Arial" w:hAnsi="Arial" w:cs="Arial"/>
                <w:sz w:val="20"/>
                <w:szCs w:val="22"/>
              </w:rPr>
              <w:t>70,000</w:t>
            </w:r>
          </w:p>
        </w:tc>
        <w:tc>
          <w:tcPr>
            <w:tcW w:w="2126" w:type="dxa"/>
            <w:tcBorders>
              <w:left w:val="nil"/>
              <w:right w:val="nil"/>
            </w:tcBorders>
            <w:vAlign w:val="bottom"/>
          </w:tcPr>
          <w:p w14:paraId="1341CFA7" w14:textId="77777777" w:rsidR="00E66E26" w:rsidRPr="007374B6" w:rsidRDefault="00E66E26" w:rsidP="0025701F">
            <w:pPr>
              <w:tabs>
                <w:tab w:val="right" w:pos="1425"/>
              </w:tabs>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5EC80425" w14:textId="77777777" w:rsidR="00E66E26" w:rsidRPr="007374B6" w:rsidRDefault="00E66E26" w:rsidP="00E730C8">
            <w:pPr>
              <w:tabs>
                <w:tab w:val="left" w:pos="879"/>
              </w:tabs>
              <w:ind w:right="225"/>
              <w:jc w:val="right"/>
              <w:rPr>
                <w:rFonts w:ascii="Arial" w:hAnsi="Arial" w:cs="Arial"/>
                <w:sz w:val="20"/>
                <w:szCs w:val="22"/>
              </w:rPr>
            </w:pPr>
            <w:r>
              <w:rPr>
                <w:rFonts w:ascii="Arial" w:hAnsi="Arial" w:cs="Arial"/>
                <w:sz w:val="20"/>
                <w:szCs w:val="22"/>
              </w:rPr>
              <w:t>0.75</w:t>
            </w:r>
          </w:p>
        </w:tc>
        <w:tc>
          <w:tcPr>
            <w:tcW w:w="1612" w:type="dxa"/>
            <w:tcBorders>
              <w:left w:val="nil"/>
              <w:right w:val="nil"/>
            </w:tcBorders>
            <w:noWrap/>
            <w:vAlign w:val="bottom"/>
          </w:tcPr>
          <w:p w14:paraId="3A53EE69" w14:textId="77777777" w:rsidR="00E66E26" w:rsidRPr="007374B6" w:rsidRDefault="00E66E26" w:rsidP="0025701F">
            <w:pPr>
              <w:jc w:val="right"/>
              <w:rPr>
                <w:rFonts w:ascii="Arial" w:hAnsi="Arial" w:cs="Arial"/>
                <w:sz w:val="20"/>
                <w:szCs w:val="22"/>
              </w:rPr>
            </w:pPr>
            <w:r>
              <w:rPr>
                <w:rFonts w:ascii="Arial" w:hAnsi="Arial" w:cs="Arial"/>
                <w:sz w:val="20"/>
                <w:szCs w:val="22"/>
              </w:rPr>
              <w:t>2.90</w:t>
            </w:r>
          </w:p>
        </w:tc>
        <w:tc>
          <w:tcPr>
            <w:tcW w:w="2437" w:type="dxa"/>
            <w:tcBorders>
              <w:left w:val="nil"/>
              <w:right w:val="nil"/>
            </w:tcBorders>
            <w:vAlign w:val="bottom"/>
          </w:tcPr>
          <w:p w14:paraId="40EE0C5C" w14:textId="77777777" w:rsidR="00E66E26" w:rsidRPr="007374B6" w:rsidRDefault="00E66E26" w:rsidP="0025701F">
            <w:pPr>
              <w:jc w:val="right"/>
              <w:rPr>
                <w:rFonts w:ascii="Arial" w:hAnsi="Arial" w:cs="Arial"/>
                <w:sz w:val="20"/>
                <w:szCs w:val="22"/>
              </w:rPr>
            </w:pPr>
            <w:r>
              <w:rPr>
                <w:rFonts w:ascii="Arial" w:hAnsi="Arial" w:cs="Arial"/>
                <w:sz w:val="20"/>
                <w:szCs w:val="22"/>
              </w:rPr>
              <w:t>February 22, 2024</w:t>
            </w:r>
          </w:p>
        </w:tc>
      </w:tr>
      <w:tr w:rsidR="00E66E26" w:rsidRPr="007374B6" w14:paraId="74784DB1" w14:textId="77777777" w:rsidTr="00C576C2">
        <w:trPr>
          <w:trHeight w:val="57"/>
        </w:trPr>
        <w:tc>
          <w:tcPr>
            <w:tcW w:w="2268" w:type="dxa"/>
            <w:tcBorders>
              <w:left w:val="nil"/>
              <w:right w:val="nil"/>
            </w:tcBorders>
            <w:vAlign w:val="bottom"/>
          </w:tcPr>
          <w:p w14:paraId="13F91331" w14:textId="77777777" w:rsidR="00E66E26" w:rsidRPr="007374B6" w:rsidRDefault="00E66E26" w:rsidP="0025701F">
            <w:pPr>
              <w:ind w:right="417"/>
              <w:jc w:val="right"/>
              <w:rPr>
                <w:rFonts w:ascii="Arial" w:hAnsi="Arial" w:cs="Arial"/>
                <w:sz w:val="20"/>
                <w:szCs w:val="22"/>
              </w:rPr>
            </w:pPr>
            <w:r>
              <w:rPr>
                <w:rFonts w:ascii="Arial" w:hAnsi="Arial" w:cs="Arial"/>
                <w:sz w:val="20"/>
                <w:szCs w:val="22"/>
              </w:rPr>
              <w:t>50,000</w:t>
            </w:r>
          </w:p>
        </w:tc>
        <w:tc>
          <w:tcPr>
            <w:tcW w:w="2126" w:type="dxa"/>
            <w:tcBorders>
              <w:left w:val="nil"/>
              <w:right w:val="nil"/>
            </w:tcBorders>
            <w:vAlign w:val="bottom"/>
          </w:tcPr>
          <w:p w14:paraId="5561E889" w14:textId="77777777" w:rsidR="00E66E26" w:rsidRPr="007374B6" w:rsidRDefault="00E66E26" w:rsidP="0025701F">
            <w:pPr>
              <w:tabs>
                <w:tab w:val="right" w:pos="1425"/>
              </w:tabs>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2822B047" w14:textId="77777777" w:rsidR="00E66E26" w:rsidRPr="007374B6" w:rsidRDefault="00E66E26" w:rsidP="00E730C8">
            <w:pPr>
              <w:tabs>
                <w:tab w:val="left" w:pos="879"/>
              </w:tabs>
              <w:ind w:right="225"/>
              <w:jc w:val="right"/>
              <w:rPr>
                <w:rFonts w:ascii="Arial" w:hAnsi="Arial" w:cs="Arial"/>
                <w:sz w:val="20"/>
                <w:szCs w:val="22"/>
              </w:rPr>
            </w:pPr>
            <w:r>
              <w:rPr>
                <w:rFonts w:ascii="Arial" w:hAnsi="Arial" w:cs="Arial"/>
                <w:sz w:val="20"/>
                <w:szCs w:val="22"/>
              </w:rPr>
              <w:t>0.63</w:t>
            </w:r>
          </w:p>
        </w:tc>
        <w:tc>
          <w:tcPr>
            <w:tcW w:w="1612" w:type="dxa"/>
            <w:tcBorders>
              <w:left w:val="nil"/>
              <w:right w:val="nil"/>
            </w:tcBorders>
            <w:noWrap/>
            <w:vAlign w:val="bottom"/>
          </w:tcPr>
          <w:p w14:paraId="55D16BD5" w14:textId="77777777" w:rsidR="00E66E26" w:rsidRPr="007374B6" w:rsidRDefault="00E66E26" w:rsidP="0025701F">
            <w:pPr>
              <w:jc w:val="right"/>
              <w:rPr>
                <w:rFonts w:ascii="Arial" w:hAnsi="Arial" w:cs="Arial"/>
                <w:sz w:val="20"/>
                <w:szCs w:val="22"/>
              </w:rPr>
            </w:pPr>
            <w:r>
              <w:rPr>
                <w:rFonts w:ascii="Arial" w:hAnsi="Arial" w:cs="Arial"/>
                <w:sz w:val="20"/>
                <w:szCs w:val="22"/>
              </w:rPr>
              <w:t>2.93</w:t>
            </w:r>
          </w:p>
        </w:tc>
        <w:tc>
          <w:tcPr>
            <w:tcW w:w="2437" w:type="dxa"/>
            <w:tcBorders>
              <w:left w:val="nil"/>
              <w:right w:val="nil"/>
            </w:tcBorders>
            <w:vAlign w:val="bottom"/>
          </w:tcPr>
          <w:p w14:paraId="5E22B4A0" w14:textId="77777777" w:rsidR="00E66E26" w:rsidRPr="007374B6" w:rsidRDefault="00E66E26" w:rsidP="0025701F">
            <w:pPr>
              <w:jc w:val="right"/>
              <w:rPr>
                <w:rFonts w:ascii="Arial" w:hAnsi="Arial" w:cs="Arial"/>
                <w:sz w:val="20"/>
                <w:szCs w:val="22"/>
              </w:rPr>
            </w:pPr>
            <w:r>
              <w:rPr>
                <w:rFonts w:ascii="Arial" w:hAnsi="Arial" w:cs="Arial"/>
                <w:sz w:val="20"/>
                <w:szCs w:val="22"/>
              </w:rPr>
              <w:t>March 3, 2024</w:t>
            </w:r>
          </w:p>
        </w:tc>
      </w:tr>
      <w:tr w:rsidR="00E66E26" w:rsidRPr="007374B6" w14:paraId="0DE0BC09" w14:textId="77777777" w:rsidTr="00C576C2">
        <w:trPr>
          <w:trHeight w:val="57"/>
        </w:trPr>
        <w:tc>
          <w:tcPr>
            <w:tcW w:w="2268" w:type="dxa"/>
            <w:tcBorders>
              <w:left w:val="nil"/>
              <w:right w:val="nil"/>
            </w:tcBorders>
            <w:vAlign w:val="bottom"/>
          </w:tcPr>
          <w:p w14:paraId="46496AE6" w14:textId="77777777" w:rsidR="00E66E26" w:rsidRPr="007374B6" w:rsidRDefault="00E66E26" w:rsidP="0025701F">
            <w:pPr>
              <w:ind w:right="417"/>
              <w:jc w:val="right"/>
              <w:rPr>
                <w:rFonts w:ascii="Arial" w:hAnsi="Arial" w:cs="Arial"/>
                <w:sz w:val="20"/>
                <w:szCs w:val="22"/>
              </w:rPr>
            </w:pPr>
            <w:r>
              <w:rPr>
                <w:rFonts w:ascii="Arial" w:hAnsi="Arial" w:cs="Arial"/>
                <w:sz w:val="20"/>
                <w:szCs w:val="22"/>
              </w:rPr>
              <w:t xml:space="preserve">108,887 </w:t>
            </w:r>
          </w:p>
        </w:tc>
        <w:tc>
          <w:tcPr>
            <w:tcW w:w="2126" w:type="dxa"/>
            <w:tcBorders>
              <w:left w:val="nil"/>
              <w:right w:val="nil"/>
            </w:tcBorders>
            <w:vAlign w:val="bottom"/>
          </w:tcPr>
          <w:p w14:paraId="0996CD1A" w14:textId="77777777" w:rsidR="00E66E26" w:rsidRPr="007374B6" w:rsidRDefault="00E66E26" w:rsidP="0025701F">
            <w:pPr>
              <w:tabs>
                <w:tab w:val="right" w:pos="1425"/>
              </w:tabs>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79472639" w14:textId="77777777" w:rsidR="00E66E26" w:rsidRPr="007374B6" w:rsidRDefault="00E66E26" w:rsidP="00E730C8">
            <w:pPr>
              <w:tabs>
                <w:tab w:val="left" w:pos="879"/>
              </w:tabs>
              <w:ind w:right="225"/>
              <w:jc w:val="right"/>
              <w:rPr>
                <w:rFonts w:ascii="Arial" w:hAnsi="Arial" w:cs="Arial"/>
                <w:sz w:val="20"/>
                <w:szCs w:val="22"/>
              </w:rPr>
            </w:pPr>
            <w:r>
              <w:rPr>
                <w:rFonts w:ascii="Arial" w:hAnsi="Arial" w:cs="Arial"/>
                <w:sz w:val="20"/>
                <w:szCs w:val="22"/>
              </w:rPr>
              <w:t>0.58</w:t>
            </w:r>
          </w:p>
        </w:tc>
        <w:tc>
          <w:tcPr>
            <w:tcW w:w="1612" w:type="dxa"/>
            <w:tcBorders>
              <w:left w:val="nil"/>
              <w:right w:val="nil"/>
            </w:tcBorders>
            <w:noWrap/>
            <w:vAlign w:val="bottom"/>
          </w:tcPr>
          <w:p w14:paraId="3992595C" w14:textId="77777777" w:rsidR="00E66E26" w:rsidRPr="007374B6" w:rsidRDefault="00E66E26" w:rsidP="0025701F">
            <w:pPr>
              <w:jc w:val="right"/>
              <w:rPr>
                <w:rFonts w:ascii="Arial" w:hAnsi="Arial" w:cs="Arial"/>
                <w:sz w:val="20"/>
                <w:szCs w:val="22"/>
              </w:rPr>
            </w:pPr>
            <w:r>
              <w:rPr>
                <w:rFonts w:ascii="Arial" w:hAnsi="Arial" w:cs="Arial"/>
                <w:sz w:val="20"/>
                <w:szCs w:val="22"/>
              </w:rPr>
              <w:t>2.93</w:t>
            </w:r>
          </w:p>
        </w:tc>
        <w:tc>
          <w:tcPr>
            <w:tcW w:w="2437" w:type="dxa"/>
            <w:tcBorders>
              <w:left w:val="nil"/>
              <w:right w:val="nil"/>
            </w:tcBorders>
            <w:vAlign w:val="bottom"/>
          </w:tcPr>
          <w:p w14:paraId="3E7AF39E" w14:textId="77777777" w:rsidR="00E66E26" w:rsidRPr="007374B6" w:rsidRDefault="00E66E26" w:rsidP="0025701F">
            <w:pPr>
              <w:jc w:val="right"/>
              <w:rPr>
                <w:rFonts w:ascii="Arial" w:hAnsi="Arial" w:cs="Arial"/>
                <w:sz w:val="20"/>
                <w:szCs w:val="22"/>
              </w:rPr>
            </w:pPr>
            <w:r>
              <w:rPr>
                <w:rFonts w:ascii="Arial" w:hAnsi="Arial" w:cs="Arial"/>
                <w:sz w:val="20"/>
                <w:szCs w:val="22"/>
              </w:rPr>
              <w:t>March 4, 2024</w:t>
            </w:r>
          </w:p>
        </w:tc>
      </w:tr>
      <w:tr w:rsidR="0025701F" w:rsidRPr="007374B6" w14:paraId="3A9144D3" w14:textId="77777777" w:rsidTr="00C576C2">
        <w:trPr>
          <w:trHeight w:val="57"/>
        </w:trPr>
        <w:tc>
          <w:tcPr>
            <w:tcW w:w="2268" w:type="dxa"/>
            <w:tcBorders>
              <w:left w:val="nil"/>
              <w:right w:val="nil"/>
            </w:tcBorders>
            <w:vAlign w:val="bottom"/>
          </w:tcPr>
          <w:p w14:paraId="019A4B43" w14:textId="77777777" w:rsidR="0025701F" w:rsidRPr="007374B6" w:rsidRDefault="00E66E26" w:rsidP="0025701F">
            <w:pPr>
              <w:ind w:right="417"/>
              <w:jc w:val="right"/>
              <w:rPr>
                <w:rFonts w:ascii="Arial" w:hAnsi="Arial" w:cs="Arial"/>
                <w:sz w:val="20"/>
                <w:szCs w:val="22"/>
              </w:rPr>
            </w:pPr>
            <w:r>
              <w:rPr>
                <w:rFonts w:ascii="Arial" w:hAnsi="Arial" w:cs="Arial"/>
                <w:sz w:val="20"/>
                <w:szCs w:val="22"/>
              </w:rPr>
              <w:t>300</w:t>
            </w:r>
            <w:r w:rsidR="0025701F" w:rsidRPr="007374B6">
              <w:rPr>
                <w:rFonts w:ascii="Arial" w:hAnsi="Arial" w:cs="Arial"/>
                <w:sz w:val="20"/>
                <w:szCs w:val="22"/>
              </w:rPr>
              <w:t>,000</w:t>
            </w:r>
          </w:p>
        </w:tc>
        <w:tc>
          <w:tcPr>
            <w:tcW w:w="2126" w:type="dxa"/>
            <w:tcBorders>
              <w:left w:val="nil"/>
              <w:right w:val="nil"/>
            </w:tcBorders>
            <w:vAlign w:val="bottom"/>
          </w:tcPr>
          <w:p w14:paraId="17460057" w14:textId="77777777" w:rsidR="0025701F" w:rsidRPr="007374B6" w:rsidRDefault="00E66E26" w:rsidP="0025701F">
            <w:pPr>
              <w:tabs>
                <w:tab w:val="right" w:pos="1425"/>
              </w:tabs>
              <w:ind w:right="427"/>
              <w:jc w:val="right"/>
              <w:rPr>
                <w:rFonts w:ascii="Arial" w:hAnsi="Arial" w:cs="Arial"/>
                <w:sz w:val="20"/>
                <w:szCs w:val="22"/>
              </w:rPr>
            </w:pPr>
            <w:r>
              <w:rPr>
                <w:rFonts w:ascii="Arial" w:hAnsi="Arial" w:cs="Arial"/>
                <w:sz w:val="20"/>
                <w:szCs w:val="22"/>
              </w:rPr>
              <w:t>-</w:t>
            </w:r>
          </w:p>
        </w:tc>
        <w:tc>
          <w:tcPr>
            <w:tcW w:w="1480" w:type="dxa"/>
            <w:tcBorders>
              <w:left w:val="nil"/>
              <w:right w:val="nil"/>
            </w:tcBorders>
            <w:vAlign w:val="bottom"/>
          </w:tcPr>
          <w:p w14:paraId="7387C985" w14:textId="77777777" w:rsidR="0025701F" w:rsidRPr="007374B6" w:rsidRDefault="0025701F" w:rsidP="00E730C8">
            <w:pPr>
              <w:tabs>
                <w:tab w:val="left" w:pos="879"/>
              </w:tabs>
              <w:ind w:right="225"/>
              <w:jc w:val="right"/>
              <w:rPr>
                <w:rFonts w:ascii="Arial" w:hAnsi="Arial" w:cs="Arial"/>
                <w:sz w:val="20"/>
                <w:szCs w:val="22"/>
              </w:rPr>
            </w:pPr>
            <w:r w:rsidRPr="007374B6">
              <w:rPr>
                <w:rFonts w:ascii="Arial" w:hAnsi="Arial" w:cs="Arial"/>
                <w:sz w:val="20"/>
                <w:szCs w:val="22"/>
              </w:rPr>
              <w:t>0.</w:t>
            </w:r>
            <w:r w:rsidR="00E66E26">
              <w:rPr>
                <w:rFonts w:ascii="Arial" w:hAnsi="Arial" w:cs="Arial"/>
                <w:sz w:val="20"/>
                <w:szCs w:val="22"/>
              </w:rPr>
              <w:t>55</w:t>
            </w:r>
          </w:p>
        </w:tc>
        <w:tc>
          <w:tcPr>
            <w:tcW w:w="1612" w:type="dxa"/>
            <w:tcBorders>
              <w:left w:val="nil"/>
              <w:right w:val="nil"/>
            </w:tcBorders>
            <w:noWrap/>
            <w:vAlign w:val="bottom"/>
          </w:tcPr>
          <w:p w14:paraId="3B4AD656" w14:textId="77777777" w:rsidR="0025701F" w:rsidRPr="007374B6" w:rsidRDefault="007374B6" w:rsidP="0025701F">
            <w:pPr>
              <w:jc w:val="right"/>
              <w:rPr>
                <w:rFonts w:ascii="Arial" w:hAnsi="Arial" w:cs="Arial"/>
                <w:sz w:val="20"/>
                <w:szCs w:val="22"/>
              </w:rPr>
            </w:pPr>
            <w:r w:rsidRPr="007374B6">
              <w:rPr>
                <w:rFonts w:ascii="Arial" w:hAnsi="Arial" w:cs="Arial"/>
                <w:sz w:val="20"/>
                <w:szCs w:val="22"/>
              </w:rPr>
              <w:t>2.9</w:t>
            </w:r>
            <w:r w:rsidR="00E66E26">
              <w:rPr>
                <w:rFonts w:ascii="Arial" w:hAnsi="Arial" w:cs="Arial"/>
                <w:sz w:val="20"/>
                <w:szCs w:val="22"/>
              </w:rPr>
              <w:t>4</w:t>
            </w:r>
          </w:p>
        </w:tc>
        <w:tc>
          <w:tcPr>
            <w:tcW w:w="2437" w:type="dxa"/>
            <w:tcBorders>
              <w:left w:val="nil"/>
              <w:right w:val="nil"/>
            </w:tcBorders>
            <w:vAlign w:val="bottom"/>
          </w:tcPr>
          <w:p w14:paraId="410D6966" w14:textId="77777777" w:rsidR="0025701F" w:rsidRPr="007374B6" w:rsidRDefault="00E66E26" w:rsidP="0025701F">
            <w:pPr>
              <w:jc w:val="right"/>
              <w:rPr>
                <w:rFonts w:ascii="Arial" w:hAnsi="Arial" w:cs="Arial"/>
                <w:sz w:val="20"/>
                <w:szCs w:val="22"/>
              </w:rPr>
            </w:pPr>
            <w:r>
              <w:rPr>
                <w:rFonts w:ascii="Arial" w:hAnsi="Arial" w:cs="Arial"/>
                <w:sz w:val="20"/>
                <w:szCs w:val="22"/>
              </w:rPr>
              <w:t>March 9, 2024</w:t>
            </w:r>
          </w:p>
        </w:tc>
      </w:tr>
      <w:bookmarkEnd w:id="3"/>
      <w:tr w:rsidR="0025701F" w:rsidRPr="007374B6" w14:paraId="0E191705" w14:textId="77777777" w:rsidTr="00C576C2">
        <w:trPr>
          <w:trHeight w:val="57"/>
        </w:trPr>
        <w:tc>
          <w:tcPr>
            <w:tcW w:w="2268" w:type="dxa"/>
            <w:tcBorders>
              <w:top w:val="single" w:sz="4" w:space="0" w:color="auto"/>
              <w:left w:val="nil"/>
              <w:bottom w:val="single" w:sz="12" w:space="0" w:color="auto"/>
              <w:right w:val="nil"/>
            </w:tcBorders>
            <w:vAlign w:val="bottom"/>
          </w:tcPr>
          <w:p w14:paraId="720A132A" w14:textId="77777777" w:rsidR="0025701F" w:rsidRPr="007374B6" w:rsidRDefault="00E66E26" w:rsidP="0025701F">
            <w:pPr>
              <w:ind w:right="417"/>
              <w:jc w:val="right"/>
              <w:rPr>
                <w:rFonts w:ascii="Arial" w:hAnsi="Arial" w:cs="Arial"/>
                <w:sz w:val="20"/>
                <w:szCs w:val="22"/>
              </w:rPr>
            </w:pPr>
            <w:r>
              <w:rPr>
                <w:rFonts w:ascii="Arial" w:hAnsi="Arial" w:cs="Arial"/>
                <w:sz w:val="20"/>
                <w:szCs w:val="22"/>
              </w:rPr>
              <w:t>5,003</w:t>
            </w:r>
            <w:r w:rsidR="007374B6" w:rsidRPr="007374B6">
              <w:rPr>
                <w:rFonts w:ascii="Arial" w:hAnsi="Arial" w:cs="Arial"/>
                <w:sz w:val="20"/>
                <w:szCs w:val="22"/>
              </w:rPr>
              <w:t>,</w:t>
            </w:r>
            <w:r>
              <w:rPr>
                <w:rFonts w:ascii="Arial" w:hAnsi="Arial" w:cs="Arial"/>
                <w:sz w:val="20"/>
                <w:szCs w:val="22"/>
              </w:rPr>
              <w:t>887</w:t>
            </w:r>
          </w:p>
        </w:tc>
        <w:tc>
          <w:tcPr>
            <w:tcW w:w="2126" w:type="dxa"/>
            <w:tcBorders>
              <w:top w:val="single" w:sz="4" w:space="0" w:color="auto"/>
              <w:left w:val="nil"/>
              <w:bottom w:val="single" w:sz="12" w:space="0" w:color="auto"/>
              <w:right w:val="nil"/>
            </w:tcBorders>
            <w:vAlign w:val="bottom"/>
          </w:tcPr>
          <w:p w14:paraId="078E1B29" w14:textId="77777777" w:rsidR="0025701F" w:rsidRPr="007374B6" w:rsidRDefault="00E66E26" w:rsidP="0025701F">
            <w:pPr>
              <w:ind w:right="449"/>
              <w:jc w:val="right"/>
              <w:rPr>
                <w:rFonts w:ascii="Arial" w:hAnsi="Arial" w:cs="Arial"/>
                <w:sz w:val="20"/>
                <w:szCs w:val="22"/>
              </w:rPr>
            </w:pPr>
            <w:r>
              <w:rPr>
                <w:rFonts w:ascii="Arial" w:hAnsi="Arial" w:cs="Arial"/>
                <w:sz w:val="20"/>
                <w:szCs w:val="22"/>
              </w:rPr>
              <w:t>-</w:t>
            </w:r>
          </w:p>
        </w:tc>
        <w:tc>
          <w:tcPr>
            <w:tcW w:w="1480" w:type="dxa"/>
            <w:tcBorders>
              <w:top w:val="single" w:sz="4" w:space="0" w:color="auto"/>
              <w:left w:val="nil"/>
              <w:bottom w:val="single" w:sz="12" w:space="0" w:color="auto"/>
              <w:right w:val="nil"/>
            </w:tcBorders>
            <w:vAlign w:val="bottom"/>
          </w:tcPr>
          <w:p w14:paraId="71B4B2C2" w14:textId="77777777" w:rsidR="0025701F" w:rsidRPr="007374B6" w:rsidRDefault="007374B6" w:rsidP="00E730C8">
            <w:pPr>
              <w:tabs>
                <w:tab w:val="left" w:pos="879"/>
              </w:tabs>
              <w:ind w:right="225"/>
              <w:jc w:val="right"/>
              <w:rPr>
                <w:rFonts w:ascii="Arial" w:hAnsi="Arial" w:cs="Arial"/>
                <w:sz w:val="20"/>
                <w:szCs w:val="22"/>
              </w:rPr>
            </w:pPr>
            <w:r w:rsidRPr="007374B6">
              <w:rPr>
                <w:rFonts w:ascii="Arial" w:hAnsi="Arial" w:cs="Arial"/>
                <w:sz w:val="20"/>
                <w:szCs w:val="22"/>
              </w:rPr>
              <w:t>0.</w:t>
            </w:r>
            <w:r w:rsidR="00E66E26">
              <w:rPr>
                <w:rFonts w:ascii="Arial" w:hAnsi="Arial" w:cs="Arial"/>
                <w:sz w:val="20"/>
                <w:szCs w:val="22"/>
              </w:rPr>
              <w:t>33</w:t>
            </w:r>
          </w:p>
        </w:tc>
        <w:tc>
          <w:tcPr>
            <w:tcW w:w="1612" w:type="dxa"/>
            <w:tcBorders>
              <w:top w:val="single" w:sz="4" w:space="0" w:color="auto"/>
              <w:left w:val="nil"/>
              <w:bottom w:val="single" w:sz="12" w:space="0" w:color="auto"/>
              <w:right w:val="nil"/>
            </w:tcBorders>
            <w:noWrap/>
            <w:vAlign w:val="bottom"/>
          </w:tcPr>
          <w:p w14:paraId="3C3AA587" w14:textId="77777777" w:rsidR="0025701F" w:rsidRPr="007374B6" w:rsidRDefault="007374B6" w:rsidP="0025701F">
            <w:pPr>
              <w:jc w:val="right"/>
              <w:rPr>
                <w:rFonts w:ascii="Arial" w:hAnsi="Arial" w:cs="Arial"/>
                <w:sz w:val="20"/>
                <w:szCs w:val="22"/>
              </w:rPr>
            </w:pPr>
            <w:r w:rsidRPr="007374B6">
              <w:rPr>
                <w:rFonts w:ascii="Arial" w:hAnsi="Arial" w:cs="Arial"/>
                <w:sz w:val="20"/>
                <w:szCs w:val="22"/>
              </w:rPr>
              <w:t>2.99</w:t>
            </w:r>
          </w:p>
        </w:tc>
        <w:tc>
          <w:tcPr>
            <w:tcW w:w="2437" w:type="dxa"/>
            <w:tcBorders>
              <w:top w:val="single" w:sz="4" w:space="0" w:color="auto"/>
              <w:left w:val="nil"/>
              <w:bottom w:val="single" w:sz="12" w:space="0" w:color="auto"/>
              <w:right w:val="nil"/>
            </w:tcBorders>
            <w:vAlign w:val="bottom"/>
          </w:tcPr>
          <w:p w14:paraId="30ECF8FF" w14:textId="77777777" w:rsidR="0025701F" w:rsidRPr="007374B6" w:rsidRDefault="0025701F" w:rsidP="0025701F">
            <w:pPr>
              <w:jc w:val="right"/>
              <w:rPr>
                <w:rFonts w:ascii="Arial" w:hAnsi="Arial" w:cs="Arial"/>
                <w:sz w:val="20"/>
                <w:szCs w:val="22"/>
              </w:rPr>
            </w:pPr>
          </w:p>
        </w:tc>
      </w:tr>
    </w:tbl>
    <w:p w14:paraId="7394E01F" w14:textId="77777777" w:rsidR="0025701F" w:rsidRDefault="0025701F" w:rsidP="00C24597">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31670624" w14:textId="7FC78DC2" w:rsidR="00313E5C" w:rsidRDefault="006A213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sidRPr="000A6454">
        <w:rPr>
          <w:rFonts w:ascii="Arial" w:hAnsi="Arial" w:cs="Arial"/>
          <w:bCs/>
          <w:sz w:val="20"/>
          <w:szCs w:val="20"/>
          <w:lang w:val="en-US"/>
        </w:rPr>
        <w:t xml:space="preserve">On November 17, 2020, </w:t>
      </w:r>
      <w:r w:rsidR="00E66D13" w:rsidRPr="000A6454">
        <w:rPr>
          <w:rFonts w:ascii="Arial" w:hAnsi="Arial" w:cs="Arial"/>
          <w:bCs/>
          <w:sz w:val="20"/>
          <w:szCs w:val="20"/>
          <w:lang w:val="en-US"/>
        </w:rPr>
        <w:t xml:space="preserve">the Company granted </w:t>
      </w:r>
      <w:r w:rsidRPr="000A6454">
        <w:rPr>
          <w:rFonts w:ascii="Arial" w:hAnsi="Arial" w:cs="Arial"/>
          <w:bCs/>
          <w:sz w:val="20"/>
          <w:szCs w:val="20"/>
          <w:lang w:val="en-US"/>
        </w:rPr>
        <w:t>3,450</w:t>
      </w:r>
      <w:r w:rsidR="00E66D13" w:rsidRPr="000A6454">
        <w:rPr>
          <w:rFonts w:ascii="Arial" w:hAnsi="Arial" w:cs="Arial"/>
          <w:bCs/>
          <w:sz w:val="20"/>
          <w:szCs w:val="20"/>
          <w:lang w:val="en-US"/>
        </w:rPr>
        <w:t xml:space="preserve">,000 stock options to </w:t>
      </w:r>
      <w:r w:rsidRPr="000A6454">
        <w:rPr>
          <w:rFonts w:ascii="Arial" w:hAnsi="Arial" w:cs="Arial"/>
          <w:bCs/>
          <w:sz w:val="20"/>
          <w:szCs w:val="20"/>
          <w:lang w:val="en-US"/>
        </w:rPr>
        <w:t xml:space="preserve">officers, </w:t>
      </w:r>
      <w:r w:rsidR="00E66D13" w:rsidRPr="000A6454">
        <w:rPr>
          <w:rFonts w:ascii="Arial" w:hAnsi="Arial" w:cs="Arial"/>
          <w:bCs/>
          <w:sz w:val="20"/>
          <w:szCs w:val="20"/>
          <w:lang w:val="en-US"/>
        </w:rPr>
        <w:t>directors</w:t>
      </w:r>
      <w:r w:rsidRPr="000A6454">
        <w:rPr>
          <w:rFonts w:ascii="Arial" w:hAnsi="Arial" w:cs="Arial"/>
          <w:bCs/>
          <w:sz w:val="20"/>
          <w:szCs w:val="20"/>
          <w:lang w:val="en-US"/>
        </w:rPr>
        <w:t>, and consultants</w:t>
      </w:r>
      <w:r w:rsidR="00E66D13" w:rsidRPr="000A6454">
        <w:rPr>
          <w:rFonts w:ascii="Arial" w:hAnsi="Arial" w:cs="Arial"/>
          <w:bCs/>
          <w:sz w:val="20"/>
          <w:szCs w:val="20"/>
          <w:lang w:val="en-US"/>
        </w:rPr>
        <w:t xml:space="preserve"> of the Company.  The stock options </w:t>
      </w:r>
      <w:r w:rsidR="008631C1" w:rsidRPr="000A6454">
        <w:rPr>
          <w:rFonts w:ascii="Arial" w:hAnsi="Arial" w:cs="Arial"/>
          <w:bCs/>
          <w:sz w:val="20"/>
          <w:szCs w:val="20"/>
          <w:lang w:val="en-US"/>
        </w:rPr>
        <w:t xml:space="preserve">will be vested 1/3 on the </w:t>
      </w:r>
      <w:proofErr w:type="gramStart"/>
      <w:r w:rsidR="008631C1" w:rsidRPr="000A6454">
        <w:rPr>
          <w:rFonts w:ascii="Arial" w:hAnsi="Arial" w:cs="Arial"/>
          <w:bCs/>
          <w:sz w:val="20"/>
          <w:szCs w:val="20"/>
          <w:lang w:val="en-US"/>
        </w:rPr>
        <w:t>6, 12 and 18 months</w:t>
      </w:r>
      <w:proofErr w:type="gramEnd"/>
      <w:r w:rsidR="008631C1" w:rsidRPr="000A6454">
        <w:rPr>
          <w:rFonts w:ascii="Arial" w:hAnsi="Arial" w:cs="Arial"/>
          <w:bCs/>
          <w:sz w:val="20"/>
          <w:szCs w:val="20"/>
          <w:lang w:val="en-US"/>
        </w:rPr>
        <w:t xml:space="preserve"> anniversary. </w:t>
      </w:r>
      <w:r w:rsidR="00EB79B5" w:rsidRPr="000A6454">
        <w:rPr>
          <w:rFonts w:ascii="Arial" w:hAnsi="Arial" w:cs="Arial"/>
          <w:bCs/>
          <w:sz w:val="20"/>
          <w:szCs w:val="20"/>
          <w:lang w:val="en-US"/>
        </w:rPr>
        <w:t xml:space="preserve">The options </w:t>
      </w:r>
      <w:r w:rsidR="00E66D13" w:rsidRPr="000A6454">
        <w:rPr>
          <w:rFonts w:ascii="Arial" w:hAnsi="Arial" w:cs="Arial"/>
          <w:bCs/>
          <w:sz w:val="20"/>
          <w:szCs w:val="20"/>
          <w:lang w:val="en-US"/>
        </w:rPr>
        <w:t xml:space="preserve">were valued at </w:t>
      </w:r>
      <w:r w:rsidRPr="000A6454">
        <w:rPr>
          <w:rFonts w:ascii="Arial" w:hAnsi="Arial" w:cs="Arial"/>
          <w:bCs/>
          <w:sz w:val="20"/>
          <w:szCs w:val="20"/>
          <w:lang w:val="en-US"/>
        </w:rPr>
        <w:t>CAD</w:t>
      </w:r>
      <w:r w:rsidR="00E66D13" w:rsidRPr="000A6454">
        <w:rPr>
          <w:rFonts w:ascii="Arial" w:hAnsi="Arial" w:cs="Arial"/>
          <w:bCs/>
          <w:sz w:val="20"/>
          <w:szCs w:val="20"/>
          <w:lang w:val="en-US"/>
        </w:rPr>
        <w:t>$</w:t>
      </w:r>
      <w:r w:rsidRPr="000A6454">
        <w:rPr>
          <w:rFonts w:ascii="Arial" w:hAnsi="Arial" w:cs="Arial"/>
          <w:bCs/>
          <w:sz w:val="20"/>
          <w:szCs w:val="20"/>
          <w:lang w:val="en-US"/>
        </w:rPr>
        <w:t>530,662</w:t>
      </w:r>
      <w:r w:rsidR="00E66D13" w:rsidRPr="000A6454">
        <w:rPr>
          <w:rFonts w:ascii="Arial" w:hAnsi="Arial" w:cs="Arial"/>
          <w:bCs/>
          <w:sz w:val="20"/>
          <w:szCs w:val="20"/>
          <w:lang w:val="en-US"/>
        </w:rPr>
        <w:t xml:space="preserve"> </w:t>
      </w:r>
      <w:r w:rsidR="00E66D13" w:rsidRPr="000A6454">
        <w:rPr>
          <w:rFonts w:ascii="Arial" w:hAnsi="Arial" w:cs="Arial"/>
          <w:sz w:val="20"/>
          <w:szCs w:val="20"/>
        </w:rPr>
        <w:t xml:space="preserve">using the Black-Scholes option pricing model with the following weight average assumptions: risk-free interest rate – </w:t>
      </w:r>
      <w:r w:rsidRPr="000A6454">
        <w:rPr>
          <w:rFonts w:ascii="Arial" w:hAnsi="Arial" w:cs="Arial"/>
          <w:sz w:val="20"/>
          <w:szCs w:val="20"/>
        </w:rPr>
        <w:t>0.30</w:t>
      </w:r>
      <w:r w:rsidR="00E66D13" w:rsidRPr="000A6454">
        <w:rPr>
          <w:rFonts w:ascii="Arial" w:hAnsi="Arial" w:cs="Arial"/>
          <w:sz w:val="20"/>
          <w:szCs w:val="20"/>
        </w:rPr>
        <w:t xml:space="preserve">%; volatility – 100%; expected dividend yield – 0.0%; expected </w:t>
      </w:r>
      <w:r w:rsidR="007D2A8C" w:rsidRPr="000A6454">
        <w:rPr>
          <w:rFonts w:ascii="Arial" w:hAnsi="Arial" w:cs="Arial"/>
          <w:sz w:val="20"/>
          <w:szCs w:val="20"/>
        </w:rPr>
        <w:t>option</w:t>
      </w:r>
      <w:r w:rsidR="00E66D13" w:rsidRPr="000A6454">
        <w:rPr>
          <w:rFonts w:ascii="Arial" w:hAnsi="Arial" w:cs="Arial"/>
          <w:sz w:val="20"/>
          <w:szCs w:val="20"/>
        </w:rPr>
        <w:t xml:space="preserve"> life in years – </w:t>
      </w:r>
      <w:r w:rsidRPr="000A6454">
        <w:rPr>
          <w:rFonts w:ascii="Arial" w:hAnsi="Arial" w:cs="Arial"/>
          <w:sz w:val="20"/>
          <w:szCs w:val="20"/>
        </w:rPr>
        <w:t>3</w:t>
      </w:r>
      <w:r w:rsidR="00E66D13" w:rsidRPr="000A6454">
        <w:rPr>
          <w:rFonts w:ascii="Arial" w:hAnsi="Arial" w:cs="Arial"/>
          <w:sz w:val="20"/>
          <w:szCs w:val="20"/>
        </w:rPr>
        <w:t>.</w:t>
      </w:r>
      <w:r w:rsidRPr="000A6454">
        <w:rPr>
          <w:rFonts w:ascii="Arial" w:hAnsi="Arial" w:cs="Arial"/>
          <w:sz w:val="20"/>
          <w:szCs w:val="20"/>
        </w:rPr>
        <w:t xml:space="preserve">  Of the total value, CAD$</w:t>
      </w:r>
      <w:r w:rsidR="00126183">
        <w:rPr>
          <w:rFonts w:ascii="Arial" w:hAnsi="Arial" w:cs="Arial"/>
          <w:sz w:val="20"/>
          <w:szCs w:val="20"/>
        </w:rPr>
        <w:t>279,607</w:t>
      </w:r>
      <w:r w:rsidRPr="000A6454">
        <w:rPr>
          <w:rFonts w:ascii="Arial" w:hAnsi="Arial" w:cs="Arial"/>
          <w:sz w:val="20"/>
          <w:szCs w:val="20"/>
        </w:rPr>
        <w:t xml:space="preserve"> (20</w:t>
      </w:r>
      <w:r w:rsidR="000A6454">
        <w:rPr>
          <w:rFonts w:ascii="Arial" w:hAnsi="Arial" w:cs="Arial"/>
          <w:sz w:val="20"/>
          <w:szCs w:val="20"/>
        </w:rPr>
        <w:t>20 – $</w:t>
      </w:r>
      <w:r w:rsidR="000C381B">
        <w:rPr>
          <w:rFonts w:ascii="Arial" w:hAnsi="Arial" w:cs="Arial"/>
          <w:sz w:val="20"/>
          <w:szCs w:val="20"/>
        </w:rPr>
        <w:t>Nil</w:t>
      </w:r>
      <w:r w:rsidRPr="000A6454">
        <w:rPr>
          <w:rFonts w:ascii="Arial" w:hAnsi="Arial" w:cs="Arial"/>
          <w:sz w:val="20"/>
          <w:szCs w:val="20"/>
        </w:rPr>
        <w:t xml:space="preserve">) has been recognized in the </w:t>
      </w:r>
      <w:r w:rsidR="000A6454">
        <w:rPr>
          <w:rFonts w:ascii="Arial" w:hAnsi="Arial" w:cs="Arial"/>
          <w:sz w:val="20"/>
          <w:szCs w:val="20"/>
        </w:rPr>
        <w:t>c</w:t>
      </w:r>
      <w:r w:rsidR="00A11BD9" w:rsidRPr="000A6454">
        <w:rPr>
          <w:rFonts w:ascii="Arial" w:hAnsi="Arial" w:cs="Arial"/>
          <w:sz w:val="20"/>
          <w:szCs w:val="20"/>
        </w:rPr>
        <w:t xml:space="preserve">ondensed </w:t>
      </w:r>
      <w:r w:rsidR="000A6454">
        <w:rPr>
          <w:rFonts w:ascii="Arial" w:hAnsi="Arial" w:cs="Arial"/>
          <w:sz w:val="20"/>
          <w:szCs w:val="20"/>
        </w:rPr>
        <w:t>c</w:t>
      </w:r>
      <w:r w:rsidR="00A11BD9" w:rsidRPr="000A6454">
        <w:rPr>
          <w:rFonts w:ascii="Arial" w:hAnsi="Arial" w:cs="Arial"/>
          <w:sz w:val="20"/>
          <w:szCs w:val="20"/>
        </w:rPr>
        <w:t xml:space="preserve">onsolidated </w:t>
      </w:r>
      <w:r w:rsidR="000A6454">
        <w:rPr>
          <w:rFonts w:ascii="Arial" w:hAnsi="Arial" w:cs="Arial"/>
          <w:sz w:val="20"/>
          <w:szCs w:val="20"/>
        </w:rPr>
        <w:t>i</w:t>
      </w:r>
      <w:r w:rsidR="00A11BD9" w:rsidRPr="000A6454">
        <w:rPr>
          <w:rFonts w:ascii="Arial" w:hAnsi="Arial" w:cs="Arial"/>
          <w:sz w:val="20"/>
          <w:szCs w:val="20"/>
        </w:rPr>
        <w:t>nterim</w:t>
      </w:r>
      <w:r w:rsidRPr="000A6454">
        <w:rPr>
          <w:rFonts w:ascii="Arial" w:hAnsi="Arial" w:cs="Arial"/>
          <w:sz w:val="20"/>
          <w:szCs w:val="20"/>
        </w:rPr>
        <w:t xml:space="preserve"> statements of loss and comprehensive loss.</w:t>
      </w:r>
    </w:p>
    <w:p w14:paraId="586356BD" w14:textId="77777777" w:rsidR="00313E5C" w:rsidRDefault="00313E5C"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76036B52" w14:textId="72125FFD" w:rsidR="00060DC6" w:rsidRDefault="00313E5C"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On November 24, 2020, the Company granted 150,000 stock options to a</w:t>
      </w:r>
      <w:r w:rsidR="00060DC6">
        <w:rPr>
          <w:rFonts w:ascii="Arial" w:hAnsi="Arial" w:cs="Arial"/>
          <w:bCs/>
          <w:sz w:val="20"/>
          <w:szCs w:val="20"/>
          <w:lang w:val="en-US"/>
        </w:rPr>
        <w:t xml:space="preserve"> consultant</w:t>
      </w:r>
      <w:r>
        <w:rPr>
          <w:rFonts w:ascii="Arial" w:hAnsi="Arial" w:cs="Arial"/>
          <w:bCs/>
          <w:sz w:val="20"/>
          <w:szCs w:val="20"/>
          <w:lang w:val="en-US"/>
        </w:rPr>
        <w:t xml:space="preserve"> of the Company.  </w:t>
      </w:r>
      <w:r w:rsidR="00EB79B5">
        <w:rPr>
          <w:rFonts w:ascii="Arial" w:hAnsi="Arial" w:cs="Arial"/>
          <w:bCs/>
          <w:sz w:val="20"/>
          <w:szCs w:val="20"/>
          <w:lang w:val="en-US"/>
        </w:rPr>
        <w:t xml:space="preserve">The stock options will be vested 1/3 on the </w:t>
      </w:r>
      <w:proofErr w:type="gramStart"/>
      <w:r w:rsidR="00EB79B5">
        <w:rPr>
          <w:rFonts w:ascii="Arial" w:hAnsi="Arial" w:cs="Arial"/>
          <w:bCs/>
          <w:sz w:val="20"/>
          <w:szCs w:val="20"/>
          <w:lang w:val="en-US"/>
        </w:rPr>
        <w:t>6, 12 and 18 months</w:t>
      </w:r>
      <w:proofErr w:type="gramEnd"/>
      <w:r w:rsidR="00EB79B5">
        <w:rPr>
          <w:rFonts w:ascii="Arial" w:hAnsi="Arial" w:cs="Arial"/>
          <w:bCs/>
          <w:sz w:val="20"/>
          <w:szCs w:val="20"/>
          <w:lang w:val="en-US"/>
        </w:rPr>
        <w:t xml:space="preserve"> anniversary. </w:t>
      </w:r>
      <w:r>
        <w:rPr>
          <w:rFonts w:ascii="Arial" w:hAnsi="Arial" w:cs="Arial"/>
          <w:bCs/>
          <w:sz w:val="20"/>
          <w:szCs w:val="20"/>
          <w:lang w:val="en-US"/>
        </w:rPr>
        <w:t xml:space="preserve">The stock options were valued at CAD$23,072 </w:t>
      </w:r>
      <w:r>
        <w:rPr>
          <w:rFonts w:ascii="Arial" w:hAnsi="Arial" w:cs="Arial"/>
          <w:sz w:val="20"/>
          <w:szCs w:val="20"/>
        </w:rPr>
        <w:t xml:space="preserve">using the Black-Scholes option pricing model with the following weight average assumptions: risk-free interest rate – 0.30%; volatility – 100%; expected dividend yield – 0.0%; expected option life in years – </w:t>
      </w:r>
      <w:r w:rsidR="00060DC6">
        <w:rPr>
          <w:rFonts w:ascii="Arial" w:hAnsi="Arial" w:cs="Arial"/>
          <w:sz w:val="20"/>
          <w:szCs w:val="20"/>
        </w:rPr>
        <w:t>5</w:t>
      </w:r>
      <w:r>
        <w:rPr>
          <w:rFonts w:ascii="Arial" w:hAnsi="Arial" w:cs="Arial"/>
          <w:sz w:val="20"/>
          <w:szCs w:val="20"/>
        </w:rPr>
        <w:t>.  Of the total value, CAD$</w:t>
      </w:r>
      <w:r w:rsidR="00E64A47">
        <w:rPr>
          <w:rFonts w:ascii="Arial" w:hAnsi="Arial" w:cs="Arial"/>
          <w:sz w:val="20"/>
          <w:szCs w:val="20"/>
        </w:rPr>
        <w:t>12,281</w:t>
      </w:r>
      <w:r w:rsidR="00601960">
        <w:rPr>
          <w:rFonts w:ascii="Arial" w:hAnsi="Arial" w:cs="Arial"/>
          <w:sz w:val="20"/>
          <w:szCs w:val="20"/>
        </w:rPr>
        <w:t xml:space="preserve"> </w:t>
      </w:r>
      <w:r>
        <w:rPr>
          <w:rFonts w:ascii="Arial" w:hAnsi="Arial" w:cs="Arial"/>
          <w:sz w:val="20"/>
          <w:szCs w:val="20"/>
        </w:rPr>
        <w:t>(</w:t>
      </w:r>
      <w:r w:rsidR="000A6454">
        <w:rPr>
          <w:rFonts w:ascii="Arial" w:hAnsi="Arial" w:cs="Arial"/>
          <w:sz w:val="20"/>
          <w:szCs w:val="20"/>
        </w:rPr>
        <w:t>2020 – $</w:t>
      </w:r>
      <w:r w:rsidR="000C381B">
        <w:rPr>
          <w:rFonts w:ascii="Arial" w:hAnsi="Arial" w:cs="Arial"/>
          <w:sz w:val="20"/>
          <w:szCs w:val="20"/>
        </w:rPr>
        <w:t>Nil</w:t>
      </w:r>
      <w:r>
        <w:rPr>
          <w:rFonts w:ascii="Arial" w:hAnsi="Arial" w:cs="Arial"/>
          <w:sz w:val="20"/>
          <w:szCs w:val="20"/>
        </w:rPr>
        <w:t xml:space="preserve">) has been recognized in the </w:t>
      </w:r>
      <w:r w:rsidR="000A6454">
        <w:rPr>
          <w:rFonts w:ascii="Arial" w:hAnsi="Arial" w:cs="Arial"/>
          <w:sz w:val="20"/>
          <w:szCs w:val="20"/>
        </w:rPr>
        <w:t>c</w:t>
      </w:r>
      <w:r w:rsidR="00A11BD9">
        <w:rPr>
          <w:rFonts w:ascii="Arial" w:hAnsi="Arial" w:cs="Arial"/>
          <w:sz w:val="20"/>
          <w:szCs w:val="20"/>
        </w:rPr>
        <w:t xml:space="preserve">ondensed </w:t>
      </w:r>
      <w:r w:rsidR="000A6454">
        <w:rPr>
          <w:rFonts w:ascii="Arial" w:hAnsi="Arial" w:cs="Arial"/>
          <w:sz w:val="20"/>
          <w:szCs w:val="20"/>
        </w:rPr>
        <w:t>c</w:t>
      </w:r>
      <w:r w:rsidR="00A11BD9">
        <w:rPr>
          <w:rFonts w:ascii="Arial" w:hAnsi="Arial" w:cs="Arial"/>
          <w:sz w:val="20"/>
          <w:szCs w:val="20"/>
        </w:rPr>
        <w:t xml:space="preserve">onsolidated </w:t>
      </w:r>
      <w:r w:rsidR="000A6454">
        <w:rPr>
          <w:rFonts w:ascii="Arial" w:hAnsi="Arial" w:cs="Arial"/>
          <w:sz w:val="20"/>
          <w:szCs w:val="20"/>
        </w:rPr>
        <w:t>i</w:t>
      </w:r>
      <w:r w:rsidR="00A11BD9">
        <w:rPr>
          <w:rFonts w:ascii="Arial" w:hAnsi="Arial" w:cs="Arial"/>
          <w:sz w:val="20"/>
          <w:szCs w:val="20"/>
        </w:rPr>
        <w:t>nterim</w:t>
      </w:r>
      <w:r>
        <w:rPr>
          <w:rFonts w:ascii="Arial" w:hAnsi="Arial" w:cs="Arial"/>
          <w:sz w:val="20"/>
          <w:szCs w:val="20"/>
        </w:rPr>
        <w:t xml:space="preserve"> statements of comprehensive loss.</w:t>
      </w:r>
    </w:p>
    <w:p w14:paraId="7C3920BF" w14:textId="77777777" w:rsidR="00060DC6" w:rsidRDefault="00060DC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36AA383F" w14:textId="3078E9AB" w:rsidR="00E66D13" w:rsidRDefault="00060DC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 xml:space="preserve">On December 18, 2020, the Company granted 425,000 stock options to consultants of the Company.  </w:t>
      </w:r>
      <w:r w:rsidR="00EF20AE">
        <w:rPr>
          <w:rFonts w:ascii="Arial" w:hAnsi="Arial" w:cs="Arial"/>
          <w:bCs/>
          <w:sz w:val="20"/>
          <w:szCs w:val="20"/>
          <w:lang w:val="en-US"/>
        </w:rPr>
        <w:t xml:space="preserve">The stock options will be vested 1/3 on the </w:t>
      </w:r>
      <w:proofErr w:type="gramStart"/>
      <w:r w:rsidR="00EF20AE">
        <w:rPr>
          <w:rFonts w:ascii="Arial" w:hAnsi="Arial" w:cs="Arial"/>
          <w:bCs/>
          <w:sz w:val="20"/>
          <w:szCs w:val="20"/>
          <w:lang w:val="en-US"/>
        </w:rPr>
        <w:t>6, 12 and 18 months</w:t>
      </w:r>
      <w:proofErr w:type="gramEnd"/>
      <w:r w:rsidR="00EF20AE">
        <w:rPr>
          <w:rFonts w:ascii="Arial" w:hAnsi="Arial" w:cs="Arial"/>
          <w:bCs/>
          <w:sz w:val="20"/>
          <w:szCs w:val="20"/>
          <w:lang w:val="en-US"/>
        </w:rPr>
        <w:t xml:space="preserve"> anniversary. </w:t>
      </w:r>
      <w:r>
        <w:rPr>
          <w:rFonts w:ascii="Arial" w:hAnsi="Arial" w:cs="Arial"/>
          <w:bCs/>
          <w:sz w:val="20"/>
          <w:szCs w:val="20"/>
          <w:lang w:val="en-US"/>
        </w:rPr>
        <w:t>The stock options were valued at CAD$</w:t>
      </w:r>
      <w:r w:rsidR="002D60B2">
        <w:rPr>
          <w:rFonts w:ascii="Arial" w:hAnsi="Arial" w:cs="Arial"/>
          <w:bCs/>
          <w:sz w:val="20"/>
          <w:szCs w:val="20"/>
          <w:lang w:val="en-US"/>
        </w:rPr>
        <w:t>91,520</w:t>
      </w:r>
      <w:r>
        <w:rPr>
          <w:rFonts w:ascii="Arial" w:hAnsi="Arial" w:cs="Arial"/>
          <w:bCs/>
          <w:sz w:val="20"/>
          <w:szCs w:val="20"/>
          <w:lang w:val="en-US"/>
        </w:rPr>
        <w:t xml:space="preserve"> </w:t>
      </w:r>
      <w:r>
        <w:rPr>
          <w:rFonts w:ascii="Arial" w:hAnsi="Arial" w:cs="Arial"/>
          <w:sz w:val="20"/>
          <w:szCs w:val="20"/>
        </w:rPr>
        <w:t xml:space="preserve">using the Black-Scholes option pricing model with the following weight average assumptions: risk-free interest rate – 0.30%; volatility – 100%; expected dividend yield – 0.0%; expected option life in years – </w:t>
      </w:r>
      <w:r w:rsidR="002D60B2">
        <w:rPr>
          <w:rFonts w:ascii="Arial" w:hAnsi="Arial" w:cs="Arial"/>
          <w:sz w:val="20"/>
          <w:szCs w:val="20"/>
        </w:rPr>
        <w:t>3</w:t>
      </w:r>
      <w:r>
        <w:rPr>
          <w:rFonts w:ascii="Arial" w:hAnsi="Arial" w:cs="Arial"/>
          <w:sz w:val="20"/>
          <w:szCs w:val="20"/>
        </w:rPr>
        <w:t>.  Of the total value, CAD$</w:t>
      </w:r>
      <w:r w:rsidR="00601960">
        <w:rPr>
          <w:rFonts w:ascii="Arial" w:hAnsi="Arial" w:cs="Arial"/>
          <w:sz w:val="20"/>
          <w:szCs w:val="20"/>
        </w:rPr>
        <w:t>47,828</w:t>
      </w:r>
      <w:r>
        <w:rPr>
          <w:rFonts w:ascii="Arial" w:hAnsi="Arial" w:cs="Arial"/>
          <w:sz w:val="20"/>
          <w:szCs w:val="20"/>
        </w:rPr>
        <w:t xml:space="preserve"> (20</w:t>
      </w:r>
      <w:r w:rsidR="00CE04CC">
        <w:rPr>
          <w:rFonts w:ascii="Arial" w:hAnsi="Arial" w:cs="Arial"/>
          <w:sz w:val="20"/>
          <w:szCs w:val="20"/>
        </w:rPr>
        <w:t>20</w:t>
      </w:r>
      <w:r w:rsidR="000C381B">
        <w:rPr>
          <w:rFonts w:ascii="Arial" w:hAnsi="Arial" w:cs="Arial"/>
          <w:sz w:val="20"/>
          <w:szCs w:val="20"/>
        </w:rPr>
        <w:t xml:space="preserve"> </w:t>
      </w:r>
      <w:r>
        <w:rPr>
          <w:rFonts w:ascii="Arial" w:hAnsi="Arial" w:cs="Arial"/>
          <w:sz w:val="20"/>
          <w:szCs w:val="20"/>
        </w:rPr>
        <w:t>- $</w:t>
      </w:r>
      <w:r w:rsidR="000C381B">
        <w:rPr>
          <w:rFonts w:ascii="Arial" w:hAnsi="Arial" w:cs="Arial"/>
          <w:sz w:val="20"/>
          <w:szCs w:val="20"/>
        </w:rPr>
        <w:t>Nil</w:t>
      </w:r>
      <w:r>
        <w:rPr>
          <w:rFonts w:ascii="Arial" w:hAnsi="Arial" w:cs="Arial"/>
          <w:sz w:val="20"/>
          <w:szCs w:val="20"/>
        </w:rPr>
        <w:t xml:space="preserve">) has been recognized in the </w:t>
      </w:r>
      <w:r w:rsidR="00471409">
        <w:rPr>
          <w:rFonts w:ascii="Arial" w:hAnsi="Arial" w:cs="Arial"/>
          <w:sz w:val="20"/>
          <w:szCs w:val="20"/>
        </w:rPr>
        <w:t>c</w:t>
      </w:r>
      <w:r w:rsidR="00A11BD9">
        <w:rPr>
          <w:rFonts w:ascii="Arial" w:hAnsi="Arial" w:cs="Arial"/>
          <w:sz w:val="20"/>
          <w:szCs w:val="20"/>
        </w:rPr>
        <w:t xml:space="preserve">ondensed </w:t>
      </w:r>
      <w:r w:rsidR="00471409">
        <w:rPr>
          <w:rFonts w:ascii="Arial" w:hAnsi="Arial" w:cs="Arial"/>
          <w:sz w:val="20"/>
          <w:szCs w:val="20"/>
        </w:rPr>
        <w:t>c</w:t>
      </w:r>
      <w:r w:rsidR="00A11BD9">
        <w:rPr>
          <w:rFonts w:ascii="Arial" w:hAnsi="Arial" w:cs="Arial"/>
          <w:sz w:val="20"/>
          <w:szCs w:val="20"/>
        </w:rPr>
        <w:t xml:space="preserve">onsolidated </w:t>
      </w:r>
      <w:r w:rsidR="00471409">
        <w:rPr>
          <w:rFonts w:ascii="Arial" w:hAnsi="Arial" w:cs="Arial"/>
          <w:sz w:val="20"/>
          <w:szCs w:val="20"/>
        </w:rPr>
        <w:t>i</w:t>
      </w:r>
      <w:r w:rsidR="00A11BD9">
        <w:rPr>
          <w:rFonts w:ascii="Arial" w:hAnsi="Arial" w:cs="Arial"/>
          <w:sz w:val="20"/>
          <w:szCs w:val="20"/>
        </w:rPr>
        <w:t>nterim</w:t>
      </w:r>
      <w:r>
        <w:rPr>
          <w:rFonts w:ascii="Arial" w:hAnsi="Arial" w:cs="Arial"/>
          <w:sz w:val="20"/>
          <w:szCs w:val="20"/>
        </w:rPr>
        <w:t xml:space="preserve"> statements of comprehensive loss.</w:t>
      </w:r>
      <w:r w:rsidR="006A2136">
        <w:rPr>
          <w:rFonts w:ascii="Arial" w:hAnsi="Arial" w:cs="Arial"/>
          <w:sz w:val="20"/>
          <w:szCs w:val="20"/>
        </w:rPr>
        <w:t xml:space="preserve">   </w:t>
      </w:r>
    </w:p>
    <w:p w14:paraId="74163815" w14:textId="77777777" w:rsidR="00D55551" w:rsidRPr="00C31A39" w:rsidRDefault="00D55551" w:rsidP="00C31A39">
      <w:pPr>
        <w:pStyle w:val="ListParagraph"/>
        <w:widowControl/>
        <w:tabs>
          <w:tab w:val="left" w:pos="-1440"/>
          <w:tab w:val="left" w:pos="0"/>
          <w:tab w:val="left" w:pos="720"/>
          <w:tab w:val="left" w:pos="1440"/>
          <w:tab w:val="left" w:pos="2160"/>
          <w:tab w:val="left" w:pos="2880"/>
          <w:tab w:val="left" w:pos="4896"/>
        </w:tabs>
        <w:ind w:left="567"/>
        <w:outlineLvl w:val="0"/>
        <w:rPr>
          <w:rFonts w:ascii="Arial" w:hAnsi="Arial" w:cs="Arial"/>
          <w:bCs/>
          <w:sz w:val="20"/>
          <w:szCs w:val="20"/>
          <w:lang w:val="en-US"/>
        </w:rPr>
      </w:pPr>
    </w:p>
    <w:p w14:paraId="5E05A1C3" w14:textId="77777777" w:rsidR="00EB79B5" w:rsidRDefault="00471409"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 xml:space="preserve">On February 8, 2021, the Company granted 400,000 stock options to consultants of the Company.  The stock options vest immediately and were valued at CAD$159,968 </w:t>
      </w:r>
      <w:r>
        <w:rPr>
          <w:rFonts w:ascii="Arial" w:hAnsi="Arial" w:cs="Arial"/>
          <w:sz w:val="20"/>
          <w:szCs w:val="20"/>
        </w:rPr>
        <w:t xml:space="preserve">using the Black-Scholes option pricing model with the following weight average assumptions: risk-free interest rate – 0.30%; volatility – 100%; expected dividend yield – 0.0%; expected option life in years – 3.  </w:t>
      </w:r>
    </w:p>
    <w:p w14:paraId="191B8B7C" w14:textId="29A92182" w:rsidR="00471409" w:rsidRDefault="00471409"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50C2DF20" w14:textId="6FE3AF99" w:rsidR="00471409" w:rsidRDefault="00471409"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 xml:space="preserve">On February 11, 2021, the Company granted 50,000 stock options to a consultant of the Company.  </w:t>
      </w:r>
      <w:r w:rsidR="00EF20AE">
        <w:rPr>
          <w:rFonts w:ascii="Arial" w:hAnsi="Arial" w:cs="Arial"/>
          <w:bCs/>
          <w:sz w:val="20"/>
          <w:szCs w:val="20"/>
          <w:lang w:val="en-US"/>
        </w:rPr>
        <w:t xml:space="preserve">The stock options will be vested 1/3 on the </w:t>
      </w:r>
      <w:proofErr w:type="gramStart"/>
      <w:r w:rsidR="00EF20AE">
        <w:rPr>
          <w:rFonts w:ascii="Arial" w:hAnsi="Arial" w:cs="Arial"/>
          <w:bCs/>
          <w:sz w:val="20"/>
          <w:szCs w:val="20"/>
          <w:lang w:val="en-US"/>
        </w:rPr>
        <w:t>6, 12 and 18 months</w:t>
      </w:r>
      <w:proofErr w:type="gramEnd"/>
      <w:r w:rsidR="00EF20AE">
        <w:rPr>
          <w:rFonts w:ascii="Arial" w:hAnsi="Arial" w:cs="Arial"/>
          <w:bCs/>
          <w:sz w:val="20"/>
          <w:szCs w:val="20"/>
          <w:lang w:val="en-US"/>
        </w:rPr>
        <w:t xml:space="preserve"> anniversary. </w:t>
      </w:r>
      <w:r>
        <w:rPr>
          <w:rFonts w:ascii="Arial" w:hAnsi="Arial" w:cs="Arial"/>
          <w:bCs/>
          <w:sz w:val="20"/>
          <w:szCs w:val="20"/>
          <w:lang w:val="en-US"/>
        </w:rPr>
        <w:t xml:space="preserve">The stock options were valued at CAD$17,843 </w:t>
      </w:r>
      <w:r>
        <w:rPr>
          <w:rFonts w:ascii="Arial" w:hAnsi="Arial" w:cs="Arial"/>
          <w:sz w:val="20"/>
          <w:szCs w:val="20"/>
        </w:rPr>
        <w:lastRenderedPageBreak/>
        <w:t>using the Black-Scholes option pricing model with the following weight average assumptions: risk-free interest rate – 0.30%; volatility – 100%; expected dividend yield – 0.0%; expected option life in years – 3.  Of the total value, CAD$</w:t>
      </w:r>
      <w:r w:rsidR="00601960">
        <w:rPr>
          <w:rFonts w:ascii="Arial" w:hAnsi="Arial" w:cs="Arial"/>
          <w:sz w:val="20"/>
          <w:szCs w:val="20"/>
        </w:rPr>
        <w:t>7,634</w:t>
      </w:r>
      <w:r>
        <w:rPr>
          <w:rFonts w:ascii="Arial" w:hAnsi="Arial" w:cs="Arial"/>
          <w:sz w:val="20"/>
          <w:szCs w:val="20"/>
        </w:rPr>
        <w:t xml:space="preserve"> has been recognized in the condensed consolidated interim statements of comprehensive loss.</w:t>
      </w:r>
    </w:p>
    <w:p w14:paraId="5EF6A89D" w14:textId="77777777" w:rsidR="00EB79B5" w:rsidRDefault="00EB79B5"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37AF6EA5" w14:textId="4E5C2316" w:rsidR="00471409" w:rsidRDefault="00471409" w:rsidP="00471409">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 xml:space="preserve">On February 22, 2021, the Company granted 70,000 stock options to consultants of the Company.  </w:t>
      </w:r>
      <w:r w:rsidR="00EF20AE">
        <w:rPr>
          <w:rFonts w:ascii="Arial" w:hAnsi="Arial" w:cs="Arial"/>
          <w:bCs/>
          <w:sz w:val="20"/>
          <w:szCs w:val="20"/>
          <w:lang w:val="en-US"/>
        </w:rPr>
        <w:t xml:space="preserve">The stock options will be vested 1/3 on the </w:t>
      </w:r>
      <w:proofErr w:type="gramStart"/>
      <w:r w:rsidR="00EF20AE">
        <w:rPr>
          <w:rFonts w:ascii="Arial" w:hAnsi="Arial" w:cs="Arial"/>
          <w:bCs/>
          <w:sz w:val="20"/>
          <w:szCs w:val="20"/>
          <w:lang w:val="en-US"/>
        </w:rPr>
        <w:t>6, 12 and 18 months</w:t>
      </w:r>
      <w:proofErr w:type="gramEnd"/>
      <w:r w:rsidR="00EF20AE">
        <w:rPr>
          <w:rFonts w:ascii="Arial" w:hAnsi="Arial" w:cs="Arial"/>
          <w:bCs/>
          <w:sz w:val="20"/>
          <w:szCs w:val="20"/>
          <w:lang w:val="en-US"/>
        </w:rPr>
        <w:t xml:space="preserve"> anniversary. </w:t>
      </w:r>
      <w:r>
        <w:rPr>
          <w:rFonts w:ascii="Arial" w:hAnsi="Arial" w:cs="Arial"/>
          <w:bCs/>
          <w:sz w:val="20"/>
          <w:szCs w:val="20"/>
          <w:lang w:val="en-US"/>
        </w:rPr>
        <w:t>The stock options were valued at CAD$</w:t>
      </w:r>
      <w:r w:rsidR="00EF20AE">
        <w:rPr>
          <w:rFonts w:ascii="Arial" w:hAnsi="Arial" w:cs="Arial"/>
          <w:bCs/>
          <w:sz w:val="20"/>
          <w:szCs w:val="20"/>
          <w:lang w:val="en-US"/>
        </w:rPr>
        <w:t>32,301</w:t>
      </w:r>
      <w:r>
        <w:rPr>
          <w:rFonts w:ascii="Arial" w:hAnsi="Arial" w:cs="Arial"/>
          <w:bCs/>
          <w:sz w:val="20"/>
          <w:szCs w:val="20"/>
          <w:lang w:val="en-US"/>
        </w:rPr>
        <w:t xml:space="preserve"> </w:t>
      </w:r>
      <w:r>
        <w:rPr>
          <w:rFonts w:ascii="Arial" w:hAnsi="Arial" w:cs="Arial"/>
          <w:sz w:val="20"/>
          <w:szCs w:val="20"/>
        </w:rPr>
        <w:t>using the Black-Scholes option pricing model with the following weight average assumptions: risk-free interest rate – 0.30%; volatility – 100%; expected dividend yield – 0.0%; expected option life in years – 3.  Of the total value, CAD$</w:t>
      </w:r>
      <w:r w:rsidR="0092124B">
        <w:rPr>
          <w:rFonts w:ascii="Arial" w:hAnsi="Arial" w:cs="Arial"/>
          <w:sz w:val="20"/>
          <w:szCs w:val="20"/>
        </w:rPr>
        <w:t>12,736</w:t>
      </w:r>
      <w:r>
        <w:rPr>
          <w:rFonts w:ascii="Arial" w:hAnsi="Arial" w:cs="Arial"/>
          <w:sz w:val="20"/>
          <w:szCs w:val="20"/>
        </w:rPr>
        <w:t xml:space="preserve"> has been recognized in the condensed consolidated interim statements of comprehensive loss.</w:t>
      </w:r>
    </w:p>
    <w:p w14:paraId="60348116" w14:textId="77777777" w:rsidR="00471409" w:rsidRDefault="00471409"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22C81204" w14:textId="59EEF58C" w:rsidR="000C1656" w:rsidRDefault="000C165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 xml:space="preserve">On March 3, 2021, the Company granted 50,000 stock options to consultants of the Company.  The stock options will be vested 1/3 on the </w:t>
      </w:r>
      <w:proofErr w:type="gramStart"/>
      <w:r>
        <w:rPr>
          <w:rFonts w:ascii="Arial" w:hAnsi="Arial" w:cs="Arial"/>
          <w:bCs/>
          <w:sz w:val="20"/>
          <w:szCs w:val="20"/>
          <w:lang w:val="en-US"/>
        </w:rPr>
        <w:t>6, 12 and 18 months</w:t>
      </w:r>
      <w:proofErr w:type="gramEnd"/>
      <w:r>
        <w:rPr>
          <w:rFonts w:ascii="Arial" w:hAnsi="Arial" w:cs="Arial"/>
          <w:bCs/>
          <w:sz w:val="20"/>
          <w:szCs w:val="20"/>
          <w:lang w:val="en-US"/>
        </w:rPr>
        <w:t xml:space="preserve"> anniversary. The stock options were valued at CAD$19,381 </w:t>
      </w:r>
      <w:r>
        <w:rPr>
          <w:rFonts w:ascii="Arial" w:hAnsi="Arial" w:cs="Arial"/>
          <w:sz w:val="20"/>
          <w:szCs w:val="20"/>
        </w:rPr>
        <w:t>using the Black-Scholes option pricing model with the following weight average assumptions: risk-free interest rate – 0.30%; volatility – 100%; expected dividend yield – 0.0%; expected option life in years – 3.  Of the total value, CAD$</w:t>
      </w:r>
      <w:r w:rsidR="0092124B">
        <w:rPr>
          <w:rFonts w:ascii="Arial" w:hAnsi="Arial" w:cs="Arial"/>
          <w:sz w:val="20"/>
          <w:szCs w:val="20"/>
        </w:rPr>
        <w:t>7,641</w:t>
      </w:r>
      <w:r>
        <w:rPr>
          <w:rFonts w:ascii="Arial" w:hAnsi="Arial" w:cs="Arial"/>
          <w:sz w:val="20"/>
          <w:szCs w:val="20"/>
        </w:rPr>
        <w:t xml:space="preserve"> has been recognized in the condensed consolidated interim statements of comprehensive loss.</w:t>
      </w:r>
    </w:p>
    <w:p w14:paraId="7067EADB" w14:textId="77777777" w:rsidR="00471409" w:rsidRDefault="00471409"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5DA9D7BB" w14:textId="0A0DCFE4" w:rsidR="00865308" w:rsidRDefault="00865308" w:rsidP="00865308">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On March 4, 2021, the Company granted 108,887 stock options as part of the Homestead acquisition</w:t>
      </w:r>
      <w:r w:rsidR="00B46DD6">
        <w:rPr>
          <w:rFonts w:ascii="Arial" w:hAnsi="Arial" w:cs="Arial"/>
          <w:bCs/>
          <w:sz w:val="20"/>
          <w:szCs w:val="20"/>
          <w:lang w:val="en-US"/>
        </w:rPr>
        <w:t xml:space="preserve"> (Note </w:t>
      </w:r>
      <w:r w:rsidR="00CB2517">
        <w:rPr>
          <w:rFonts w:ascii="Arial" w:hAnsi="Arial" w:cs="Arial"/>
          <w:bCs/>
          <w:sz w:val="20"/>
          <w:szCs w:val="20"/>
          <w:lang w:val="en-US"/>
        </w:rPr>
        <w:t>5</w:t>
      </w:r>
      <w:r w:rsidR="00B46DD6">
        <w:rPr>
          <w:rFonts w:ascii="Arial" w:hAnsi="Arial" w:cs="Arial"/>
          <w:bCs/>
          <w:sz w:val="20"/>
          <w:szCs w:val="20"/>
          <w:lang w:val="en-US"/>
        </w:rPr>
        <w:t>)</w:t>
      </w:r>
      <w:r>
        <w:rPr>
          <w:rFonts w:ascii="Arial" w:hAnsi="Arial" w:cs="Arial"/>
          <w:bCs/>
          <w:sz w:val="20"/>
          <w:szCs w:val="20"/>
          <w:lang w:val="en-US"/>
        </w:rPr>
        <w:t xml:space="preserve">. The stock options will be vested 1/3 on the </w:t>
      </w:r>
      <w:proofErr w:type="gramStart"/>
      <w:r>
        <w:rPr>
          <w:rFonts w:ascii="Arial" w:hAnsi="Arial" w:cs="Arial"/>
          <w:bCs/>
          <w:sz w:val="20"/>
          <w:szCs w:val="20"/>
          <w:lang w:val="en-US"/>
        </w:rPr>
        <w:t>6, 12 and 18 months</w:t>
      </w:r>
      <w:proofErr w:type="gramEnd"/>
      <w:r>
        <w:rPr>
          <w:rFonts w:ascii="Arial" w:hAnsi="Arial" w:cs="Arial"/>
          <w:bCs/>
          <w:sz w:val="20"/>
          <w:szCs w:val="20"/>
          <w:lang w:val="en-US"/>
        </w:rPr>
        <w:t xml:space="preserve"> anniversary. The stock options were valued at CAD$38,856 </w:t>
      </w:r>
      <w:r>
        <w:rPr>
          <w:rFonts w:ascii="Arial" w:hAnsi="Arial" w:cs="Arial"/>
          <w:sz w:val="20"/>
          <w:szCs w:val="20"/>
        </w:rPr>
        <w:t>using the Black-Scholes option pricing model with the following weight average assumptions: risk-free interest rate – 0.30%; volatility – 100%; expected dividend yield – 0.0%; expected option life in years – 3.  Of the total value, CAD$</w:t>
      </w:r>
      <w:r w:rsidR="0092124B">
        <w:rPr>
          <w:rFonts w:ascii="Arial" w:hAnsi="Arial" w:cs="Arial"/>
          <w:sz w:val="20"/>
          <w:szCs w:val="20"/>
        </w:rPr>
        <w:t>11,792</w:t>
      </w:r>
      <w:r>
        <w:rPr>
          <w:rFonts w:ascii="Arial" w:hAnsi="Arial" w:cs="Arial"/>
          <w:sz w:val="20"/>
          <w:szCs w:val="20"/>
        </w:rPr>
        <w:t xml:space="preserve"> has been </w:t>
      </w:r>
      <w:r w:rsidR="008929BE">
        <w:rPr>
          <w:rFonts w:ascii="Arial" w:hAnsi="Arial" w:cs="Arial"/>
          <w:sz w:val="20"/>
          <w:szCs w:val="20"/>
        </w:rPr>
        <w:t>recorded in intangible assets.</w:t>
      </w:r>
    </w:p>
    <w:p w14:paraId="57C60AA8" w14:textId="77777777" w:rsidR="00865308" w:rsidRDefault="00865308"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6393B42F" w14:textId="01508B19" w:rsidR="00B46DD6" w:rsidRDefault="00B46DD6" w:rsidP="00B46DD6">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bCs/>
          <w:sz w:val="20"/>
          <w:szCs w:val="20"/>
          <w:lang w:val="en-US"/>
        </w:rPr>
        <w:t xml:space="preserve">On March 9, 2021, the Company granted 300,000 stock options to consultants of the Company. The stock options will be vested 1/3 on the </w:t>
      </w:r>
      <w:proofErr w:type="gramStart"/>
      <w:r>
        <w:rPr>
          <w:rFonts w:ascii="Arial" w:hAnsi="Arial" w:cs="Arial"/>
          <w:bCs/>
          <w:sz w:val="20"/>
          <w:szCs w:val="20"/>
          <w:lang w:val="en-US"/>
        </w:rPr>
        <w:t>6, 12 and 18 months</w:t>
      </w:r>
      <w:proofErr w:type="gramEnd"/>
      <w:r>
        <w:rPr>
          <w:rFonts w:ascii="Arial" w:hAnsi="Arial" w:cs="Arial"/>
          <w:bCs/>
          <w:sz w:val="20"/>
          <w:szCs w:val="20"/>
          <w:lang w:val="en-US"/>
        </w:rPr>
        <w:t xml:space="preserve"> anniversary. The stock options were valued at CAD$101,518 </w:t>
      </w:r>
      <w:r>
        <w:rPr>
          <w:rFonts w:ascii="Arial" w:hAnsi="Arial" w:cs="Arial"/>
          <w:sz w:val="20"/>
          <w:szCs w:val="20"/>
        </w:rPr>
        <w:t>using the Black-Scholes option pricing model with the following weight average assumptions: risk-free interest rate – 0.30%; volatility – 100%; expected dividend yield – 0.0%; expected option life in years – 3.  Of the total value, CAD$</w:t>
      </w:r>
      <w:r w:rsidR="0092124B">
        <w:rPr>
          <w:rFonts w:ascii="Arial" w:hAnsi="Arial" w:cs="Arial"/>
          <w:sz w:val="20"/>
          <w:szCs w:val="20"/>
        </w:rPr>
        <w:t>40,026</w:t>
      </w:r>
      <w:r>
        <w:rPr>
          <w:rFonts w:ascii="Arial" w:hAnsi="Arial" w:cs="Arial"/>
          <w:sz w:val="20"/>
          <w:szCs w:val="20"/>
        </w:rPr>
        <w:t xml:space="preserve"> has been recognized in the condensed consolidated interim statements of comprehensive loss.</w:t>
      </w:r>
    </w:p>
    <w:p w14:paraId="08579861" w14:textId="77777777" w:rsidR="00713EEA" w:rsidRDefault="00713EEA" w:rsidP="00713EEA">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6D5A3C74" w14:textId="77777777" w:rsidR="003F3F16" w:rsidRPr="003F3F16" w:rsidRDefault="003F3F16" w:rsidP="00713EEA">
      <w:pPr>
        <w:widowControl/>
        <w:tabs>
          <w:tab w:val="left" w:pos="-1440"/>
          <w:tab w:val="left" w:pos="0"/>
          <w:tab w:val="left" w:pos="720"/>
          <w:tab w:val="left" w:pos="1440"/>
          <w:tab w:val="left" w:pos="2160"/>
          <w:tab w:val="left" w:pos="2880"/>
          <w:tab w:val="left" w:pos="4896"/>
        </w:tabs>
        <w:outlineLvl w:val="0"/>
        <w:rPr>
          <w:rFonts w:ascii="Arial" w:hAnsi="Arial" w:cs="Arial"/>
          <w:b/>
          <w:bCs/>
          <w:sz w:val="20"/>
          <w:szCs w:val="20"/>
        </w:rPr>
      </w:pPr>
      <w:r w:rsidRPr="00FC224F">
        <w:rPr>
          <w:rFonts w:ascii="Arial" w:hAnsi="Arial" w:cs="Arial"/>
          <w:b/>
          <w:bCs/>
          <w:sz w:val="20"/>
          <w:szCs w:val="20"/>
        </w:rPr>
        <w:t>Warrants</w:t>
      </w:r>
    </w:p>
    <w:p w14:paraId="39CE0E93" w14:textId="77777777" w:rsidR="003F3F16" w:rsidRDefault="003F3F16" w:rsidP="00713EEA">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3111EE8D" w14:textId="73FEFD29" w:rsidR="003F3F16" w:rsidRDefault="003F3F16"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r>
        <w:rPr>
          <w:rFonts w:ascii="Arial" w:hAnsi="Arial" w:cs="Arial"/>
          <w:sz w:val="20"/>
          <w:szCs w:val="20"/>
        </w:rPr>
        <w:t xml:space="preserve">In connection to the subscription receipts issued on November 12, 2020, the Company issued 273,000 warrants as </w:t>
      </w:r>
      <w:r w:rsidR="00250EEE">
        <w:rPr>
          <w:rFonts w:ascii="Arial" w:hAnsi="Arial" w:cs="Arial"/>
          <w:sz w:val="20"/>
          <w:szCs w:val="20"/>
        </w:rPr>
        <w:t xml:space="preserve">a </w:t>
      </w:r>
      <w:r>
        <w:rPr>
          <w:rFonts w:ascii="Arial" w:hAnsi="Arial" w:cs="Arial"/>
          <w:sz w:val="20"/>
          <w:szCs w:val="20"/>
        </w:rPr>
        <w:t>finder</w:t>
      </w:r>
      <w:r w:rsidR="00250EEE">
        <w:rPr>
          <w:rFonts w:ascii="Arial" w:hAnsi="Arial" w:cs="Arial"/>
          <w:sz w:val="20"/>
          <w:szCs w:val="20"/>
        </w:rPr>
        <w:t>s’</w:t>
      </w:r>
      <w:r>
        <w:rPr>
          <w:rFonts w:ascii="Arial" w:hAnsi="Arial" w:cs="Arial"/>
          <w:sz w:val="20"/>
          <w:szCs w:val="20"/>
        </w:rPr>
        <w:t xml:space="preserve"> fee.  </w:t>
      </w:r>
      <w:r w:rsidR="00250EEE">
        <w:rPr>
          <w:rFonts w:ascii="Arial" w:hAnsi="Arial" w:cs="Arial"/>
          <w:sz w:val="20"/>
          <w:szCs w:val="20"/>
        </w:rPr>
        <w:t xml:space="preserve">Each </w:t>
      </w:r>
      <w:r w:rsidR="00250EEE" w:rsidRPr="00F8382E">
        <w:rPr>
          <w:rFonts w:ascii="Arial" w:hAnsi="Arial" w:cs="Arial"/>
          <w:sz w:val="20"/>
          <w:szCs w:val="20"/>
        </w:rPr>
        <w:t xml:space="preserve">warrant </w:t>
      </w:r>
      <w:r w:rsidR="00250EEE">
        <w:rPr>
          <w:rFonts w:ascii="Arial" w:hAnsi="Arial" w:cs="Arial"/>
          <w:sz w:val="20"/>
          <w:szCs w:val="20"/>
        </w:rPr>
        <w:t xml:space="preserve">is </w:t>
      </w:r>
      <w:r w:rsidR="00250EEE" w:rsidRPr="00F8382E">
        <w:rPr>
          <w:rFonts w:ascii="Arial" w:hAnsi="Arial" w:cs="Arial"/>
          <w:sz w:val="20"/>
          <w:szCs w:val="20"/>
        </w:rPr>
        <w:t xml:space="preserve">exercisable into one </w:t>
      </w:r>
      <w:r w:rsidR="00250EEE">
        <w:rPr>
          <w:rFonts w:ascii="Arial" w:hAnsi="Arial" w:cs="Arial"/>
          <w:sz w:val="20"/>
          <w:szCs w:val="20"/>
        </w:rPr>
        <w:t>common share</w:t>
      </w:r>
      <w:r w:rsidR="00250EEE" w:rsidRPr="00F8382E">
        <w:rPr>
          <w:rFonts w:ascii="Arial" w:hAnsi="Arial" w:cs="Arial"/>
          <w:sz w:val="20"/>
          <w:szCs w:val="20"/>
        </w:rPr>
        <w:t xml:space="preserve"> at an exercise price of </w:t>
      </w:r>
      <w:r w:rsidR="00250EEE">
        <w:rPr>
          <w:rFonts w:ascii="Arial" w:hAnsi="Arial" w:cs="Arial"/>
          <w:sz w:val="20"/>
          <w:szCs w:val="20"/>
        </w:rPr>
        <w:t>CAD</w:t>
      </w:r>
      <w:r w:rsidR="00250EEE" w:rsidRPr="00F8382E">
        <w:rPr>
          <w:rFonts w:ascii="Arial" w:hAnsi="Arial" w:cs="Arial"/>
          <w:sz w:val="20"/>
          <w:szCs w:val="20"/>
        </w:rPr>
        <w:t>$0.20 for 18 months from the closing date</w:t>
      </w:r>
      <w:r w:rsidR="00250EEE">
        <w:rPr>
          <w:rFonts w:ascii="Arial" w:hAnsi="Arial" w:cs="Arial"/>
          <w:sz w:val="20"/>
          <w:szCs w:val="20"/>
        </w:rPr>
        <w:t xml:space="preserve">.  As </w:t>
      </w:r>
      <w:proofErr w:type="gramStart"/>
      <w:r w:rsidR="00250EEE">
        <w:rPr>
          <w:rFonts w:ascii="Arial" w:hAnsi="Arial" w:cs="Arial"/>
          <w:sz w:val="20"/>
          <w:szCs w:val="20"/>
        </w:rPr>
        <w:t>at</w:t>
      </w:r>
      <w:proofErr w:type="gramEnd"/>
      <w:r w:rsidR="00250EEE">
        <w:rPr>
          <w:rFonts w:ascii="Arial" w:hAnsi="Arial" w:cs="Arial"/>
          <w:sz w:val="20"/>
          <w:szCs w:val="20"/>
        </w:rPr>
        <w:t xml:space="preserve"> </w:t>
      </w:r>
      <w:r w:rsidR="00AE2BC9">
        <w:rPr>
          <w:rFonts w:ascii="Arial" w:hAnsi="Arial" w:cs="Arial"/>
          <w:sz w:val="20"/>
          <w:szCs w:val="20"/>
        </w:rPr>
        <w:t>June 30</w:t>
      </w:r>
      <w:r w:rsidR="00250EEE">
        <w:rPr>
          <w:rFonts w:ascii="Arial" w:hAnsi="Arial" w:cs="Arial"/>
          <w:sz w:val="20"/>
          <w:szCs w:val="20"/>
        </w:rPr>
        <w:t>, 2021, all the warra</w:t>
      </w:r>
      <w:r>
        <w:rPr>
          <w:rFonts w:ascii="Arial" w:hAnsi="Arial" w:cs="Arial"/>
          <w:sz w:val="20"/>
          <w:szCs w:val="20"/>
        </w:rPr>
        <w:t xml:space="preserve">nts are outstanding and exercisable. </w:t>
      </w:r>
    </w:p>
    <w:p w14:paraId="0333404B" w14:textId="6036416E" w:rsidR="00FC224F" w:rsidRDefault="00FC224F" w:rsidP="00C24597">
      <w:pPr>
        <w:widowControl/>
        <w:tabs>
          <w:tab w:val="left" w:pos="-1440"/>
          <w:tab w:val="left" w:pos="0"/>
          <w:tab w:val="left" w:pos="720"/>
          <w:tab w:val="left" w:pos="1440"/>
          <w:tab w:val="left" w:pos="2160"/>
          <w:tab w:val="left" w:pos="2880"/>
          <w:tab w:val="left" w:pos="4896"/>
        </w:tabs>
        <w:outlineLvl w:val="0"/>
        <w:rPr>
          <w:rFonts w:ascii="Arial" w:hAnsi="Arial" w:cs="Arial"/>
          <w:sz w:val="20"/>
          <w:szCs w:val="20"/>
        </w:rPr>
      </w:pPr>
    </w:p>
    <w:p w14:paraId="68B6B7BF" w14:textId="492B5872" w:rsidR="00FC224F" w:rsidRDefault="00FC224F" w:rsidP="00FC224F">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r>
        <w:rPr>
          <w:rFonts w:ascii="Arial" w:hAnsi="Arial" w:cs="Arial"/>
          <w:bCs/>
          <w:sz w:val="20"/>
          <w:szCs w:val="20"/>
          <w:lang w:val="en-US"/>
        </w:rPr>
        <w:t xml:space="preserve">The Company had the following warrants outstanding as </w:t>
      </w:r>
      <w:proofErr w:type="gramStart"/>
      <w:r>
        <w:rPr>
          <w:rFonts w:ascii="Arial" w:hAnsi="Arial" w:cs="Arial"/>
          <w:bCs/>
          <w:sz w:val="20"/>
          <w:szCs w:val="20"/>
          <w:lang w:val="en-US"/>
        </w:rPr>
        <w:t>at</w:t>
      </w:r>
      <w:proofErr w:type="gramEnd"/>
      <w:r>
        <w:rPr>
          <w:rFonts w:ascii="Arial" w:hAnsi="Arial" w:cs="Arial"/>
          <w:bCs/>
          <w:sz w:val="20"/>
          <w:szCs w:val="20"/>
          <w:lang w:val="en-US"/>
        </w:rPr>
        <w:t xml:space="preserve"> June 30, 2021:</w:t>
      </w:r>
    </w:p>
    <w:tbl>
      <w:tblPr>
        <w:tblW w:w="9923" w:type="dxa"/>
        <w:tblInd w:w="142" w:type="dxa"/>
        <w:tblCellMar>
          <w:left w:w="115" w:type="dxa"/>
          <w:right w:w="115" w:type="dxa"/>
        </w:tblCellMar>
        <w:tblLook w:val="04A0" w:firstRow="1" w:lastRow="0" w:firstColumn="1" w:lastColumn="0" w:noHBand="0" w:noVBand="1"/>
      </w:tblPr>
      <w:tblGrid>
        <w:gridCol w:w="5076"/>
        <w:gridCol w:w="2410"/>
        <w:gridCol w:w="2437"/>
      </w:tblGrid>
      <w:tr w:rsidR="00FC224F" w:rsidRPr="00EB79B5" w14:paraId="7EC6C309" w14:textId="77777777" w:rsidTr="00DA68EE">
        <w:trPr>
          <w:trHeight w:val="255"/>
        </w:trPr>
        <w:tc>
          <w:tcPr>
            <w:tcW w:w="5076" w:type="dxa"/>
            <w:tcBorders>
              <w:left w:val="nil"/>
              <w:bottom w:val="single" w:sz="4" w:space="0" w:color="auto"/>
              <w:right w:val="nil"/>
            </w:tcBorders>
            <w:vAlign w:val="bottom"/>
          </w:tcPr>
          <w:p w14:paraId="44B40CBA" w14:textId="77777777" w:rsidR="00FC224F" w:rsidRPr="00EB79B5" w:rsidRDefault="00FC224F" w:rsidP="00DA68EE">
            <w:pPr>
              <w:rPr>
                <w:rFonts w:ascii="Arial" w:hAnsi="Arial" w:cs="Arial"/>
                <w:sz w:val="20"/>
                <w:szCs w:val="22"/>
              </w:rPr>
            </w:pPr>
          </w:p>
        </w:tc>
        <w:tc>
          <w:tcPr>
            <w:tcW w:w="2410" w:type="dxa"/>
            <w:tcBorders>
              <w:left w:val="nil"/>
              <w:bottom w:val="single" w:sz="4" w:space="0" w:color="auto"/>
              <w:right w:val="nil"/>
            </w:tcBorders>
            <w:noWrap/>
            <w:vAlign w:val="bottom"/>
          </w:tcPr>
          <w:p w14:paraId="4A591C74" w14:textId="77777777" w:rsidR="00FC224F" w:rsidRPr="00EB79B5" w:rsidRDefault="00FC224F" w:rsidP="00DA68EE">
            <w:pPr>
              <w:jc w:val="right"/>
              <w:rPr>
                <w:rFonts w:ascii="Arial" w:hAnsi="Arial" w:cs="Arial"/>
                <w:sz w:val="20"/>
                <w:szCs w:val="22"/>
              </w:rPr>
            </w:pPr>
            <w:r w:rsidRPr="00EB79B5">
              <w:rPr>
                <w:rFonts w:ascii="Arial" w:hAnsi="Arial" w:cs="Arial"/>
                <w:sz w:val="20"/>
                <w:szCs w:val="22"/>
              </w:rPr>
              <w:t>Number</w:t>
            </w:r>
          </w:p>
        </w:tc>
        <w:tc>
          <w:tcPr>
            <w:tcW w:w="2437" w:type="dxa"/>
            <w:tcBorders>
              <w:left w:val="nil"/>
              <w:bottom w:val="single" w:sz="4" w:space="0" w:color="auto"/>
              <w:right w:val="nil"/>
            </w:tcBorders>
            <w:vAlign w:val="bottom"/>
          </w:tcPr>
          <w:p w14:paraId="57A562A9" w14:textId="77777777" w:rsidR="00FC224F" w:rsidRPr="00EB79B5" w:rsidRDefault="00FC224F" w:rsidP="00DA68EE">
            <w:pPr>
              <w:jc w:val="right"/>
              <w:rPr>
                <w:rFonts w:ascii="Arial" w:hAnsi="Arial" w:cs="Arial"/>
                <w:sz w:val="20"/>
                <w:szCs w:val="22"/>
              </w:rPr>
            </w:pPr>
            <w:r w:rsidRPr="00EB79B5">
              <w:rPr>
                <w:rFonts w:ascii="Arial" w:hAnsi="Arial" w:cs="Arial"/>
                <w:sz w:val="20"/>
                <w:szCs w:val="22"/>
              </w:rPr>
              <w:t>Weighted average exercise price</w:t>
            </w:r>
          </w:p>
        </w:tc>
      </w:tr>
      <w:tr w:rsidR="00FC224F" w:rsidRPr="00EB79B5" w14:paraId="29A3D1CD" w14:textId="77777777" w:rsidTr="00DA68EE">
        <w:trPr>
          <w:trHeight w:val="290"/>
        </w:trPr>
        <w:tc>
          <w:tcPr>
            <w:tcW w:w="5076" w:type="dxa"/>
            <w:tcBorders>
              <w:top w:val="single" w:sz="4" w:space="0" w:color="auto"/>
              <w:left w:val="nil"/>
              <w:right w:val="nil"/>
            </w:tcBorders>
            <w:vAlign w:val="bottom"/>
          </w:tcPr>
          <w:p w14:paraId="2A3521B6" w14:textId="77777777" w:rsidR="00FC224F" w:rsidRPr="00EB79B5" w:rsidRDefault="00FC224F" w:rsidP="00DA68EE">
            <w:pPr>
              <w:rPr>
                <w:rFonts w:ascii="Arial" w:hAnsi="Arial" w:cs="Arial"/>
                <w:sz w:val="20"/>
                <w:szCs w:val="22"/>
              </w:rPr>
            </w:pPr>
          </w:p>
        </w:tc>
        <w:tc>
          <w:tcPr>
            <w:tcW w:w="2410" w:type="dxa"/>
            <w:tcBorders>
              <w:top w:val="single" w:sz="4" w:space="0" w:color="auto"/>
              <w:left w:val="nil"/>
              <w:right w:val="nil"/>
            </w:tcBorders>
            <w:noWrap/>
            <w:vAlign w:val="bottom"/>
          </w:tcPr>
          <w:p w14:paraId="535B1D41" w14:textId="77777777" w:rsidR="00FC224F" w:rsidRPr="00EB79B5" w:rsidRDefault="00FC224F" w:rsidP="00DA68EE">
            <w:pPr>
              <w:jc w:val="right"/>
              <w:rPr>
                <w:rFonts w:ascii="Arial" w:hAnsi="Arial" w:cs="Arial"/>
                <w:sz w:val="20"/>
                <w:szCs w:val="22"/>
              </w:rPr>
            </w:pPr>
          </w:p>
        </w:tc>
        <w:tc>
          <w:tcPr>
            <w:tcW w:w="2437" w:type="dxa"/>
            <w:tcBorders>
              <w:top w:val="single" w:sz="4" w:space="0" w:color="auto"/>
              <w:left w:val="nil"/>
              <w:right w:val="nil"/>
            </w:tcBorders>
            <w:vAlign w:val="bottom"/>
          </w:tcPr>
          <w:p w14:paraId="225FB28F" w14:textId="705ACB2B" w:rsidR="00FC224F" w:rsidRDefault="00FC224F" w:rsidP="00DA68EE">
            <w:pPr>
              <w:jc w:val="right"/>
              <w:rPr>
                <w:rFonts w:ascii="Arial" w:hAnsi="Arial" w:cs="Arial"/>
                <w:sz w:val="20"/>
                <w:szCs w:val="22"/>
              </w:rPr>
            </w:pPr>
            <w:r>
              <w:rPr>
                <w:rFonts w:ascii="Arial" w:hAnsi="Arial" w:cs="Arial"/>
                <w:sz w:val="20"/>
                <w:szCs w:val="22"/>
              </w:rPr>
              <w:t>CAD</w:t>
            </w:r>
          </w:p>
          <w:p w14:paraId="697E3428" w14:textId="457B32FB" w:rsidR="00FC224F" w:rsidRPr="00EB79B5" w:rsidRDefault="00FC224F" w:rsidP="00DA68EE">
            <w:pPr>
              <w:jc w:val="right"/>
              <w:rPr>
                <w:rFonts w:ascii="Arial" w:hAnsi="Arial" w:cs="Arial"/>
                <w:sz w:val="20"/>
                <w:szCs w:val="22"/>
              </w:rPr>
            </w:pPr>
            <w:r w:rsidRPr="00EB79B5">
              <w:rPr>
                <w:rFonts w:ascii="Arial" w:hAnsi="Arial" w:cs="Arial"/>
                <w:sz w:val="20"/>
                <w:szCs w:val="22"/>
              </w:rPr>
              <w:t>$</w:t>
            </w:r>
          </w:p>
        </w:tc>
      </w:tr>
      <w:tr w:rsidR="00FC224F" w:rsidRPr="00EB79B5" w14:paraId="0ADBECCC" w14:textId="77777777" w:rsidTr="00DA68EE">
        <w:trPr>
          <w:trHeight w:val="290"/>
        </w:trPr>
        <w:tc>
          <w:tcPr>
            <w:tcW w:w="5076" w:type="dxa"/>
            <w:tcBorders>
              <w:left w:val="nil"/>
              <w:right w:val="nil"/>
            </w:tcBorders>
            <w:vAlign w:val="bottom"/>
          </w:tcPr>
          <w:p w14:paraId="0CB47533" w14:textId="77777777" w:rsidR="00FC224F" w:rsidRPr="00EB79B5" w:rsidRDefault="00FC224F" w:rsidP="00DA68EE">
            <w:pPr>
              <w:rPr>
                <w:rFonts w:ascii="Arial" w:hAnsi="Arial" w:cs="Arial"/>
                <w:sz w:val="20"/>
                <w:szCs w:val="22"/>
              </w:rPr>
            </w:pPr>
            <w:r w:rsidRPr="00EB79B5">
              <w:rPr>
                <w:rFonts w:ascii="Arial" w:hAnsi="Arial" w:cs="Arial"/>
                <w:sz w:val="20"/>
                <w:szCs w:val="22"/>
              </w:rPr>
              <w:t xml:space="preserve">Balance, </w:t>
            </w:r>
            <w:r>
              <w:rPr>
                <w:rFonts w:ascii="Arial" w:hAnsi="Arial" w:cs="Arial"/>
                <w:sz w:val="20"/>
                <w:szCs w:val="22"/>
              </w:rPr>
              <w:t xml:space="preserve">December 31, </w:t>
            </w:r>
            <w:proofErr w:type="gramStart"/>
            <w:r>
              <w:rPr>
                <w:rFonts w:ascii="Arial" w:hAnsi="Arial" w:cs="Arial"/>
                <w:sz w:val="20"/>
                <w:szCs w:val="22"/>
              </w:rPr>
              <w:t>2019</w:t>
            </w:r>
            <w:proofErr w:type="gramEnd"/>
            <w:r>
              <w:rPr>
                <w:rFonts w:ascii="Arial" w:hAnsi="Arial" w:cs="Arial"/>
                <w:sz w:val="20"/>
                <w:szCs w:val="22"/>
              </w:rPr>
              <w:t xml:space="preserve"> </w:t>
            </w:r>
          </w:p>
        </w:tc>
        <w:tc>
          <w:tcPr>
            <w:tcW w:w="2410" w:type="dxa"/>
            <w:tcBorders>
              <w:left w:val="nil"/>
              <w:right w:val="nil"/>
            </w:tcBorders>
            <w:noWrap/>
            <w:vAlign w:val="bottom"/>
          </w:tcPr>
          <w:p w14:paraId="0200E333" w14:textId="77777777" w:rsidR="00FC224F" w:rsidRPr="00EB79B5" w:rsidRDefault="00FC224F" w:rsidP="00DA68EE">
            <w:pPr>
              <w:jc w:val="right"/>
              <w:rPr>
                <w:rFonts w:ascii="Arial" w:hAnsi="Arial" w:cs="Arial"/>
                <w:sz w:val="20"/>
                <w:szCs w:val="22"/>
              </w:rPr>
            </w:pPr>
            <w:r>
              <w:rPr>
                <w:rFonts w:ascii="Arial" w:hAnsi="Arial" w:cs="Arial"/>
                <w:sz w:val="20"/>
                <w:szCs w:val="22"/>
              </w:rPr>
              <w:t>-</w:t>
            </w:r>
          </w:p>
        </w:tc>
        <w:tc>
          <w:tcPr>
            <w:tcW w:w="2437" w:type="dxa"/>
            <w:tcBorders>
              <w:left w:val="nil"/>
              <w:right w:val="nil"/>
            </w:tcBorders>
            <w:vAlign w:val="bottom"/>
          </w:tcPr>
          <w:p w14:paraId="7718BB72" w14:textId="77777777" w:rsidR="00FC224F" w:rsidRPr="00EB79B5" w:rsidRDefault="00FC224F" w:rsidP="00DA68EE">
            <w:pPr>
              <w:jc w:val="right"/>
              <w:rPr>
                <w:rFonts w:ascii="Arial" w:hAnsi="Arial" w:cs="Arial"/>
                <w:sz w:val="20"/>
                <w:szCs w:val="22"/>
              </w:rPr>
            </w:pPr>
            <w:r>
              <w:rPr>
                <w:rFonts w:ascii="Arial" w:hAnsi="Arial" w:cs="Arial"/>
                <w:sz w:val="20"/>
                <w:szCs w:val="22"/>
              </w:rPr>
              <w:t>-</w:t>
            </w:r>
          </w:p>
        </w:tc>
      </w:tr>
      <w:tr w:rsidR="00FC224F" w:rsidRPr="00EB79B5" w14:paraId="6F484C99" w14:textId="77777777" w:rsidTr="00DA68EE">
        <w:trPr>
          <w:trHeight w:val="70"/>
        </w:trPr>
        <w:tc>
          <w:tcPr>
            <w:tcW w:w="5076" w:type="dxa"/>
            <w:tcBorders>
              <w:left w:val="nil"/>
              <w:right w:val="nil"/>
            </w:tcBorders>
            <w:vAlign w:val="bottom"/>
          </w:tcPr>
          <w:p w14:paraId="3217F333" w14:textId="77777777" w:rsidR="00FC224F" w:rsidRPr="00EB79B5" w:rsidRDefault="00FC224F" w:rsidP="00DA68EE">
            <w:pPr>
              <w:rPr>
                <w:rFonts w:ascii="Arial" w:hAnsi="Arial" w:cs="Arial"/>
                <w:sz w:val="20"/>
                <w:szCs w:val="22"/>
              </w:rPr>
            </w:pPr>
            <w:r w:rsidRPr="00EB79B5">
              <w:rPr>
                <w:rFonts w:ascii="Arial" w:hAnsi="Arial" w:cs="Arial"/>
                <w:sz w:val="20"/>
                <w:szCs w:val="22"/>
              </w:rPr>
              <w:t>Granted</w:t>
            </w:r>
          </w:p>
        </w:tc>
        <w:tc>
          <w:tcPr>
            <w:tcW w:w="2410" w:type="dxa"/>
            <w:tcBorders>
              <w:left w:val="nil"/>
              <w:right w:val="nil"/>
            </w:tcBorders>
            <w:noWrap/>
            <w:vAlign w:val="bottom"/>
          </w:tcPr>
          <w:p w14:paraId="5BD9C1FE" w14:textId="1EBCC755" w:rsidR="00FC224F" w:rsidRPr="00EB79B5" w:rsidRDefault="00FC224F" w:rsidP="00DA68EE">
            <w:pPr>
              <w:jc w:val="right"/>
              <w:rPr>
                <w:rFonts w:ascii="Arial" w:hAnsi="Arial" w:cs="Arial"/>
                <w:sz w:val="20"/>
                <w:szCs w:val="22"/>
              </w:rPr>
            </w:pPr>
            <w:r>
              <w:rPr>
                <w:rFonts w:ascii="Arial" w:hAnsi="Arial" w:cs="Arial"/>
                <w:sz w:val="20"/>
                <w:szCs w:val="22"/>
              </w:rPr>
              <w:t>273,000</w:t>
            </w:r>
          </w:p>
        </w:tc>
        <w:tc>
          <w:tcPr>
            <w:tcW w:w="2437" w:type="dxa"/>
            <w:tcBorders>
              <w:left w:val="nil"/>
              <w:right w:val="nil"/>
            </w:tcBorders>
            <w:vAlign w:val="bottom"/>
          </w:tcPr>
          <w:p w14:paraId="4BF41EA4" w14:textId="006533A7" w:rsidR="00FC224F" w:rsidRPr="00EB79B5" w:rsidRDefault="00FC224F" w:rsidP="00DA68EE">
            <w:pPr>
              <w:jc w:val="right"/>
              <w:rPr>
                <w:rFonts w:ascii="Arial" w:hAnsi="Arial" w:cs="Arial"/>
                <w:sz w:val="20"/>
                <w:szCs w:val="22"/>
              </w:rPr>
            </w:pPr>
            <w:r>
              <w:rPr>
                <w:rFonts w:ascii="Arial" w:hAnsi="Arial" w:cs="Arial"/>
                <w:sz w:val="20"/>
                <w:szCs w:val="22"/>
              </w:rPr>
              <w:t>0.20</w:t>
            </w:r>
          </w:p>
        </w:tc>
      </w:tr>
      <w:tr w:rsidR="00FC224F" w:rsidRPr="00EB79B5" w14:paraId="51EA515D" w14:textId="77777777" w:rsidTr="00DA68EE">
        <w:trPr>
          <w:trHeight w:val="70"/>
        </w:trPr>
        <w:tc>
          <w:tcPr>
            <w:tcW w:w="5076" w:type="dxa"/>
            <w:tcBorders>
              <w:left w:val="nil"/>
              <w:right w:val="nil"/>
            </w:tcBorders>
            <w:vAlign w:val="bottom"/>
          </w:tcPr>
          <w:p w14:paraId="43AF6D50" w14:textId="77777777" w:rsidR="00FC224F" w:rsidRPr="00EB79B5" w:rsidRDefault="00FC224F" w:rsidP="00DA68EE">
            <w:pPr>
              <w:rPr>
                <w:rFonts w:ascii="Arial" w:hAnsi="Arial" w:cs="Arial"/>
                <w:sz w:val="20"/>
                <w:szCs w:val="22"/>
              </w:rPr>
            </w:pPr>
            <w:r w:rsidRPr="00EB79B5">
              <w:rPr>
                <w:rFonts w:ascii="Arial" w:hAnsi="Arial" w:cs="Arial"/>
                <w:sz w:val="20"/>
                <w:szCs w:val="22"/>
              </w:rPr>
              <w:t>Exercised</w:t>
            </w:r>
          </w:p>
        </w:tc>
        <w:tc>
          <w:tcPr>
            <w:tcW w:w="2410" w:type="dxa"/>
            <w:tcBorders>
              <w:left w:val="nil"/>
              <w:right w:val="nil"/>
            </w:tcBorders>
            <w:noWrap/>
            <w:vAlign w:val="bottom"/>
          </w:tcPr>
          <w:p w14:paraId="3C0166E9" w14:textId="6C5729A6" w:rsidR="00FC224F" w:rsidRPr="00EB79B5" w:rsidRDefault="00FC224F" w:rsidP="00DA68EE">
            <w:pPr>
              <w:jc w:val="right"/>
              <w:rPr>
                <w:rFonts w:ascii="Arial" w:hAnsi="Arial" w:cs="Arial"/>
                <w:sz w:val="20"/>
                <w:szCs w:val="22"/>
              </w:rPr>
            </w:pPr>
            <w:r>
              <w:rPr>
                <w:rFonts w:ascii="Arial" w:hAnsi="Arial" w:cs="Arial"/>
                <w:sz w:val="20"/>
                <w:szCs w:val="22"/>
              </w:rPr>
              <w:t>-</w:t>
            </w:r>
          </w:p>
        </w:tc>
        <w:tc>
          <w:tcPr>
            <w:tcW w:w="2437" w:type="dxa"/>
            <w:tcBorders>
              <w:left w:val="nil"/>
              <w:right w:val="nil"/>
            </w:tcBorders>
            <w:vAlign w:val="bottom"/>
          </w:tcPr>
          <w:p w14:paraId="1CD5D21D" w14:textId="125BD612" w:rsidR="00FC224F" w:rsidRPr="00EB79B5" w:rsidRDefault="00FC224F" w:rsidP="00DA68EE">
            <w:pPr>
              <w:jc w:val="right"/>
              <w:rPr>
                <w:rFonts w:ascii="Arial" w:hAnsi="Arial" w:cs="Arial"/>
                <w:sz w:val="20"/>
                <w:szCs w:val="22"/>
              </w:rPr>
            </w:pPr>
            <w:r>
              <w:rPr>
                <w:rFonts w:ascii="Arial" w:hAnsi="Arial" w:cs="Arial"/>
                <w:sz w:val="20"/>
                <w:szCs w:val="22"/>
              </w:rPr>
              <w:t>-</w:t>
            </w:r>
          </w:p>
        </w:tc>
      </w:tr>
      <w:tr w:rsidR="00FC224F" w:rsidRPr="00EB79B5" w14:paraId="382B9345" w14:textId="77777777" w:rsidTr="00DA68EE">
        <w:trPr>
          <w:trHeight w:val="227"/>
        </w:trPr>
        <w:tc>
          <w:tcPr>
            <w:tcW w:w="5076" w:type="dxa"/>
            <w:tcBorders>
              <w:top w:val="single" w:sz="4" w:space="0" w:color="auto"/>
              <w:left w:val="nil"/>
              <w:right w:val="nil"/>
            </w:tcBorders>
            <w:vAlign w:val="bottom"/>
          </w:tcPr>
          <w:p w14:paraId="25404AC8" w14:textId="77777777" w:rsidR="00FC224F" w:rsidRPr="00EB79B5" w:rsidRDefault="00FC224F" w:rsidP="00DA68EE">
            <w:pPr>
              <w:rPr>
                <w:rFonts w:ascii="Arial" w:hAnsi="Arial" w:cs="Arial"/>
                <w:sz w:val="20"/>
                <w:szCs w:val="22"/>
              </w:rPr>
            </w:pPr>
            <w:r w:rsidRPr="00EB79B5">
              <w:rPr>
                <w:rFonts w:ascii="Arial" w:hAnsi="Arial" w:cs="Arial"/>
                <w:sz w:val="20"/>
                <w:szCs w:val="22"/>
              </w:rPr>
              <w:t xml:space="preserve">Balance, </w:t>
            </w:r>
            <w:r>
              <w:rPr>
                <w:rFonts w:ascii="Arial" w:hAnsi="Arial" w:cs="Arial"/>
                <w:sz w:val="20"/>
                <w:szCs w:val="22"/>
              </w:rPr>
              <w:t>December 31, 2020</w:t>
            </w:r>
          </w:p>
        </w:tc>
        <w:tc>
          <w:tcPr>
            <w:tcW w:w="2410" w:type="dxa"/>
            <w:tcBorders>
              <w:top w:val="single" w:sz="4" w:space="0" w:color="auto"/>
              <w:left w:val="nil"/>
              <w:right w:val="nil"/>
            </w:tcBorders>
            <w:noWrap/>
            <w:vAlign w:val="bottom"/>
          </w:tcPr>
          <w:p w14:paraId="2E81A702" w14:textId="40E16511" w:rsidR="00FC224F" w:rsidRPr="00EB79B5" w:rsidRDefault="00FC224F" w:rsidP="00DA68EE">
            <w:pPr>
              <w:jc w:val="right"/>
              <w:rPr>
                <w:rFonts w:ascii="Arial" w:hAnsi="Arial" w:cs="Arial"/>
                <w:sz w:val="20"/>
                <w:szCs w:val="22"/>
              </w:rPr>
            </w:pPr>
            <w:r>
              <w:rPr>
                <w:rFonts w:ascii="Arial" w:hAnsi="Arial" w:cs="Arial"/>
                <w:sz w:val="20"/>
                <w:szCs w:val="22"/>
              </w:rPr>
              <w:t>273,000</w:t>
            </w:r>
          </w:p>
        </w:tc>
        <w:tc>
          <w:tcPr>
            <w:tcW w:w="2437" w:type="dxa"/>
            <w:tcBorders>
              <w:top w:val="single" w:sz="4" w:space="0" w:color="auto"/>
              <w:left w:val="nil"/>
              <w:right w:val="nil"/>
            </w:tcBorders>
            <w:vAlign w:val="bottom"/>
          </w:tcPr>
          <w:p w14:paraId="3EF0D516" w14:textId="0B658AD1" w:rsidR="00FC224F" w:rsidRPr="00EB79B5" w:rsidRDefault="00FC224F" w:rsidP="00DA68EE">
            <w:pPr>
              <w:jc w:val="right"/>
              <w:rPr>
                <w:rFonts w:ascii="Arial" w:hAnsi="Arial" w:cs="Arial"/>
                <w:sz w:val="20"/>
                <w:szCs w:val="22"/>
              </w:rPr>
            </w:pPr>
            <w:r>
              <w:rPr>
                <w:rFonts w:ascii="Arial" w:hAnsi="Arial" w:cs="Arial"/>
                <w:sz w:val="20"/>
                <w:szCs w:val="22"/>
              </w:rPr>
              <w:t>0.20</w:t>
            </w:r>
          </w:p>
        </w:tc>
      </w:tr>
      <w:tr w:rsidR="00FC224F" w:rsidRPr="00EB79B5" w14:paraId="088B9CB8" w14:textId="77777777" w:rsidTr="00DA68EE">
        <w:trPr>
          <w:trHeight w:val="227"/>
        </w:trPr>
        <w:tc>
          <w:tcPr>
            <w:tcW w:w="5076" w:type="dxa"/>
            <w:tcBorders>
              <w:left w:val="nil"/>
              <w:right w:val="nil"/>
            </w:tcBorders>
            <w:vAlign w:val="bottom"/>
          </w:tcPr>
          <w:p w14:paraId="7ABD9594" w14:textId="77777777" w:rsidR="00FC224F" w:rsidRPr="00EB79B5" w:rsidRDefault="00FC224F" w:rsidP="00DA68EE">
            <w:pPr>
              <w:rPr>
                <w:rFonts w:ascii="Arial" w:hAnsi="Arial" w:cs="Arial"/>
                <w:sz w:val="20"/>
                <w:szCs w:val="22"/>
              </w:rPr>
            </w:pPr>
            <w:r>
              <w:rPr>
                <w:rFonts w:ascii="Arial" w:hAnsi="Arial" w:cs="Arial"/>
                <w:sz w:val="20"/>
                <w:szCs w:val="22"/>
              </w:rPr>
              <w:t>Granted</w:t>
            </w:r>
          </w:p>
        </w:tc>
        <w:tc>
          <w:tcPr>
            <w:tcW w:w="2410" w:type="dxa"/>
            <w:tcBorders>
              <w:left w:val="nil"/>
              <w:right w:val="nil"/>
            </w:tcBorders>
            <w:noWrap/>
            <w:vAlign w:val="bottom"/>
          </w:tcPr>
          <w:p w14:paraId="562054F6" w14:textId="4F564FF9" w:rsidR="00FC224F" w:rsidRDefault="00FC224F" w:rsidP="00DA68EE">
            <w:pPr>
              <w:jc w:val="right"/>
              <w:rPr>
                <w:rFonts w:ascii="Arial" w:hAnsi="Arial" w:cs="Arial"/>
                <w:sz w:val="20"/>
                <w:szCs w:val="22"/>
              </w:rPr>
            </w:pPr>
            <w:r>
              <w:rPr>
                <w:rFonts w:ascii="Arial" w:hAnsi="Arial" w:cs="Arial"/>
                <w:sz w:val="20"/>
                <w:szCs w:val="22"/>
              </w:rPr>
              <w:t>11,948,140</w:t>
            </w:r>
          </w:p>
        </w:tc>
        <w:tc>
          <w:tcPr>
            <w:tcW w:w="2437" w:type="dxa"/>
            <w:tcBorders>
              <w:left w:val="nil"/>
              <w:right w:val="nil"/>
            </w:tcBorders>
            <w:vAlign w:val="bottom"/>
          </w:tcPr>
          <w:p w14:paraId="3168477F" w14:textId="3C2F24DF" w:rsidR="00FC224F" w:rsidRDefault="00FC224F" w:rsidP="00DA68EE">
            <w:pPr>
              <w:jc w:val="right"/>
              <w:rPr>
                <w:rFonts w:ascii="Arial" w:hAnsi="Arial" w:cs="Arial"/>
                <w:sz w:val="20"/>
                <w:szCs w:val="22"/>
              </w:rPr>
            </w:pPr>
            <w:r>
              <w:rPr>
                <w:rFonts w:ascii="Arial" w:hAnsi="Arial" w:cs="Arial"/>
                <w:sz w:val="20"/>
                <w:szCs w:val="22"/>
              </w:rPr>
              <w:t>0.40</w:t>
            </w:r>
          </w:p>
        </w:tc>
      </w:tr>
      <w:tr w:rsidR="00FC224F" w:rsidRPr="00EB79B5" w14:paraId="3ADE8DBA" w14:textId="77777777" w:rsidTr="00DA68EE">
        <w:trPr>
          <w:trHeight w:val="227"/>
        </w:trPr>
        <w:tc>
          <w:tcPr>
            <w:tcW w:w="5076" w:type="dxa"/>
            <w:tcBorders>
              <w:left w:val="nil"/>
              <w:bottom w:val="single" w:sz="4" w:space="0" w:color="auto"/>
              <w:right w:val="nil"/>
            </w:tcBorders>
            <w:vAlign w:val="bottom"/>
          </w:tcPr>
          <w:p w14:paraId="6F08008E" w14:textId="77777777" w:rsidR="00FC224F" w:rsidRPr="00EB79B5" w:rsidRDefault="00FC224F" w:rsidP="00DA68EE">
            <w:pPr>
              <w:rPr>
                <w:rFonts w:ascii="Arial" w:hAnsi="Arial" w:cs="Arial"/>
                <w:sz w:val="20"/>
                <w:szCs w:val="22"/>
              </w:rPr>
            </w:pPr>
            <w:r>
              <w:rPr>
                <w:rFonts w:ascii="Arial" w:hAnsi="Arial" w:cs="Arial"/>
                <w:sz w:val="20"/>
                <w:szCs w:val="22"/>
              </w:rPr>
              <w:t>Exercised</w:t>
            </w:r>
          </w:p>
        </w:tc>
        <w:tc>
          <w:tcPr>
            <w:tcW w:w="2410" w:type="dxa"/>
            <w:tcBorders>
              <w:left w:val="nil"/>
              <w:bottom w:val="single" w:sz="4" w:space="0" w:color="auto"/>
              <w:right w:val="nil"/>
            </w:tcBorders>
            <w:noWrap/>
            <w:vAlign w:val="bottom"/>
          </w:tcPr>
          <w:p w14:paraId="210A2CE4" w14:textId="5882DC97" w:rsidR="00FC224F" w:rsidRDefault="00FC224F" w:rsidP="00DA68EE">
            <w:pPr>
              <w:jc w:val="right"/>
              <w:rPr>
                <w:rFonts w:ascii="Arial" w:hAnsi="Arial" w:cs="Arial"/>
                <w:sz w:val="20"/>
                <w:szCs w:val="22"/>
              </w:rPr>
            </w:pPr>
            <w:r>
              <w:rPr>
                <w:rFonts w:ascii="Arial" w:hAnsi="Arial" w:cs="Arial"/>
                <w:sz w:val="20"/>
                <w:szCs w:val="22"/>
              </w:rPr>
              <w:t>-</w:t>
            </w:r>
          </w:p>
        </w:tc>
        <w:tc>
          <w:tcPr>
            <w:tcW w:w="2437" w:type="dxa"/>
            <w:tcBorders>
              <w:left w:val="nil"/>
              <w:bottom w:val="single" w:sz="4" w:space="0" w:color="auto"/>
              <w:right w:val="nil"/>
            </w:tcBorders>
            <w:vAlign w:val="bottom"/>
          </w:tcPr>
          <w:p w14:paraId="1E68F07C" w14:textId="5DBE28AE" w:rsidR="00FC224F" w:rsidRDefault="00FC224F" w:rsidP="00DA68EE">
            <w:pPr>
              <w:jc w:val="right"/>
              <w:rPr>
                <w:rFonts w:ascii="Arial" w:hAnsi="Arial" w:cs="Arial"/>
                <w:sz w:val="20"/>
                <w:szCs w:val="22"/>
              </w:rPr>
            </w:pPr>
            <w:r>
              <w:rPr>
                <w:rFonts w:ascii="Arial" w:hAnsi="Arial" w:cs="Arial"/>
                <w:sz w:val="20"/>
                <w:szCs w:val="22"/>
              </w:rPr>
              <w:t>-</w:t>
            </w:r>
          </w:p>
        </w:tc>
      </w:tr>
      <w:tr w:rsidR="00FC224F" w:rsidRPr="00EB79B5" w14:paraId="6A00B385" w14:textId="77777777" w:rsidTr="00DA68EE">
        <w:trPr>
          <w:trHeight w:val="227"/>
        </w:trPr>
        <w:tc>
          <w:tcPr>
            <w:tcW w:w="5076" w:type="dxa"/>
            <w:tcBorders>
              <w:top w:val="single" w:sz="4" w:space="0" w:color="auto"/>
              <w:left w:val="nil"/>
              <w:bottom w:val="single" w:sz="12" w:space="0" w:color="auto"/>
              <w:right w:val="nil"/>
            </w:tcBorders>
            <w:vAlign w:val="bottom"/>
          </w:tcPr>
          <w:p w14:paraId="06EFF9C2" w14:textId="77777777" w:rsidR="00FC224F" w:rsidRPr="00EB79B5" w:rsidRDefault="00FC224F" w:rsidP="00DA68EE">
            <w:pPr>
              <w:rPr>
                <w:rFonts w:ascii="Arial" w:hAnsi="Arial" w:cs="Arial"/>
                <w:sz w:val="20"/>
                <w:szCs w:val="22"/>
              </w:rPr>
            </w:pPr>
            <w:r>
              <w:rPr>
                <w:rFonts w:ascii="Arial" w:hAnsi="Arial" w:cs="Arial"/>
                <w:sz w:val="20"/>
                <w:szCs w:val="22"/>
              </w:rPr>
              <w:t>Balance, June 30, 2021</w:t>
            </w:r>
          </w:p>
        </w:tc>
        <w:tc>
          <w:tcPr>
            <w:tcW w:w="2410" w:type="dxa"/>
            <w:tcBorders>
              <w:top w:val="single" w:sz="4" w:space="0" w:color="auto"/>
              <w:left w:val="nil"/>
              <w:bottom w:val="single" w:sz="12" w:space="0" w:color="auto"/>
              <w:right w:val="nil"/>
            </w:tcBorders>
            <w:noWrap/>
            <w:vAlign w:val="bottom"/>
          </w:tcPr>
          <w:p w14:paraId="3F4D2B25" w14:textId="3470A2FF" w:rsidR="00FC224F" w:rsidRDefault="00845652" w:rsidP="00DA68EE">
            <w:pPr>
              <w:jc w:val="right"/>
              <w:rPr>
                <w:rFonts w:ascii="Arial" w:hAnsi="Arial" w:cs="Arial"/>
                <w:sz w:val="20"/>
                <w:szCs w:val="22"/>
              </w:rPr>
            </w:pPr>
            <w:r>
              <w:rPr>
                <w:rFonts w:ascii="Arial" w:hAnsi="Arial" w:cs="Arial"/>
                <w:sz w:val="20"/>
                <w:szCs w:val="22"/>
              </w:rPr>
              <w:t>12,221,140</w:t>
            </w:r>
          </w:p>
        </w:tc>
        <w:tc>
          <w:tcPr>
            <w:tcW w:w="2437" w:type="dxa"/>
            <w:tcBorders>
              <w:top w:val="single" w:sz="4" w:space="0" w:color="auto"/>
              <w:left w:val="nil"/>
              <w:bottom w:val="single" w:sz="12" w:space="0" w:color="auto"/>
              <w:right w:val="nil"/>
            </w:tcBorders>
            <w:vAlign w:val="bottom"/>
          </w:tcPr>
          <w:p w14:paraId="0E7CEF9B" w14:textId="16C8B34B" w:rsidR="00FC224F" w:rsidRDefault="00FC224F" w:rsidP="00DA68EE">
            <w:pPr>
              <w:jc w:val="right"/>
              <w:rPr>
                <w:rFonts w:ascii="Arial" w:hAnsi="Arial" w:cs="Arial"/>
                <w:sz w:val="20"/>
                <w:szCs w:val="22"/>
              </w:rPr>
            </w:pPr>
            <w:r>
              <w:rPr>
                <w:rFonts w:ascii="Arial" w:hAnsi="Arial" w:cs="Arial"/>
                <w:sz w:val="20"/>
                <w:szCs w:val="22"/>
              </w:rPr>
              <w:t>0.39</w:t>
            </w:r>
          </w:p>
        </w:tc>
      </w:tr>
    </w:tbl>
    <w:p w14:paraId="6B8E65DB" w14:textId="4B975826" w:rsidR="00A62CF6" w:rsidRDefault="00A62CF6" w:rsidP="00FC224F">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p w14:paraId="081D8B97" w14:textId="7080D4E7" w:rsidR="00112C3D" w:rsidRDefault="00112C3D" w:rsidP="00FC224F">
      <w:pPr>
        <w:widowControl/>
        <w:tabs>
          <w:tab w:val="left" w:pos="-1440"/>
          <w:tab w:val="left" w:pos="0"/>
          <w:tab w:val="left" w:pos="720"/>
          <w:tab w:val="left" w:pos="1440"/>
          <w:tab w:val="left" w:pos="2160"/>
          <w:tab w:val="left" w:pos="2880"/>
          <w:tab w:val="left" w:pos="4896"/>
        </w:tabs>
        <w:outlineLvl w:val="0"/>
        <w:rPr>
          <w:rFonts w:ascii="Arial" w:hAnsi="Arial" w:cs="Arial"/>
          <w:bCs/>
          <w:sz w:val="20"/>
          <w:szCs w:val="20"/>
          <w:lang w:val="en-US"/>
        </w:rPr>
      </w:pPr>
    </w:p>
    <w:tbl>
      <w:tblPr>
        <w:tblW w:w="7797" w:type="dxa"/>
        <w:jc w:val="center"/>
        <w:tblCellMar>
          <w:left w:w="115" w:type="dxa"/>
          <w:right w:w="115" w:type="dxa"/>
        </w:tblCellMar>
        <w:tblLook w:val="04A0" w:firstRow="1" w:lastRow="0" w:firstColumn="1" w:lastColumn="0" w:noHBand="0" w:noVBand="1"/>
      </w:tblPr>
      <w:tblGrid>
        <w:gridCol w:w="2268"/>
        <w:gridCol w:w="1480"/>
        <w:gridCol w:w="1612"/>
        <w:gridCol w:w="2437"/>
      </w:tblGrid>
      <w:tr w:rsidR="00A62CF6" w:rsidRPr="007374B6" w14:paraId="33B4E9F8" w14:textId="77777777" w:rsidTr="00A62CF6">
        <w:trPr>
          <w:trHeight w:val="57"/>
          <w:jc w:val="center"/>
        </w:trPr>
        <w:tc>
          <w:tcPr>
            <w:tcW w:w="2268" w:type="dxa"/>
            <w:tcBorders>
              <w:left w:val="nil"/>
              <w:bottom w:val="single" w:sz="4" w:space="0" w:color="auto"/>
              <w:right w:val="nil"/>
            </w:tcBorders>
            <w:vAlign w:val="bottom"/>
          </w:tcPr>
          <w:p w14:paraId="08B593A4" w14:textId="7A5A27E0" w:rsidR="00A62CF6" w:rsidRPr="007374B6" w:rsidRDefault="00A62CF6" w:rsidP="00DA68EE">
            <w:pPr>
              <w:jc w:val="center"/>
              <w:rPr>
                <w:rFonts w:ascii="Arial" w:hAnsi="Arial" w:cs="Arial"/>
                <w:sz w:val="20"/>
                <w:szCs w:val="22"/>
              </w:rPr>
            </w:pPr>
            <w:r>
              <w:rPr>
                <w:rFonts w:ascii="Arial" w:hAnsi="Arial" w:cs="Arial"/>
                <w:sz w:val="20"/>
                <w:szCs w:val="22"/>
              </w:rPr>
              <w:t>Warrants</w:t>
            </w:r>
          </w:p>
          <w:p w14:paraId="38EDA97C" w14:textId="77777777" w:rsidR="00A62CF6" w:rsidRPr="007374B6" w:rsidRDefault="00A62CF6" w:rsidP="00DA68EE">
            <w:pPr>
              <w:jc w:val="center"/>
              <w:rPr>
                <w:rFonts w:ascii="Arial" w:hAnsi="Arial" w:cs="Arial"/>
                <w:sz w:val="20"/>
                <w:szCs w:val="22"/>
              </w:rPr>
            </w:pPr>
            <w:r w:rsidRPr="007374B6">
              <w:rPr>
                <w:rFonts w:ascii="Arial" w:hAnsi="Arial" w:cs="Arial"/>
                <w:sz w:val="20"/>
                <w:szCs w:val="22"/>
              </w:rPr>
              <w:t>Outstanding</w:t>
            </w:r>
          </w:p>
        </w:tc>
        <w:tc>
          <w:tcPr>
            <w:tcW w:w="1480" w:type="dxa"/>
            <w:tcBorders>
              <w:left w:val="nil"/>
              <w:bottom w:val="single" w:sz="4" w:space="0" w:color="auto"/>
              <w:right w:val="nil"/>
            </w:tcBorders>
            <w:vAlign w:val="bottom"/>
          </w:tcPr>
          <w:p w14:paraId="77277580" w14:textId="77777777" w:rsidR="00A62CF6" w:rsidRPr="007374B6" w:rsidRDefault="00A62CF6" w:rsidP="00DA68EE">
            <w:pPr>
              <w:jc w:val="center"/>
              <w:rPr>
                <w:rFonts w:ascii="Arial" w:hAnsi="Arial" w:cs="Arial"/>
                <w:sz w:val="20"/>
                <w:szCs w:val="22"/>
              </w:rPr>
            </w:pPr>
            <w:r w:rsidRPr="007374B6">
              <w:rPr>
                <w:rFonts w:ascii="Arial" w:hAnsi="Arial" w:cs="Arial"/>
                <w:sz w:val="20"/>
                <w:szCs w:val="22"/>
              </w:rPr>
              <w:t>Exercise price</w:t>
            </w:r>
          </w:p>
        </w:tc>
        <w:tc>
          <w:tcPr>
            <w:tcW w:w="1612" w:type="dxa"/>
            <w:tcBorders>
              <w:left w:val="nil"/>
              <w:bottom w:val="single" w:sz="4" w:space="0" w:color="auto"/>
              <w:right w:val="nil"/>
            </w:tcBorders>
            <w:noWrap/>
            <w:vAlign w:val="bottom"/>
          </w:tcPr>
          <w:p w14:paraId="3FD3B89E" w14:textId="77777777" w:rsidR="00A62CF6" w:rsidRPr="007374B6" w:rsidRDefault="00A62CF6" w:rsidP="00DA68EE">
            <w:pPr>
              <w:jc w:val="center"/>
              <w:rPr>
                <w:rFonts w:ascii="Arial" w:hAnsi="Arial" w:cs="Arial"/>
                <w:sz w:val="20"/>
                <w:szCs w:val="22"/>
              </w:rPr>
            </w:pPr>
            <w:r w:rsidRPr="007374B6">
              <w:rPr>
                <w:rFonts w:ascii="Arial" w:hAnsi="Arial" w:cs="Arial"/>
                <w:sz w:val="20"/>
                <w:szCs w:val="22"/>
              </w:rPr>
              <w:t>Remaining life</w:t>
            </w:r>
          </w:p>
          <w:p w14:paraId="385E6ED3" w14:textId="77777777" w:rsidR="00A62CF6" w:rsidRPr="007374B6" w:rsidRDefault="00A62CF6" w:rsidP="00DA68EE">
            <w:pPr>
              <w:jc w:val="center"/>
              <w:rPr>
                <w:rFonts w:ascii="Arial" w:hAnsi="Arial" w:cs="Arial"/>
                <w:sz w:val="20"/>
                <w:szCs w:val="22"/>
              </w:rPr>
            </w:pPr>
            <w:r w:rsidRPr="007374B6">
              <w:rPr>
                <w:rFonts w:ascii="Arial" w:hAnsi="Arial" w:cs="Arial"/>
                <w:sz w:val="20"/>
                <w:szCs w:val="22"/>
              </w:rPr>
              <w:t>(years)</w:t>
            </w:r>
          </w:p>
        </w:tc>
        <w:tc>
          <w:tcPr>
            <w:tcW w:w="2437" w:type="dxa"/>
            <w:tcBorders>
              <w:left w:val="nil"/>
              <w:bottom w:val="single" w:sz="4" w:space="0" w:color="auto"/>
              <w:right w:val="nil"/>
            </w:tcBorders>
            <w:vAlign w:val="bottom"/>
          </w:tcPr>
          <w:p w14:paraId="19CE5DEF" w14:textId="77777777" w:rsidR="00A62CF6" w:rsidRPr="007374B6" w:rsidRDefault="00A62CF6" w:rsidP="00DA68EE">
            <w:pPr>
              <w:jc w:val="center"/>
              <w:rPr>
                <w:rFonts w:ascii="Arial" w:hAnsi="Arial" w:cs="Arial"/>
                <w:sz w:val="20"/>
                <w:szCs w:val="22"/>
              </w:rPr>
            </w:pPr>
            <w:r w:rsidRPr="007374B6">
              <w:rPr>
                <w:rFonts w:ascii="Arial" w:hAnsi="Arial" w:cs="Arial"/>
                <w:sz w:val="20"/>
                <w:szCs w:val="22"/>
              </w:rPr>
              <w:t>Expiry</w:t>
            </w:r>
          </w:p>
          <w:p w14:paraId="1CF66607" w14:textId="77777777" w:rsidR="00A62CF6" w:rsidRPr="007374B6" w:rsidRDefault="00A62CF6" w:rsidP="00DA68EE">
            <w:pPr>
              <w:jc w:val="center"/>
              <w:rPr>
                <w:rFonts w:ascii="Arial" w:hAnsi="Arial" w:cs="Arial"/>
                <w:sz w:val="20"/>
                <w:szCs w:val="22"/>
              </w:rPr>
            </w:pPr>
            <w:r w:rsidRPr="007374B6">
              <w:rPr>
                <w:rFonts w:ascii="Arial" w:hAnsi="Arial" w:cs="Arial"/>
                <w:sz w:val="20"/>
                <w:szCs w:val="22"/>
              </w:rPr>
              <w:t>date</w:t>
            </w:r>
          </w:p>
        </w:tc>
      </w:tr>
      <w:tr w:rsidR="00A62CF6" w:rsidRPr="007374B6" w14:paraId="79B4306B" w14:textId="77777777" w:rsidTr="00A62CF6">
        <w:trPr>
          <w:trHeight w:val="57"/>
          <w:jc w:val="center"/>
        </w:trPr>
        <w:tc>
          <w:tcPr>
            <w:tcW w:w="2268" w:type="dxa"/>
            <w:tcBorders>
              <w:top w:val="single" w:sz="4" w:space="0" w:color="auto"/>
              <w:left w:val="nil"/>
              <w:right w:val="nil"/>
            </w:tcBorders>
            <w:vAlign w:val="bottom"/>
          </w:tcPr>
          <w:p w14:paraId="3E809740" w14:textId="77777777" w:rsidR="00A62CF6" w:rsidRPr="007374B6" w:rsidRDefault="00A62CF6" w:rsidP="00DA68EE">
            <w:pPr>
              <w:jc w:val="center"/>
              <w:rPr>
                <w:rFonts w:ascii="Arial" w:hAnsi="Arial" w:cs="Arial"/>
                <w:sz w:val="20"/>
                <w:szCs w:val="22"/>
              </w:rPr>
            </w:pPr>
          </w:p>
        </w:tc>
        <w:tc>
          <w:tcPr>
            <w:tcW w:w="1480" w:type="dxa"/>
            <w:tcBorders>
              <w:top w:val="single" w:sz="4" w:space="0" w:color="auto"/>
              <w:left w:val="nil"/>
              <w:right w:val="nil"/>
            </w:tcBorders>
            <w:vAlign w:val="bottom"/>
          </w:tcPr>
          <w:p w14:paraId="71F90554" w14:textId="771868F7" w:rsidR="00A62CF6" w:rsidRPr="007374B6" w:rsidRDefault="00A62CF6" w:rsidP="00DA68EE">
            <w:pPr>
              <w:ind w:left="312"/>
              <w:jc w:val="center"/>
              <w:rPr>
                <w:rFonts w:ascii="Arial" w:hAnsi="Arial" w:cs="Arial"/>
                <w:sz w:val="20"/>
                <w:szCs w:val="22"/>
              </w:rPr>
            </w:pPr>
            <w:r>
              <w:rPr>
                <w:rFonts w:ascii="Arial" w:hAnsi="Arial" w:cs="Arial"/>
                <w:sz w:val="20"/>
                <w:szCs w:val="22"/>
              </w:rPr>
              <w:t>CAD</w:t>
            </w:r>
            <w:r w:rsidRPr="007374B6">
              <w:rPr>
                <w:rFonts w:ascii="Arial" w:hAnsi="Arial" w:cs="Arial"/>
                <w:sz w:val="20"/>
                <w:szCs w:val="22"/>
              </w:rPr>
              <w:t>$</w:t>
            </w:r>
          </w:p>
        </w:tc>
        <w:tc>
          <w:tcPr>
            <w:tcW w:w="1612" w:type="dxa"/>
            <w:tcBorders>
              <w:top w:val="single" w:sz="4" w:space="0" w:color="auto"/>
              <w:left w:val="nil"/>
              <w:right w:val="nil"/>
            </w:tcBorders>
            <w:noWrap/>
            <w:vAlign w:val="bottom"/>
          </w:tcPr>
          <w:p w14:paraId="794E5069" w14:textId="77777777" w:rsidR="00A62CF6" w:rsidRPr="007374B6" w:rsidRDefault="00A62CF6" w:rsidP="00DA68EE">
            <w:pPr>
              <w:jc w:val="center"/>
              <w:rPr>
                <w:rFonts w:ascii="Arial" w:hAnsi="Arial" w:cs="Arial"/>
                <w:sz w:val="20"/>
                <w:szCs w:val="22"/>
              </w:rPr>
            </w:pPr>
          </w:p>
        </w:tc>
        <w:tc>
          <w:tcPr>
            <w:tcW w:w="2437" w:type="dxa"/>
            <w:tcBorders>
              <w:top w:val="single" w:sz="4" w:space="0" w:color="auto"/>
              <w:left w:val="nil"/>
              <w:right w:val="nil"/>
            </w:tcBorders>
            <w:vAlign w:val="bottom"/>
          </w:tcPr>
          <w:p w14:paraId="4C6FD7BC" w14:textId="77777777" w:rsidR="00A62CF6" w:rsidRPr="007374B6" w:rsidRDefault="00A62CF6" w:rsidP="00DA68EE">
            <w:pPr>
              <w:jc w:val="center"/>
              <w:rPr>
                <w:rFonts w:ascii="Arial" w:hAnsi="Arial" w:cs="Arial"/>
                <w:sz w:val="20"/>
                <w:szCs w:val="22"/>
              </w:rPr>
            </w:pPr>
          </w:p>
        </w:tc>
      </w:tr>
      <w:tr w:rsidR="00A62CF6" w:rsidRPr="007374B6" w14:paraId="265082EA" w14:textId="77777777" w:rsidTr="00A62CF6">
        <w:trPr>
          <w:trHeight w:val="57"/>
          <w:jc w:val="center"/>
        </w:trPr>
        <w:tc>
          <w:tcPr>
            <w:tcW w:w="2268" w:type="dxa"/>
            <w:tcBorders>
              <w:left w:val="nil"/>
              <w:right w:val="nil"/>
            </w:tcBorders>
            <w:vAlign w:val="bottom"/>
          </w:tcPr>
          <w:p w14:paraId="10B27302" w14:textId="3E0D5E94" w:rsidR="00A62CF6" w:rsidRPr="007374B6" w:rsidRDefault="00A62CF6" w:rsidP="00DA68EE">
            <w:pPr>
              <w:ind w:right="417"/>
              <w:jc w:val="right"/>
              <w:rPr>
                <w:rFonts w:ascii="Arial" w:hAnsi="Arial" w:cs="Arial"/>
                <w:sz w:val="20"/>
                <w:szCs w:val="22"/>
              </w:rPr>
            </w:pPr>
            <w:r>
              <w:rPr>
                <w:rFonts w:ascii="Arial" w:hAnsi="Arial" w:cs="Arial"/>
                <w:sz w:val="20"/>
                <w:szCs w:val="22"/>
              </w:rPr>
              <w:t>273,000</w:t>
            </w:r>
          </w:p>
        </w:tc>
        <w:tc>
          <w:tcPr>
            <w:tcW w:w="1480" w:type="dxa"/>
            <w:tcBorders>
              <w:left w:val="nil"/>
              <w:right w:val="nil"/>
            </w:tcBorders>
            <w:vAlign w:val="bottom"/>
          </w:tcPr>
          <w:p w14:paraId="0543E265" w14:textId="3A525D25" w:rsidR="00A62CF6" w:rsidRPr="007374B6" w:rsidRDefault="00A62CF6" w:rsidP="00DA68EE">
            <w:pPr>
              <w:tabs>
                <w:tab w:val="left" w:pos="879"/>
              </w:tabs>
              <w:ind w:right="225"/>
              <w:jc w:val="right"/>
              <w:rPr>
                <w:rFonts w:ascii="Arial" w:hAnsi="Arial" w:cs="Arial"/>
                <w:sz w:val="20"/>
                <w:szCs w:val="22"/>
              </w:rPr>
            </w:pPr>
            <w:r>
              <w:rPr>
                <w:rFonts w:ascii="Arial" w:hAnsi="Arial" w:cs="Arial"/>
                <w:sz w:val="20"/>
                <w:szCs w:val="22"/>
              </w:rPr>
              <w:t>0.20</w:t>
            </w:r>
          </w:p>
        </w:tc>
        <w:tc>
          <w:tcPr>
            <w:tcW w:w="1612" w:type="dxa"/>
            <w:tcBorders>
              <w:left w:val="nil"/>
              <w:right w:val="nil"/>
            </w:tcBorders>
            <w:noWrap/>
            <w:vAlign w:val="bottom"/>
          </w:tcPr>
          <w:p w14:paraId="1850E455" w14:textId="26B5C6DD" w:rsidR="00A62CF6" w:rsidRPr="007374B6" w:rsidRDefault="00A62CF6" w:rsidP="00DA68EE">
            <w:pPr>
              <w:jc w:val="right"/>
              <w:rPr>
                <w:rFonts w:ascii="Arial" w:hAnsi="Arial" w:cs="Arial"/>
                <w:sz w:val="20"/>
                <w:szCs w:val="22"/>
              </w:rPr>
            </w:pPr>
            <w:r>
              <w:rPr>
                <w:rFonts w:ascii="Arial" w:hAnsi="Arial" w:cs="Arial"/>
                <w:sz w:val="20"/>
                <w:szCs w:val="22"/>
              </w:rPr>
              <w:t>0.67</w:t>
            </w:r>
          </w:p>
        </w:tc>
        <w:tc>
          <w:tcPr>
            <w:tcW w:w="2437" w:type="dxa"/>
            <w:tcBorders>
              <w:left w:val="nil"/>
              <w:right w:val="nil"/>
            </w:tcBorders>
            <w:vAlign w:val="bottom"/>
          </w:tcPr>
          <w:p w14:paraId="725447B9" w14:textId="3478DEEA" w:rsidR="00A62CF6" w:rsidRPr="007374B6" w:rsidRDefault="001D2E70" w:rsidP="00DA68EE">
            <w:pPr>
              <w:jc w:val="right"/>
              <w:rPr>
                <w:rFonts w:ascii="Arial" w:hAnsi="Arial" w:cs="Arial"/>
                <w:sz w:val="20"/>
                <w:szCs w:val="22"/>
              </w:rPr>
            </w:pPr>
            <w:r>
              <w:rPr>
                <w:rFonts w:ascii="Arial" w:hAnsi="Arial" w:cs="Arial"/>
                <w:sz w:val="20"/>
                <w:szCs w:val="22"/>
              </w:rPr>
              <w:t>May 22</w:t>
            </w:r>
            <w:r w:rsidR="00A62CF6">
              <w:rPr>
                <w:rFonts w:ascii="Arial" w:hAnsi="Arial" w:cs="Arial"/>
                <w:sz w:val="20"/>
                <w:szCs w:val="22"/>
              </w:rPr>
              <w:t>, 2022</w:t>
            </w:r>
          </w:p>
        </w:tc>
      </w:tr>
      <w:tr w:rsidR="00A62CF6" w:rsidRPr="007374B6" w14:paraId="7D3226B8" w14:textId="77777777" w:rsidTr="00A62CF6">
        <w:trPr>
          <w:trHeight w:val="57"/>
          <w:jc w:val="center"/>
        </w:trPr>
        <w:tc>
          <w:tcPr>
            <w:tcW w:w="2268" w:type="dxa"/>
            <w:tcBorders>
              <w:left w:val="nil"/>
              <w:right w:val="nil"/>
            </w:tcBorders>
            <w:vAlign w:val="bottom"/>
          </w:tcPr>
          <w:p w14:paraId="79BB047A" w14:textId="2CE9DFDA" w:rsidR="00A62CF6" w:rsidRPr="007374B6" w:rsidRDefault="00A62CF6" w:rsidP="00DA68EE">
            <w:pPr>
              <w:ind w:right="417"/>
              <w:jc w:val="right"/>
              <w:rPr>
                <w:rFonts w:ascii="Arial" w:hAnsi="Arial" w:cs="Arial"/>
                <w:sz w:val="20"/>
                <w:szCs w:val="22"/>
              </w:rPr>
            </w:pPr>
            <w:r>
              <w:rPr>
                <w:rFonts w:ascii="Arial" w:hAnsi="Arial" w:cs="Arial"/>
                <w:sz w:val="20"/>
                <w:szCs w:val="22"/>
              </w:rPr>
              <w:t>306,951</w:t>
            </w:r>
          </w:p>
        </w:tc>
        <w:tc>
          <w:tcPr>
            <w:tcW w:w="1480" w:type="dxa"/>
            <w:tcBorders>
              <w:left w:val="nil"/>
              <w:right w:val="nil"/>
            </w:tcBorders>
            <w:vAlign w:val="bottom"/>
          </w:tcPr>
          <w:p w14:paraId="380CFFA3" w14:textId="4CCFB248" w:rsidR="00A62CF6" w:rsidRPr="007374B6" w:rsidRDefault="00A62CF6" w:rsidP="00DA68EE">
            <w:pPr>
              <w:tabs>
                <w:tab w:val="left" w:pos="879"/>
              </w:tabs>
              <w:ind w:right="225"/>
              <w:jc w:val="right"/>
              <w:rPr>
                <w:rFonts w:ascii="Arial" w:hAnsi="Arial" w:cs="Arial"/>
                <w:sz w:val="20"/>
                <w:szCs w:val="22"/>
              </w:rPr>
            </w:pPr>
            <w:r>
              <w:rPr>
                <w:rFonts w:ascii="Arial" w:hAnsi="Arial" w:cs="Arial"/>
                <w:sz w:val="20"/>
                <w:szCs w:val="22"/>
              </w:rPr>
              <w:t>0.30</w:t>
            </w:r>
          </w:p>
        </w:tc>
        <w:tc>
          <w:tcPr>
            <w:tcW w:w="1612" w:type="dxa"/>
            <w:tcBorders>
              <w:left w:val="nil"/>
              <w:right w:val="nil"/>
            </w:tcBorders>
            <w:noWrap/>
            <w:vAlign w:val="bottom"/>
          </w:tcPr>
          <w:p w14:paraId="65B7E3FC" w14:textId="4E9D6C40" w:rsidR="00A62CF6" w:rsidRPr="007374B6" w:rsidRDefault="00A62CF6" w:rsidP="00DA68EE">
            <w:pPr>
              <w:jc w:val="right"/>
              <w:rPr>
                <w:rFonts w:ascii="Arial" w:hAnsi="Arial" w:cs="Arial"/>
                <w:sz w:val="20"/>
                <w:szCs w:val="22"/>
              </w:rPr>
            </w:pPr>
            <w:r>
              <w:rPr>
                <w:rFonts w:ascii="Arial" w:hAnsi="Arial" w:cs="Arial"/>
                <w:sz w:val="20"/>
                <w:szCs w:val="22"/>
              </w:rPr>
              <w:t>1.87</w:t>
            </w:r>
          </w:p>
        </w:tc>
        <w:tc>
          <w:tcPr>
            <w:tcW w:w="2437" w:type="dxa"/>
            <w:tcBorders>
              <w:left w:val="nil"/>
              <w:right w:val="nil"/>
            </w:tcBorders>
            <w:vAlign w:val="bottom"/>
          </w:tcPr>
          <w:p w14:paraId="5AB2173B" w14:textId="366FED20" w:rsidR="00A62CF6" w:rsidRPr="007374B6" w:rsidRDefault="00A62CF6" w:rsidP="00DA68EE">
            <w:pPr>
              <w:jc w:val="right"/>
              <w:rPr>
                <w:rFonts w:ascii="Arial" w:hAnsi="Arial" w:cs="Arial"/>
                <w:sz w:val="20"/>
                <w:szCs w:val="22"/>
              </w:rPr>
            </w:pPr>
            <w:r>
              <w:rPr>
                <w:rFonts w:ascii="Arial" w:hAnsi="Arial" w:cs="Arial"/>
                <w:sz w:val="20"/>
                <w:szCs w:val="22"/>
              </w:rPr>
              <w:t>May 13, 2023</w:t>
            </w:r>
          </w:p>
        </w:tc>
      </w:tr>
      <w:tr w:rsidR="00A62CF6" w:rsidRPr="007374B6" w14:paraId="764AE8F9" w14:textId="77777777" w:rsidTr="00A62CF6">
        <w:trPr>
          <w:trHeight w:val="57"/>
          <w:jc w:val="center"/>
        </w:trPr>
        <w:tc>
          <w:tcPr>
            <w:tcW w:w="2268" w:type="dxa"/>
            <w:tcBorders>
              <w:left w:val="nil"/>
              <w:right w:val="nil"/>
            </w:tcBorders>
            <w:vAlign w:val="bottom"/>
          </w:tcPr>
          <w:p w14:paraId="08045D74" w14:textId="7BB868EA" w:rsidR="00A62CF6" w:rsidRPr="007374B6" w:rsidRDefault="00A62CF6" w:rsidP="00DA68EE">
            <w:pPr>
              <w:ind w:right="417"/>
              <w:jc w:val="right"/>
              <w:rPr>
                <w:rFonts w:ascii="Arial" w:hAnsi="Arial" w:cs="Arial"/>
                <w:sz w:val="20"/>
                <w:szCs w:val="22"/>
              </w:rPr>
            </w:pPr>
            <w:r>
              <w:rPr>
                <w:rFonts w:ascii="Arial" w:hAnsi="Arial" w:cs="Arial"/>
                <w:sz w:val="20"/>
                <w:szCs w:val="22"/>
              </w:rPr>
              <w:t>11,641,189</w:t>
            </w:r>
          </w:p>
        </w:tc>
        <w:tc>
          <w:tcPr>
            <w:tcW w:w="1480" w:type="dxa"/>
            <w:tcBorders>
              <w:left w:val="nil"/>
              <w:right w:val="nil"/>
            </w:tcBorders>
            <w:vAlign w:val="bottom"/>
          </w:tcPr>
          <w:p w14:paraId="53ADA06A" w14:textId="6D2A107E" w:rsidR="00A62CF6" w:rsidRPr="007374B6" w:rsidRDefault="00A62CF6" w:rsidP="00DA68EE">
            <w:pPr>
              <w:tabs>
                <w:tab w:val="left" w:pos="879"/>
              </w:tabs>
              <w:ind w:right="225"/>
              <w:jc w:val="right"/>
              <w:rPr>
                <w:rFonts w:ascii="Arial" w:hAnsi="Arial" w:cs="Arial"/>
                <w:sz w:val="20"/>
                <w:szCs w:val="22"/>
              </w:rPr>
            </w:pPr>
            <w:r>
              <w:rPr>
                <w:rFonts w:ascii="Arial" w:hAnsi="Arial" w:cs="Arial"/>
                <w:sz w:val="20"/>
                <w:szCs w:val="22"/>
              </w:rPr>
              <w:t>0.30</w:t>
            </w:r>
          </w:p>
        </w:tc>
        <w:tc>
          <w:tcPr>
            <w:tcW w:w="1612" w:type="dxa"/>
            <w:tcBorders>
              <w:left w:val="nil"/>
              <w:right w:val="nil"/>
            </w:tcBorders>
            <w:noWrap/>
            <w:vAlign w:val="bottom"/>
          </w:tcPr>
          <w:p w14:paraId="46EFE0FE" w14:textId="6E2EB085" w:rsidR="00A62CF6" w:rsidRPr="007374B6" w:rsidRDefault="00A62CF6" w:rsidP="00DA68EE">
            <w:pPr>
              <w:jc w:val="right"/>
              <w:rPr>
                <w:rFonts w:ascii="Arial" w:hAnsi="Arial" w:cs="Arial"/>
                <w:sz w:val="20"/>
                <w:szCs w:val="22"/>
              </w:rPr>
            </w:pPr>
            <w:r>
              <w:rPr>
                <w:rFonts w:ascii="Arial" w:hAnsi="Arial" w:cs="Arial"/>
                <w:sz w:val="20"/>
                <w:szCs w:val="22"/>
              </w:rPr>
              <w:t>1.91</w:t>
            </w:r>
          </w:p>
        </w:tc>
        <w:tc>
          <w:tcPr>
            <w:tcW w:w="2437" w:type="dxa"/>
            <w:tcBorders>
              <w:left w:val="nil"/>
              <w:right w:val="nil"/>
            </w:tcBorders>
            <w:vAlign w:val="bottom"/>
          </w:tcPr>
          <w:p w14:paraId="7B974BFB" w14:textId="3CB49984" w:rsidR="00A62CF6" w:rsidRPr="007374B6" w:rsidRDefault="00A62CF6" w:rsidP="00DA68EE">
            <w:pPr>
              <w:jc w:val="right"/>
              <w:rPr>
                <w:rFonts w:ascii="Arial" w:hAnsi="Arial" w:cs="Arial"/>
                <w:sz w:val="20"/>
                <w:szCs w:val="22"/>
              </w:rPr>
            </w:pPr>
            <w:r>
              <w:rPr>
                <w:rFonts w:ascii="Arial" w:hAnsi="Arial" w:cs="Arial"/>
                <w:sz w:val="20"/>
                <w:szCs w:val="22"/>
              </w:rPr>
              <w:t>May 27, 2023</w:t>
            </w:r>
          </w:p>
        </w:tc>
      </w:tr>
      <w:tr w:rsidR="00A62CF6" w:rsidRPr="007374B6" w14:paraId="67D472B7" w14:textId="77777777" w:rsidTr="00A62CF6">
        <w:trPr>
          <w:trHeight w:val="57"/>
          <w:jc w:val="center"/>
        </w:trPr>
        <w:tc>
          <w:tcPr>
            <w:tcW w:w="2268" w:type="dxa"/>
            <w:tcBorders>
              <w:top w:val="single" w:sz="4" w:space="0" w:color="auto"/>
              <w:left w:val="nil"/>
              <w:bottom w:val="single" w:sz="12" w:space="0" w:color="auto"/>
              <w:right w:val="nil"/>
            </w:tcBorders>
            <w:vAlign w:val="bottom"/>
          </w:tcPr>
          <w:p w14:paraId="75E5AF4D" w14:textId="702550AF" w:rsidR="00A62CF6" w:rsidRPr="007374B6" w:rsidRDefault="00A62CF6" w:rsidP="00DA68EE">
            <w:pPr>
              <w:ind w:right="417"/>
              <w:jc w:val="right"/>
              <w:rPr>
                <w:rFonts w:ascii="Arial" w:hAnsi="Arial" w:cs="Arial"/>
                <w:sz w:val="20"/>
                <w:szCs w:val="22"/>
              </w:rPr>
            </w:pPr>
            <w:r>
              <w:rPr>
                <w:rFonts w:ascii="Arial" w:hAnsi="Arial" w:cs="Arial"/>
                <w:sz w:val="20"/>
                <w:szCs w:val="22"/>
              </w:rPr>
              <w:t>12,221,140</w:t>
            </w:r>
          </w:p>
        </w:tc>
        <w:tc>
          <w:tcPr>
            <w:tcW w:w="1480" w:type="dxa"/>
            <w:tcBorders>
              <w:top w:val="single" w:sz="4" w:space="0" w:color="auto"/>
              <w:left w:val="nil"/>
              <w:bottom w:val="single" w:sz="12" w:space="0" w:color="auto"/>
              <w:right w:val="nil"/>
            </w:tcBorders>
            <w:vAlign w:val="bottom"/>
          </w:tcPr>
          <w:p w14:paraId="4A766AF1" w14:textId="77777777" w:rsidR="00A62CF6" w:rsidRPr="007374B6" w:rsidRDefault="00A62CF6" w:rsidP="00DA68EE">
            <w:pPr>
              <w:tabs>
                <w:tab w:val="left" w:pos="879"/>
              </w:tabs>
              <w:ind w:right="225"/>
              <w:jc w:val="right"/>
              <w:rPr>
                <w:rFonts w:ascii="Arial" w:hAnsi="Arial" w:cs="Arial"/>
                <w:sz w:val="20"/>
                <w:szCs w:val="22"/>
              </w:rPr>
            </w:pPr>
            <w:r w:rsidRPr="007374B6">
              <w:rPr>
                <w:rFonts w:ascii="Arial" w:hAnsi="Arial" w:cs="Arial"/>
                <w:sz w:val="20"/>
                <w:szCs w:val="22"/>
              </w:rPr>
              <w:t>0.</w:t>
            </w:r>
            <w:r>
              <w:rPr>
                <w:rFonts w:ascii="Arial" w:hAnsi="Arial" w:cs="Arial"/>
                <w:sz w:val="20"/>
                <w:szCs w:val="22"/>
              </w:rPr>
              <w:t>33</w:t>
            </w:r>
          </w:p>
        </w:tc>
        <w:tc>
          <w:tcPr>
            <w:tcW w:w="1612" w:type="dxa"/>
            <w:tcBorders>
              <w:top w:val="single" w:sz="4" w:space="0" w:color="auto"/>
              <w:left w:val="nil"/>
              <w:bottom w:val="single" w:sz="12" w:space="0" w:color="auto"/>
              <w:right w:val="nil"/>
            </w:tcBorders>
            <w:noWrap/>
            <w:vAlign w:val="bottom"/>
          </w:tcPr>
          <w:p w14:paraId="3BF1792A" w14:textId="2E361D84" w:rsidR="00A62CF6" w:rsidRPr="007374B6" w:rsidRDefault="00C5314A" w:rsidP="00DA68EE">
            <w:pPr>
              <w:jc w:val="right"/>
              <w:rPr>
                <w:rFonts w:ascii="Arial" w:hAnsi="Arial" w:cs="Arial"/>
                <w:sz w:val="20"/>
                <w:szCs w:val="22"/>
              </w:rPr>
            </w:pPr>
            <w:r>
              <w:rPr>
                <w:rFonts w:ascii="Arial" w:hAnsi="Arial" w:cs="Arial"/>
                <w:sz w:val="20"/>
                <w:szCs w:val="22"/>
              </w:rPr>
              <w:t>1.88</w:t>
            </w:r>
          </w:p>
        </w:tc>
        <w:tc>
          <w:tcPr>
            <w:tcW w:w="2437" w:type="dxa"/>
            <w:tcBorders>
              <w:top w:val="single" w:sz="4" w:space="0" w:color="auto"/>
              <w:left w:val="nil"/>
              <w:bottom w:val="single" w:sz="12" w:space="0" w:color="auto"/>
              <w:right w:val="nil"/>
            </w:tcBorders>
            <w:vAlign w:val="bottom"/>
          </w:tcPr>
          <w:p w14:paraId="39C22363" w14:textId="77777777" w:rsidR="00A62CF6" w:rsidRPr="007374B6" w:rsidRDefault="00A62CF6" w:rsidP="00DA68EE">
            <w:pPr>
              <w:jc w:val="right"/>
              <w:rPr>
                <w:rFonts w:ascii="Arial" w:hAnsi="Arial" w:cs="Arial"/>
                <w:sz w:val="20"/>
                <w:szCs w:val="22"/>
              </w:rPr>
            </w:pPr>
          </w:p>
        </w:tc>
      </w:tr>
    </w:tbl>
    <w:p w14:paraId="25457B63" w14:textId="7E0048A1" w:rsidR="00C24597" w:rsidRPr="007D0CE2" w:rsidRDefault="00661C75" w:rsidP="00FB309D">
      <w:pPr>
        <w:ind w:left="567" w:hanging="567"/>
        <w:rPr>
          <w:rFonts w:ascii="Arial" w:hAnsi="Arial" w:cs="Arial"/>
          <w:sz w:val="20"/>
          <w:szCs w:val="20"/>
        </w:rPr>
      </w:pPr>
      <w:r>
        <w:rPr>
          <w:rFonts w:ascii="Arial" w:hAnsi="Arial" w:cs="Arial"/>
          <w:b/>
          <w:sz w:val="20"/>
          <w:szCs w:val="20"/>
        </w:rPr>
        <w:lastRenderedPageBreak/>
        <w:t>8</w:t>
      </w:r>
      <w:r w:rsidR="00C24597" w:rsidRPr="007D0CE2">
        <w:rPr>
          <w:rFonts w:ascii="Arial" w:hAnsi="Arial" w:cs="Arial"/>
          <w:b/>
          <w:sz w:val="20"/>
          <w:szCs w:val="20"/>
        </w:rPr>
        <w:t>.</w:t>
      </w:r>
      <w:r w:rsidR="00FB309D">
        <w:rPr>
          <w:rFonts w:ascii="Arial" w:hAnsi="Arial" w:cs="Arial"/>
          <w:b/>
          <w:sz w:val="20"/>
          <w:szCs w:val="20"/>
        </w:rPr>
        <w:tab/>
      </w:r>
      <w:r w:rsidR="00C24597" w:rsidRPr="007D0CE2">
        <w:rPr>
          <w:rFonts w:ascii="Arial" w:hAnsi="Arial" w:cs="Arial"/>
          <w:b/>
          <w:sz w:val="20"/>
          <w:szCs w:val="20"/>
        </w:rPr>
        <w:t>RELATED PARTY TRANSACTIONS</w:t>
      </w:r>
    </w:p>
    <w:p w14:paraId="759B3C7C" w14:textId="77777777" w:rsidR="00C24597" w:rsidRPr="007D0CE2" w:rsidRDefault="00C24597" w:rsidP="00C24597">
      <w:pPr>
        <w:rPr>
          <w:rFonts w:ascii="Arial" w:hAnsi="Arial" w:cs="Arial"/>
          <w:sz w:val="20"/>
          <w:szCs w:val="20"/>
        </w:rPr>
      </w:pPr>
    </w:p>
    <w:p w14:paraId="5F6C51BD" w14:textId="76BF5FAC" w:rsidR="00D905FD" w:rsidRPr="00D905FD" w:rsidRDefault="00167F10" w:rsidP="00D905FD">
      <w:pPr>
        <w:rPr>
          <w:rFonts w:ascii="Arial" w:hAnsi="Arial" w:cs="Arial"/>
          <w:sz w:val="20"/>
          <w:szCs w:val="20"/>
        </w:rPr>
      </w:pPr>
      <w:bookmarkStart w:id="4" w:name="_MON_1397390554"/>
      <w:bookmarkStart w:id="5" w:name="_MON_1397390738"/>
      <w:bookmarkStart w:id="6" w:name="_MON_1397390785"/>
      <w:bookmarkStart w:id="7" w:name="_MON_1383653857"/>
      <w:bookmarkStart w:id="8" w:name="_MON_1384498683"/>
      <w:bookmarkStart w:id="9" w:name="_MON_1397390353"/>
      <w:bookmarkStart w:id="10" w:name="_MON_1399395880"/>
      <w:bookmarkStart w:id="11" w:name="_MON_1399395940"/>
      <w:bookmarkStart w:id="12" w:name="_MON_1399396398"/>
      <w:bookmarkStart w:id="13" w:name="_MON_1397390446"/>
      <w:bookmarkEnd w:id="4"/>
      <w:bookmarkEnd w:id="5"/>
      <w:bookmarkEnd w:id="6"/>
      <w:bookmarkEnd w:id="7"/>
      <w:bookmarkEnd w:id="8"/>
      <w:bookmarkEnd w:id="9"/>
      <w:bookmarkEnd w:id="10"/>
      <w:bookmarkEnd w:id="11"/>
      <w:bookmarkEnd w:id="12"/>
      <w:bookmarkEnd w:id="13"/>
      <w:r w:rsidRPr="00D905FD">
        <w:rPr>
          <w:rFonts w:ascii="Arial" w:eastAsia="SimSun" w:hAnsi="Arial" w:cs="Arial"/>
          <w:sz w:val="20"/>
          <w:szCs w:val="20"/>
        </w:rPr>
        <w:t xml:space="preserve">Key management are those personnel having the authority and responsibility for planning, </w:t>
      </w:r>
      <w:proofErr w:type="gramStart"/>
      <w:r w:rsidRPr="00D905FD">
        <w:rPr>
          <w:rFonts w:ascii="Arial" w:eastAsia="SimSun" w:hAnsi="Arial" w:cs="Arial"/>
          <w:sz w:val="20"/>
          <w:szCs w:val="20"/>
        </w:rPr>
        <w:t>directing</w:t>
      </w:r>
      <w:proofErr w:type="gramEnd"/>
      <w:r w:rsidRPr="00D905FD">
        <w:rPr>
          <w:rFonts w:ascii="Arial" w:eastAsia="SimSun" w:hAnsi="Arial" w:cs="Arial"/>
          <w:sz w:val="20"/>
          <w:szCs w:val="20"/>
        </w:rPr>
        <w:t xml:space="preserve"> and controlling the Company and include the </w:t>
      </w:r>
      <w:r>
        <w:rPr>
          <w:rFonts w:ascii="Arial" w:eastAsia="SimSun" w:hAnsi="Arial" w:cs="Arial"/>
          <w:sz w:val="20"/>
          <w:szCs w:val="20"/>
        </w:rPr>
        <w:t>board of directors, the CEO, and the</w:t>
      </w:r>
      <w:r w:rsidRPr="00D905FD">
        <w:rPr>
          <w:rFonts w:ascii="Arial" w:eastAsia="SimSun" w:hAnsi="Arial" w:cs="Arial"/>
          <w:sz w:val="20"/>
          <w:szCs w:val="20"/>
        </w:rPr>
        <w:t xml:space="preserve"> </w:t>
      </w:r>
      <w:r>
        <w:rPr>
          <w:rFonts w:ascii="Arial" w:eastAsia="SimSun" w:hAnsi="Arial" w:cs="Arial"/>
          <w:sz w:val="20"/>
          <w:szCs w:val="20"/>
        </w:rPr>
        <w:t xml:space="preserve">CFO.  </w:t>
      </w:r>
      <w:r w:rsidR="00D905FD" w:rsidRPr="00D905FD">
        <w:rPr>
          <w:rFonts w:ascii="Arial" w:hAnsi="Arial" w:cs="Arial"/>
          <w:sz w:val="20"/>
          <w:szCs w:val="20"/>
        </w:rPr>
        <w:t xml:space="preserve">During the </w:t>
      </w:r>
      <w:r w:rsidR="007807E1">
        <w:rPr>
          <w:rFonts w:ascii="Arial" w:hAnsi="Arial" w:cs="Arial"/>
          <w:sz w:val="20"/>
          <w:szCs w:val="20"/>
        </w:rPr>
        <w:t>period</w:t>
      </w:r>
      <w:r w:rsidR="00D905FD" w:rsidRPr="00D905FD">
        <w:rPr>
          <w:rFonts w:ascii="Arial" w:hAnsi="Arial" w:cs="Arial"/>
          <w:sz w:val="20"/>
          <w:szCs w:val="20"/>
        </w:rPr>
        <w:t xml:space="preserve"> ended </w:t>
      </w:r>
      <w:r w:rsidR="003A255F">
        <w:rPr>
          <w:rFonts w:ascii="Arial" w:hAnsi="Arial" w:cs="Arial"/>
          <w:sz w:val="20"/>
          <w:szCs w:val="20"/>
        </w:rPr>
        <w:t>June 30</w:t>
      </w:r>
      <w:r w:rsidR="007807E1">
        <w:rPr>
          <w:rFonts w:ascii="Arial" w:hAnsi="Arial" w:cs="Arial"/>
          <w:sz w:val="20"/>
          <w:szCs w:val="20"/>
        </w:rPr>
        <w:t>, 2021</w:t>
      </w:r>
      <w:r w:rsidR="00D905FD" w:rsidRPr="00D905FD">
        <w:rPr>
          <w:rFonts w:ascii="Arial" w:hAnsi="Arial" w:cs="Arial"/>
          <w:sz w:val="20"/>
          <w:szCs w:val="20"/>
        </w:rPr>
        <w:t>, key management compensation included the following:</w:t>
      </w:r>
    </w:p>
    <w:p w14:paraId="5988A0B1" w14:textId="77777777" w:rsidR="00D905FD" w:rsidRDefault="00D905FD" w:rsidP="00C24597">
      <w:pPr>
        <w:rPr>
          <w:rFonts w:ascii="Arial" w:hAnsi="Arial" w:cs="Arial"/>
          <w:sz w:val="20"/>
          <w:szCs w:val="20"/>
        </w:rPr>
      </w:pPr>
    </w:p>
    <w:tbl>
      <w:tblPr>
        <w:tblW w:w="7440" w:type="dxa"/>
        <w:jc w:val="center"/>
        <w:tblLook w:val="04A0" w:firstRow="1" w:lastRow="0" w:firstColumn="1" w:lastColumn="0" w:noHBand="0" w:noVBand="1"/>
      </w:tblPr>
      <w:tblGrid>
        <w:gridCol w:w="3760"/>
        <w:gridCol w:w="1840"/>
        <w:gridCol w:w="1840"/>
      </w:tblGrid>
      <w:tr w:rsidR="00311368" w:rsidRPr="00311368" w14:paraId="1AECE3A0" w14:textId="77777777" w:rsidTr="00311368">
        <w:trPr>
          <w:trHeight w:val="510"/>
          <w:jc w:val="center"/>
        </w:trPr>
        <w:tc>
          <w:tcPr>
            <w:tcW w:w="3760" w:type="dxa"/>
            <w:tcBorders>
              <w:top w:val="nil"/>
              <w:left w:val="nil"/>
              <w:bottom w:val="single" w:sz="4" w:space="0" w:color="auto"/>
              <w:right w:val="nil"/>
            </w:tcBorders>
            <w:shd w:val="clear" w:color="auto" w:fill="auto"/>
            <w:noWrap/>
            <w:vAlign w:val="bottom"/>
            <w:hideMark/>
          </w:tcPr>
          <w:p w14:paraId="698988C1" w14:textId="77777777"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w:t>
            </w:r>
          </w:p>
        </w:tc>
        <w:tc>
          <w:tcPr>
            <w:tcW w:w="1840" w:type="dxa"/>
            <w:tcBorders>
              <w:top w:val="nil"/>
              <w:left w:val="nil"/>
              <w:bottom w:val="single" w:sz="4" w:space="0" w:color="auto"/>
              <w:right w:val="nil"/>
            </w:tcBorders>
            <w:shd w:val="clear" w:color="auto" w:fill="auto"/>
            <w:vAlign w:val="bottom"/>
            <w:hideMark/>
          </w:tcPr>
          <w:p w14:paraId="5C5047E0" w14:textId="2C63B54D" w:rsidR="00311368" w:rsidRPr="00311368" w:rsidRDefault="00080EC8" w:rsidP="00311368">
            <w:pPr>
              <w:widowControl/>
              <w:autoSpaceDE/>
              <w:autoSpaceDN/>
              <w:adjustRightInd/>
              <w:jc w:val="center"/>
              <w:rPr>
                <w:rFonts w:ascii="Arial" w:hAnsi="Arial" w:cs="Arial"/>
                <w:color w:val="000000"/>
                <w:sz w:val="20"/>
                <w:szCs w:val="20"/>
                <w:lang w:eastAsia="en-CA"/>
              </w:rPr>
            </w:pPr>
            <w:r>
              <w:rPr>
                <w:rFonts w:ascii="Arial" w:hAnsi="Arial" w:cs="Arial"/>
                <w:color w:val="000000"/>
                <w:sz w:val="20"/>
                <w:szCs w:val="20"/>
                <w:lang w:eastAsia="en-CA"/>
              </w:rPr>
              <w:t>June 30</w:t>
            </w:r>
            <w:r w:rsidR="00311368" w:rsidRPr="00311368">
              <w:rPr>
                <w:rFonts w:ascii="Arial" w:hAnsi="Arial" w:cs="Arial"/>
                <w:color w:val="000000"/>
                <w:sz w:val="20"/>
                <w:szCs w:val="20"/>
                <w:lang w:eastAsia="en-CA"/>
              </w:rPr>
              <w:t>, 2021</w:t>
            </w:r>
          </w:p>
        </w:tc>
        <w:tc>
          <w:tcPr>
            <w:tcW w:w="1840" w:type="dxa"/>
            <w:tcBorders>
              <w:top w:val="nil"/>
              <w:left w:val="nil"/>
              <w:bottom w:val="single" w:sz="4" w:space="0" w:color="auto"/>
              <w:right w:val="nil"/>
            </w:tcBorders>
            <w:shd w:val="clear" w:color="auto" w:fill="auto"/>
            <w:vAlign w:val="bottom"/>
            <w:hideMark/>
          </w:tcPr>
          <w:p w14:paraId="0EE24E92" w14:textId="773F24BA" w:rsidR="00311368" w:rsidRPr="00311368" w:rsidRDefault="00080EC8" w:rsidP="00311368">
            <w:pPr>
              <w:widowControl/>
              <w:autoSpaceDE/>
              <w:autoSpaceDN/>
              <w:adjustRightInd/>
              <w:jc w:val="center"/>
              <w:rPr>
                <w:rFonts w:ascii="Arial" w:hAnsi="Arial" w:cs="Arial"/>
                <w:color w:val="000000"/>
                <w:sz w:val="20"/>
                <w:szCs w:val="20"/>
                <w:lang w:eastAsia="en-CA"/>
              </w:rPr>
            </w:pPr>
            <w:r>
              <w:rPr>
                <w:rFonts w:ascii="Arial" w:hAnsi="Arial" w:cs="Arial"/>
                <w:color w:val="000000"/>
                <w:sz w:val="20"/>
                <w:szCs w:val="20"/>
                <w:lang w:eastAsia="en-CA"/>
              </w:rPr>
              <w:t>June 30</w:t>
            </w:r>
            <w:r w:rsidR="00311368" w:rsidRPr="00311368">
              <w:rPr>
                <w:rFonts w:ascii="Arial" w:hAnsi="Arial" w:cs="Arial"/>
                <w:color w:val="000000"/>
                <w:sz w:val="20"/>
                <w:szCs w:val="20"/>
                <w:lang w:eastAsia="en-CA"/>
              </w:rPr>
              <w:t>, 2020</w:t>
            </w:r>
          </w:p>
        </w:tc>
      </w:tr>
      <w:tr w:rsidR="00311368" w:rsidRPr="00311368" w14:paraId="61F7DFD2" w14:textId="77777777" w:rsidTr="00311368">
        <w:trPr>
          <w:trHeight w:val="255"/>
          <w:jc w:val="center"/>
        </w:trPr>
        <w:tc>
          <w:tcPr>
            <w:tcW w:w="3760" w:type="dxa"/>
            <w:tcBorders>
              <w:top w:val="nil"/>
              <w:left w:val="nil"/>
              <w:bottom w:val="nil"/>
              <w:right w:val="nil"/>
            </w:tcBorders>
            <w:shd w:val="clear" w:color="auto" w:fill="auto"/>
            <w:noWrap/>
            <w:vAlign w:val="bottom"/>
            <w:hideMark/>
          </w:tcPr>
          <w:p w14:paraId="2BE1F5D1" w14:textId="77777777" w:rsidR="00311368" w:rsidRPr="00311368" w:rsidRDefault="00311368" w:rsidP="00311368">
            <w:pPr>
              <w:widowControl/>
              <w:autoSpaceDE/>
              <w:autoSpaceDN/>
              <w:adjustRightInd/>
              <w:jc w:val="center"/>
              <w:rPr>
                <w:sz w:val="20"/>
                <w:szCs w:val="20"/>
                <w:lang w:eastAsia="en-CA"/>
              </w:rPr>
            </w:pPr>
          </w:p>
        </w:tc>
        <w:tc>
          <w:tcPr>
            <w:tcW w:w="1840" w:type="dxa"/>
            <w:tcBorders>
              <w:top w:val="nil"/>
              <w:left w:val="nil"/>
              <w:bottom w:val="nil"/>
              <w:right w:val="nil"/>
            </w:tcBorders>
            <w:shd w:val="clear" w:color="auto" w:fill="auto"/>
            <w:noWrap/>
            <w:vAlign w:val="bottom"/>
            <w:hideMark/>
          </w:tcPr>
          <w:p w14:paraId="16A02114" w14:textId="77777777" w:rsidR="00311368" w:rsidRPr="00311368" w:rsidRDefault="00311368" w:rsidP="00311368">
            <w:pPr>
              <w:widowControl/>
              <w:autoSpaceDE/>
              <w:autoSpaceDN/>
              <w:adjustRightInd/>
              <w:jc w:val="center"/>
              <w:rPr>
                <w:rFonts w:ascii="Arial" w:hAnsi="Arial" w:cs="Arial"/>
                <w:color w:val="000000"/>
                <w:sz w:val="20"/>
                <w:szCs w:val="20"/>
                <w:lang w:eastAsia="en-CA"/>
              </w:rPr>
            </w:pPr>
            <w:r w:rsidRPr="00311368">
              <w:rPr>
                <w:rFonts w:ascii="Arial" w:hAnsi="Arial" w:cs="Arial"/>
                <w:color w:val="000000"/>
                <w:sz w:val="20"/>
                <w:szCs w:val="20"/>
                <w:lang w:eastAsia="en-CA"/>
              </w:rPr>
              <w:t>$</w:t>
            </w:r>
          </w:p>
        </w:tc>
        <w:tc>
          <w:tcPr>
            <w:tcW w:w="1840" w:type="dxa"/>
            <w:tcBorders>
              <w:top w:val="nil"/>
              <w:left w:val="nil"/>
              <w:bottom w:val="nil"/>
              <w:right w:val="nil"/>
            </w:tcBorders>
            <w:shd w:val="clear" w:color="auto" w:fill="auto"/>
            <w:noWrap/>
            <w:vAlign w:val="bottom"/>
            <w:hideMark/>
          </w:tcPr>
          <w:p w14:paraId="1821C10D" w14:textId="77777777" w:rsidR="00311368" w:rsidRPr="00311368" w:rsidRDefault="00311368" w:rsidP="00311368">
            <w:pPr>
              <w:widowControl/>
              <w:autoSpaceDE/>
              <w:autoSpaceDN/>
              <w:adjustRightInd/>
              <w:jc w:val="center"/>
              <w:rPr>
                <w:rFonts w:ascii="Arial" w:hAnsi="Arial" w:cs="Arial"/>
                <w:color w:val="000000"/>
                <w:sz w:val="20"/>
                <w:szCs w:val="20"/>
                <w:lang w:eastAsia="en-CA"/>
              </w:rPr>
            </w:pPr>
            <w:r w:rsidRPr="00311368">
              <w:rPr>
                <w:rFonts w:ascii="Arial" w:hAnsi="Arial" w:cs="Arial"/>
                <w:color w:val="000000"/>
                <w:sz w:val="20"/>
                <w:szCs w:val="20"/>
                <w:lang w:eastAsia="en-CA"/>
              </w:rPr>
              <w:t>$</w:t>
            </w:r>
          </w:p>
        </w:tc>
      </w:tr>
      <w:tr w:rsidR="00311368" w:rsidRPr="00311368" w14:paraId="77086F29" w14:textId="77777777" w:rsidTr="00311368">
        <w:trPr>
          <w:trHeight w:val="255"/>
          <w:jc w:val="center"/>
        </w:trPr>
        <w:tc>
          <w:tcPr>
            <w:tcW w:w="3760" w:type="dxa"/>
            <w:tcBorders>
              <w:top w:val="nil"/>
              <w:left w:val="nil"/>
              <w:bottom w:val="nil"/>
              <w:right w:val="nil"/>
            </w:tcBorders>
            <w:shd w:val="clear" w:color="auto" w:fill="auto"/>
            <w:noWrap/>
            <w:vAlign w:val="bottom"/>
            <w:hideMark/>
          </w:tcPr>
          <w:p w14:paraId="7D525BCB" w14:textId="440846F9"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Management </w:t>
            </w:r>
            <w:r w:rsidR="000C381B">
              <w:rPr>
                <w:rFonts w:ascii="Arial" w:hAnsi="Arial" w:cs="Arial"/>
                <w:color w:val="000000"/>
                <w:sz w:val="20"/>
                <w:szCs w:val="20"/>
                <w:lang w:eastAsia="en-CA"/>
              </w:rPr>
              <w:t>fees</w:t>
            </w:r>
          </w:p>
        </w:tc>
        <w:tc>
          <w:tcPr>
            <w:tcW w:w="1840" w:type="dxa"/>
            <w:tcBorders>
              <w:top w:val="nil"/>
              <w:left w:val="nil"/>
              <w:bottom w:val="nil"/>
              <w:right w:val="nil"/>
            </w:tcBorders>
            <w:shd w:val="clear" w:color="auto" w:fill="auto"/>
            <w:noWrap/>
            <w:vAlign w:val="bottom"/>
            <w:hideMark/>
          </w:tcPr>
          <w:p w14:paraId="5B987926" w14:textId="06747BFF"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                  </w:t>
            </w:r>
            <w:r w:rsidR="00080EC8">
              <w:rPr>
                <w:rFonts w:ascii="Arial" w:hAnsi="Arial" w:cs="Arial"/>
                <w:color w:val="000000"/>
                <w:sz w:val="20"/>
                <w:szCs w:val="20"/>
                <w:lang w:eastAsia="en-CA"/>
              </w:rPr>
              <w:t>53,686</w:t>
            </w:r>
            <w:r w:rsidRPr="00311368">
              <w:rPr>
                <w:rFonts w:ascii="Arial" w:hAnsi="Arial" w:cs="Arial"/>
                <w:color w:val="000000"/>
                <w:sz w:val="20"/>
                <w:szCs w:val="20"/>
                <w:lang w:eastAsia="en-CA"/>
              </w:rPr>
              <w:t xml:space="preserve"> </w:t>
            </w:r>
          </w:p>
        </w:tc>
        <w:tc>
          <w:tcPr>
            <w:tcW w:w="1840" w:type="dxa"/>
            <w:tcBorders>
              <w:top w:val="nil"/>
              <w:left w:val="nil"/>
              <w:bottom w:val="nil"/>
              <w:right w:val="nil"/>
            </w:tcBorders>
            <w:shd w:val="clear" w:color="auto" w:fill="auto"/>
            <w:noWrap/>
            <w:vAlign w:val="bottom"/>
            <w:hideMark/>
          </w:tcPr>
          <w:p w14:paraId="036C9122" w14:textId="75EAC77C"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                  </w:t>
            </w:r>
            <w:r w:rsidR="00DB6161">
              <w:rPr>
                <w:rFonts w:ascii="Arial" w:hAnsi="Arial" w:cs="Arial"/>
                <w:color w:val="000000"/>
                <w:sz w:val="20"/>
                <w:szCs w:val="20"/>
                <w:lang w:eastAsia="en-CA"/>
              </w:rPr>
              <w:t>7,573</w:t>
            </w:r>
            <w:r w:rsidRPr="00311368">
              <w:rPr>
                <w:rFonts w:ascii="Arial" w:hAnsi="Arial" w:cs="Arial"/>
                <w:color w:val="000000"/>
                <w:sz w:val="20"/>
                <w:szCs w:val="20"/>
                <w:lang w:eastAsia="en-CA"/>
              </w:rPr>
              <w:t xml:space="preserve"> </w:t>
            </w:r>
          </w:p>
        </w:tc>
      </w:tr>
      <w:tr w:rsidR="00311368" w:rsidRPr="00311368" w14:paraId="32962311" w14:textId="77777777" w:rsidTr="00311368">
        <w:trPr>
          <w:trHeight w:val="255"/>
          <w:jc w:val="center"/>
        </w:trPr>
        <w:tc>
          <w:tcPr>
            <w:tcW w:w="3760" w:type="dxa"/>
            <w:tcBorders>
              <w:top w:val="nil"/>
              <w:left w:val="nil"/>
              <w:bottom w:val="single" w:sz="4" w:space="0" w:color="auto"/>
              <w:right w:val="nil"/>
            </w:tcBorders>
            <w:shd w:val="clear" w:color="auto" w:fill="auto"/>
            <w:noWrap/>
            <w:vAlign w:val="bottom"/>
            <w:hideMark/>
          </w:tcPr>
          <w:p w14:paraId="199D5F60" w14:textId="77777777"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Share-based payments</w:t>
            </w:r>
          </w:p>
        </w:tc>
        <w:tc>
          <w:tcPr>
            <w:tcW w:w="1840" w:type="dxa"/>
            <w:tcBorders>
              <w:top w:val="nil"/>
              <w:left w:val="nil"/>
              <w:bottom w:val="single" w:sz="4" w:space="0" w:color="auto"/>
              <w:right w:val="nil"/>
            </w:tcBorders>
            <w:shd w:val="clear" w:color="auto" w:fill="auto"/>
            <w:noWrap/>
            <w:vAlign w:val="bottom"/>
            <w:hideMark/>
          </w:tcPr>
          <w:p w14:paraId="45609382" w14:textId="64FCC680"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                  </w:t>
            </w:r>
            <w:r w:rsidR="00080EC8">
              <w:rPr>
                <w:rFonts w:ascii="Arial" w:hAnsi="Arial" w:cs="Arial"/>
                <w:color w:val="000000"/>
                <w:sz w:val="20"/>
                <w:szCs w:val="20"/>
                <w:lang w:eastAsia="en-CA"/>
              </w:rPr>
              <w:t>80,530</w:t>
            </w:r>
            <w:r w:rsidRPr="00311368">
              <w:rPr>
                <w:rFonts w:ascii="Arial" w:hAnsi="Arial" w:cs="Arial"/>
                <w:color w:val="000000"/>
                <w:sz w:val="20"/>
                <w:szCs w:val="20"/>
                <w:lang w:eastAsia="en-CA"/>
              </w:rPr>
              <w:t xml:space="preserve"> </w:t>
            </w:r>
          </w:p>
        </w:tc>
        <w:tc>
          <w:tcPr>
            <w:tcW w:w="1840" w:type="dxa"/>
            <w:tcBorders>
              <w:top w:val="nil"/>
              <w:left w:val="nil"/>
              <w:bottom w:val="single" w:sz="4" w:space="0" w:color="auto"/>
              <w:right w:val="nil"/>
            </w:tcBorders>
            <w:shd w:val="clear" w:color="auto" w:fill="auto"/>
            <w:noWrap/>
            <w:vAlign w:val="bottom"/>
            <w:hideMark/>
          </w:tcPr>
          <w:p w14:paraId="2507AD75" w14:textId="77777777"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                           - </w:t>
            </w:r>
          </w:p>
        </w:tc>
      </w:tr>
      <w:tr w:rsidR="00311368" w:rsidRPr="00311368" w14:paraId="524A95FC" w14:textId="77777777" w:rsidTr="00311368">
        <w:trPr>
          <w:trHeight w:val="270"/>
          <w:jc w:val="center"/>
        </w:trPr>
        <w:tc>
          <w:tcPr>
            <w:tcW w:w="3760" w:type="dxa"/>
            <w:tcBorders>
              <w:top w:val="nil"/>
              <w:left w:val="nil"/>
              <w:bottom w:val="single" w:sz="8" w:space="0" w:color="auto"/>
              <w:right w:val="nil"/>
            </w:tcBorders>
            <w:shd w:val="clear" w:color="auto" w:fill="auto"/>
            <w:noWrap/>
            <w:vAlign w:val="bottom"/>
            <w:hideMark/>
          </w:tcPr>
          <w:p w14:paraId="44CC1A8B" w14:textId="77777777"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Total</w:t>
            </w:r>
          </w:p>
        </w:tc>
        <w:tc>
          <w:tcPr>
            <w:tcW w:w="1840" w:type="dxa"/>
            <w:tcBorders>
              <w:top w:val="nil"/>
              <w:left w:val="nil"/>
              <w:bottom w:val="single" w:sz="8" w:space="0" w:color="auto"/>
              <w:right w:val="nil"/>
            </w:tcBorders>
            <w:shd w:val="clear" w:color="auto" w:fill="auto"/>
            <w:noWrap/>
            <w:vAlign w:val="bottom"/>
            <w:hideMark/>
          </w:tcPr>
          <w:p w14:paraId="65231864" w14:textId="2011D55A"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                </w:t>
            </w:r>
            <w:r w:rsidR="00080EC8">
              <w:rPr>
                <w:rFonts w:ascii="Arial" w:hAnsi="Arial" w:cs="Arial"/>
                <w:color w:val="000000"/>
                <w:sz w:val="20"/>
                <w:szCs w:val="20"/>
                <w:lang w:eastAsia="en-CA"/>
              </w:rPr>
              <w:t>134,21</w:t>
            </w:r>
            <w:r w:rsidR="0076392F">
              <w:rPr>
                <w:rFonts w:ascii="Arial" w:hAnsi="Arial" w:cs="Arial"/>
                <w:color w:val="000000"/>
                <w:sz w:val="20"/>
                <w:szCs w:val="20"/>
                <w:lang w:eastAsia="en-CA"/>
              </w:rPr>
              <w:t xml:space="preserve">6 </w:t>
            </w:r>
            <w:r w:rsidRPr="00311368">
              <w:rPr>
                <w:rFonts w:ascii="Arial" w:hAnsi="Arial" w:cs="Arial"/>
                <w:color w:val="000000"/>
                <w:sz w:val="20"/>
                <w:szCs w:val="20"/>
                <w:lang w:eastAsia="en-CA"/>
              </w:rPr>
              <w:t xml:space="preserve"> </w:t>
            </w:r>
          </w:p>
        </w:tc>
        <w:tc>
          <w:tcPr>
            <w:tcW w:w="1840" w:type="dxa"/>
            <w:tcBorders>
              <w:top w:val="nil"/>
              <w:left w:val="nil"/>
              <w:bottom w:val="single" w:sz="8" w:space="0" w:color="auto"/>
              <w:right w:val="nil"/>
            </w:tcBorders>
            <w:shd w:val="clear" w:color="auto" w:fill="auto"/>
            <w:noWrap/>
            <w:vAlign w:val="bottom"/>
            <w:hideMark/>
          </w:tcPr>
          <w:p w14:paraId="0E6BA2A0" w14:textId="552F8BAA" w:rsidR="00311368" w:rsidRPr="00311368" w:rsidRDefault="00311368" w:rsidP="00311368">
            <w:pPr>
              <w:widowControl/>
              <w:autoSpaceDE/>
              <w:autoSpaceDN/>
              <w:adjustRightInd/>
              <w:jc w:val="left"/>
              <w:rPr>
                <w:rFonts w:ascii="Arial" w:hAnsi="Arial" w:cs="Arial"/>
                <w:color w:val="000000"/>
                <w:sz w:val="20"/>
                <w:szCs w:val="20"/>
                <w:lang w:eastAsia="en-CA"/>
              </w:rPr>
            </w:pPr>
            <w:r w:rsidRPr="00311368">
              <w:rPr>
                <w:rFonts w:ascii="Arial" w:hAnsi="Arial" w:cs="Arial"/>
                <w:color w:val="000000"/>
                <w:sz w:val="20"/>
                <w:szCs w:val="20"/>
                <w:lang w:eastAsia="en-CA"/>
              </w:rPr>
              <w:t xml:space="preserve">                   </w:t>
            </w:r>
            <w:r w:rsidR="00DB6161">
              <w:rPr>
                <w:rFonts w:ascii="Arial" w:hAnsi="Arial" w:cs="Arial"/>
                <w:color w:val="000000"/>
                <w:sz w:val="20"/>
                <w:szCs w:val="20"/>
                <w:lang w:eastAsia="en-CA"/>
              </w:rPr>
              <w:t>7,573</w:t>
            </w:r>
            <w:r w:rsidRPr="00311368">
              <w:rPr>
                <w:rFonts w:ascii="Arial" w:hAnsi="Arial" w:cs="Arial"/>
                <w:color w:val="000000"/>
                <w:sz w:val="20"/>
                <w:szCs w:val="20"/>
                <w:lang w:eastAsia="en-CA"/>
              </w:rPr>
              <w:t xml:space="preserve"> </w:t>
            </w:r>
          </w:p>
        </w:tc>
      </w:tr>
    </w:tbl>
    <w:p w14:paraId="1268D7CA" w14:textId="69534CEF" w:rsidR="00D905FD" w:rsidRDefault="00D905FD" w:rsidP="00D905FD">
      <w:pPr>
        <w:jc w:val="center"/>
        <w:rPr>
          <w:rFonts w:ascii="Arial" w:hAnsi="Arial" w:cs="Arial"/>
          <w:sz w:val="20"/>
          <w:szCs w:val="20"/>
        </w:rPr>
      </w:pPr>
    </w:p>
    <w:p w14:paraId="5B66E6E7" w14:textId="3029BE76" w:rsidR="00921260" w:rsidRDefault="00921260" w:rsidP="002101EB">
      <w:pPr>
        <w:keepNext/>
        <w:widowControl/>
        <w:numPr>
          <w:ilvl w:val="0"/>
          <w:numId w:val="15"/>
        </w:numPr>
        <w:tabs>
          <w:tab w:val="left" w:pos="1531"/>
        </w:tabs>
        <w:ind w:left="567" w:hanging="567"/>
        <w:jc w:val="left"/>
        <w:rPr>
          <w:rFonts w:ascii="Arial" w:eastAsia="PMingLiU" w:hAnsi="Arial" w:cs="Arial"/>
          <w:b/>
          <w:sz w:val="20"/>
          <w:szCs w:val="20"/>
          <w:lang w:val="en-NZ" w:eastAsia="en-NZ"/>
        </w:rPr>
      </w:pPr>
      <w:r>
        <w:rPr>
          <w:rFonts w:ascii="Arial" w:eastAsia="PMingLiU" w:hAnsi="Arial" w:cs="Arial"/>
          <w:b/>
          <w:sz w:val="20"/>
          <w:szCs w:val="20"/>
          <w:lang w:val="en-NZ" w:eastAsia="en-NZ"/>
        </w:rPr>
        <w:t>RIGHT-OF-USE ASSETS AND LEASE LIABILITIES</w:t>
      </w:r>
    </w:p>
    <w:p w14:paraId="01BB7712" w14:textId="02625865" w:rsidR="00921260" w:rsidRDefault="00921260" w:rsidP="00921260">
      <w:pPr>
        <w:keepNext/>
        <w:widowControl/>
        <w:tabs>
          <w:tab w:val="left" w:pos="1531"/>
        </w:tabs>
        <w:jc w:val="left"/>
        <w:rPr>
          <w:rFonts w:ascii="Arial" w:eastAsia="PMingLiU" w:hAnsi="Arial" w:cs="Arial"/>
          <w:b/>
          <w:sz w:val="20"/>
          <w:szCs w:val="20"/>
          <w:lang w:val="en-NZ" w:eastAsia="en-NZ"/>
        </w:rPr>
      </w:pPr>
    </w:p>
    <w:tbl>
      <w:tblPr>
        <w:tblW w:w="9478" w:type="dxa"/>
        <w:tblLook w:val="04A0" w:firstRow="1" w:lastRow="0" w:firstColumn="1" w:lastColumn="0" w:noHBand="0" w:noVBand="1"/>
      </w:tblPr>
      <w:tblGrid>
        <w:gridCol w:w="5448"/>
        <w:gridCol w:w="1511"/>
        <w:gridCol w:w="2519"/>
      </w:tblGrid>
      <w:tr w:rsidR="00430C21" w:rsidRPr="00430C21" w14:paraId="5F155A77" w14:textId="77777777" w:rsidTr="00430C21">
        <w:trPr>
          <w:trHeight w:val="245"/>
        </w:trPr>
        <w:tc>
          <w:tcPr>
            <w:tcW w:w="5448" w:type="dxa"/>
            <w:tcBorders>
              <w:top w:val="nil"/>
              <w:left w:val="nil"/>
              <w:bottom w:val="nil"/>
              <w:right w:val="nil"/>
            </w:tcBorders>
            <w:shd w:val="clear" w:color="auto" w:fill="auto"/>
            <w:noWrap/>
            <w:vAlign w:val="bottom"/>
            <w:hideMark/>
          </w:tcPr>
          <w:p w14:paraId="2C478C01" w14:textId="77777777" w:rsidR="00430C21" w:rsidRPr="00430C21" w:rsidRDefault="00430C21" w:rsidP="00430C21">
            <w:pPr>
              <w:widowControl/>
              <w:autoSpaceDE/>
              <w:autoSpaceDN/>
              <w:adjustRightInd/>
              <w:jc w:val="left"/>
              <w:rPr>
                <w:sz w:val="24"/>
                <w:szCs w:val="20"/>
                <w:lang w:eastAsia="en-CA"/>
              </w:rPr>
            </w:pPr>
          </w:p>
        </w:tc>
        <w:tc>
          <w:tcPr>
            <w:tcW w:w="1511" w:type="dxa"/>
            <w:tcBorders>
              <w:top w:val="nil"/>
              <w:left w:val="nil"/>
              <w:bottom w:val="nil"/>
              <w:right w:val="nil"/>
            </w:tcBorders>
            <w:shd w:val="clear" w:color="auto" w:fill="auto"/>
            <w:noWrap/>
            <w:vAlign w:val="bottom"/>
            <w:hideMark/>
          </w:tcPr>
          <w:p w14:paraId="4FD2BAC9" w14:textId="77777777" w:rsidR="00430C21" w:rsidRPr="00430C21" w:rsidRDefault="00430C21" w:rsidP="00430C21">
            <w:pPr>
              <w:widowControl/>
              <w:autoSpaceDE/>
              <w:autoSpaceDN/>
              <w:adjustRightInd/>
              <w:jc w:val="left"/>
              <w:rPr>
                <w:sz w:val="20"/>
                <w:szCs w:val="20"/>
                <w:lang w:eastAsia="en-CA"/>
              </w:rPr>
            </w:pPr>
          </w:p>
        </w:tc>
        <w:tc>
          <w:tcPr>
            <w:tcW w:w="2519" w:type="dxa"/>
            <w:tcBorders>
              <w:top w:val="nil"/>
              <w:left w:val="nil"/>
              <w:bottom w:val="nil"/>
              <w:right w:val="nil"/>
            </w:tcBorders>
            <w:shd w:val="clear" w:color="auto" w:fill="auto"/>
            <w:noWrap/>
            <w:vAlign w:val="bottom"/>
            <w:hideMark/>
          </w:tcPr>
          <w:p w14:paraId="6254823D" w14:textId="77777777" w:rsidR="00430C21" w:rsidRPr="00430C21" w:rsidRDefault="00430C21" w:rsidP="00430C21">
            <w:pPr>
              <w:widowControl/>
              <w:autoSpaceDE/>
              <w:autoSpaceDN/>
              <w:adjustRightInd/>
              <w:jc w:val="right"/>
              <w:rPr>
                <w:rFonts w:ascii="Arial" w:hAnsi="Arial" w:cs="Arial"/>
                <w:b/>
                <w:bCs/>
                <w:color w:val="000000"/>
                <w:sz w:val="20"/>
                <w:szCs w:val="20"/>
                <w:lang w:eastAsia="en-CA"/>
              </w:rPr>
            </w:pPr>
            <w:r w:rsidRPr="00430C21">
              <w:rPr>
                <w:rFonts w:ascii="Arial" w:hAnsi="Arial" w:cs="Arial"/>
                <w:b/>
                <w:bCs/>
                <w:color w:val="000000"/>
                <w:sz w:val="20"/>
                <w:szCs w:val="20"/>
                <w:lang w:eastAsia="en-CA"/>
              </w:rPr>
              <w:t>Property Leases</w:t>
            </w:r>
          </w:p>
        </w:tc>
      </w:tr>
      <w:tr w:rsidR="00430C21" w:rsidRPr="00430C21" w14:paraId="33320470" w14:textId="77777777" w:rsidTr="00430C21">
        <w:trPr>
          <w:trHeight w:val="245"/>
        </w:trPr>
        <w:tc>
          <w:tcPr>
            <w:tcW w:w="5448" w:type="dxa"/>
            <w:tcBorders>
              <w:top w:val="nil"/>
              <w:left w:val="nil"/>
              <w:bottom w:val="nil"/>
              <w:right w:val="nil"/>
            </w:tcBorders>
            <w:shd w:val="clear" w:color="auto" w:fill="auto"/>
            <w:noWrap/>
            <w:vAlign w:val="bottom"/>
            <w:hideMark/>
          </w:tcPr>
          <w:p w14:paraId="513C6E2E" w14:textId="77777777" w:rsidR="00430C21" w:rsidRPr="00430C21" w:rsidRDefault="00430C21" w:rsidP="00430C21">
            <w:pPr>
              <w:widowControl/>
              <w:autoSpaceDE/>
              <w:autoSpaceDN/>
              <w:adjustRightInd/>
              <w:jc w:val="left"/>
              <w:rPr>
                <w:rFonts w:ascii="Arial" w:hAnsi="Arial" w:cs="Arial"/>
                <w:b/>
                <w:bCs/>
                <w:color w:val="000000"/>
                <w:sz w:val="20"/>
                <w:szCs w:val="20"/>
                <w:lang w:eastAsia="en-CA"/>
              </w:rPr>
            </w:pPr>
            <w:r w:rsidRPr="00430C21">
              <w:rPr>
                <w:rFonts w:ascii="Arial" w:hAnsi="Arial" w:cs="Arial"/>
                <w:b/>
                <w:bCs/>
                <w:color w:val="000000"/>
                <w:sz w:val="20"/>
                <w:szCs w:val="20"/>
                <w:lang w:eastAsia="en-CA"/>
              </w:rPr>
              <w:t>Cost:</w:t>
            </w:r>
          </w:p>
        </w:tc>
        <w:tc>
          <w:tcPr>
            <w:tcW w:w="1511" w:type="dxa"/>
            <w:tcBorders>
              <w:top w:val="nil"/>
              <w:left w:val="nil"/>
              <w:bottom w:val="nil"/>
              <w:right w:val="nil"/>
            </w:tcBorders>
            <w:shd w:val="clear" w:color="auto" w:fill="auto"/>
            <w:noWrap/>
            <w:vAlign w:val="bottom"/>
            <w:hideMark/>
          </w:tcPr>
          <w:p w14:paraId="165BCA95" w14:textId="77777777" w:rsidR="00430C21" w:rsidRPr="00430C21" w:rsidRDefault="00430C21" w:rsidP="00430C21">
            <w:pPr>
              <w:widowControl/>
              <w:autoSpaceDE/>
              <w:autoSpaceDN/>
              <w:adjustRightInd/>
              <w:jc w:val="left"/>
              <w:rPr>
                <w:rFonts w:ascii="Arial" w:hAnsi="Arial" w:cs="Arial"/>
                <w:b/>
                <w:bCs/>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5A7770DF"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w:t>
            </w:r>
          </w:p>
        </w:tc>
      </w:tr>
      <w:tr w:rsidR="00430C21" w:rsidRPr="00430C21" w14:paraId="608FE76C" w14:textId="77777777" w:rsidTr="00430C21">
        <w:trPr>
          <w:trHeight w:val="245"/>
        </w:trPr>
        <w:tc>
          <w:tcPr>
            <w:tcW w:w="5448" w:type="dxa"/>
            <w:tcBorders>
              <w:top w:val="single" w:sz="4" w:space="0" w:color="auto"/>
              <w:left w:val="nil"/>
              <w:bottom w:val="nil"/>
              <w:right w:val="nil"/>
            </w:tcBorders>
            <w:shd w:val="clear" w:color="auto" w:fill="auto"/>
            <w:noWrap/>
            <w:vAlign w:val="bottom"/>
            <w:hideMark/>
          </w:tcPr>
          <w:p w14:paraId="20E105F8"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December 31, 2020</w:t>
            </w:r>
          </w:p>
        </w:tc>
        <w:tc>
          <w:tcPr>
            <w:tcW w:w="1511" w:type="dxa"/>
            <w:tcBorders>
              <w:top w:val="single" w:sz="4" w:space="0" w:color="auto"/>
              <w:left w:val="nil"/>
              <w:bottom w:val="nil"/>
              <w:right w:val="nil"/>
            </w:tcBorders>
            <w:shd w:val="clear" w:color="auto" w:fill="auto"/>
            <w:noWrap/>
            <w:vAlign w:val="bottom"/>
            <w:hideMark/>
          </w:tcPr>
          <w:p w14:paraId="73AEC74B"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single" w:sz="4" w:space="0" w:color="auto"/>
              <w:left w:val="nil"/>
              <w:bottom w:val="nil"/>
              <w:right w:val="nil"/>
            </w:tcBorders>
            <w:shd w:val="clear" w:color="auto" w:fill="auto"/>
            <w:noWrap/>
            <w:vAlign w:val="bottom"/>
            <w:hideMark/>
          </w:tcPr>
          <w:p w14:paraId="13207E09"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1852677A"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0BAE175E"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Additions</w:t>
            </w:r>
          </w:p>
        </w:tc>
        <w:tc>
          <w:tcPr>
            <w:tcW w:w="1511" w:type="dxa"/>
            <w:tcBorders>
              <w:top w:val="nil"/>
              <w:left w:val="nil"/>
              <w:bottom w:val="single" w:sz="4" w:space="0" w:color="auto"/>
              <w:right w:val="nil"/>
            </w:tcBorders>
            <w:shd w:val="clear" w:color="auto" w:fill="auto"/>
            <w:noWrap/>
            <w:vAlign w:val="bottom"/>
            <w:hideMark/>
          </w:tcPr>
          <w:p w14:paraId="30C331AA"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4B55094B"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39,301 </w:t>
            </w:r>
          </w:p>
        </w:tc>
      </w:tr>
      <w:tr w:rsidR="00430C21" w:rsidRPr="00430C21" w14:paraId="2BDE36BF"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2C587602"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June 30, 2021</w:t>
            </w:r>
          </w:p>
        </w:tc>
        <w:tc>
          <w:tcPr>
            <w:tcW w:w="1511" w:type="dxa"/>
            <w:tcBorders>
              <w:top w:val="nil"/>
              <w:left w:val="nil"/>
              <w:bottom w:val="single" w:sz="4" w:space="0" w:color="auto"/>
              <w:right w:val="nil"/>
            </w:tcBorders>
            <w:shd w:val="clear" w:color="auto" w:fill="auto"/>
            <w:noWrap/>
            <w:vAlign w:val="bottom"/>
            <w:hideMark/>
          </w:tcPr>
          <w:p w14:paraId="58B3F787"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0B2BD6DB"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39,301 </w:t>
            </w:r>
          </w:p>
        </w:tc>
      </w:tr>
      <w:tr w:rsidR="00430C21" w:rsidRPr="00430C21" w14:paraId="5C57AF87" w14:textId="77777777" w:rsidTr="00430C21">
        <w:trPr>
          <w:trHeight w:val="245"/>
        </w:trPr>
        <w:tc>
          <w:tcPr>
            <w:tcW w:w="5448" w:type="dxa"/>
            <w:tcBorders>
              <w:top w:val="nil"/>
              <w:left w:val="nil"/>
              <w:bottom w:val="nil"/>
              <w:right w:val="nil"/>
            </w:tcBorders>
            <w:shd w:val="clear" w:color="auto" w:fill="auto"/>
            <w:noWrap/>
            <w:vAlign w:val="bottom"/>
            <w:hideMark/>
          </w:tcPr>
          <w:p w14:paraId="06E71728"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p>
        </w:tc>
        <w:tc>
          <w:tcPr>
            <w:tcW w:w="1511" w:type="dxa"/>
            <w:tcBorders>
              <w:top w:val="nil"/>
              <w:left w:val="nil"/>
              <w:bottom w:val="nil"/>
              <w:right w:val="nil"/>
            </w:tcBorders>
            <w:shd w:val="clear" w:color="auto" w:fill="auto"/>
            <w:noWrap/>
            <w:vAlign w:val="bottom"/>
            <w:hideMark/>
          </w:tcPr>
          <w:p w14:paraId="6A6FFDDF" w14:textId="77777777" w:rsidR="00430C21" w:rsidRPr="00430C21" w:rsidRDefault="00430C21" w:rsidP="00430C21">
            <w:pPr>
              <w:widowControl/>
              <w:autoSpaceDE/>
              <w:autoSpaceDN/>
              <w:adjustRightInd/>
              <w:jc w:val="left"/>
              <w:rPr>
                <w:sz w:val="20"/>
                <w:szCs w:val="20"/>
                <w:lang w:eastAsia="en-CA"/>
              </w:rPr>
            </w:pPr>
          </w:p>
        </w:tc>
        <w:tc>
          <w:tcPr>
            <w:tcW w:w="2519" w:type="dxa"/>
            <w:tcBorders>
              <w:top w:val="nil"/>
              <w:left w:val="nil"/>
              <w:bottom w:val="nil"/>
              <w:right w:val="nil"/>
            </w:tcBorders>
            <w:shd w:val="clear" w:color="auto" w:fill="auto"/>
            <w:noWrap/>
            <w:vAlign w:val="bottom"/>
            <w:hideMark/>
          </w:tcPr>
          <w:p w14:paraId="656B3185" w14:textId="77777777" w:rsidR="00430C21" w:rsidRPr="00430C21" w:rsidRDefault="00430C21" w:rsidP="00430C21">
            <w:pPr>
              <w:widowControl/>
              <w:autoSpaceDE/>
              <w:autoSpaceDN/>
              <w:adjustRightInd/>
              <w:jc w:val="right"/>
              <w:rPr>
                <w:sz w:val="20"/>
                <w:szCs w:val="20"/>
                <w:lang w:eastAsia="en-CA"/>
              </w:rPr>
            </w:pPr>
          </w:p>
        </w:tc>
      </w:tr>
      <w:tr w:rsidR="00430C21" w:rsidRPr="00430C21" w14:paraId="57004E3D" w14:textId="77777777" w:rsidTr="00430C21">
        <w:trPr>
          <w:trHeight w:val="245"/>
        </w:trPr>
        <w:tc>
          <w:tcPr>
            <w:tcW w:w="5448" w:type="dxa"/>
            <w:tcBorders>
              <w:top w:val="nil"/>
              <w:left w:val="nil"/>
              <w:bottom w:val="nil"/>
              <w:right w:val="nil"/>
            </w:tcBorders>
            <w:shd w:val="clear" w:color="auto" w:fill="auto"/>
            <w:noWrap/>
            <w:vAlign w:val="bottom"/>
            <w:hideMark/>
          </w:tcPr>
          <w:p w14:paraId="2AF5C3AF" w14:textId="77777777" w:rsidR="00430C21" w:rsidRPr="00430C21" w:rsidRDefault="00430C21" w:rsidP="00430C21">
            <w:pPr>
              <w:widowControl/>
              <w:autoSpaceDE/>
              <w:autoSpaceDN/>
              <w:adjustRightInd/>
              <w:jc w:val="left"/>
              <w:rPr>
                <w:rFonts w:ascii="Arial" w:hAnsi="Arial" w:cs="Arial"/>
                <w:b/>
                <w:bCs/>
                <w:color w:val="000000"/>
                <w:sz w:val="20"/>
                <w:szCs w:val="20"/>
                <w:lang w:eastAsia="en-CA"/>
              </w:rPr>
            </w:pPr>
            <w:r w:rsidRPr="00430C21">
              <w:rPr>
                <w:rFonts w:ascii="Arial" w:hAnsi="Arial" w:cs="Arial"/>
                <w:b/>
                <w:bCs/>
                <w:color w:val="000000"/>
                <w:sz w:val="20"/>
                <w:szCs w:val="20"/>
                <w:lang w:eastAsia="en-CA"/>
              </w:rPr>
              <w:t>Depreciation:</w:t>
            </w:r>
          </w:p>
        </w:tc>
        <w:tc>
          <w:tcPr>
            <w:tcW w:w="1511" w:type="dxa"/>
            <w:tcBorders>
              <w:top w:val="nil"/>
              <w:left w:val="nil"/>
              <w:bottom w:val="nil"/>
              <w:right w:val="nil"/>
            </w:tcBorders>
            <w:shd w:val="clear" w:color="auto" w:fill="auto"/>
            <w:noWrap/>
            <w:vAlign w:val="bottom"/>
            <w:hideMark/>
          </w:tcPr>
          <w:p w14:paraId="3160CACB" w14:textId="77777777" w:rsidR="00430C21" w:rsidRPr="00430C21" w:rsidRDefault="00430C21" w:rsidP="00430C21">
            <w:pPr>
              <w:widowControl/>
              <w:autoSpaceDE/>
              <w:autoSpaceDN/>
              <w:adjustRightInd/>
              <w:jc w:val="left"/>
              <w:rPr>
                <w:rFonts w:ascii="Arial" w:hAnsi="Arial" w:cs="Arial"/>
                <w:b/>
                <w:bCs/>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6950ACC1" w14:textId="77777777" w:rsidR="00430C21" w:rsidRPr="00430C21" w:rsidRDefault="00430C21" w:rsidP="00430C21">
            <w:pPr>
              <w:widowControl/>
              <w:autoSpaceDE/>
              <w:autoSpaceDN/>
              <w:adjustRightInd/>
              <w:jc w:val="right"/>
              <w:rPr>
                <w:sz w:val="20"/>
                <w:szCs w:val="20"/>
                <w:lang w:eastAsia="en-CA"/>
              </w:rPr>
            </w:pPr>
          </w:p>
        </w:tc>
      </w:tr>
      <w:tr w:rsidR="00430C21" w:rsidRPr="00430C21" w14:paraId="199D4B6B" w14:textId="77777777" w:rsidTr="00430C21">
        <w:trPr>
          <w:trHeight w:val="245"/>
        </w:trPr>
        <w:tc>
          <w:tcPr>
            <w:tcW w:w="5448" w:type="dxa"/>
            <w:tcBorders>
              <w:top w:val="single" w:sz="4" w:space="0" w:color="auto"/>
              <w:left w:val="nil"/>
              <w:bottom w:val="nil"/>
              <w:right w:val="nil"/>
            </w:tcBorders>
            <w:shd w:val="clear" w:color="auto" w:fill="auto"/>
            <w:noWrap/>
            <w:vAlign w:val="bottom"/>
            <w:hideMark/>
          </w:tcPr>
          <w:p w14:paraId="41C66A1A"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December 31, 2020</w:t>
            </w:r>
          </w:p>
        </w:tc>
        <w:tc>
          <w:tcPr>
            <w:tcW w:w="1511" w:type="dxa"/>
            <w:tcBorders>
              <w:top w:val="single" w:sz="4" w:space="0" w:color="auto"/>
              <w:left w:val="nil"/>
              <w:bottom w:val="nil"/>
              <w:right w:val="nil"/>
            </w:tcBorders>
            <w:shd w:val="clear" w:color="auto" w:fill="auto"/>
            <w:noWrap/>
            <w:vAlign w:val="bottom"/>
            <w:hideMark/>
          </w:tcPr>
          <w:p w14:paraId="73E14F85"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single" w:sz="4" w:space="0" w:color="auto"/>
              <w:left w:val="nil"/>
              <w:bottom w:val="nil"/>
              <w:right w:val="nil"/>
            </w:tcBorders>
            <w:shd w:val="clear" w:color="auto" w:fill="auto"/>
            <w:noWrap/>
            <w:vAlign w:val="bottom"/>
            <w:hideMark/>
          </w:tcPr>
          <w:p w14:paraId="25B4869F"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723155B8"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4263108D"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Charge for the period</w:t>
            </w:r>
          </w:p>
        </w:tc>
        <w:tc>
          <w:tcPr>
            <w:tcW w:w="1511" w:type="dxa"/>
            <w:tcBorders>
              <w:top w:val="nil"/>
              <w:left w:val="nil"/>
              <w:bottom w:val="single" w:sz="4" w:space="0" w:color="auto"/>
              <w:right w:val="nil"/>
            </w:tcBorders>
            <w:shd w:val="clear" w:color="auto" w:fill="auto"/>
            <w:noWrap/>
            <w:vAlign w:val="bottom"/>
            <w:hideMark/>
          </w:tcPr>
          <w:p w14:paraId="6D7ED267"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355AA9D0"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1C003FE1"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69B266C8"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June 30, 2021</w:t>
            </w:r>
          </w:p>
        </w:tc>
        <w:tc>
          <w:tcPr>
            <w:tcW w:w="1511" w:type="dxa"/>
            <w:tcBorders>
              <w:top w:val="nil"/>
              <w:left w:val="nil"/>
              <w:bottom w:val="single" w:sz="4" w:space="0" w:color="auto"/>
              <w:right w:val="nil"/>
            </w:tcBorders>
            <w:shd w:val="clear" w:color="auto" w:fill="auto"/>
            <w:noWrap/>
            <w:vAlign w:val="bottom"/>
            <w:hideMark/>
          </w:tcPr>
          <w:p w14:paraId="7C1DF912" w14:textId="77777777" w:rsidR="00430C21" w:rsidRPr="00430C21" w:rsidRDefault="00430C21" w:rsidP="00430C21">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24E90F64" w14:textId="77777777" w:rsidR="00430C21" w:rsidRPr="00430C21" w:rsidRDefault="00430C21" w:rsidP="00430C21">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26F8060D" w14:textId="77777777" w:rsidTr="00430C21">
        <w:trPr>
          <w:trHeight w:val="245"/>
        </w:trPr>
        <w:tc>
          <w:tcPr>
            <w:tcW w:w="5448" w:type="dxa"/>
            <w:tcBorders>
              <w:top w:val="nil"/>
              <w:left w:val="nil"/>
              <w:bottom w:val="nil"/>
              <w:right w:val="nil"/>
            </w:tcBorders>
            <w:shd w:val="clear" w:color="auto" w:fill="auto"/>
            <w:noWrap/>
            <w:vAlign w:val="bottom"/>
            <w:hideMark/>
          </w:tcPr>
          <w:p w14:paraId="509F5854"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
        </w:tc>
        <w:tc>
          <w:tcPr>
            <w:tcW w:w="1511" w:type="dxa"/>
            <w:tcBorders>
              <w:top w:val="nil"/>
              <w:left w:val="nil"/>
              <w:bottom w:val="nil"/>
              <w:right w:val="nil"/>
            </w:tcBorders>
            <w:shd w:val="clear" w:color="auto" w:fill="auto"/>
            <w:noWrap/>
            <w:vAlign w:val="bottom"/>
            <w:hideMark/>
          </w:tcPr>
          <w:p w14:paraId="0C0C7432" w14:textId="77777777" w:rsidR="00430C21" w:rsidRPr="00430C21" w:rsidRDefault="00430C21" w:rsidP="00C33B7A">
            <w:pPr>
              <w:widowControl/>
              <w:autoSpaceDE/>
              <w:autoSpaceDN/>
              <w:adjustRightInd/>
              <w:jc w:val="left"/>
              <w:rPr>
                <w:sz w:val="20"/>
                <w:szCs w:val="20"/>
                <w:lang w:eastAsia="en-CA"/>
              </w:rPr>
            </w:pPr>
          </w:p>
        </w:tc>
        <w:tc>
          <w:tcPr>
            <w:tcW w:w="2519" w:type="dxa"/>
            <w:tcBorders>
              <w:top w:val="nil"/>
              <w:left w:val="nil"/>
              <w:bottom w:val="nil"/>
              <w:right w:val="nil"/>
            </w:tcBorders>
            <w:shd w:val="clear" w:color="auto" w:fill="auto"/>
            <w:noWrap/>
            <w:vAlign w:val="bottom"/>
            <w:hideMark/>
          </w:tcPr>
          <w:p w14:paraId="54D2684C" w14:textId="77777777" w:rsidR="00430C21" w:rsidRPr="00430C21" w:rsidRDefault="00430C21" w:rsidP="00C33B7A">
            <w:pPr>
              <w:widowControl/>
              <w:autoSpaceDE/>
              <w:autoSpaceDN/>
              <w:adjustRightInd/>
              <w:jc w:val="right"/>
              <w:rPr>
                <w:sz w:val="20"/>
                <w:szCs w:val="20"/>
                <w:lang w:eastAsia="en-CA"/>
              </w:rPr>
            </w:pPr>
          </w:p>
        </w:tc>
      </w:tr>
      <w:tr w:rsidR="00430C21" w:rsidRPr="00430C21" w14:paraId="1FE8C18A" w14:textId="77777777" w:rsidTr="00430C21">
        <w:trPr>
          <w:trHeight w:val="245"/>
        </w:trPr>
        <w:tc>
          <w:tcPr>
            <w:tcW w:w="5448" w:type="dxa"/>
            <w:tcBorders>
              <w:top w:val="nil"/>
              <w:left w:val="nil"/>
              <w:bottom w:val="nil"/>
              <w:right w:val="nil"/>
            </w:tcBorders>
            <w:shd w:val="clear" w:color="auto" w:fill="auto"/>
            <w:noWrap/>
            <w:vAlign w:val="bottom"/>
            <w:hideMark/>
          </w:tcPr>
          <w:p w14:paraId="140CDD6B" w14:textId="77777777" w:rsidR="00430C21" w:rsidRPr="00430C21" w:rsidRDefault="00430C21" w:rsidP="00C33B7A">
            <w:pPr>
              <w:widowControl/>
              <w:autoSpaceDE/>
              <w:autoSpaceDN/>
              <w:adjustRightInd/>
              <w:jc w:val="left"/>
              <w:rPr>
                <w:rFonts w:ascii="Arial" w:hAnsi="Arial" w:cs="Arial"/>
                <w:b/>
                <w:bCs/>
                <w:color w:val="000000"/>
                <w:sz w:val="20"/>
                <w:szCs w:val="20"/>
                <w:lang w:eastAsia="en-CA"/>
              </w:rPr>
            </w:pPr>
            <w:r w:rsidRPr="00430C21">
              <w:rPr>
                <w:rFonts w:ascii="Arial" w:hAnsi="Arial" w:cs="Arial"/>
                <w:b/>
                <w:bCs/>
                <w:color w:val="000000"/>
                <w:sz w:val="20"/>
                <w:szCs w:val="20"/>
                <w:lang w:eastAsia="en-CA"/>
              </w:rPr>
              <w:t>Net Book Value:</w:t>
            </w:r>
          </w:p>
        </w:tc>
        <w:tc>
          <w:tcPr>
            <w:tcW w:w="1511" w:type="dxa"/>
            <w:tcBorders>
              <w:top w:val="nil"/>
              <w:left w:val="nil"/>
              <w:bottom w:val="nil"/>
              <w:right w:val="nil"/>
            </w:tcBorders>
            <w:shd w:val="clear" w:color="auto" w:fill="auto"/>
            <w:noWrap/>
            <w:vAlign w:val="bottom"/>
            <w:hideMark/>
          </w:tcPr>
          <w:p w14:paraId="4C970A4B" w14:textId="77777777" w:rsidR="00430C21" w:rsidRPr="00430C21" w:rsidRDefault="00430C21" w:rsidP="00C33B7A">
            <w:pPr>
              <w:widowControl/>
              <w:autoSpaceDE/>
              <w:autoSpaceDN/>
              <w:adjustRightInd/>
              <w:jc w:val="left"/>
              <w:rPr>
                <w:rFonts w:ascii="Arial" w:hAnsi="Arial" w:cs="Arial"/>
                <w:b/>
                <w:bCs/>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5972B078" w14:textId="77777777" w:rsidR="00430C21" w:rsidRPr="00430C21" w:rsidRDefault="00430C21" w:rsidP="00C33B7A">
            <w:pPr>
              <w:widowControl/>
              <w:autoSpaceDE/>
              <w:autoSpaceDN/>
              <w:adjustRightInd/>
              <w:jc w:val="right"/>
              <w:rPr>
                <w:sz w:val="20"/>
                <w:szCs w:val="20"/>
                <w:lang w:eastAsia="en-CA"/>
              </w:rPr>
            </w:pPr>
          </w:p>
        </w:tc>
      </w:tr>
      <w:tr w:rsidR="00430C21" w:rsidRPr="00430C21" w14:paraId="49816822" w14:textId="77777777" w:rsidTr="00430C21">
        <w:trPr>
          <w:trHeight w:val="245"/>
        </w:trPr>
        <w:tc>
          <w:tcPr>
            <w:tcW w:w="5448" w:type="dxa"/>
            <w:tcBorders>
              <w:top w:val="nil"/>
              <w:left w:val="nil"/>
              <w:bottom w:val="nil"/>
              <w:right w:val="nil"/>
            </w:tcBorders>
            <w:shd w:val="clear" w:color="auto" w:fill="auto"/>
            <w:noWrap/>
            <w:vAlign w:val="bottom"/>
            <w:hideMark/>
          </w:tcPr>
          <w:p w14:paraId="3F558BB9"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December 31, 2020</w:t>
            </w:r>
          </w:p>
        </w:tc>
        <w:tc>
          <w:tcPr>
            <w:tcW w:w="1511" w:type="dxa"/>
            <w:tcBorders>
              <w:top w:val="nil"/>
              <w:left w:val="nil"/>
              <w:bottom w:val="nil"/>
              <w:right w:val="nil"/>
            </w:tcBorders>
            <w:shd w:val="clear" w:color="auto" w:fill="auto"/>
            <w:noWrap/>
            <w:vAlign w:val="bottom"/>
            <w:hideMark/>
          </w:tcPr>
          <w:p w14:paraId="4FDE01B6"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12F4843A"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07BCE9C0" w14:textId="77777777" w:rsidTr="00430C21">
        <w:trPr>
          <w:trHeight w:val="245"/>
        </w:trPr>
        <w:tc>
          <w:tcPr>
            <w:tcW w:w="5448" w:type="dxa"/>
            <w:tcBorders>
              <w:top w:val="single" w:sz="4" w:space="0" w:color="auto"/>
              <w:left w:val="nil"/>
              <w:bottom w:val="single" w:sz="4" w:space="0" w:color="auto"/>
              <w:right w:val="nil"/>
            </w:tcBorders>
            <w:shd w:val="clear" w:color="auto" w:fill="auto"/>
            <w:noWrap/>
            <w:vAlign w:val="bottom"/>
            <w:hideMark/>
          </w:tcPr>
          <w:p w14:paraId="0484A9A3"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June 30, 2021</w:t>
            </w:r>
          </w:p>
        </w:tc>
        <w:tc>
          <w:tcPr>
            <w:tcW w:w="1511" w:type="dxa"/>
            <w:tcBorders>
              <w:top w:val="single" w:sz="4" w:space="0" w:color="auto"/>
              <w:left w:val="nil"/>
              <w:bottom w:val="single" w:sz="4" w:space="0" w:color="auto"/>
              <w:right w:val="nil"/>
            </w:tcBorders>
            <w:shd w:val="clear" w:color="auto" w:fill="auto"/>
            <w:noWrap/>
            <w:vAlign w:val="bottom"/>
            <w:hideMark/>
          </w:tcPr>
          <w:p w14:paraId="706C780D"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single" w:sz="4" w:space="0" w:color="auto"/>
              <w:left w:val="nil"/>
              <w:bottom w:val="single" w:sz="4" w:space="0" w:color="auto"/>
              <w:right w:val="nil"/>
            </w:tcBorders>
            <w:shd w:val="clear" w:color="auto" w:fill="auto"/>
            <w:noWrap/>
            <w:vAlign w:val="bottom"/>
            <w:hideMark/>
          </w:tcPr>
          <w:p w14:paraId="0C468083"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39,301 </w:t>
            </w:r>
          </w:p>
        </w:tc>
      </w:tr>
      <w:tr w:rsidR="00430C21" w:rsidRPr="00430C21" w14:paraId="53432A4B" w14:textId="77777777" w:rsidTr="00430C21">
        <w:trPr>
          <w:trHeight w:val="245"/>
        </w:trPr>
        <w:tc>
          <w:tcPr>
            <w:tcW w:w="5448" w:type="dxa"/>
            <w:tcBorders>
              <w:top w:val="nil"/>
              <w:left w:val="nil"/>
              <w:bottom w:val="nil"/>
              <w:right w:val="nil"/>
            </w:tcBorders>
            <w:shd w:val="clear" w:color="auto" w:fill="auto"/>
            <w:noWrap/>
            <w:vAlign w:val="bottom"/>
            <w:hideMark/>
          </w:tcPr>
          <w:p w14:paraId="75601B27"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1511" w:type="dxa"/>
            <w:tcBorders>
              <w:top w:val="nil"/>
              <w:left w:val="nil"/>
              <w:bottom w:val="nil"/>
              <w:right w:val="nil"/>
            </w:tcBorders>
            <w:shd w:val="clear" w:color="auto" w:fill="auto"/>
            <w:noWrap/>
            <w:vAlign w:val="bottom"/>
            <w:hideMark/>
          </w:tcPr>
          <w:p w14:paraId="02FE8E0C"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nil"/>
              <w:right w:val="nil"/>
            </w:tcBorders>
            <w:shd w:val="clear" w:color="auto" w:fill="auto"/>
            <w:noWrap/>
            <w:vAlign w:val="bottom"/>
            <w:hideMark/>
          </w:tcPr>
          <w:p w14:paraId="7A9C24F8"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w:t>
            </w:r>
          </w:p>
        </w:tc>
      </w:tr>
      <w:tr w:rsidR="00430C21" w:rsidRPr="00430C21" w14:paraId="45DA9DAD" w14:textId="77777777" w:rsidTr="00430C21">
        <w:trPr>
          <w:trHeight w:val="245"/>
        </w:trPr>
        <w:tc>
          <w:tcPr>
            <w:tcW w:w="5448" w:type="dxa"/>
            <w:tcBorders>
              <w:top w:val="nil"/>
              <w:left w:val="nil"/>
              <w:bottom w:val="nil"/>
              <w:right w:val="nil"/>
            </w:tcBorders>
            <w:shd w:val="clear" w:color="auto" w:fill="auto"/>
            <w:noWrap/>
            <w:vAlign w:val="bottom"/>
            <w:hideMark/>
          </w:tcPr>
          <w:p w14:paraId="52BA54E3"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xml:space="preserve">Lease liabilities </w:t>
            </w:r>
            <w:proofErr w:type="gramStart"/>
            <w:r w:rsidRPr="00430C21">
              <w:rPr>
                <w:rFonts w:ascii="Arial" w:hAnsi="Arial" w:cs="Arial"/>
                <w:color w:val="000000"/>
                <w:sz w:val="20"/>
                <w:szCs w:val="20"/>
                <w:lang w:eastAsia="en-CA"/>
              </w:rPr>
              <w:t>at</w:t>
            </w:r>
            <w:proofErr w:type="gramEnd"/>
            <w:r w:rsidRPr="00430C21">
              <w:rPr>
                <w:rFonts w:ascii="Arial" w:hAnsi="Arial" w:cs="Arial"/>
                <w:color w:val="000000"/>
                <w:sz w:val="20"/>
                <w:szCs w:val="20"/>
                <w:lang w:eastAsia="en-CA"/>
              </w:rPr>
              <w:t xml:space="preserve"> December 31, 2020</w:t>
            </w:r>
          </w:p>
        </w:tc>
        <w:tc>
          <w:tcPr>
            <w:tcW w:w="1511" w:type="dxa"/>
            <w:tcBorders>
              <w:top w:val="nil"/>
              <w:left w:val="nil"/>
              <w:bottom w:val="nil"/>
              <w:right w:val="nil"/>
            </w:tcBorders>
            <w:shd w:val="clear" w:color="auto" w:fill="auto"/>
            <w:noWrap/>
            <w:vAlign w:val="bottom"/>
            <w:hideMark/>
          </w:tcPr>
          <w:p w14:paraId="515779E8"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23EC9346"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4A4F3242" w14:textId="77777777" w:rsidTr="00430C21">
        <w:trPr>
          <w:trHeight w:val="245"/>
        </w:trPr>
        <w:tc>
          <w:tcPr>
            <w:tcW w:w="5448" w:type="dxa"/>
            <w:tcBorders>
              <w:top w:val="nil"/>
              <w:left w:val="nil"/>
              <w:bottom w:val="nil"/>
              <w:right w:val="nil"/>
            </w:tcBorders>
            <w:shd w:val="clear" w:color="auto" w:fill="auto"/>
            <w:noWrap/>
            <w:vAlign w:val="bottom"/>
            <w:hideMark/>
          </w:tcPr>
          <w:p w14:paraId="6EDFC6FE"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Additions</w:t>
            </w:r>
          </w:p>
        </w:tc>
        <w:tc>
          <w:tcPr>
            <w:tcW w:w="1511" w:type="dxa"/>
            <w:tcBorders>
              <w:top w:val="nil"/>
              <w:left w:val="nil"/>
              <w:bottom w:val="nil"/>
              <w:right w:val="nil"/>
            </w:tcBorders>
            <w:shd w:val="clear" w:color="auto" w:fill="auto"/>
            <w:noWrap/>
            <w:vAlign w:val="bottom"/>
            <w:hideMark/>
          </w:tcPr>
          <w:p w14:paraId="19E1F39D"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0C4B92E6"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82,670 </w:t>
            </w:r>
          </w:p>
        </w:tc>
      </w:tr>
      <w:tr w:rsidR="00430C21" w:rsidRPr="00430C21" w14:paraId="1915B1A7" w14:textId="77777777" w:rsidTr="00430C21">
        <w:trPr>
          <w:trHeight w:val="245"/>
        </w:trPr>
        <w:tc>
          <w:tcPr>
            <w:tcW w:w="5448" w:type="dxa"/>
            <w:tcBorders>
              <w:top w:val="nil"/>
              <w:left w:val="nil"/>
              <w:bottom w:val="nil"/>
              <w:right w:val="nil"/>
            </w:tcBorders>
            <w:shd w:val="clear" w:color="auto" w:fill="auto"/>
            <w:noWrap/>
            <w:vAlign w:val="bottom"/>
            <w:hideMark/>
          </w:tcPr>
          <w:p w14:paraId="5B47EA5D"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Lease payments made</w:t>
            </w:r>
          </w:p>
        </w:tc>
        <w:tc>
          <w:tcPr>
            <w:tcW w:w="1511" w:type="dxa"/>
            <w:tcBorders>
              <w:top w:val="nil"/>
              <w:left w:val="nil"/>
              <w:bottom w:val="nil"/>
              <w:right w:val="nil"/>
            </w:tcBorders>
            <w:shd w:val="clear" w:color="auto" w:fill="auto"/>
            <w:noWrap/>
            <w:vAlign w:val="bottom"/>
            <w:hideMark/>
          </w:tcPr>
          <w:p w14:paraId="70F6CA33"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
        </w:tc>
        <w:tc>
          <w:tcPr>
            <w:tcW w:w="2519" w:type="dxa"/>
            <w:tcBorders>
              <w:top w:val="nil"/>
              <w:left w:val="nil"/>
              <w:bottom w:val="nil"/>
              <w:right w:val="nil"/>
            </w:tcBorders>
            <w:shd w:val="clear" w:color="auto" w:fill="auto"/>
            <w:noWrap/>
            <w:vAlign w:val="bottom"/>
            <w:hideMark/>
          </w:tcPr>
          <w:p w14:paraId="46B7ED41"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67985F2C"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704D21BE"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Interest expense on lease liabilities</w:t>
            </w:r>
          </w:p>
        </w:tc>
        <w:tc>
          <w:tcPr>
            <w:tcW w:w="1511" w:type="dxa"/>
            <w:tcBorders>
              <w:top w:val="nil"/>
              <w:left w:val="nil"/>
              <w:bottom w:val="single" w:sz="4" w:space="0" w:color="auto"/>
              <w:right w:val="nil"/>
            </w:tcBorders>
            <w:shd w:val="clear" w:color="auto" w:fill="auto"/>
            <w:noWrap/>
            <w:vAlign w:val="bottom"/>
            <w:hideMark/>
          </w:tcPr>
          <w:p w14:paraId="5A145A34"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59D5512F"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 </w:t>
            </w:r>
          </w:p>
        </w:tc>
      </w:tr>
      <w:tr w:rsidR="00430C21" w:rsidRPr="00430C21" w14:paraId="34193D0D" w14:textId="77777777" w:rsidTr="00430C21">
        <w:trPr>
          <w:trHeight w:val="245"/>
        </w:trPr>
        <w:tc>
          <w:tcPr>
            <w:tcW w:w="5448" w:type="dxa"/>
            <w:tcBorders>
              <w:top w:val="nil"/>
              <w:left w:val="nil"/>
              <w:bottom w:val="nil"/>
              <w:right w:val="nil"/>
            </w:tcBorders>
            <w:shd w:val="clear" w:color="auto" w:fill="auto"/>
            <w:noWrap/>
            <w:vAlign w:val="bottom"/>
            <w:hideMark/>
          </w:tcPr>
          <w:p w14:paraId="5B8818CA"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p>
        </w:tc>
        <w:tc>
          <w:tcPr>
            <w:tcW w:w="1511" w:type="dxa"/>
            <w:tcBorders>
              <w:top w:val="nil"/>
              <w:left w:val="nil"/>
              <w:bottom w:val="nil"/>
              <w:right w:val="nil"/>
            </w:tcBorders>
            <w:shd w:val="clear" w:color="auto" w:fill="auto"/>
            <w:noWrap/>
            <w:vAlign w:val="bottom"/>
            <w:hideMark/>
          </w:tcPr>
          <w:p w14:paraId="0F2BD640" w14:textId="77777777" w:rsidR="00430C21" w:rsidRPr="00430C21" w:rsidRDefault="00430C21" w:rsidP="00C33B7A">
            <w:pPr>
              <w:widowControl/>
              <w:autoSpaceDE/>
              <w:autoSpaceDN/>
              <w:adjustRightInd/>
              <w:jc w:val="left"/>
              <w:rPr>
                <w:sz w:val="20"/>
                <w:szCs w:val="20"/>
                <w:lang w:eastAsia="en-CA"/>
              </w:rPr>
            </w:pPr>
          </w:p>
        </w:tc>
        <w:tc>
          <w:tcPr>
            <w:tcW w:w="2519" w:type="dxa"/>
            <w:tcBorders>
              <w:top w:val="nil"/>
              <w:left w:val="nil"/>
              <w:bottom w:val="nil"/>
              <w:right w:val="nil"/>
            </w:tcBorders>
            <w:shd w:val="clear" w:color="auto" w:fill="auto"/>
            <w:noWrap/>
            <w:vAlign w:val="bottom"/>
            <w:hideMark/>
          </w:tcPr>
          <w:p w14:paraId="1FC71910"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82,670 </w:t>
            </w:r>
          </w:p>
        </w:tc>
      </w:tr>
      <w:tr w:rsidR="00430C21" w:rsidRPr="00430C21" w14:paraId="42889ACE"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4747E514"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Less: current portion</w:t>
            </w:r>
          </w:p>
        </w:tc>
        <w:tc>
          <w:tcPr>
            <w:tcW w:w="1511" w:type="dxa"/>
            <w:tcBorders>
              <w:top w:val="nil"/>
              <w:left w:val="nil"/>
              <w:bottom w:val="single" w:sz="4" w:space="0" w:color="auto"/>
              <w:right w:val="nil"/>
            </w:tcBorders>
            <w:shd w:val="clear" w:color="auto" w:fill="auto"/>
            <w:noWrap/>
            <w:vAlign w:val="bottom"/>
            <w:hideMark/>
          </w:tcPr>
          <w:p w14:paraId="2C2C0370" w14:textId="77777777" w:rsidR="00430C21" w:rsidRPr="00430C21" w:rsidRDefault="00430C21" w:rsidP="00C33B7A">
            <w:pPr>
              <w:widowControl/>
              <w:autoSpaceDE/>
              <w:autoSpaceDN/>
              <w:adjustRightInd/>
              <w:jc w:val="left"/>
              <w:rPr>
                <w:rFonts w:ascii="Arial" w:hAnsi="Arial" w:cs="Arial"/>
                <w:color w:val="000000"/>
                <w:sz w:val="20"/>
                <w:szCs w:val="20"/>
                <w:lang w:eastAsia="en-CA"/>
              </w:rPr>
            </w:pPr>
            <w:r w:rsidRPr="00430C21">
              <w:rPr>
                <w:rFonts w:ascii="Arial" w:hAnsi="Arial" w:cs="Arial"/>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2F8CAAFE" w14:textId="77777777" w:rsidR="00430C21" w:rsidRPr="00430C21" w:rsidRDefault="00430C21" w:rsidP="00C33B7A">
            <w:pPr>
              <w:widowControl/>
              <w:autoSpaceDE/>
              <w:autoSpaceDN/>
              <w:adjustRightInd/>
              <w:jc w:val="right"/>
              <w:rPr>
                <w:rFonts w:ascii="Arial" w:hAnsi="Arial" w:cs="Arial"/>
                <w:color w:val="000000"/>
                <w:sz w:val="20"/>
                <w:szCs w:val="20"/>
                <w:lang w:eastAsia="en-CA"/>
              </w:rPr>
            </w:pPr>
            <w:r w:rsidRPr="00430C21">
              <w:rPr>
                <w:rFonts w:ascii="Arial" w:hAnsi="Arial" w:cs="Arial"/>
                <w:color w:val="000000"/>
                <w:sz w:val="20"/>
                <w:szCs w:val="20"/>
                <w:lang w:eastAsia="en-CA"/>
              </w:rPr>
              <w:t xml:space="preserve">              37,804 </w:t>
            </w:r>
          </w:p>
        </w:tc>
      </w:tr>
      <w:tr w:rsidR="00430C21" w:rsidRPr="00430C21" w14:paraId="3E262736" w14:textId="77777777" w:rsidTr="00430C21">
        <w:trPr>
          <w:trHeight w:val="245"/>
        </w:trPr>
        <w:tc>
          <w:tcPr>
            <w:tcW w:w="5448" w:type="dxa"/>
            <w:tcBorders>
              <w:top w:val="nil"/>
              <w:left w:val="nil"/>
              <w:bottom w:val="single" w:sz="4" w:space="0" w:color="auto"/>
              <w:right w:val="nil"/>
            </w:tcBorders>
            <w:shd w:val="clear" w:color="auto" w:fill="auto"/>
            <w:noWrap/>
            <w:vAlign w:val="bottom"/>
            <w:hideMark/>
          </w:tcPr>
          <w:p w14:paraId="0DA7A416" w14:textId="77777777" w:rsidR="00430C21" w:rsidRPr="00430C21" w:rsidRDefault="00430C21" w:rsidP="00C33B7A">
            <w:pPr>
              <w:widowControl/>
              <w:autoSpaceDE/>
              <w:autoSpaceDN/>
              <w:adjustRightInd/>
              <w:jc w:val="left"/>
              <w:rPr>
                <w:rFonts w:ascii="Arial" w:hAnsi="Arial" w:cs="Arial"/>
                <w:b/>
                <w:bCs/>
                <w:color w:val="000000"/>
                <w:sz w:val="20"/>
                <w:szCs w:val="20"/>
                <w:lang w:eastAsia="en-CA"/>
              </w:rPr>
            </w:pPr>
            <w:proofErr w:type="gramStart"/>
            <w:r w:rsidRPr="00430C21">
              <w:rPr>
                <w:rFonts w:ascii="Arial" w:hAnsi="Arial" w:cs="Arial"/>
                <w:b/>
                <w:bCs/>
                <w:color w:val="000000"/>
                <w:sz w:val="20"/>
                <w:szCs w:val="20"/>
                <w:lang w:eastAsia="en-CA"/>
              </w:rPr>
              <w:t>At</w:t>
            </w:r>
            <w:proofErr w:type="gramEnd"/>
            <w:r w:rsidRPr="00430C21">
              <w:rPr>
                <w:rFonts w:ascii="Arial" w:hAnsi="Arial" w:cs="Arial"/>
                <w:b/>
                <w:bCs/>
                <w:color w:val="000000"/>
                <w:sz w:val="20"/>
                <w:szCs w:val="20"/>
                <w:lang w:eastAsia="en-CA"/>
              </w:rPr>
              <w:t xml:space="preserve"> June 30, 2021</w:t>
            </w:r>
          </w:p>
        </w:tc>
        <w:tc>
          <w:tcPr>
            <w:tcW w:w="1511" w:type="dxa"/>
            <w:tcBorders>
              <w:top w:val="nil"/>
              <w:left w:val="nil"/>
              <w:bottom w:val="single" w:sz="4" w:space="0" w:color="auto"/>
              <w:right w:val="nil"/>
            </w:tcBorders>
            <w:shd w:val="clear" w:color="auto" w:fill="auto"/>
            <w:noWrap/>
            <w:vAlign w:val="bottom"/>
            <w:hideMark/>
          </w:tcPr>
          <w:p w14:paraId="734E8BE6" w14:textId="77777777" w:rsidR="00430C21" w:rsidRPr="00430C21" w:rsidRDefault="00430C21" w:rsidP="00C33B7A">
            <w:pPr>
              <w:widowControl/>
              <w:autoSpaceDE/>
              <w:autoSpaceDN/>
              <w:adjustRightInd/>
              <w:jc w:val="left"/>
              <w:rPr>
                <w:rFonts w:ascii="Arial" w:hAnsi="Arial" w:cs="Arial"/>
                <w:b/>
                <w:bCs/>
                <w:color w:val="000000"/>
                <w:sz w:val="20"/>
                <w:szCs w:val="20"/>
                <w:lang w:eastAsia="en-CA"/>
              </w:rPr>
            </w:pPr>
            <w:r w:rsidRPr="00430C21">
              <w:rPr>
                <w:rFonts w:ascii="Arial" w:hAnsi="Arial" w:cs="Arial"/>
                <w:b/>
                <w:bCs/>
                <w:color w:val="000000"/>
                <w:sz w:val="20"/>
                <w:szCs w:val="20"/>
                <w:lang w:eastAsia="en-CA"/>
              </w:rPr>
              <w:t> </w:t>
            </w:r>
          </w:p>
        </w:tc>
        <w:tc>
          <w:tcPr>
            <w:tcW w:w="2519" w:type="dxa"/>
            <w:tcBorders>
              <w:top w:val="nil"/>
              <w:left w:val="nil"/>
              <w:bottom w:val="single" w:sz="4" w:space="0" w:color="auto"/>
              <w:right w:val="nil"/>
            </w:tcBorders>
            <w:shd w:val="clear" w:color="auto" w:fill="auto"/>
            <w:noWrap/>
            <w:vAlign w:val="bottom"/>
            <w:hideMark/>
          </w:tcPr>
          <w:p w14:paraId="2759E154" w14:textId="77777777" w:rsidR="00430C21" w:rsidRPr="00430C21" w:rsidRDefault="00430C21" w:rsidP="00C33B7A">
            <w:pPr>
              <w:widowControl/>
              <w:autoSpaceDE/>
              <w:autoSpaceDN/>
              <w:adjustRightInd/>
              <w:jc w:val="right"/>
              <w:rPr>
                <w:rFonts w:ascii="Arial" w:hAnsi="Arial" w:cs="Arial"/>
                <w:b/>
                <w:bCs/>
                <w:color w:val="000000"/>
                <w:sz w:val="20"/>
                <w:szCs w:val="20"/>
                <w:lang w:eastAsia="en-CA"/>
              </w:rPr>
            </w:pPr>
            <w:r w:rsidRPr="00430C21">
              <w:rPr>
                <w:rFonts w:ascii="Arial" w:hAnsi="Arial" w:cs="Arial"/>
                <w:b/>
                <w:bCs/>
                <w:color w:val="000000"/>
                <w:sz w:val="20"/>
                <w:szCs w:val="20"/>
                <w:lang w:eastAsia="en-CA"/>
              </w:rPr>
              <w:t xml:space="preserve">              44,866 </w:t>
            </w:r>
          </w:p>
        </w:tc>
      </w:tr>
    </w:tbl>
    <w:p w14:paraId="26A6F7EB" w14:textId="36C9109B" w:rsidR="00713EEA" w:rsidRDefault="00713EEA" w:rsidP="00713EEA">
      <w:pPr>
        <w:pStyle w:val="ListParagraph"/>
        <w:keepNext/>
        <w:widowControl/>
        <w:tabs>
          <w:tab w:val="left" w:pos="1531"/>
        </w:tabs>
        <w:ind w:left="567"/>
        <w:jc w:val="left"/>
        <w:rPr>
          <w:rFonts w:ascii="Arial" w:eastAsia="PMingLiU" w:hAnsi="Arial" w:cs="Arial"/>
          <w:b/>
          <w:sz w:val="20"/>
          <w:szCs w:val="20"/>
          <w:lang w:val="en-NZ" w:eastAsia="en-NZ"/>
        </w:rPr>
      </w:pPr>
    </w:p>
    <w:p w14:paraId="6C443BD1" w14:textId="4E0FA285" w:rsidR="00713EEA" w:rsidRDefault="00FA6C95" w:rsidP="00FA6C95">
      <w:pPr>
        <w:pStyle w:val="ListParagraph"/>
        <w:keepNext/>
        <w:widowControl/>
        <w:tabs>
          <w:tab w:val="left" w:pos="1531"/>
        </w:tabs>
        <w:ind w:left="0"/>
        <w:jc w:val="left"/>
        <w:rPr>
          <w:rFonts w:ascii="Arial" w:eastAsia="PMingLiU" w:hAnsi="Arial" w:cs="Arial"/>
          <w:b/>
          <w:sz w:val="20"/>
          <w:szCs w:val="20"/>
          <w:lang w:val="en-NZ" w:eastAsia="en-NZ"/>
        </w:rPr>
      </w:pPr>
      <w:r w:rsidRPr="00FA6C95">
        <w:rPr>
          <w:rFonts w:ascii="Arial" w:hAnsi="Arial" w:cs="Arial"/>
          <w:sz w:val="20"/>
          <w:szCs w:val="20"/>
        </w:rPr>
        <w:t>Depreciation of right-of-use assets is calculated using the straight-line method of the remaining lease term</w:t>
      </w:r>
      <w:r>
        <w:rPr>
          <w:rFonts w:ascii="Arial" w:hAnsi="Arial" w:cs="Arial"/>
          <w:sz w:val="20"/>
          <w:szCs w:val="20"/>
        </w:rPr>
        <w:t>.</w:t>
      </w:r>
    </w:p>
    <w:p w14:paraId="7117A7BC" w14:textId="7D51AC90" w:rsidR="00713EEA" w:rsidRDefault="00713EEA" w:rsidP="00713EEA">
      <w:pPr>
        <w:pStyle w:val="ListParagraph"/>
        <w:keepNext/>
        <w:widowControl/>
        <w:tabs>
          <w:tab w:val="left" w:pos="1531"/>
        </w:tabs>
        <w:ind w:left="567"/>
        <w:jc w:val="left"/>
        <w:rPr>
          <w:rFonts w:ascii="Arial" w:eastAsia="PMingLiU" w:hAnsi="Arial" w:cs="Arial"/>
          <w:b/>
          <w:sz w:val="20"/>
          <w:szCs w:val="20"/>
          <w:lang w:val="en-NZ" w:eastAsia="en-NZ"/>
        </w:rPr>
      </w:pPr>
    </w:p>
    <w:p w14:paraId="4156014E" w14:textId="1B7CE3E1"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213F00B6" w14:textId="090B1505"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09321E90" w14:textId="62CB2133"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25C585C9" w14:textId="25AA24D9"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0B544E7C" w14:textId="3C53A09F"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6F45C8BA" w14:textId="63328706"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2472C9F9" w14:textId="62BB124C"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3DB9DA55" w14:textId="4FE81D5D"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16BB545A" w14:textId="2B9FB2D3"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289C0FFC" w14:textId="061E0D65"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49F47CCF" w14:textId="77777777"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100F499E" w14:textId="3587EBF2" w:rsidR="00A036F2" w:rsidRDefault="00A036F2" w:rsidP="00713EEA">
      <w:pPr>
        <w:pStyle w:val="ListParagraph"/>
        <w:keepNext/>
        <w:widowControl/>
        <w:tabs>
          <w:tab w:val="left" w:pos="1531"/>
        </w:tabs>
        <w:ind w:left="567"/>
        <w:jc w:val="left"/>
        <w:rPr>
          <w:rFonts w:ascii="Arial" w:eastAsia="PMingLiU" w:hAnsi="Arial" w:cs="Arial"/>
          <w:b/>
          <w:sz w:val="20"/>
          <w:szCs w:val="20"/>
          <w:lang w:val="en-NZ" w:eastAsia="en-NZ"/>
        </w:rPr>
      </w:pPr>
    </w:p>
    <w:p w14:paraId="3A736992" w14:textId="77777777" w:rsidR="00A036F2" w:rsidRPr="00713EEA" w:rsidRDefault="00A036F2" w:rsidP="00C553B7">
      <w:pPr>
        <w:pStyle w:val="ListParagraph"/>
        <w:widowControl/>
        <w:tabs>
          <w:tab w:val="left" w:pos="1531"/>
        </w:tabs>
        <w:ind w:left="567"/>
        <w:jc w:val="left"/>
        <w:rPr>
          <w:rFonts w:ascii="Arial" w:eastAsia="PMingLiU" w:hAnsi="Arial" w:cs="Arial"/>
          <w:b/>
          <w:sz w:val="20"/>
          <w:szCs w:val="20"/>
          <w:lang w:val="en-NZ" w:eastAsia="en-NZ"/>
        </w:rPr>
      </w:pPr>
    </w:p>
    <w:p w14:paraId="153C74DE" w14:textId="77777777" w:rsidR="00921260" w:rsidRPr="00713EEA" w:rsidRDefault="00EB5515" w:rsidP="00C553B7">
      <w:pPr>
        <w:pStyle w:val="ListParagraph"/>
        <w:widowControl/>
        <w:numPr>
          <w:ilvl w:val="0"/>
          <w:numId w:val="15"/>
        </w:numPr>
        <w:tabs>
          <w:tab w:val="left" w:pos="1531"/>
        </w:tabs>
        <w:ind w:left="567" w:hanging="567"/>
        <w:jc w:val="left"/>
        <w:rPr>
          <w:rFonts w:ascii="Arial" w:eastAsia="PMingLiU" w:hAnsi="Arial" w:cs="Arial"/>
          <w:b/>
          <w:sz w:val="20"/>
          <w:szCs w:val="20"/>
          <w:lang w:val="en-NZ" w:eastAsia="en-NZ"/>
        </w:rPr>
      </w:pPr>
      <w:r w:rsidRPr="00713EEA">
        <w:rPr>
          <w:rFonts w:ascii="Arial" w:eastAsia="PMingLiU" w:hAnsi="Arial" w:cs="Arial"/>
          <w:b/>
          <w:sz w:val="20"/>
          <w:szCs w:val="20"/>
          <w:lang w:val="en-NZ" w:eastAsia="en-NZ"/>
        </w:rPr>
        <w:lastRenderedPageBreak/>
        <w:t>FIXED ASSETS</w:t>
      </w:r>
    </w:p>
    <w:tbl>
      <w:tblPr>
        <w:tblW w:w="9817" w:type="dxa"/>
        <w:tblLook w:val="04A0" w:firstRow="1" w:lastRow="0" w:firstColumn="1" w:lastColumn="0" w:noHBand="0" w:noVBand="1"/>
      </w:tblPr>
      <w:tblGrid>
        <w:gridCol w:w="4441"/>
        <w:gridCol w:w="2030"/>
        <w:gridCol w:w="1824"/>
        <w:gridCol w:w="1522"/>
      </w:tblGrid>
      <w:tr w:rsidR="00C33B7A" w:rsidRPr="00C33B7A" w14:paraId="71D8C458" w14:textId="77777777" w:rsidTr="00C33B7A">
        <w:trPr>
          <w:trHeight w:val="498"/>
        </w:trPr>
        <w:tc>
          <w:tcPr>
            <w:tcW w:w="4441" w:type="dxa"/>
            <w:tcBorders>
              <w:top w:val="nil"/>
              <w:left w:val="nil"/>
              <w:bottom w:val="single" w:sz="4" w:space="0" w:color="auto"/>
              <w:right w:val="nil"/>
            </w:tcBorders>
            <w:shd w:val="clear" w:color="auto" w:fill="auto"/>
            <w:noWrap/>
            <w:vAlign w:val="center"/>
            <w:hideMark/>
          </w:tcPr>
          <w:p w14:paraId="180FAA4A" w14:textId="6DB16723"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w:t>
            </w:r>
          </w:p>
        </w:tc>
        <w:tc>
          <w:tcPr>
            <w:tcW w:w="2030" w:type="dxa"/>
            <w:tcBorders>
              <w:top w:val="nil"/>
              <w:left w:val="nil"/>
              <w:bottom w:val="single" w:sz="4" w:space="0" w:color="auto"/>
              <w:right w:val="nil"/>
            </w:tcBorders>
            <w:shd w:val="clear" w:color="auto" w:fill="auto"/>
            <w:vAlign w:val="bottom"/>
            <w:hideMark/>
          </w:tcPr>
          <w:p w14:paraId="2C049068" w14:textId="77777777" w:rsidR="00C33B7A" w:rsidRPr="00C33B7A" w:rsidRDefault="00C33B7A">
            <w:pPr>
              <w:widowControl/>
              <w:autoSpaceDE/>
              <w:autoSpaceDN/>
              <w:adjustRightInd/>
              <w:jc w:val="center"/>
              <w:rPr>
                <w:rFonts w:ascii="Arial" w:hAnsi="Arial" w:cs="Arial"/>
                <w:color w:val="000000"/>
                <w:sz w:val="20"/>
                <w:szCs w:val="20"/>
                <w:lang w:eastAsia="en-CA"/>
              </w:rPr>
            </w:pPr>
            <w:r w:rsidRPr="00C33B7A">
              <w:rPr>
                <w:rFonts w:ascii="Arial" w:hAnsi="Arial" w:cs="Arial"/>
                <w:color w:val="000000"/>
                <w:sz w:val="20"/>
                <w:szCs w:val="20"/>
                <w:lang w:eastAsia="en-CA"/>
              </w:rPr>
              <w:t>Office equipment</w:t>
            </w:r>
          </w:p>
        </w:tc>
        <w:tc>
          <w:tcPr>
            <w:tcW w:w="1824" w:type="dxa"/>
            <w:tcBorders>
              <w:top w:val="nil"/>
              <w:left w:val="nil"/>
              <w:bottom w:val="single" w:sz="4" w:space="0" w:color="auto"/>
              <w:right w:val="nil"/>
            </w:tcBorders>
            <w:shd w:val="clear" w:color="auto" w:fill="auto"/>
            <w:vAlign w:val="bottom"/>
            <w:hideMark/>
          </w:tcPr>
          <w:p w14:paraId="4624B01C" w14:textId="77777777" w:rsidR="00C33B7A" w:rsidRPr="00C33B7A" w:rsidRDefault="00C33B7A">
            <w:pPr>
              <w:widowControl/>
              <w:autoSpaceDE/>
              <w:autoSpaceDN/>
              <w:adjustRightInd/>
              <w:jc w:val="center"/>
              <w:rPr>
                <w:rFonts w:ascii="Arial" w:hAnsi="Arial" w:cs="Arial"/>
                <w:color w:val="000000"/>
                <w:sz w:val="20"/>
                <w:szCs w:val="20"/>
                <w:lang w:eastAsia="en-CA"/>
              </w:rPr>
            </w:pPr>
            <w:r w:rsidRPr="00C33B7A">
              <w:rPr>
                <w:rFonts w:ascii="Arial" w:hAnsi="Arial" w:cs="Arial"/>
                <w:color w:val="000000"/>
                <w:sz w:val="20"/>
                <w:szCs w:val="20"/>
                <w:lang w:eastAsia="en-CA"/>
              </w:rPr>
              <w:t>Lab equipment</w:t>
            </w:r>
          </w:p>
        </w:tc>
        <w:tc>
          <w:tcPr>
            <w:tcW w:w="1522" w:type="dxa"/>
            <w:tcBorders>
              <w:top w:val="nil"/>
              <w:left w:val="nil"/>
              <w:bottom w:val="single" w:sz="4" w:space="0" w:color="auto"/>
              <w:right w:val="nil"/>
            </w:tcBorders>
            <w:shd w:val="clear" w:color="auto" w:fill="auto"/>
            <w:vAlign w:val="bottom"/>
            <w:hideMark/>
          </w:tcPr>
          <w:p w14:paraId="08850335" w14:textId="77777777" w:rsidR="00C33B7A" w:rsidRPr="00C33B7A" w:rsidRDefault="00C33B7A">
            <w:pPr>
              <w:widowControl/>
              <w:autoSpaceDE/>
              <w:autoSpaceDN/>
              <w:adjustRightInd/>
              <w:jc w:val="center"/>
              <w:rPr>
                <w:rFonts w:ascii="Arial" w:hAnsi="Arial" w:cs="Arial"/>
                <w:color w:val="000000"/>
                <w:sz w:val="20"/>
                <w:szCs w:val="20"/>
                <w:lang w:eastAsia="en-CA"/>
              </w:rPr>
            </w:pPr>
            <w:r w:rsidRPr="00C33B7A">
              <w:rPr>
                <w:rFonts w:ascii="Arial" w:hAnsi="Arial" w:cs="Arial"/>
                <w:color w:val="000000"/>
                <w:sz w:val="20"/>
                <w:szCs w:val="20"/>
                <w:lang w:eastAsia="en-CA"/>
              </w:rPr>
              <w:t>Total</w:t>
            </w:r>
          </w:p>
        </w:tc>
      </w:tr>
      <w:tr w:rsidR="00C33B7A" w:rsidRPr="00C33B7A" w14:paraId="0A357393" w14:textId="77777777" w:rsidTr="00C33B7A">
        <w:trPr>
          <w:trHeight w:val="249"/>
        </w:trPr>
        <w:tc>
          <w:tcPr>
            <w:tcW w:w="4441" w:type="dxa"/>
            <w:tcBorders>
              <w:top w:val="nil"/>
              <w:left w:val="nil"/>
              <w:bottom w:val="nil"/>
              <w:right w:val="nil"/>
            </w:tcBorders>
            <w:shd w:val="clear" w:color="auto" w:fill="auto"/>
            <w:noWrap/>
            <w:vAlign w:val="bottom"/>
            <w:hideMark/>
          </w:tcPr>
          <w:p w14:paraId="23F157BC" w14:textId="77777777" w:rsidR="00C33B7A" w:rsidRPr="00C33B7A" w:rsidRDefault="00C33B7A">
            <w:pPr>
              <w:widowControl/>
              <w:autoSpaceDE/>
              <w:autoSpaceDN/>
              <w:adjustRightInd/>
              <w:jc w:val="center"/>
              <w:rPr>
                <w:rFonts w:ascii="Arial" w:hAnsi="Arial" w:cs="Arial"/>
                <w:color w:val="000000"/>
                <w:sz w:val="20"/>
                <w:szCs w:val="20"/>
                <w:lang w:eastAsia="en-CA"/>
              </w:rPr>
            </w:pPr>
          </w:p>
        </w:tc>
        <w:tc>
          <w:tcPr>
            <w:tcW w:w="2030" w:type="dxa"/>
            <w:tcBorders>
              <w:top w:val="nil"/>
              <w:left w:val="nil"/>
              <w:bottom w:val="nil"/>
              <w:right w:val="nil"/>
            </w:tcBorders>
            <w:shd w:val="clear" w:color="auto" w:fill="auto"/>
            <w:noWrap/>
            <w:vAlign w:val="center"/>
            <w:hideMark/>
          </w:tcPr>
          <w:p w14:paraId="7CBF9332"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w:t>
            </w:r>
          </w:p>
        </w:tc>
        <w:tc>
          <w:tcPr>
            <w:tcW w:w="1824" w:type="dxa"/>
            <w:tcBorders>
              <w:top w:val="nil"/>
              <w:left w:val="nil"/>
              <w:bottom w:val="nil"/>
              <w:right w:val="nil"/>
            </w:tcBorders>
            <w:shd w:val="clear" w:color="auto" w:fill="auto"/>
            <w:noWrap/>
            <w:vAlign w:val="center"/>
            <w:hideMark/>
          </w:tcPr>
          <w:p w14:paraId="5C7EE571"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w:t>
            </w:r>
          </w:p>
        </w:tc>
        <w:tc>
          <w:tcPr>
            <w:tcW w:w="1522" w:type="dxa"/>
            <w:tcBorders>
              <w:top w:val="nil"/>
              <w:left w:val="nil"/>
              <w:bottom w:val="nil"/>
              <w:right w:val="nil"/>
            </w:tcBorders>
            <w:shd w:val="clear" w:color="auto" w:fill="auto"/>
            <w:noWrap/>
            <w:vAlign w:val="center"/>
            <w:hideMark/>
          </w:tcPr>
          <w:p w14:paraId="0B34F8B2"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w:t>
            </w:r>
          </w:p>
        </w:tc>
      </w:tr>
      <w:tr w:rsidR="00C33B7A" w:rsidRPr="00C33B7A" w14:paraId="2130AD0B" w14:textId="77777777" w:rsidTr="00C33B7A">
        <w:trPr>
          <w:trHeight w:val="249"/>
        </w:trPr>
        <w:tc>
          <w:tcPr>
            <w:tcW w:w="4441" w:type="dxa"/>
            <w:tcBorders>
              <w:top w:val="nil"/>
              <w:left w:val="nil"/>
              <w:bottom w:val="nil"/>
              <w:right w:val="nil"/>
            </w:tcBorders>
            <w:shd w:val="clear" w:color="auto" w:fill="auto"/>
            <w:noWrap/>
            <w:vAlign w:val="center"/>
            <w:hideMark/>
          </w:tcPr>
          <w:p w14:paraId="3F9F76A4" w14:textId="77777777" w:rsidR="00C33B7A" w:rsidRPr="00C33B7A" w:rsidRDefault="00C33B7A">
            <w:pPr>
              <w:widowControl/>
              <w:autoSpaceDE/>
              <w:autoSpaceDN/>
              <w:adjustRightInd/>
              <w:jc w:val="left"/>
              <w:rPr>
                <w:rFonts w:ascii="Arial" w:hAnsi="Arial" w:cs="Arial"/>
                <w:b/>
                <w:bCs/>
                <w:color w:val="000000"/>
                <w:sz w:val="20"/>
                <w:szCs w:val="20"/>
                <w:lang w:eastAsia="en-CA"/>
              </w:rPr>
            </w:pPr>
            <w:r w:rsidRPr="00C33B7A">
              <w:rPr>
                <w:rFonts w:ascii="Arial" w:hAnsi="Arial" w:cs="Arial"/>
                <w:b/>
                <w:bCs/>
                <w:color w:val="000000"/>
                <w:sz w:val="20"/>
                <w:szCs w:val="20"/>
                <w:lang w:eastAsia="en-CA"/>
              </w:rPr>
              <w:t>Cost</w:t>
            </w:r>
          </w:p>
        </w:tc>
        <w:tc>
          <w:tcPr>
            <w:tcW w:w="2030" w:type="dxa"/>
            <w:tcBorders>
              <w:top w:val="nil"/>
              <w:left w:val="nil"/>
              <w:bottom w:val="nil"/>
              <w:right w:val="nil"/>
            </w:tcBorders>
            <w:shd w:val="clear" w:color="auto" w:fill="auto"/>
            <w:noWrap/>
            <w:vAlign w:val="center"/>
            <w:hideMark/>
          </w:tcPr>
          <w:p w14:paraId="639739CF" w14:textId="77777777" w:rsidR="00C33B7A" w:rsidRPr="00C33B7A" w:rsidRDefault="00C33B7A">
            <w:pPr>
              <w:widowControl/>
              <w:autoSpaceDE/>
              <w:autoSpaceDN/>
              <w:adjustRightInd/>
              <w:jc w:val="left"/>
              <w:rPr>
                <w:rFonts w:ascii="Arial" w:hAnsi="Arial" w:cs="Arial"/>
                <w:b/>
                <w:bCs/>
                <w:color w:val="000000"/>
                <w:sz w:val="20"/>
                <w:szCs w:val="20"/>
                <w:lang w:eastAsia="en-CA"/>
              </w:rPr>
            </w:pPr>
          </w:p>
        </w:tc>
        <w:tc>
          <w:tcPr>
            <w:tcW w:w="1824" w:type="dxa"/>
            <w:tcBorders>
              <w:top w:val="nil"/>
              <w:left w:val="nil"/>
              <w:bottom w:val="nil"/>
              <w:right w:val="nil"/>
            </w:tcBorders>
            <w:shd w:val="clear" w:color="auto" w:fill="auto"/>
            <w:noWrap/>
            <w:vAlign w:val="center"/>
            <w:hideMark/>
          </w:tcPr>
          <w:p w14:paraId="3B9197EF" w14:textId="77777777" w:rsidR="00C33B7A" w:rsidRPr="00C33B7A" w:rsidRDefault="00C33B7A">
            <w:pPr>
              <w:widowControl/>
              <w:autoSpaceDE/>
              <w:autoSpaceDN/>
              <w:adjustRightInd/>
              <w:jc w:val="right"/>
              <w:rPr>
                <w:sz w:val="20"/>
                <w:szCs w:val="20"/>
                <w:lang w:eastAsia="en-CA"/>
              </w:rPr>
            </w:pPr>
          </w:p>
        </w:tc>
        <w:tc>
          <w:tcPr>
            <w:tcW w:w="1522" w:type="dxa"/>
            <w:tcBorders>
              <w:top w:val="nil"/>
              <w:left w:val="nil"/>
              <w:bottom w:val="nil"/>
              <w:right w:val="nil"/>
            </w:tcBorders>
            <w:shd w:val="clear" w:color="auto" w:fill="auto"/>
            <w:noWrap/>
            <w:vAlign w:val="center"/>
            <w:hideMark/>
          </w:tcPr>
          <w:p w14:paraId="5B7E8E94" w14:textId="77777777" w:rsidR="00C33B7A" w:rsidRPr="00C33B7A" w:rsidRDefault="00C33B7A">
            <w:pPr>
              <w:widowControl/>
              <w:autoSpaceDE/>
              <w:autoSpaceDN/>
              <w:adjustRightInd/>
              <w:jc w:val="right"/>
              <w:rPr>
                <w:sz w:val="20"/>
                <w:szCs w:val="20"/>
                <w:lang w:eastAsia="en-CA"/>
              </w:rPr>
            </w:pPr>
          </w:p>
        </w:tc>
      </w:tr>
      <w:tr w:rsidR="00C33B7A" w:rsidRPr="00C33B7A" w14:paraId="07BF883B" w14:textId="77777777" w:rsidTr="00C33B7A">
        <w:trPr>
          <w:trHeight w:val="249"/>
        </w:trPr>
        <w:tc>
          <w:tcPr>
            <w:tcW w:w="4441" w:type="dxa"/>
            <w:tcBorders>
              <w:top w:val="nil"/>
              <w:left w:val="nil"/>
              <w:bottom w:val="nil"/>
              <w:right w:val="nil"/>
            </w:tcBorders>
            <w:shd w:val="clear" w:color="auto" w:fill="auto"/>
            <w:noWrap/>
            <w:vAlign w:val="center"/>
            <w:hideMark/>
          </w:tcPr>
          <w:p w14:paraId="636B3A56" w14:textId="77777777" w:rsidR="00C33B7A" w:rsidRPr="00C33B7A" w:rsidRDefault="00C33B7A">
            <w:pPr>
              <w:widowControl/>
              <w:autoSpaceDE/>
              <w:autoSpaceDN/>
              <w:adjustRightInd/>
              <w:jc w:val="left"/>
              <w:rPr>
                <w:rFonts w:ascii="Arial" w:hAnsi="Arial" w:cs="Arial"/>
                <w:color w:val="000000"/>
                <w:sz w:val="20"/>
                <w:szCs w:val="20"/>
                <w:lang w:eastAsia="en-CA"/>
              </w:rPr>
            </w:pPr>
            <w:r w:rsidRPr="00C33B7A">
              <w:rPr>
                <w:rFonts w:ascii="Arial" w:hAnsi="Arial" w:cs="Arial"/>
                <w:color w:val="000000"/>
                <w:sz w:val="20"/>
                <w:szCs w:val="20"/>
                <w:lang w:eastAsia="en-CA"/>
              </w:rPr>
              <w:t>Balance, December 31, 2020</w:t>
            </w:r>
          </w:p>
        </w:tc>
        <w:tc>
          <w:tcPr>
            <w:tcW w:w="2030" w:type="dxa"/>
            <w:tcBorders>
              <w:top w:val="nil"/>
              <w:left w:val="nil"/>
              <w:bottom w:val="nil"/>
              <w:right w:val="nil"/>
            </w:tcBorders>
            <w:shd w:val="clear" w:color="auto" w:fill="auto"/>
            <w:noWrap/>
            <w:vAlign w:val="center"/>
            <w:hideMark/>
          </w:tcPr>
          <w:p w14:paraId="23A9F00D"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c>
          <w:tcPr>
            <w:tcW w:w="1824" w:type="dxa"/>
            <w:tcBorders>
              <w:top w:val="nil"/>
              <w:left w:val="nil"/>
              <w:bottom w:val="nil"/>
              <w:right w:val="nil"/>
            </w:tcBorders>
            <w:shd w:val="clear" w:color="auto" w:fill="auto"/>
            <w:noWrap/>
            <w:vAlign w:val="center"/>
            <w:hideMark/>
          </w:tcPr>
          <w:p w14:paraId="496AF166"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c>
          <w:tcPr>
            <w:tcW w:w="1522" w:type="dxa"/>
            <w:tcBorders>
              <w:top w:val="nil"/>
              <w:left w:val="nil"/>
              <w:bottom w:val="nil"/>
              <w:right w:val="nil"/>
            </w:tcBorders>
            <w:shd w:val="clear" w:color="auto" w:fill="auto"/>
            <w:noWrap/>
            <w:vAlign w:val="center"/>
            <w:hideMark/>
          </w:tcPr>
          <w:p w14:paraId="26BBA541"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r>
      <w:tr w:rsidR="00C33B7A" w:rsidRPr="00C33B7A" w14:paraId="0B87AFAE" w14:textId="77777777" w:rsidTr="00C33B7A">
        <w:trPr>
          <w:trHeight w:val="249"/>
        </w:trPr>
        <w:tc>
          <w:tcPr>
            <w:tcW w:w="4441" w:type="dxa"/>
            <w:tcBorders>
              <w:top w:val="nil"/>
              <w:left w:val="nil"/>
              <w:bottom w:val="single" w:sz="4" w:space="0" w:color="auto"/>
              <w:right w:val="nil"/>
            </w:tcBorders>
            <w:shd w:val="clear" w:color="auto" w:fill="auto"/>
            <w:noWrap/>
            <w:vAlign w:val="center"/>
            <w:hideMark/>
          </w:tcPr>
          <w:p w14:paraId="59D9FC33" w14:textId="77777777" w:rsidR="00C33B7A" w:rsidRPr="00C33B7A" w:rsidRDefault="00C33B7A">
            <w:pPr>
              <w:widowControl/>
              <w:autoSpaceDE/>
              <w:autoSpaceDN/>
              <w:adjustRightInd/>
              <w:jc w:val="left"/>
              <w:rPr>
                <w:rFonts w:ascii="Arial" w:hAnsi="Arial" w:cs="Arial"/>
                <w:color w:val="000000"/>
                <w:sz w:val="20"/>
                <w:szCs w:val="20"/>
                <w:lang w:eastAsia="en-CA"/>
              </w:rPr>
            </w:pPr>
            <w:r w:rsidRPr="00C33B7A">
              <w:rPr>
                <w:rFonts w:ascii="Arial" w:hAnsi="Arial" w:cs="Arial"/>
                <w:color w:val="000000"/>
                <w:sz w:val="20"/>
                <w:szCs w:val="20"/>
                <w:lang w:eastAsia="en-CA"/>
              </w:rPr>
              <w:t>Additions</w:t>
            </w:r>
          </w:p>
        </w:tc>
        <w:tc>
          <w:tcPr>
            <w:tcW w:w="2030" w:type="dxa"/>
            <w:tcBorders>
              <w:top w:val="nil"/>
              <w:left w:val="nil"/>
              <w:bottom w:val="single" w:sz="4" w:space="0" w:color="auto"/>
              <w:right w:val="nil"/>
            </w:tcBorders>
            <w:shd w:val="clear" w:color="auto" w:fill="auto"/>
            <w:noWrap/>
            <w:vAlign w:val="center"/>
            <w:hideMark/>
          </w:tcPr>
          <w:p w14:paraId="1AAD1648"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5,957 </w:t>
            </w:r>
          </w:p>
        </w:tc>
        <w:tc>
          <w:tcPr>
            <w:tcW w:w="1824" w:type="dxa"/>
            <w:tcBorders>
              <w:top w:val="nil"/>
              <w:left w:val="nil"/>
              <w:bottom w:val="single" w:sz="4" w:space="0" w:color="auto"/>
              <w:right w:val="nil"/>
            </w:tcBorders>
            <w:shd w:val="clear" w:color="auto" w:fill="auto"/>
            <w:noWrap/>
            <w:vAlign w:val="center"/>
            <w:hideMark/>
          </w:tcPr>
          <w:p w14:paraId="7D3C9541"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98,764 </w:t>
            </w:r>
          </w:p>
        </w:tc>
        <w:tc>
          <w:tcPr>
            <w:tcW w:w="1522" w:type="dxa"/>
            <w:tcBorders>
              <w:top w:val="nil"/>
              <w:left w:val="nil"/>
              <w:bottom w:val="nil"/>
              <w:right w:val="nil"/>
            </w:tcBorders>
            <w:shd w:val="clear" w:color="auto" w:fill="auto"/>
            <w:noWrap/>
            <w:vAlign w:val="center"/>
            <w:hideMark/>
          </w:tcPr>
          <w:p w14:paraId="1836DB4C"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104,721 </w:t>
            </w:r>
          </w:p>
        </w:tc>
      </w:tr>
      <w:tr w:rsidR="00C33B7A" w:rsidRPr="00C33B7A" w14:paraId="4244BD49" w14:textId="77777777" w:rsidTr="00C33B7A">
        <w:trPr>
          <w:trHeight w:val="249"/>
        </w:trPr>
        <w:tc>
          <w:tcPr>
            <w:tcW w:w="4441" w:type="dxa"/>
            <w:tcBorders>
              <w:top w:val="nil"/>
              <w:left w:val="nil"/>
              <w:bottom w:val="single" w:sz="4" w:space="0" w:color="auto"/>
              <w:right w:val="nil"/>
            </w:tcBorders>
            <w:shd w:val="clear" w:color="auto" w:fill="auto"/>
            <w:noWrap/>
            <w:vAlign w:val="center"/>
            <w:hideMark/>
          </w:tcPr>
          <w:p w14:paraId="6F6B5B1C" w14:textId="77777777" w:rsidR="00C33B7A" w:rsidRPr="00C33B7A" w:rsidRDefault="00C33B7A">
            <w:pPr>
              <w:widowControl/>
              <w:autoSpaceDE/>
              <w:autoSpaceDN/>
              <w:adjustRightInd/>
              <w:jc w:val="left"/>
              <w:rPr>
                <w:rFonts w:ascii="Arial" w:hAnsi="Arial" w:cs="Arial"/>
                <w:b/>
                <w:bCs/>
                <w:color w:val="000000"/>
                <w:sz w:val="20"/>
                <w:szCs w:val="20"/>
                <w:lang w:eastAsia="en-CA"/>
              </w:rPr>
            </w:pPr>
            <w:r w:rsidRPr="00C33B7A">
              <w:rPr>
                <w:rFonts w:ascii="Arial" w:hAnsi="Arial" w:cs="Arial"/>
                <w:b/>
                <w:bCs/>
                <w:color w:val="000000"/>
                <w:sz w:val="20"/>
                <w:szCs w:val="20"/>
                <w:lang w:eastAsia="en-CA"/>
              </w:rPr>
              <w:t>Balance, June 30, 2021</w:t>
            </w:r>
          </w:p>
        </w:tc>
        <w:tc>
          <w:tcPr>
            <w:tcW w:w="2030" w:type="dxa"/>
            <w:tcBorders>
              <w:top w:val="nil"/>
              <w:left w:val="nil"/>
              <w:bottom w:val="single" w:sz="4" w:space="0" w:color="auto"/>
              <w:right w:val="nil"/>
            </w:tcBorders>
            <w:shd w:val="clear" w:color="auto" w:fill="auto"/>
            <w:noWrap/>
            <w:vAlign w:val="center"/>
            <w:hideMark/>
          </w:tcPr>
          <w:p w14:paraId="04932428" w14:textId="77777777" w:rsidR="00C33B7A" w:rsidRPr="00C33B7A" w:rsidRDefault="00C33B7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5,957 </w:t>
            </w:r>
          </w:p>
        </w:tc>
        <w:tc>
          <w:tcPr>
            <w:tcW w:w="1824" w:type="dxa"/>
            <w:tcBorders>
              <w:top w:val="nil"/>
              <w:left w:val="nil"/>
              <w:bottom w:val="single" w:sz="4" w:space="0" w:color="auto"/>
              <w:right w:val="nil"/>
            </w:tcBorders>
            <w:shd w:val="clear" w:color="auto" w:fill="auto"/>
            <w:noWrap/>
            <w:vAlign w:val="center"/>
            <w:hideMark/>
          </w:tcPr>
          <w:p w14:paraId="1BDEC410" w14:textId="77777777" w:rsidR="00C33B7A" w:rsidRPr="00C33B7A" w:rsidRDefault="00C33B7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98,764 </w:t>
            </w:r>
          </w:p>
        </w:tc>
        <w:tc>
          <w:tcPr>
            <w:tcW w:w="1522" w:type="dxa"/>
            <w:tcBorders>
              <w:top w:val="single" w:sz="4" w:space="0" w:color="auto"/>
              <w:left w:val="nil"/>
              <w:bottom w:val="single" w:sz="4" w:space="0" w:color="auto"/>
              <w:right w:val="nil"/>
            </w:tcBorders>
            <w:shd w:val="clear" w:color="auto" w:fill="auto"/>
            <w:noWrap/>
            <w:vAlign w:val="center"/>
            <w:hideMark/>
          </w:tcPr>
          <w:p w14:paraId="4C144FC3" w14:textId="77777777" w:rsidR="00C33B7A" w:rsidRPr="00C33B7A" w:rsidRDefault="00C33B7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104,721 </w:t>
            </w:r>
          </w:p>
        </w:tc>
      </w:tr>
      <w:tr w:rsidR="00C33B7A" w:rsidRPr="00C33B7A" w14:paraId="15B97993" w14:textId="77777777" w:rsidTr="00C33B7A">
        <w:trPr>
          <w:trHeight w:val="249"/>
        </w:trPr>
        <w:tc>
          <w:tcPr>
            <w:tcW w:w="4441" w:type="dxa"/>
            <w:tcBorders>
              <w:top w:val="nil"/>
              <w:left w:val="nil"/>
              <w:bottom w:val="nil"/>
              <w:right w:val="nil"/>
            </w:tcBorders>
            <w:shd w:val="clear" w:color="auto" w:fill="auto"/>
            <w:noWrap/>
            <w:vAlign w:val="bottom"/>
            <w:hideMark/>
          </w:tcPr>
          <w:p w14:paraId="621E845E" w14:textId="77777777" w:rsidR="00C33B7A" w:rsidRPr="00C33B7A" w:rsidRDefault="00C33B7A">
            <w:pPr>
              <w:widowControl/>
              <w:autoSpaceDE/>
              <w:autoSpaceDN/>
              <w:adjustRightInd/>
              <w:jc w:val="right"/>
              <w:rPr>
                <w:rFonts w:ascii="Arial" w:hAnsi="Arial" w:cs="Arial"/>
                <w:b/>
                <w:bCs/>
                <w:color w:val="000000"/>
                <w:sz w:val="20"/>
                <w:szCs w:val="20"/>
                <w:lang w:eastAsia="en-CA"/>
              </w:rPr>
            </w:pPr>
          </w:p>
        </w:tc>
        <w:tc>
          <w:tcPr>
            <w:tcW w:w="2030" w:type="dxa"/>
            <w:tcBorders>
              <w:top w:val="nil"/>
              <w:left w:val="nil"/>
              <w:bottom w:val="nil"/>
              <w:right w:val="nil"/>
            </w:tcBorders>
            <w:shd w:val="clear" w:color="auto" w:fill="auto"/>
            <w:noWrap/>
            <w:vAlign w:val="bottom"/>
            <w:hideMark/>
          </w:tcPr>
          <w:p w14:paraId="47C8E4BD" w14:textId="77777777" w:rsidR="00C33B7A" w:rsidRPr="00C33B7A" w:rsidRDefault="00C33B7A">
            <w:pPr>
              <w:widowControl/>
              <w:autoSpaceDE/>
              <w:autoSpaceDN/>
              <w:adjustRightInd/>
              <w:jc w:val="left"/>
              <w:rPr>
                <w:sz w:val="20"/>
                <w:szCs w:val="20"/>
                <w:lang w:eastAsia="en-CA"/>
              </w:rPr>
            </w:pPr>
          </w:p>
        </w:tc>
        <w:tc>
          <w:tcPr>
            <w:tcW w:w="1824" w:type="dxa"/>
            <w:tcBorders>
              <w:top w:val="nil"/>
              <w:left w:val="nil"/>
              <w:bottom w:val="nil"/>
              <w:right w:val="nil"/>
            </w:tcBorders>
            <w:shd w:val="clear" w:color="auto" w:fill="auto"/>
            <w:noWrap/>
            <w:vAlign w:val="bottom"/>
            <w:hideMark/>
          </w:tcPr>
          <w:p w14:paraId="00FBF14B" w14:textId="77777777" w:rsidR="00C33B7A" w:rsidRPr="00C33B7A" w:rsidRDefault="00C33B7A">
            <w:pPr>
              <w:widowControl/>
              <w:autoSpaceDE/>
              <w:autoSpaceDN/>
              <w:adjustRightInd/>
              <w:jc w:val="left"/>
              <w:rPr>
                <w:sz w:val="20"/>
                <w:szCs w:val="20"/>
                <w:lang w:eastAsia="en-CA"/>
              </w:rPr>
            </w:pPr>
          </w:p>
        </w:tc>
        <w:tc>
          <w:tcPr>
            <w:tcW w:w="1522" w:type="dxa"/>
            <w:tcBorders>
              <w:top w:val="nil"/>
              <w:left w:val="nil"/>
              <w:bottom w:val="nil"/>
              <w:right w:val="nil"/>
            </w:tcBorders>
            <w:shd w:val="clear" w:color="auto" w:fill="auto"/>
            <w:noWrap/>
            <w:vAlign w:val="bottom"/>
            <w:hideMark/>
          </w:tcPr>
          <w:p w14:paraId="5C647A6C" w14:textId="77777777" w:rsidR="00C33B7A" w:rsidRPr="00C33B7A" w:rsidRDefault="00C33B7A">
            <w:pPr>
              <w:widowControl/>
              <w:autoSpaceDE/>
              <w:autoSpaceDN/>
              <w:adjustRightInd/>
              <w:jc w:val="left"/>
              <w:rPr>
                <w:sz w:val="20"/>
                <w:szCs w:val="20"/>
                <w:lang w:eastAsia="en-CA"/>
              </w:rPr>
            </w:pPr>
          </w:p>
        </w:tc>
      </w:tr>
      <w:tr w:rsidR="00C33B7A" w:rsidRPr="00C33B7A" w14:paraId="63764FF8" w14:textId="77777777" w:rsidTr="00C33B7A">
        <w:trPr>
          <w:trHeight w:val="249"/>
        </w:trPr>
        <w:tc>
          <w:tcPr>
            <w:tcW w:w="4441" w:type="dxa"/>
            <w:tcBorders>
              <w:top w:val="nil"/>
              <w:left w:val="nil"/>
              <w:bottom w:val="nil"/>
              <w:right w:val="nil"/>
            </w:tcBorders>
            <w:shd w:val="clear" w:color="auto" w:fill="auto"/>
            <w:noWrap/>
            <w:vAlign w:val="center"/>
            <w:hideMark/>
          </w:tcPr>
          <w:p w14:paraId="0779B068" w14:textId="77777777" w:rsidR="00C33B7A" w:rsidRPr="00C33B7A" w:rsidRDefault="00C33B7A">
            <w:pPr>
              <w:widowControl/>
              <w:autoSpaceDE/>
              <w:autoSpaceDN/>
              <w:adjustRightInd/>
              <w:jc w:val="left"/>
              <w:rPr>
                <w:rFonts w:ascii="Arial" w:hAnsi="Arial" w:cs="Arial"/>
                <w:b/>
                <w:bCs/>
                <w:color w:val="000000"/>
                <w:sz w:val="20"/>
                <w:szCs w:val="20"/>
                <w:lang w:eastAsia="en-CA"/>
              </w:rPr>
            </w:pPr>
            <w:r w:rsidRPr="00C33B7A">
              <w:rPr>
                <w:rFonts w:ascii="Arial" w:hAnsi="Arial" w:cs="Arial"/>
                <w:b/>
                <w:bCs/>
                <w:color w:val="000000"/>
                <w:sz w:val="20"/>
                <w:szCs w:val="20"/>
                <w:lang w:eastAsia="en-CA"/>
              </w:rPr>
              <w:t>Accumulated depreciation</w:t>
            </w:r>
          </w:p>
        </w:tc>
        <w:tc>
          <w:tcPr>
            <w:tcW w:w="2030" w:type="dxa"/>
            <w:tcBorders>
              <w:top w:val="nil"/>
              <w:left w:val="nil"/>
              <w:bottom w:val="nil"/>
              <w:right w:val="nil"/>
            </w:tcBorders>
            <w:shd w:val="clear" w:color="auto" w:fill="auto"/>
            <w:noWrap/>
            <w:vAlign w:val="bottom"/>
            <w:hideMark/>
          </w:tcPr>
          <w:p w14:paraId="62713B81" w14:textId="77777777" w:rsidR="00C33B7A" w:rsidRPr="00C33B7A" w:rsidRDefault="00C33B7A">
            <w:pPr>
              <w:widowControl/>
              <w:autoSpaceDE/>
              <w:autoSpaceDN/>
              <w:adjustRightInd/>
              <w:jc w:val="left"/>
              <w:rPr>
                <w:rFonts w:ascii="Arial" w:hAnsi="Arial" w:cs="Arial"/>
                <w:b/>
                <w:bCs/>
                <w:color w:val="000000"/>
                <w:sz w:val="20"/>
                <w:szCs w:val="20"/>
                <w:lang w:eastAsia="en-CA"/>
              </w:rPr>
            </w:pPr>
          </w:p>
        </w:tc>
        <w:tc>
          <w:tcPr>
            <w:tcW w:w="1824" w:type="dxa"/>
            <w:tcBorders>
              <w:top w:val="nil"/>
              <w:left w:val="nil"/>
              <w:bottom w:val="nil"/>
              <w:right w:val="nil"/>
            </w:tcBorders>
            <w:shd w:val="clear" w:color="auto" w:fill="auto"/>
            <w:noWrap/>
            <w:vAlign w:val="bottom"/>
            <w:hideMark/>
          </w:tcPr>
          <w:p w14:paraId="2D04A6C5" w14:textId="77777777" w:rsidR="00C33B7A" w:rsidRPr="00C33B7A" w:rsidRDefault="00C33B7A">
            <w:pPr>
              <w:widowControl/>
              <w:autoSpaceDE/>
              <w:autoSpaceDN/>
              <w:adjustRightInd/>
              <w:jc w:val="left"/>
              <w:rPr>
                <w:sz w:val="20"/>
                <w:szCs w:val="20"/>
                <w:lang w:eastAsia="en-CA"/>
              </w:rPr>
            </w:pPr>
          </w:p>
        </w:tc>
        <w:tc>
          <w:tcPr>
            <w:tcW w:w="1522" w:type="dxa"/>
            <w:tcBorders>
              <w:top w:val="nil"/>
              <w:left w:val="nil"/>
              <w:bottom w:val="nil"/>
              <w:right w:val="nil"/>
            </w:tcBorders>
            <w:shd w:val="clear" w:color="auto" w:fill="auto"/>
            <w:noWrap/>
            <w:vAlign w:val="bottom"/>
            <w:hideMark/>
          </w:tcPr>
          <w:p w14:paraId="267EA46A" w14:textId="77777777" w:rsidR="00C33B7A" w:rsidRPr="00C33B7A" w:rsidRDefault="00C33B7A">
            <w:pPr>
              <w:widowControl/>
              <w:autoSpaceDE/>
              <w:autoSpaceDN/>
              <w:adjustRightInd/>
              <w:jc w:val="left"/>
              <w:rPr>
                <w:sz w:val="20"/>
                <w:szCs w:val="20"/>
                <w:lang w:eastAsia="en-CA"/>
              </w:rPr>
            </w:pPr>
          </w:p>
        </w:tc>
      </w:tr>
      <w:tr w:rsidR="00C33B7A" w:rsidRPr="00C33B7A" w14:paraId="206464DF" w14:textId="77777777" w:rsidTr="00C33B7A">
        <w:trPr>
          <w:trHeight w:val="249"/>
        </w:trPr>
        <w:tc>
          <w:tcPr>
            <w:tcW w:w="4441" w:type="dxa"/>
            <w:tcBorders>
              <w:top w:val="nil"/>
              <w:left w:val="nil"/>
              <w:bottom w:val="nil"/>
              <w:right w:val="nil"/>
            </w:tcBorders>
            <w:shd w:val="clear" w:color="auto" w:fill="auto"/>
            <w:noWrap/>
            <w:vAlign w:val="center"/>
            <w:hideMark/>
          </w:tcPr>
          <w:p w14:paraId="4CE6D8A6" w14:textId="77777777" w:rsidR="00C33B7A" w:rsidRPr="00C33B7A" w:rsidRDefault="00C33B7A">
            <w:pPr>
              <w:widowControl/>
              <w:autoSpaceDE/>
              <w:autoSpaceDN/>
              <w:adjustRightInd/>
              <w:jc w:val="left"/>
              <w:rPr>
                <w:rFonts w:ascii="Arial" w:hAnsi="Arial" w:cs="Arial"/>
                <w:color w:val="000000"/>
                <w:sz w:val="20"/>
                <w:szCs w:val="20"/>
                <w:lang w:eastAsia="en-CA"/>
              </w:rPr>
            </w:pPr>
            <w:r w:rsidRPr="00C33B7A">
              <w:rPr>
                <w:rFonts w:ascii="Arial" w:hAnsi="Arial" w:cs="Arial"/>
                <w:color w:val="000000"/>
                <w:sz w:val="20"/>
                <w:szCs w:val="20"/>
                <w:lang w:eastAsia="en-CA"/>
              </w:rPr>
              <w:t>Balance, December 31, 2020</w:t>
            </w:r>
          </w:p>
        </w:tc>
        <w:tc>
          <w:tcPr>
            <w:tcW w:w="2030" w:type="dxa"/>
            <w:tcBorders>
              <w:top w:val="nil"/>
              <w:left w:val="nil"/>
              <w:bottom w:val="nil"/>
              <w:right w:val="nil"/>
            </w:tcBorders>
            <w:shd w:val="clear" w:color="auto" w:fill="auto"/>
            <w:noWrap/>
            <w:vAlign w:val="center"/>
            <w:hideMark/>
          </w:tcPr>
          <w:p w14:paraId="4F12464C"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c>
          <w:tcPr>
            <w:tcW w:w="1824" w:type="dxa"/>
            <w:tcBorders>
              <w:top w:val="nil"/>
              <w:left w:val="nil"/>
              <w:bottom w:val="nil"/>
              <w:right w:val="nil"/>
            </w:tcBorders>
            <w:shd w:val="clear" w:color="auto" w:fill="auto"/>
            <w:noWrap/>
            <w:vAlign w:val="center"/>
            <w:hideMark/>
          </w:tcPr>
          <w:p w14:paraId="0B1FC454"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c>
          <w:tcPr>
            <w:tcW w:w="1522" w:type="dxa"/>
            <w:tcBorders>
              <w:top w:val="nil"/>
              <w:left w:val="nil"/>
              <w:bottom w:val="nil"/>
              <w:right w:val="nil"/>
            </w:tcBorders>
            <w:shd w:val="clear" w:color="auto" w:fill="auto"/>
            <w:noWrap/>
            <w:vAlign w:val="center"/>
            <w:hideMark/>
          </w:tcPr>
          <w:p w14:paraId="5CBB8183"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r>
      <w:tr w:rsidR="00C33B7A" w:rsidRPr="00C33B7A" w14:paraId="064BBD0E" w14:textId="77777777" w:rsidTr="00C33B7A">
        <w:trPr>
          <w:trHeight w:val="249"/>
        </w:trPr>
        <w:tc>
          <w:tcPr>
            <w:tcW w:w="4441" w:type="dxa"/>
            <w:tcBorders>
              <w:top w:val="nil"/>
              <w:left w:val="nil"/>
              <w:bottom w:val="nil"/>
              <w:right w:val="nil"/>
            </w:tcBorders>
            <w:shd w:val="clear" w:color="auto" w:fill="auto"/>
            <w:noWrap/>
            <w:vAlign w:val="center"/>
            <w:hideMark/>
          </w:tcPr>
          <w:p w14:paraId="467E702A" w14:textId="77777777" w:rsidR="00C33B7A" w:rsidRPr="00C33B7A" w:rsidRDefault="00C33B7A">
            <w:pPr>
              <w:widowControl/>
              <w:autoSpaceDE/>
              <w:autoSpaceDN/>
              <w:adjustRightInd/>
              <w:jc w:val="left"/>
              <w:rPr>
                <w:rFonts w:ascii="Arial" w:hAnsi="Arial" w:cs="Arial"/>
                <w:color w:val="000000"/>
                <w:sz w:val="20"/>
                <w:szCs w:val="20"/>
                <w:lang w:eastAsia="en-CA"/>
              </w:rPr>
            </w:pPr>
            <w:r w:rsidRPr="00C33B7A">
              <w:rPr>
                <w:rFonts w:ascii="Arial" w:hAnsi="Arial" w:cs="Arial"/>
                <w:color w:val="000000"/>
                <w:sz w:val="20"/>
                <w:szCs w:val="20"/>
                <w:lang w:eastAsia="en-CA"/>
              </w:rPr>
              <w:t>Additions</w:t>
            </w:r>
          </w:p>
        </w:tc>
        <w:tc>
          <w:tcPr>
            <w:tcW w:w="2030" w:type="dxa"/>
            <w:tcBorders>
              <w:top w:val="nil"/>
              <w:left w:val="nil"/>
              <w:bottom w:val="nil"/>
              <w:right w:val="nil"/>
            </w:tcBorders>
            <w:shd w:val="clear" w:color="auto" w:fill="auto"/>
            <w:noWrap/>
            <w:vAlign w:val="center"/>
            <w:hideMark/>
          </w:tcPr>
          <w:p w14:paraId="7BA1DB16"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1,224 </w:t>
            </w:r>
          </w:p>
        </w:tc>
        <w:tc>
          <w:tcPr>
            <w:tcW w:w="1824" w:type="dxa"/>
            <w:tcBorders>
              <w:top w:val="nil"/>
              <w:left w:val="nil"/>
              <w:bottom w:val="nil"/>
              <w:right w:val="nil"/>
            </w:tcBorders>
            <w:shd w:val="clear" w:color="auto" w:fill="auto"/>
            <w:noWrap/>
            <w:vAlign w:val="center"/>
            <w:hideMark/>
          </w:tcPr>
          <w:p w14:paraId="0B5EE769"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24,325 </w:t>
            </w:r>
          </w:p>
        </w:tc>
        <w:tc>
          <w:tcPr>
            <w:tcW w:w="1522" w:type="dxa"/>
            <w:tcBorders>
              <w:top w:val="nil"/>
              <w:left w:val="nil"/>
              <w:bottom w:val="nil"/>
              <w:right w:val="nil"/>
            </w:tcBorders>
            <w:shd w:val="clear" w:color="auto" w:fill="auto"/>
            <w:noWrap/>
            <w:vAlign w:val="center"/>
            <w:hideMark/>
          </w:tcPr>
          <w:p w14:paraId="52E069E8" w14:textId="1C0C95DF" w:rsidR="00C33B7A" w:rsidRPr="00C33B7A" w:rsidRDefault="00C33B7A" w:rsidP="003171C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w:t>
            </w:r>
            <w:r w:rsidR="003171CA">
              <w:rPr>
                <w:rFonts w:ascii="Arial" w:hAnsi="Arial" w:cs="Arial"/>
                <w:color w:val="000000"/>
                <w:sz w:val="20"/>
                <w:szCs w:val="20"/>
                <w:lang w:eastAsia="en-CA"/>
              </w:rPr>
              <w:t>25,549</w:t>
            </w:r>
            <w:r w:rsidRPr="00C33B7A">
              <w:rPr>
                <w:rFonts w:ascii="Arial" w:hAnsi="Arial" w:cs="Arial"/>
                <w:color w:val="000000"/>
                <w:sz w:val="20"/>
                <w:szCs w:val="20"/>
                <w:lang w:eastAsia="en-CA"/>
              </w:rPr>
              <w:t xml:space="preserve"> </w:t>
            </w:r>
          </w:p>
        </w:tc>
      </w:tr>
      <w:tr w:rsidR="00C33B7A" w:rsidRPr="00C33B7A" w14:paraId="6A813CBE" w14:textId="77777777" w:rsidTr="00C33B7A">
        <w:trPr>
          <w:trHeight w:val="249"/>
        </w:trPr>
        <w:tc>
          <w:tcPr>
            <w:tcW w:w="4441" w:type="dxa"/>
            <w:tcBorders>
              <w:top w:val="nil"/>
              <w:left w:val="nil"/>
              <w:bottom w:val="single" w:sz="4" w:space="0" w:color="auto"/>
              <w:right w:val="nil"/>
            </w:tcBorders>
            <w:shd w:val="clear" w:color="auto" w:fill="auto"/>
            <w:noWrap/>
            <w:vAlign w:val="center"/>
            <w:hideMark/>
          </w:tcPr>
          <w:p w14:paraId="22A07869" w14:textId="77777777" w:rsidR="00C33B7A" w:rsidRPr="00C33B7A" w:rsidRDefault="00C33B7A">
            <w:pPr>
              <w:widowControl/>
              <w:autoSpaceDE/>
              <w:autoSpaceDN/>
              <w:adjustRightInd/>
              <w:jc w:val="left"/>
              <w:rPr>
                <w:rFonts w:ascii="Arial" w:hAnsi="Arial" w:cs="Arial"/>
                <w:color w:val="000000"/>
                <w:sz w:val="20"/>
                <w:szCs w:val="20"/>
                <w:lang w:eastAsia="en-CA"/>
              </w:rPr>
            </w:pPr>
            <w:r w:rsidRPr="00C33B7A">
              <w:rPr>
                <w:rFonts w:ascii="Arial" w:hAnsi="Arial" w:cs="Arial"/>
                <w:color w:val="000000"/>
                <w:sz w:val="20"/>
                <w:szCs w:val="20"/>
                <w:lang w:eastAsia="en-CA"/>
              </w:rPr>
              <w:t>Depreciation</w:t>
            </w:r>
          </w:p>
        </w:tc>
        <w:tc>
          <w:tcPr>
            <w:tcW w:w="2030" w:type="dxa"/>
            <w:tcBorders>
              <w:top w:val="nil"/>
              <w:left w:val="nil"/>
              <w:bottom w:val="nil"/>
              <w:right w:val="nil"/>
            </w:tcBorders>
            <w:shd w:val="clear" w:color="auto" w:fill="auto"/>
            <w:noWrap/>
            <w:vAlign w:val="center"/>
            <w:hideMark/>
          </w:tcPr>
          <w:p w14:paraId="01382213"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87 </w:t>
            </w:r>
          </w:p>
        </w:tc>
        <w:tc>
          <w:tcPr>
            <w:tcW w:w="1824" w:type="dxa"/>
            <w:tcBorders>
              <w:top w:val="nil"/>
              <w:left w:val="nil"/>
              <w:bottom w:val="nil"/>
              <w:right w:val="nil"/>
            </w:tcBorders>
            <w:shd w:val="clear" w:color="auto" w:fill="auto"/>
            <w:noWrap/>
            <w:vAlign w:val="center"/>
            <w:hideMark/>
          </w:tcPr>
          <w:p w14:paraId="617FE2C8"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1,427 </w:t>
            </w:r>
          </w:p>
        </w:tc>
        <w:tc>
          <w:tcPr>
            <w:tcW w:w="1522" w:type="dxa"/>
            <w:tcBorders>
              <w:top w:val="nil"/>
              <w:left w:val="nil"/>
              <w:bottom w:val="nil"/>
              <w:right w:val="nil"/>
            </w:tcBorders>
            <w:shd w:val="clear" w:color="auto" w:fill="auto"/>
            <w:noWrap/>
            <w:vAlign w:val="center"/>
            <w:hideMark/>
          </w:tcPr>
          <w:p w14:paraId="022BEF1F"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1,514 </w:t>
            </w:r>
          </w:p>
        </w:tc>
      </w:tr>
      <w:tr w:rsidR="00C33B7A" w:rsidRPr="00C33B7A" w14:paraId="20010AC1" w14:textId="77777777" w:rsidTr="00C33B7A">
        <w:trPr>
          <w:trHeight w:val="249"/>
        </w:trPr>
        <w:tc>
          <w:tcPr>
            <w:tcW w:w="4441" w:type="dxa"/>
            <w:tcBorders>
              <w:top w:val="nil"/>
              <w:left w:val="nil"/>
              <w:bottom w:val="single" w:sz="4" w:space="0" w:color="auto"/>
              <w:right w:val="nil"/>
            </w:tcBorders>
            <w:shd w:val="clear" w:color="auto" w:fill="auto"/>
            <w:noWrap/>
            <w:vAlign w:val="center"/>
            <w:hideMark/>
          </w:tcPr>
          <w:p w14:paraId="7B0445F9" w14:textId="77777777" w:rsidR="00C33B7A" w:rsidRPr="00C33B7A" w:rsidRDefault="00C33B7A">
            <w:pPr>
              <w:widowControl/>
              <w:autoSpaceDE/>
              <w:autoSpaceDN/>
              <w:adjustRightInd/>
              <w:jc w:val="left"/>
              <w:rPr>
                <w:rFonts w:ascii="Arial" w:hAnsi="Arial" w:cs="Arial"/>
                <w:b/>
                <w:bCs/>
                <w:color w:val="000000"/>
                <w:sz w:val="20"/>
                <w:szCs w:val="20"/>
                <w:lang w:eastAsia="en-CA"/>
              </w:rPr>
            </w:pPr>
            <w:r w:rsidRPr="00C33B7A">
              <w:rPr>
                <w:rFonts w:ascii="Arial" w:hAnsi="Arial" w:cs="Arial"/>
                <w:b/>
                <w:bCs/>
                <w:color w:val="000000"/>
                <w:sz w:val="20"/>
                <w:szCs w:val="20"/>
                <w:lang w:eastAsia="en-CA"/>
              </w:rPr>
              <w:t>Balance, June 30, 2021</w:t>
            </w:r>
          </w:p>
        </w:tc>
        <w:tc>
          <w:tcPr>
            <w:tcW w:w="2030" w:type="dxa"/>
            <w:tcBorders>
              <w:top w:val="single" w:sz="4" w:space="0" w:color="auto"/>
              <w:left w:val="nil"/>
              <w:bottom w:val="single" w:sz="4" w:space="0" w:color="auto"/>
              <w:right w:val="nil"/>
            </w:tcBorders>
            <w:shd w:val="clear" w:color="auto" w:fill="auto"/>
            <w:noWrap/>
            <w:vAlign w:val="center"/>
            <w:hideMark/>
          </w:tcPr>
          <w:p w14:paraId="6DFD6973" w14:textId="77777777" w:rsidR="00C33B7A" w:rsidRPr="00C33B7A" w:rsidRDefault="00C33B7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1,311 </w:t>
            </w:r>
          </w:p>
        </w:tc>
        <w:tc>
          <w:tcPr>
            <w:tcW w:w="1824" w:type="dxa"/>
            <w:tcBorders>
              <w:top w:val="single" w:sz="4" w:space="0" w:color="auto"/>
              <w:left w:val="nil"/>
              <w:bottom w:val="single" w:sz="4" w:space="0" w:color="auto"/>
              <w:right w:val="nil"/>
            </w:tcBorders>
            <w:shd w:val="clear" w:color="auto" w:fill="auto"/>
            <w:noWrap/>
            <w:vAlign w:val="center"/>
            <w:hideMark/>
          </w:tcPr>
          <w:p w14:paraId="2DC354B1" w14:textId="29DE3DD7" w:rsidR="00C33B7A" w:rsidRPr="00C33B7A" w:rsidRDefault="00C33B7A" w:rsidP="003171C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25,75</w:t>
            </w:r>
            <w:r w:rsidR="003171CA">
              <w:rPr>
                <w:rFonts w:ascii="Arial" w:hAnsi="Arial" w:cs="Arial"/>
                <w:b/>
                <w:bCs/>
                <w:color w:val="000000"/>
                <w:sz w:val="20"/>
                <w:szCs w:val="20"/>
                <w:lang w:eastAsia="en-CA"/>
              </w:rPr>
              <w:t>2</w:t>
            </w:r>
            <w:r w:rsidRPr="00C33B7A">
              <w:rPr>
                <w:rFonts w:ascii="Arial" w:hAnsi="Arial" w:cs="Arial"/>
                <w:b/>
                <w:bCs/>
                <w:color w:val="000000"/>
                <w:sz w:val="20"/>
                <w:szCs w:val="20"/>
                <w:lang w:eastAsia="en-CA"/>
              </w:rPr>
              <w:t xml:space="preserve"> </w:t>
            </w:r>
          </w:p>
        </w:tc>
        <w:tc>
          <w:tcPr>
            <w:tcW w:w="1522" w:type="dxa"/>
            <w:tcBorders>
              <w:top w:val="single" w:sz="4" w:space="0" w:color="auto"/>
              <w:left w:val="nil"/>
              <w:bottom w:val="single" w:sz="4" w:space="0" w:color="auto"/>
              <w:right w:val="nil"/>
            </w:tcBorders>
            <w:shd w:val="clear" w:color="auto" w:fill="auto"/>
            <w:noWrap/>
            <w:vAlign w:val="center"/>
            <w:hideMark/>
          </w:tcPr>
          <w:p w14:paraId="3994E424" w14:textId="4DF732ED" w:rsidR="00C33B7A" w:rsidRPr="00C33B7A" w:rsidRDefault="00C33B7A" w:rsidP="003171C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27,06</w:t>
            </w:r>
            <w:r w:rsidR="003171CA">
              <w:rPr>
                <w:rFonts w:ascii="Arial" w:hAnsi="Arial" w:cs="Arial"/>
                <w:b/>
                <w:bCs/>
                <w:color w:val="000000"/>
                <w:sz w:val="20"/>
                <w:szCs w:val="20"/>
                <w:lang w:eastAsia="en-CA"/>
              </w:rPr>
              <w:t>3</w:t>
            </w:r>
            <w:r w:rsidRPr="00C33B7A">
              <w:rPr>
                <w:rFonts w:ascii="Arial" w:hAnsi="Arial" w:cs="Arial"/>
                <w:b/>
                <w:bCs/>
                <w:color w:val="000000"/>
                <w:sz w:val="20"/>
                <w:szCs w:val="20"/>
                <w:lang w:eastAsia="en-CA"/>
              </w:rPr>
              <w:t xml:space="preserve"> </w:t>
            </w:r>
          </w:p>
        </w:tc>
      </w:tr>
      <w:tr w:rsidR="00C33B7A" w:rsidRPr="00C33B7A" w14:paraId="7B6EA6C1" w14:textId="77777777" w:rsidTr="00C33B7A">
        <w:trPr>
          <w:trHeight w:val="249"/>
        </w:trPr>
        <w:tc>
          <w:tcPr>
            <w:tcW w:w="4441" w:type="dxa"/>
            <w:tcBorders>
              <w:top w:val="nil"/>
              <w:left w:val="nil"/>
              <w:bottom w:val="nil"/>
              <w:right w:val="nil"/>
            </w:tcBorders>
            <w:shd w:val="clear" w:color="auto" w:fill="auto"/>
            <w:noWrap/>
            <w:vAlign w:val="bottom"/>
            <w:hideMark/>
          </w:tcPr>
          <w:p w14:paraId="63064123" w14:textId="77777777" w:rsidR="00C33B7A" w:rsidRPr="00C33B7A" w:rsidRDefault="00C33B7A">
            <w:pPr>
              <w:widowControl/>
              <w:autoSpaceDE/>
              <w:autoSpaceDN/>
              <w:adjustRightInd/>
              <w:jc w:val="right"/>
              <w:rPr>
                <w:rFonts w:ascii="Arial" w:hAnsi="Arial" w:cs="Arial"/>
                <w:b/>
                <w:bCs/>
                <w:color w:val="000000"/>
                <w:sz w:val="20"/>
                <w:szCs w:val="20"/>
                <w:lang w:eastAsia="en-CA"/>
              </w:rPr>
            </w:pPr>
          </w:p>
        </w:tc>
        <w:tc>
          <w:tcPr>
            <w:tcW w:w="2030" w:type="dxa"/>
            <w:tcBorders>
              <w:top w:val="nil"/>
              <w:left w:val="nil"/>
              <w:bottom w:val="nil"/>
              <w:right w:val="nil"/>
            </w:tcBorders>
            <w:shd w:val="clear" w:color="auto" w:fill="auto"/>
            <w:noWrap/>
            <w:vAlign w:val="bottom"/>
            <w:hideMark/>
          </w:tcPr>
          <w:p w14:paraId="01FDD04F" w14:textId="77777777" w:rsidR="00C33B7A" w:rsidRPr="00C33B7A" w:rsidRDefault="00C33B7A">
            <w:pPr>
              <w:widowControl/>
              <w:autoSpaceDE/>
              <w:autoSpaceDN/>
              <w:adjustRightInd/>
              <w:jc w:val="left"/>
              <w:rPr>
                <w:sz w:val="20"/>
                <w:szCs w:val="20"/>
                <w:lang w:eastAsia="en-CA"/>
              </w:rPr>
            </w:pPr>
          </w:p>
        </w:tc>
        <w:tc>
          <w:tcPr>
            <w:tcW w:w="1824" w:type="dxa"/>
            <w:tcBorders>
              <w:top w:val="nil"/>
              <w:left w:val="nil"/>
              <w:bottom w:val="nil"/>
              <w:right w:val="nil"/>
            </w:tcBorders>
            <w:shd w:val="clear" w:color="auto" w:fill="auto"/>
            <w:noWrap/>
            <w:vAlign w:val="bottom"/>
            <w:hideMark/>
          </w:tcPr>
          <w:p w14:paraId="012D0C18" w14:textId="77777777" w:rsidR="00C33B7A" w:rsidRPr="00C33B7A" w:rsidRDefault="00C33B7A">
            <w:pPr>
              <w:widowControl/>
              <w:autoSpaceDE/>
              <w:autoSpaceDN/>
              <w:adjustRightInd/>
              <w:jc w:val="left"/>
              <w:rPr>
                <w:sz w:val="20"/>
                <w:szCs w:val="20"/>
                <w:lang w:eastAsia="en-CA"/>
              </w:rPr>
            </w:pPr>
          </w:p>
        </w:tc>
        <w:tc>
          <w:tcPr>
            <w:tcW w:w="1522" w:type="dxa"/>
            <w:tcBorders>
              <w:top w:val="nil"/>
              <w:left w:val="nil"/>
              <w:bottom w:val="nil"/>
              <w:right w:val="nil"/>
            </w:tcBorders>
            <w:shd w:val="clear" w:color="auto" w:fill="auto"/>
            <w:noWrap/>
            <w:vAlign w:val="bottom"/>
            <w:hideMark/>
          </w:tcPr>
          <w:p w14:paraId="38359A56" w14:textId="77777777" w:rsidR="00C33B7A" w:rsidRPr="00C33B7A" w:rsidRDefault="00C33B7A">
            <w:pPr>
              <w:widowControl/>
              <w:autoSpaceDE/>
              <w:autoSpaceDN/>
              <w:adjustRightInd/>
              <w:jc w:val="left"/>
              <w:rPr>
                <w:sz w:val="20"/>
                <w:szCs w:val="20"/>
                <w:lang w:eastAsia="en-CA"/>
              </w:rPr>
            </w:pPr>
          </w:p>
        </w:tc>
      </w:tr>
      <w:tr w:rsidR="00C33B7A" w:rsidRPr="00C33B7A" w14:paraId="007130D1" w14:textId="77777777" w:rsidTr="00C33B7A">
        <w:trPr>
          <w:trHeight w:val="249"/>
        </w:trPr>
        <w:tc>
          <w:tcPr>
            <w:tcW w:w="4441" w:type="dxa"/>
            <w:tcBorders>
              <w:top w:val="nil"/>
              <w:left w:val="nil"/>
              <w:bottom w:val="nil"/>
              <w:right w:val="nil"/>
            </w:tcBorders>
            <w:shd w:val="clear" w:color="auto" w:fill="auto"/>
            <w:noWrap/>
            <w:vAlign w:val="center"/>
            <w:hideMark/>
          </w:tcPr>
          <w:p w14:paraId="5F003F2F" w14:textId="77777777" w:rsidR="00C33B7A" w:rsidRPr="00C33B7A" w:rsidRDefault="00C33B7A">
            <w:pPr>
              <w:widowControl/>
              <w:autoSpaceDE/>
              <w:autoSpaceDN/>
              <w:adjustRightInd/>
              <w:jc w:val="left"/>
              <w:rPr>
                <w:rFonts w:ascii="Arial" w:hAnsi="Arial" w:cs="Arial"/>
                <w:b/>
                <w:bCs/>
                <w:color w:val="000000"/>
                <w:sz w:val="20"/>
                <w:szCs w:val="20"/>
                <w:lang w:eastAsia="en-CA"/>
              </w:rPr>
            </w:pPr>
            <w:r w:rsidRPr="00C33B7A">
              <w:rPr>
                <w:rFonts w:ascii="Arial" w:hAnsi="Arial" w:cs="Arial"/>
                <w:b/>
                <w:bCs/>
                <w:color w:val="000000"/>
                <w:sz w:val="20"/>
                <w:szCs w:val="20"/>
                <w:lang w:eastAsia="en-CA"/>
              </w:rPr>
              <w:t>Carrying value</w:t>
            </w:r>
          </w:p>
        </w:tc>
        <w:tc>
          <w:tcPr>
            <w:tcW w:w="2030" w:type="dxa"/>
            <w:tcBorders>
              <w:top w:val="nil"/>
              <w:left w:val="nil"/>
              <w:bottom w:val="nil"/>
              <w:right w:val="nil"/>
            </w:tcBorders>
            <w:shd w:val="clear" w:color="auto" w:fill="auto"/>
            <w:noWrap/>
            <w:vAlign w:val="bottom"/>
            <w:hideMark/>
          </w:tcPr>
          <w:p w14:paraId="2784DEB1" w14:textId="77777777" w:rsidR="00C33B7A" w:rsidRPr="00C33B7A" w:rsidRDefault="00C33B7A">
            <w:pPr>
              <w:widowControl/>
              <w:autoSpaceDE/>
              <w:autoSpaceDN/>
              <w:adjustRightInd/>
              <w:jc w:val="left"/>
              <w:rPr>
                <w:rFonts w:ascii="Arial" w:hAnsi="Arial" w:cs="Arial"/>
                <w:b/>
                <w:bCs/>
                <w:color w:val="000000"/>
                <w:sz w:val="20"/>
                <w:szCs w:val="20"/>
                <w:lang w:eastAsia="en-CA"/>
              </w:rPr>
            </w:pPr>
          </w:p>
        </w:tc>
        <w:tc>
          <w:tcPr>
            <w:tcW w:w="1824" w:type="dxa"/>
            <w:tcBorders>
              <w:top w:val="nil"/>
              <w:left w:val="nil"/>
              <w:bottom w:val="nil"/>
              <w:right w:val="nil"/>
            </w:tcBorders>
            <w:shd w:val="clear" w:color="auto" w:fill="auto"/>
            <w:noWrap/>
            <w:vAlign w:val="bottom"/>
            <w:hideMark/>
          </w:tcPr>
          <w:p w14:paraId="2F60065E" w14:textId="77777777" w:rsidR="00C33B7A" w:rsidRPr="00C33B7A" w:rsidRDefault="00C33B7A">
            <w:pPr>
              <w:widowControl/>
              <w:autoSpaceDE/>
              <w:autoSpaceDN/>
              <w:adjustRightInd/>
              <w:jc w:val="left"/>
              <w:rPr>
                <w:sz w:val="20"/>
                <w:szCs w:val="20"/>
                <w:lang w:eastAsia="en-CA"/>
              </w:rPr>
            </w:pPr>
          </w:p>
        </w:tc>
        <w:tc>
          <w:tcPr>
            <w:tcW w:w="1522" w:type="dxa"/>
            <w:tcBorders>
              <w:top w:val="nil"/>
              <w:left w:val="nil"/>
              <w:bottom w:val="nil"/>
              <w:right w:val="nil"/>
            </w:tcBorders>
            <w:shd w:val="clear" w:color="auto" w:fill="auto"/>
            <w:noWrap/>
            <w:vAlign w:val="bottom"/>
            <w:hideMark/>
          </w:tcPr>
          <w:p w14:paraId="11E1045D" w14:textId="77777777" w:rsidR="00C33B7A" w:rsidRPr="00C33B7A" w:rsidRDefault="00C33B7A">
            <w:pPr>
              <w:widowControl/>
              <w:autoSpaceDE/>
              <w:autoSpaceDN/>
              <w:adjustRightInd/>
              <w:jc w:val="left"/>
              <w:rPr>
                <w:sz w:val="20"/>
                <w:szCs w:val="20"/>
                <w:lang w:eastAsia="en-CA"/>
              </w:rPr>
            </w:pPr>
          </w:p>
        </w:tc>
      </w:tr>
      <w:tr w:rsidR="00C33B7A" w:rsidRPr="00C33B7A" w14:paraId="351EBF48" w14:textId="77777777" w:rsidTr="00C33B7A">
        <w:trPr>
          <w:trHeight w:val="249"/>
        </w:trPr>
        <w:tc>
          <w:tcPr>
            <w:tcW w:w="4441" w:type="dxa"/>
            <w:tcBorders>
              <w:top w:val="nil"/>
              <w:left w:val="nil"/>
              <w:bottom w:val="nil"/>
              <w:right w:val="nil"/>
            </w:tcBorders>
            <w:shd w:val="clear" w:color="auto" w:fill="auto"/>
            <w:noWrap/>
            <w:vAlign w:val="center"/>
            <w:hideMark/>
          </w:tcPr>
          <w:p w14:paraId="116A6AEA" w14:textId="77777777" w:rsidR="00C33B7A" w:rsidRPr="00C33B7A" w:rsidRDefault="00C33B7A">
            <w:pPr>
              <w:widowControl/>
              <w:autoSpaceDE/>
              <w:autoSpaceDN/>
              <w:adjustRightInd/>
              <w:jc w:val="left"/>
              <w:rPr>
                <w:rFonts w:ascii="Arial" w:hAnsi="Arial" w:cs="Arial"/>
                <w:color w:val="000000"/>
                <w:sz w:val="20"/>
                <w:szCs w:val="20"/>
                <w:lang w:eastAsia="en-CA"/>
              </w:rPr>
            </w:pPr>
            <w:r w:rsidRPr="00C33B7A">
              <w:rPr>
                <w:rFonts w:ascii="Arial" w:hAnsi="Arial" w:cs="Arial"/>
                <w:color w:val="000000"/>
                <w:sz w:val="20"/>
                <w:szCs w:val="20"/>
                <w:lang w:eastAsia="en-CA"/>
              </w:rPr>
              <w:t>Balance, December 31, 2020</w:t>
            </w:r>
          </w:p>
        </w:tc>
        <w:tc>
          <w:tcPr>
            <w:tcW w:w="2030" w:type="dxa"/>
            <w:tcBorders>
              <w:top w:val="nil"/>
              <w:left w:val="nil"/>
              <w:bottom w:val="nil"/>
              <w:right w:val="nil"/>
            </w:tcBorders>
            <w:shd w:val="clear" w:color="auto" w:fill="auto"/>
            <w:noWrap/>
            <w:vAlign w:val="center"/>
            <w:hideMark/>
          </w:tcPr>
          <w:p w14:paraId="3A945432"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c>
          <w:tcPr>
            <w:tcW w:w="1824" w:type="dxa"/>
            <w:tcBorders>
              <w:top w:val="nil"/>
              <w:left w:val="nil"/>
              <w:bottom w:val="nil"/>
              <w:right w:val="nil"/>
            </w:tcBorders>
            <w:shd w:val="clear" w:color="auto" w:fill="auto"/>
            <w:noWrap/>
            <w:vAlign w:val="center"/>
            <w:hideMark/>
          </w:tcPr>
          <w:p w14:paraId="676EE88D"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c>
          <w:tcPr>
            <w:tcW w:w="1522" w:type="dxa"/>
            <w:tcBorders>
              <w:top w:val="nil"/>
              <w:left w:val="nil"/>
              <w:bottom w:val="nil"/>
              <w:right w:val="nil"/>
            </w:tcBorders>
            <w:shd w:val="clear" w:color="auto" w:fill="auto"/>
            <w:noWrap/>
            <w:vAlign w:val="center"/>
            <w:hideMark/>
          </w:tcPr>
          <w:p w14:paraId="24DC5E6A" w14:textId="77777777" w:rsidR="00C33B7A" w:rsidRPr="00C33B7A" w:rsidRDefault="00C33B7A">
            <w:pPr>
              <w:widowControl/>
              <w:autoSpaceDE/>
              <w:autoSpaceDN/>
              <w:adjustRightInd/>
              <w:jc w:val="right"/>
              <w:rPr>
                <w:rFonts w:ascii="Arial" w:hAnsi="Arial" w:cs="Arial"/>
                <w:color w:val="000000"/>
                <w:sz w:val="20"/>
                <w:szCs w:val="20"/>
                <w:lang w:eastAsia="en-CA"/>
              </w:rPr>
            </w:pPr>
            <w:r w:rsidRPr="00C33B7A">
              <w:rPr>
                <w:rFonts w:ascii="Arial" w:hAnsi="Arial" w:cs="Arial"/>
                <w:color w:val="000000"/>
                <w:sz w:val="20"/>
                <w:szCs w:val="20"/>
                <w:lang w:eastAsia="en-CA"/>
              </w:rPr>
              <w:t xml:space="preserve">            - </w:t>
            </w:r>
          </w:p>
        </w:tc>
      </w:tr>
      <w:tr w:rsidR="00C33B7A" w:rsidRPr="00C33B7A" w14:paraId="3DFEF713" w14:textId="77777777" w:rsidTr="00C33B7A">
        <w:trPr>
          <w:trHeight w:val="249"/>
        </w:trPr>
        <w:tc>
          <w:tcPr>
            <w:tcW w:w="4441" w:type="dxa"/>
            <w:tcBorders>
              <w:top w:val="nil"/>
              <w:left w:val="nil"/>
              <w:bottom w:val="single" w:sz="4" w:space="0" w:color="auto"/>
              <w:right w:val="nil"/>
            </w:tcBorders>
            <w:shd w:val="clear" w:color="auto" w:fill="auto"/>
            <w:noWrap/>
            <w:vAlign w:val="center"/>
            <w:hideMark/>
          </w:tcPr>
          <w:p w14:paraId="779CFE86" w14:textId="77777777" w:rsidR="00C33B7A" w:rsidRPr="00C33B7A" w:rsidRDefault="00C33B7A">
            <w:pPr>
              <w:widowControl/>
              <w:autoSpaceDE/>
              <w:autoSpaceDN/>
              <w:adjustRightInd/>
              <w:jc w:val="left"/>
              <w:rPr>
                <w:rFonts w:ascii="Arial" w:hAnsi="Arial" w:cs="Arial"/>
                <w:b/>
                <w:bCs/>
                <w:color w:val="000000"/>
                <w:sz w:val="20"/>
                <w:szCs w:val="20"/>
                <w:lang w:eastAsia="en-CA"/>
              </w:rPr>
            </w:pPr>
            <w:r w:rsidRPr="00C33B7A">
              <w:rPr>
                <w:rFonts w:ascii="Arial" w:hAnsi="Arial" w:cs="Arial"/>
                <w:b/>
                <w:bCs/>
                <w:color w:val="000000"/>
                <w:sz w:val="20"/>
                <w:szCs w:val="20"/>
                <w:lang w:eastAsia="en-CA"/>
              </w:rPr>
              <w:t>Balance, June 30, 2021</w:t>
            </w:r>
          </w:p>
        </w:tc>
        <w:tc>
          <w:tcPr>
            <w:tcW w:w="2030" w:type="dxa"/>
            <w:tcBorders>
              <w:top w:val="nil"/>
              <w:left w:val="nil"/>
              <w:bottom w:val="single" w:sz="4" w:space="0" w:color="auto"/>
              <w:right w:val="nil"/>
            </w:tcBorders>
            <w:shd w:val="clear" w:color="auto" w:fill="auto"/>
            <w:noWrap/>
            <w:vAlign w:val="center"/>
            <w:hideMark/>
          </w:tcPr>
          <w:p w14:paraId="5CDD64EC" w14:textId="77777777" w:rsidR="00C33B7A" w:rsidRPr="00C33B7A" w:rsidRDefault="00C33B7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4,646 </w:t>
            </w:r>
          </w:p>
        </w:tc>
        <w:tc>
          <w:tcPr>
            <w:tcW w:w="1824" w:type="dxa"/>
            <w:tcBorders>
              <w:top w:val="nil"/>
              <w:left w:val="nil"/>
              <w:bottom w:val="single" w:sz="4" w:space="0" w:color="auto"/>
              <w:right w:val="nil"/>
            </w:tcBorders>
            <w:shd w:val="clear" w:color="auto" w:fill="auto"/>
            <w:noWrap/>
            <w:vAlign w:val="center"/>
            <w:hideMark/>
          </w:tcPr>
          <w:p w14:paraId="34759085" w14:textId="1F69956D" w:rsidR="00C33B7A" w:rsidRPr="00C33B7A" w:rsidRDefault="00C33B7A" w:rsidP="003171C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73,01</w:t>
            </w:r>
            <w:r w:rsidR="003171CA">
              <w:rPr>
                <w:rFonts w:ascii="Arial" w:hAnsi="Arial" w:cs="Arial"/>
                <w:b/>
                <w:bCs/>
                <w:color w:val="000000"/>
                <w:sz w:val="20"/>
                <w:szCs w:val="20"/>
                <w:lang w:eastAsia="en-CA"/>
              </w:rPr>
              <w:t>2</w:t>
            </w:r>
            <w:r w:rsidRPr="00C33B7A">
              <w:rPr>
                <w:rFonts w:ascii="Arial" w:hAnsi="Arial" w:cs="Arial"/>
                <w:b/>
                <w:bCs/>
                <w:color w:val="000000"/>
                <w:sz w:val="20"/>
                <w:szCs w:val="20"/>
                <w:lang w:eastAsia="en-CA"/>
              </w:rPr>
              <w:t xml:space="preserve"> </w:t>
            </w:r>
          </w:p>
        </w:tc>
        <w:tc>
          <w:tcPr>
            <w:tcW w:w="1522" w:type="dxa"/>
            <w:tcBorders>
              <w:top w:val="nil"/>
              <w:left w:val="nil"/>
              <w:bottom w:val="single" w:sz="4" w:space="0" w:color="auto"/>
              <w:right w:val="nil"/>
            </w:tcBorders>
            <w:shd w:val="clear" w:color="auto" w:fill="auto"/>
            <w:noWrap/>
            <w:vAlign w:val="center"/>
            <w:hideMark/>
          </w:tcPr>
          <w:p w14:paraId="1D360F8B" w14:textId="77777777" w:rsidR="00C33B7A" w:rsidRPr="00C33B7A" w:rsidRDefault="00C33B7A">
            <w:pPr>
              <w:widowControl/>
              <w:autoSpaceDE/>
              <w:autoSpaceDN/>
              <w:adjustRightInd/>
              <w:jc w:val="right"/>
              <w:rPr>
                <w:rFonts w:ascii="Arial" w:hAnsi="Arial" w:cs="Arial"/>
                <w:b/>
                <w:bCs/>
                <w:color w:val="000000"/>
                <w:sz w:val="20"/>
                <w:szCs w:val="20"/>
                <w:lang w:eastAsia="en-CA"/>
              </w:rPr>
            </w:pPr>
            <w:r w:rsidRPr="00C33B7A">
              <w:rPr>
                <w:rFonts w:ascii="Arial" w:hAnsi="Arial" w:cs="Arial"/>
                <w:b/>
                <w:bCs/>
                <w:color w:val="000000"/>
                <w:sz w:val="20"/>
                <w:szCs w:val="20"/>
                <w:lang w:eastAsia="en-CA"/>
              </w:rPr>
              <w:t xml:space="preserve">   77,658 </w:t>
            </w:r>
          </w:p>
        </w:tc>
      </w:tr>
    </w:tbl>
    <w:p w14:paraId="07F5D9E9" w14:textId="7DB58480" w:rsidR="00FA6C95" w:rsidRDefault="00FA6C95" w:rsidP="00C553B7">
      <w:pPr>
        <w:widowControl/>
        <w:tabs>
          <w:tab w:val="left" w:pos="1531"/>
        </w:tabs>
        <w:jc w:val="left"/>
        <w:rPr>
          <w:rFonts w:ascii="Arial" w:eastAsia="PMingLiU" w:hAnsi="Arial" w:cs="Arial"/>
          <w:b/>
          <w:sz w:val="20"/>
          <w:szCs w:val="20"/>
          <w:lang w:val="en-NZ" w:eastAsia="en-NZ"/>
        </w:rPr>
      </w:pPr>
    </w:p>
    <w:p w14:paraId="5964FAAD" w14:textId="4882C10F" w:rsidR="00E62F9F" w:rsidRPr="00E62F9F" w:rsidRDefault="00E62F9F" w:rsidP="00E62F9F">
      <w:pPr>
        <w:pStyle w:val="ListParagraph"/>
        <w:widowControl/>
        <w:numPr>
          <w:ilvl w:val="0"/>
          <w:numId w:val="18"/>
        </w:numPr>
        <w:tabs>
          <w:tab w:val="left" w:pos="1531"/>
        </w:tabs>
        <w:ind w:left="567" w:hanging="567"/>
        <w:jc w:val="left"/>
        <w:rPr>
          <w:rFonts w:ascii="Arial" w:eastAsia="PMingLiU" w:hAnsi="Arial" w:cs="Arial"/>
          <w:b/>
          <w:sz w:val="20"/>
          <w:szCs w:val="20"/>
          <w:lang w:val="en-NZ" w:eastAsia="en-NZ"/>
        </w:rPr>
      </w:pPr>
      <w:r w:rsidRPr="00E62F9F">
        <w:rPr>
          <w:rFonts w:ascii="Arial" w:eastAsia="PMingLiU" w:hAnsi="Arial" w:cs="Arial"/>
          <w:b/>
          <w:sz w:val="20"/>
          <w:szCs w:val="20"/>
          <w:lang w:val="en-NZ" w:eastAsia="en-NZ"/>
        </w:rPr>
        <w:t>LOAN</w:t>
      </w:r>
    </w:p>
    <w:p w14:paraId="7DE8792E" w14:textId="77777777" w:rsidR="00E62F9F" w:rsidRDefault="00E62F9F" w:rsidP="00E62F9F">
      <w:pPr>
        <w:pStyle w:val="ListParagraph"/>
        <w:widowControl/>
        <w:tabs>
          <w:tab w:val="left" w:pos="1531"/>
        </w:tabs>
        <w:jc w:val="left"/>
        <w:rPr>
          <w:rFonts w:ascii="Arial" w:hAnsi="Arial" w:cs="Arial"/>
          <w:sz w:val="20"/>
          <w:szCs w:val="20"/>
        </w:rPr>
      </w:pPr>
    </w:p>
    <w:p w14:paraId="062E9B0B" w14:textId="5A45480E" w:rsidR="00E62F9F" w:rsidRPr="00E62F9F" w:rsidRDefault="00E62F9F" w:rsidP="00F376AE">
      <w:pPr>
        <w:pStyle w:val="ListParagraph"/>
        <w:widowControl/>
        <w:tabs>
          <w:tab w:val="left" w:pos="1531"/>
        </w:tabs>
        <w:ind w:left="0"/>
        <w:rPr>
          <w:rFonts w:ascii="Arial" w:eastAsia="PMingLiU" w:hAnsi="Arial" w:cs="Arial"/>
          <w:b/>
          <w:sz w:val="20"/>
          <w:szCs w:val="20"/>
          <w:highlight w:val="yellow"/>
          <w:lang w:val="en-NZ" w:eastAsia="en-NZ"/>
        </w:rPr>
      </w:pPr>
      <w:r w:rsidRPr="00DF4B50">
        <w:rPr>
          <w:rFonts w:ascii="Arial" w:hAnsi="Arial" w:cs="Arial"/>
          <w:sz w:val="20"/>
          <w:szCs w:val="20"/>
        </w:rPr>
        <w:t>On May 6, 2020, the Company</w:t>
      </w:r>
      <w:r w:rsidR="00EF5076">
        <w:rPr>
          <w:rFonts w:ascii="Arial" w:hAnsi="Arial" w:cs="Arial"/>
          <w:sz w:val="20"/>
          <w:szCs w:val="20"/>
        </w:rPr>
        <w:t>’s subsidiary, Delic Labs,</w:t>
      </w:r>
      <w:r w:rsidRPr="00DF4B50">
        <w:rPr>
          <w:rFonts w:ascii="Arial" w:hAnsi="Arial" w:cs="Arial"/>
          <w:sz w:val="20"/>
          <w:szCs w:val="20"/>
        </w:rPr>
        <w:t xml:space="preserve"> received a </w:t>
      </w:r>
      <w:r w:rsidR="003171CA">
        <w:rPr>
          <w:rFonts w:ascii="Arial" w:hAnsi="Arial" w:cs="Arial"/>
          <w:sz w:val="20"/>
          <w:szCs w:val="20"/>
        </w:rPr>
        <w:t>CAD</w:t>
      </w:r>
      <w:r w:rsidRPr="00DF4B50">
        <w:rPr>
          <w:rFonts w:ascii="Arial" w:hAnsi="Arial" w:cs="Arial"/>
          <w:sz w:val="20"/>
          <w:szCs w:val="20"/>
        </w:rPr>
        <w:t>$</w:t>
      </w:r>
      <w:r w:rsidR="003171CA">
        <w:rPr>
          <w:rFonts w:ascii="Arial" w:hAnsi="Arial" w:cs="Arial"/>
          <w:sz w:val="20"/>
          <w:szCs w:val="20"/>
        </w:rPr>
        <w:t>60</w:t>
      </w:r>
      <w:r w:rsidRPr="00DF4B50">
        <w:rPr>
          <w:rFonts w:ascii="Arial" w:hAnsi="Arial" w:cs="Arial"/>
          <w:sz w:val="20"/>
          <w:szCs w:val="20"/>
        </w:rPr>
        <w:t xml:space="preserve">,000 Canada Emergency Business Account (“CEBA”) loan. The loan was provided by the Government of Canada to provide capital to organizations to support them through the economic challenges presented by the COVID-19 pandemic. The loan is unsecured and interest free to December 31, 2022. If there is a balance outstanding after December 31, 2020, the remaining outstanding amount will be converted into a two-year interest free loan effective January 1, 2021.  If </w:t>
      </w:r>
      <w:r w:rsidR="003171CA">
        <w:rPr>
          <w:rFonts w:ascii="Arial" w:hAnsi="Arial" w:cs="Arial"/>
          <w:sz w:val="20"/>
          <w:szCs w:val="20"/>
        </w:rPr>
        <w:t>CAD</w:t>
      </w:r>
      <w:r w:rsidRPr="00DF4B50">
        <w:rPr>
          <w:rFonts w:ascii="Arial" w:hAnsi="Arial" w:cs="Arial"/>
          <w:sz w:val="20"/>
          <w:szCs w:val="20"/>
        </w:rPr>
        <w:t>$</w:t>
      </w:r>
      <w:r w:rsidR="003171CA">
        <w:rPr>
          <w:rFonts w:ascii="Arial" w:hAnsi="Arial" w:cs="Arial"/>
          <w:sz w:val="20"/>
          <w:szCs w:val="20"/>
        </w:rPr>
        <w:t>4</w:t>
      </w:r>
      <w:r w:rsidRPr="00DF4B50">
        <w:rPr>
          <w:rFonts w:ascii="Arial" w:hAnsi="Arial" w:cs="Arial"/>
          <w:sz w:val="20"/>
          <w:szCs w:val="20"/>
        </w:rPr>
        <w:t xml:space="preserve">0,000 of the loan is repaid by December 31, 2022, </w:t>
      </w:r>
      <w:r w:rsidR="003171CA">
        <w:rPr>
          <w:rFonts w:ascii="Arial" w:hAnsi="Arial" w:cs="Arial"/>
          <w:sz w:val="20"/>
          <w:szCs w:val="20"/>
        </w:rPr>
        <w:t>CAD</w:t>
      </w:r>
      <w:r w:rsidRPr="00DF4B50">
        <w:rPr>
          <w:rFonts w:ascii="Arial" w:hAnsi="Arial" w:cs="Arial"/>
          <w:sz w:val="20"/>
          <w:szCs w:val="20"/>
        </w:rPr>
        <w:t>$</w:t>
      </w:r>
      <w:r w:rsidR="003171CA">
        <w:rPr>
          <w:rFonts w:ascii="Arial" w:hAnsi="Arial" w:cs="Arial"/>
          <w:sz w:val="20"/>
          <w:szCs w:val="20"/>
        </w:rPr>
        <w:t>2</w:t>
      </w:r>
      <w:r w:rsidRPr="00DF4B50">
        <w:rPr>
          <w:rFonts w:ascii="Arial" w:hAnsi="Arial" w:cs="Arial"/>
          <w:sz w:val="20"/>
          <w:szCs w:val="20"/>
        </w:rPr>
        <w:t xml:space="preserve">0,000 of the loan will be forgiven. If the loan is not repaid by December 31, 2022, the full </w:t>
      </w:r>
      <w:r w:rsidR="003171CA">
        <w:rPr>
          <w:rFonts w:ascii="Arial" w:hAnsi="Arial" w:cs="Arial"/>
          <w:sz w:val="20"/>
          <w:szCs w:val="20"/>
        </w:rPr>
        <w:t>CAD</w:t>
      </w:r>
      <w:r w:rsidRPr="00DF4B50">
        <w:rPr>
          <w:rFonts w:ascii="Arial" w:hAnsi="Arial" w:cs="Arial"/>
          <w:sz w:val="20"/>
          <w:szCs w:val="20"/>
        </w:rPr>
        <w:t>$</w:t>
      </w:r>
      <w:r w:rsidR="003171CA">
        <w:rPr>
          <w:rFonts w:ascii="Arial" w:hAnsi="Arial" w:cs="Arial"/>
          <w:sz w:val="20"/>
          <w:szCs w:val="20"/>
        </w:rPr>
        <w:t>6</w:t>
      </w:r>
      <w:r w:rsidRPr="00DF4B50">
        <w:rPr>
          <w:rFonts w:ascii="Arial" w:hAnsi="Arial" w:cs="Arial"/>
          <w:sz w:val="20"/>
          <w:szCs w:val="20"/>
        </w:rPr>
        <w:t>0,000 loan will be converted to loan repayable over three years with a 5% annual interest rate.</w:t>
      </w:r>
    </w:p>
    <w:p w14:paraId="52EB027B" w14:textId="77777777" w:rsidR="00E62F9F" w:rsidRDefault="00E62F9F" w:rsidP="003F424D">
      <w:pPr>
        <w:widowControl/>
        <w:tabs>
          <w:tab w:val="left" w:pos="1531"/>
        </w:tabs>
        <w:jc w:val="left"/>
        <w:rPr>
          <w:rFonts w:ascii="Arial" w:eastAsia="PMingLiU" w:hAnsi="Arial" w:cs="Arial"/>
          <w:b/>
          <w:sz w:val="20"/>
          <w:szCs w:val="20"/>
          <w:highlight w:val="yellow"/>
          <w:lang w:val="en-NZ" w:eastAsia="en-NZ"/>
        </w:rPr>
      </w:pPr>
    </w:p>
    <w:p w14:paraId="5B2B21CB" w14:textId="4133FFAF" w:rsidR="00AE5F3F" w:rsidRPr="003F424D" w:rsidRDefault="00AE5F3F" w:rsidP="00E62F9F">
      <w:pPr>
        <w:pStyle w:val="ListParagraph"/>
        <w:widowControl/>
        <w:numPr>
          <w:ilvl w:val="0"/>
          <w:numId w:val="18"/>
        </w:numPr>
        <w:tabs>
          <w:tab w:val="left" w:pos="1531"/>
        </w:tabs>
        <w:ind w:left="567" w:hanging="567"/>
        <w:jc w:val="left"/>
        <w:rPr>
          <w:rFonts w:ascii="Arial" w:eastAsia="PMingLiU" w:hAnsi="Arial" w:cs="Arial"/>
          <w:b/>
          <w:sz w:val="20"/>
          <w:szCs w:val="20"/>
          <w:lang w:val="en-NZ" w:eastAsia="en-NZ"/>
        </w:rPr>
      </w:pPr>
      <w:r w:rsidRPr="003F424D">
        <w:rPr>
          <w:rFonts w:ascii="Arial" w:eastAsia="PMingLiU" w:hAnsi="Arial" w:cs="Arial"/>
          <w:b/>
          <w:sz w:val="20"/>
          <w:szCs w:val="20"/>
          <w:lang w:val="en-NZ" w:eastAsia="en-NZ"/>
        </w:rPr>
        <w:t>CAPITAL MANAGEMENT</w:t>
      </w:r>
    </w:p>
    <w:p w14:paraId="7EC561D5" w14:textId="77777777" w:rsidR="003F424D" w:rsidRDefault="003F424D" w:rsidP="003F424D">
      <w:pPr>
        <w:rPr>
          <w:rFonts w:ascii="Arial" w:hAnsi="Arial" w:cs="Arial"/>
          <w:sz w:val="20"/>
          <w:szCs w:val="20"/>
          <w:lang w:val="en-US"/>
        </w:rPr>
      </w:pPr>
      <w:bookmarkStart w:id="14" w:name="_Hlk13992698"/>
    </w:p>
    <w:p w14:paraId="749D8045" w14:textId="24EBA27D" w:rsidR="00627002" w:rsidRPr="00627002" w:rsidRDefault="00627002" w:rsidP="003F424D">
      <w:pPr>
        <w:rPr>
          <w:rFonts w:ascii="Arial" w:hAnsi="Arial" w:cs="Arial"/>
          <w:sz w:val="20"/>
          <w:szCs w:val="20"/>
          <w:lang w:val="en-US"/>
        </w:rPr>
      </w:pPr>
      <w:r w:rsidRPr="003F424D">
        <w:rPr>
          <w:rFonts w:ascii="Arial" w:hAnsi="Arial" w:cs="Arial"/>
          <w:sz w:val="20"/>
          <w:szCs w:val="20"/>
          <w:lang w:val="en-US"/>
        </w:rPr>
        <w:t xml:space="preserve">As </w:t>
      </w:r>
      <w:proofErr w:type="gramStart"/>
      <w:r w:rsidRPr="003F424D">
        <w:rPr>
          <w:rFonts w:ascii="Arial" w:hAnsi="Arial" w:cs="Arial"/>
          <w:sz w:val="20"/>
          <w:szCs w:val="20"/>
          <w:lang w:val="en-US"/>
        </w:rPr>
        <w:t>at</w:t>
      </w:r>
      <w:proofErr w:type="gramEnd"/>
      <w:r w:rsidRPr="003F424D">
        <w:rPr>
          <w:rFonts w:ascii="Arial" w:hAnsi="Arial" w:cs="Arial"/>
          <w:sz w:val="20"/>
          <w:szCs w:val="20"/>
          <w:lang w:val="en-US"/>
        </w:rPr>
        <w:t xml:space="preserve"> </w:t>
      </w:r>
      <w:r w:rsidR="00080EC8" w:rsidRPr="003F424D">
        <w:rPr>
          <w:rFonts w:ascii="Arial" w:hAnsi="Arial" w:cs="Arial"/>
          <w:sz w:val="20"/>
          <w:szCs w:val="20"/>
          <w:lang w:val="en-US"/>
        </w:rPr>
        <w:t>Ju</w:t>
      </w:r>
      <w:r w:rsidR="00080EC8">
        <w:rPr>
          <w:rFonts w:ascii="Arial" w:hAnsi="Arial" w:cs="Arial"/>
          <w:sz w:val="20"/>
          <w:szCs w:val="20"/>
          <w:lang w:val="en-US"/>
        </w:rPr>
        <w:t>ne 30</w:t>
      </w:r>
      <w:r w:rsidRPr="00627002">
        <w:rPr>
          <w:rFonts w:ascii="Arial" w:hAnsi="Arial" w:cs="Arial"/>
          <w:sz w:val="20"/>
          <w:szCs w:val="20"/>
          <w:lang w:val="en-US"/>
        </w:rPr>
        <w:t>, 20</w:t>
      </w:r>
      <w:r>
        <w:rPr>
          <w:rFonts w:ascii="Arial" w:hAnsi="Arial" w:cs="Arial"/>
          <w:sz w:val="20"/>
          <w:szCs w:val="20"/>
          <w:lang w:val="en-US"/>
        </w:rPr>
        <w:t>2</w:t>
      </w:r>
      <w:r w:rsidR="006F026C">
        <w:rPr>
          <w:rFonts w:ascii="Arial" w:hAnsi="Arial" w:cs="Arial"/>
          <w:sz w:val="20"/>
          <w:szCs w:val="20"/>
          <w:lang w:val="en-US"/>
        </w:rPr>
        <w:t>1</w:t>
      </w:r>
      <w:r w:rsidRPr="00627002">
        <w:rPr>
          <w:rFonts w:ascii="Arial" w:hAnsi="Arial" w:cs="Arial"/>
          <w:sz w:val="20"/>
          <w:szCs w:val="20"/>
          <w:lang w:val="en-US"/>
        </w:rPr>
        <w:t xml:space="preserve">, the Company’s capital is composed of shareholders’ equity. The Company’s primary objectives, when managing its capital, are to maintain adequate levels of funding to support operations of the Company and to maintain corporate and administrative functions. </w:t>
      </w:r>
    </w:p>
    <w:p w14:paraId="477F1BC5" w14:textId="77777777" w:rsidR="003F424D" w:rsidRDefault="003F424D" w:rsidP="003F424D">
      <w:pPr>
        <w:rPr>
          <w:rFonts w:ascii="Arial" w:hAnsi="Arial" w:cs="Arial"/>
          <w:sz w:val="20"/>
          <w:szCs w:val="20"/>
          <w:lang w:val="en-US"/>
        </w:rPr>
      </w:pPr>
    </w:p>
    <w:p w14:paraId="3DD98417" w14:textId="75473311" w:rsidR="00627002" w:rsidRPr="00627002" w:rsidRDefault="00627002" w:rsidP="003F424D">
      <w:pPr>
        <w:rPr>
          <w:rFonts w:ascii="Arial" w:hAnsi="Arial" w:cs="Arial"/>
          <w:sz w:val="20"/>
          <w:szCs w:val="20"/>
          <w:lang w:val="en-US"/>
        </w:rPr>
      </w:pPr>
      <w:r w:rsidRPr="00627002">
        <w:rPr>
          <w:rFonts w:ascii="Arial" w:hAnsi="Arial" w:cs="Arial"/>
          <w:sz w:val="20"/>
          <w:szCs w:val="20"/>
          <w:lang w:val="en-US"/>
        </w:rPr>
        <w:t xml:space="preserve">The Company defines capital as items included in shareholders’ equity, consisting of the issued </w:t>
      </w:r>
      <w:r w:rsidR="00905AB0">
        <w:rPr>
          <w:rFonts w:ascii="Arial" w:hAnsi="Arial" w:cs="Arial"/>
          <w:sz w:val="20"/>
          <w:szCs w:val="20"/>
          <w:lang w:val="en-US"/>
        </w:rPr>
        <w:t>common shares</w:t>
      </w:r>
      <w:r w:rsidRPr="00627002">
        <w:rPr>
          <w:rFonts w:ascii="Arial" w:hAnsi="Arial" w:cs="Arial"/>
          <w:sz w:val="20"/>
          <w:szCs w:val="20"/>
          <w:lang w:val="en-US"/>
        </w:rPr>
        <w:t xml:space="preserve">. The capital structure of the Company is managed to provide sufficient funding for operating activities. Funds are primarily secured through a combination of equity capital raised by way of private placements and short-term debt. There can be no assurances that the Company will be able to continue raising equity capital and short-term debt in this manner. The Company invests all capital that is surplus to its immediate needs in short-term, liquid and highly rated financial instruments, such as cash and other short-term deposits, which are all held with major financial institutions. </w:t>
      </w:r>
    </w:p>
    <w:p w14:paraId="631994A8" w14:textId="77777777" w:rsidR="003F424D" w:rsidRDefault="003F424D" w:rsidP="003F424D">
      <w:pPr>
        <w:rPr>
          <w:rFonts w:ascii="Arial" w:hAnsi="Arial" w:cs="Arial"/>
          <w:sz w:val="20"/>
          <w:szCs w:val="20"/>
          <w:lang w:val="en-US"/>
        </w:rPr>
      </w:pPr>
    </w:p>
    <w:p w14:paraId="7E17293D" w14:textId="071E7280" w:rsidR="00AE5F3F" w:rsidRDefault="00627002" w:rsidP="003F424D">
      <w:pPr>
        <w:rPr>
          <w:rFonts w:ascii="Arial" w:hAnsi="Arial" w:cs="Arial"/>
          <w:sz w:val="20"/>
          <w:szCs w:val="20"/>
          <w:lang w:val="en-US"/>
        </w:rPr>
      </w:pPr>
      <w:r w:rsidRPr="00627002">
        <w:rPr>
          <w:rFonts w:ascii="Arial" w:hAnsi="Arial" w:cs="Arial"/>
          <w:sz w:val="20"/>
          <w:szCs w:val="20"/>
          <w:lang w:val="en-US"/>
        </w:rPr>
        <w:t xml:space="preserve">There were no changes to the Company’s approach to capital management during the </w:t>
      </w:r>
      <w:r w:rsidR="005B3CD1">
        <w:rPr>
          <w:rFonts w:ascii="Arial" w:hAnsi="Arial" w:cs="Arial"/>
          <w:sz w:val="20"/>
          <w:szCs w:val="20"/>
          <w:lang w:val="en-US"/>
        </w:rPr>
        <w:t>period</w:t>
      </w:r>
      <w:r w:rsidRPr="00627002">
        <w:rPr>
          <w:rFonts w:ascii="Arial" w:hAnsi="Arial" w:cs="Arial"/>
          <w:sz w:val="20"/>
          <w:szCs w:val="20"/>
          <w:lang w:val="en-US"/>
        </w:rPr>
        <w:t xml:space="preserve"> ended </w:t>
      </w:r>
      <w:r w:rsidR="00EF5076">
        <w:rPr>
          <w:rFonts w:ascii="Arial" w:hAnsi="Arial" w:cs="Arial"/>
          <w:sz w:val="20"/>
          <w:szCs w:val="20"/>
          <w:lang w:val="en-US"/>
        </w:rPr>
        <w:t>June 30</w:t>
      </w:r>
      <w:r w:rsidR="005B3CD1">
        <w:rPr>
          <w:rFonts w:ascii="Arial" w:hAnsi="Arial" w:cs="Arial"/>
          <w:sz w:val="20"/>
          <w:szCs w:val="20"/>
          <w:lang w:val="en-US"/>
        </w:rPr>
        <w:t>, 2021</w:t>
      </w:r>
      <w:r w:rsidRPr="00627002">
        <w:rPr>
          <w:rFonts w:ascii="Arial" w:hAnsi="Arial" w:cs="Arial"/>
          <w:sz w:val="20"/>
          <w:szCs w:val="20"/>
          <w:lang w:val="en-US"/>
        </w:rPr>
        <w:t>.</w:t>
      </w:r>
      <w:bookmarkEnd w:id="14"/>
      <w:r w:rsidRPr="00627002">
        <w:rPr>
          <w:rFonts w:ascii="Arial" w:hAnsi="Arial" w:cs="Arial"/>
          <w:sz w:val="20"/>
          <w:szCs w:val="20"/>
          <w:lang w:val="en-US"/>
        </w:rPr>
        <w:t xml:space="preserve">  The Company is not subject to external capital requirements.</w:t>
      </w:r>
    </w:p>
    <w:p w14:paraId="5995F68E" w14:textId="3CDF07AB" w:rsidR="005B3CD1" w:rsidRDefault="005B3CD1" w:rsidP="003F424D">
      <w:pPr>
        <w:rPr>
          <w:rFonts w:ascii="Arial" w:hAnsi="Arial" w:cs="Arial"/>
          <w:sz w:val="20"/>
          <w:szCs w:val="20"/>
        </w:rPr>
      </w:pPr>
    </w:p>
    <w:p w14:paraId="25406F86" w14:textId="77777777" w:rsidR="00AE5F3F" w:rsidRPr="009F228C" w:rsidRDefault="00AE5F3F" w:rsidP="00E62F9F">
      <w:pPr>
        <w:widowControl/>
        <w:numPr>
          <w:ilvl w:val="0"/>
          <w:numId w:val="18"/>
        </w:numPr>
        <w:autoSpaceDE/>
        <w:autoSpaceDN/>
        <w:adjustRightInd/>
        <w:ind w:left="567" w:hanging="567"/>
        <w:contextualSpacing/>
        <w:jc w:val="left"/>
        <w:rPr>
          <w:rFonts w:ascii="Arial" w:hAnsi="Arial" w:cs="Arial"/>
          <w:sz w:val="20"/>
          <w:szCs w:val="20"/>
        </w:rPr>
      </w:pPr>
      <w:r w:rsidRPr="009F228C">
        <w:rPr>
          <w:rFonts w:ascii="Arial" w:hAnsi="Arial" w:cs="Arial"/>
          <w:b/>
          <w:sz w:val="20"/>
          <w:szCs w:val="20"/>
        </w:rPr>
        <w:t>FINANCIAL INSTRUMENTS</w:t>
      </w:r>
    </w:p>
    <w:p w14:paraId="34033502" w14:textId="77777777" w:rsidR="00AE5F3F" w:rsidRPr="009F228C" w:rsidRDefault="00AE5F3F" w:rsidP="003F424D">
      <w:pPr>
        <w:tabs>
          <w:tab w:val="left" w:pos="424"/>
          <w:tab w:val="left" w:pos="576"/>
          <w:tab w:val="left" w:pos="864"/>
          <w:tab w:val="left" w:pos="1152"/>
          <w:tab w:val="right" w:pos="7344"/>
          <w:tab w:val="right" w:pos="9540"/>
        </w:tabs>
        <w:suppressAutoHyphens/>
        <w:ind w:left="576" w:right="-180" w:hanging="576"/>
        <w:rPr>
          <w:rFonts w:ascii="Arial" w:hAnsi="Arial" w:cs="Arial"/>
          <w:b/>
          <w:sz w:val="20"/>
          <w:szCs w:val="20"/>
        </w:rPr>
      </w:pPr>
    </w:p>
    <w:p w14:paraId="7A155295" w14:textId="77777777" w:rsidR="00AE5F3F" w:rsidRPr="009F228C" w:rsidRDefault="00AE5F3F" w:rsidP="003F424D">
      <w:pPr>
        <w:rPr>
          <w:rFonts w:ascii="Arial" w:hAnsi="Arial" w:cs="Arial"/>
          <w:b/>
          <w:bCs/>
          <w:sz w:val="20"/>
          <w:szCs w:val="20"/>
        </w:rPr>
      </w:pPr>
      <w:r w:rsidRPr="009F228C">
        <w:rPr>
          <w:rFonts w:ascii="Arial" w:hAnsi="Arial" w:cs="Arial"/>
          <w:b/>
          <w:bCs/>
          <w:sz w:val="20"/>
          <w:szCs w:val="20"/>
        </w:rPr>
        <w:t>Fair value of financial instruments</w:t>
      </w:r>
    </w:p>
    <w:p w14:paraId="1F0E1B90" w14:textId="77777777" w:rsidR="00AE5F3F" w:rsidRPr="009F228C" w:rsidRDefault="00AE5F3F" w:rsidP="003F424D">
      <w:pPr>
        <w:rPr>
          <w:rFonts w:ascii="Arial" w:hAnsi="Arial" w:cs="Arial"/>
          <w:sz w:val="20"/>
          <w:szCs w:val="20"/>
        </w:rPr>
      </w:pPr>
    </w:p>
    <w:p w14:paraId="7B44197B" w14:textId="77777777" w:rsidR="00AE5F3F" w:rsidRPr="009F228C" w:rsidRDefault="00AE5F3F" w:rsidP="003F424D">
      <w:pPr>
        <w:rPr>
          <w:rFonts w:ascii="Arial" w:hAnsi="Arial" w:cs="Arial"/>
          <w:bCs/>
          <w:sz w:val="20"/>
          <w:szCs w:val="20"/>
        </w:rPr>
      </w:pPr>
      <w:r w:rsidRPr="009F228C">
        <w:rPr>
          <w:rFonts w:ascii="Arial" w:hAnsi="Arial" w:cs="Arial"/>
          <w:bCs/>
          <w:sz w:val="20"/>
          <w:szCs w:val="20"/>
        </w:rPr>
        <w:t xml:space="preserve">Fair value is the price that would be received to sell an asset or paid to transfer a liability in an orderly transaction between market participants at the measurement date. The fair value hierarchy establishes three levels to classify the inputs to valuation techniques used to measure fair value, by reference to the reliability of the inputs used to </w:t>
      </w:r>
      <w:r w:rsidRPr="009F228C">
        <w:rPr>
          <w:rFonts w:ascii="Arial" w:hAnsi="Arial" w:cs="Arial"/>
          <w:bCs/>
          <w:sz w:val="20"/>
          <w:szCs w:val="20"/>
        </w:rPr>
        <w:lastRenderedPageBreak/>
        <w:t xml:space="preserve">estimate the fair values:  </w:t>
      </w:r>
    </w:p>
    <w:p w14:paraId="57BA77B0" w14:textId="77777777" w:rsidR="00AE5F3F" w:rsidRPr="009F228C" w:rsidRDefault="00AE5F3F" w:rsidP="003F424D">
      <w:pPr>
        <w:rPr>
          <w:rFonts w:ascii="Arial" w:hAnsi="Arial" w:cs="Arial"/>
          <w:bCs/>
          <w:sz w:val="20"/>
          <w:szCs w:val="20"/>
        </w:rPr>
      </w:pPr>
      <w:r w:rsidRPr="009F228C">
        <w:rPr>
          <w:rFonts w:ascii="Arial" w:hAnsi="Arial" w:cs="Arial"/>
          <w:bCs/>
          <w:sz w:val="20"/>
          <w:szCs w:val="20"/>
        </w:rPr>
        <w:t xml:space="preserve">Level 1: Valuations based on quoted prices (unadjusted) in active markets for identical assets or </w:t>
      </w:r>
      <w:proofErr w:type="gramStart"/>
      <w:r w:rsidRPr="009F228C">
        <w:rPr>
          <w:rFonts w:ascii="Arial" w:hAnsi="Arial" w:cs="Arial"/>
          <w:bCs/>
          <w:sz w:val="20"/>
          <w:szCs w:val="20"/>
        </w:rPr>
        <w:t>liabilities;</w:t>
      </w:r>
      <w:proofErr w:type="gramEnd"/>
    </w:p>
    <w:p w14:paraId="278E84AA" w14:textId="77777777" w:rsidR="00AE5F3F" w:rsidRPr="009F228C" w:rsidRDefault="00AE5F3F" w:rsidP="003F424D">
      <w:pPr>
        <w:ind w:left="720" w:hanging="360"/>
        <w:rPr>
          <w:rFonts w:ascii="Arial" w:hAnsi="Arial" w:cs="Arial"/>
          <w:bCs/>
          <w:sz w:val="20"/>
          <w:szCs w:val="20"/>
        </w:rPr>
      </w:pPr>
    </w:p>
    <w:p w14:paraId="21842C8D" w14:textId="77777777" w:rsidR="00AE5F3F" w:rsidRPr="009F228C" w:rsidRDefault="00AE5F3F" w:rsidP="00AE5F3F">
      <w:pPr>
        <w:rPr>
          <w:rFonts w:ascii="Arial" w:hAnsi="Arial" w:cs="Arial"/>
          <w:bCs/>
          <w:sz w:val="20"/>
          <w:szCs w:val="20"/>
        </w:rPr>
      </w:pPr>
      <w:r w:rsidRPr="009F228C">
        <w:rPr>
          <w:rFonts w:ascii="Arial" w:hAnsi="Arial" w:cs="Arial"/>
          <w:bCs/>
          <w:sz w:val="20"/>
          <w:szCs w:val="20"/>
        </w:rPr>
        <w:t>Level 2: Valuations based on directly or indirectly observable inputs in active markets for similar assets or liabilities, other than Level 1 prices such as quoted interest or currency exchange rates; and</w:t>
      </w:r>
    </w:p>
    <w:p w14:paraId="66ADD8F0" w14:textId="77777777" w:rsidR="00AE5F3F" w:rsidRPr="009F228C" w:rsidRDefault="00AE5F3F" w:rsidP="00AE5F3F">
      <w:pPr>
        <w:ind w:left="720" w:hanging="360"/>
        <w:rPr>
          <w:rFonts w:ascii="Arial" w:hAnsi="Arial" w:cs="Arial"/>
          <w:bCs/>
          <w:sz w:val="20"/>
          <w:szCs w:val="20"/>
        </w:rPr>
      </w:pPr>
    </w:p>
    <w:p w14:paraId="36686679" w14:textId="77777777" w:rsidR="00AE5F3F" w:rsidRPr="009F228C" w:rsidRDefault="00AE5F3F" w:rsidP="00AE5F3F">
      <w:pPr>
        <w:rPr>
          <w:rFonts w:ascii="Arial" w:hAnsi="Arial" w:cs="Arial"/>
          <w:bCs/>
          <w:sz w:val="20"/>
          <w:szCs w:val="20"/>
        </w:rPr>
      </w:pPr>
      <w:r w:rsidRPr="009F228C">
        <w:rPr>
          <w:rFonts w:ascii="Arial" w:hAnsi="Arial" w:cs="Arial"/>
          <w:bCs/>
          <w:sz w:val="20"/>
          <w:szCs w:val="20"/>
        </w:rPr>
        <w:t>Level 3: Valuations based on significant inputs that are not derived from observable market data, such as discounted cash flow methodologies based on internal cash flow forecasts.</w:t>
      </w:r>
    </w:p>
    <w:p w14:paraId="5E301063" w14:textId="5B91A1B8" w:rsidR="00AE5F3F" w:rsidRDefault="00AE5F3F" w:rsidP="00AE5F3F">
      <w:pPr>
        <w:rPr>
          <w:rFonts w:ascii="Arial" w:hAnsi="Arial" w:cs="Arial"/>
          <w:b/>
          <w:bCs/>
          <w:sz w:val="20"/>
          <w:szCs w:val="20"/>
        </w:rPr>
      </w:pPr>
    </w:p>
    <w:p w14:paraId="74F19D66" w14:textId="2367BFBC" w:rsidR="00AE5F3F" w:rsidRPr="009F228C" w:rsidRDefault="00AE5F3F" w:rsidP="00AE5F3F">
      <w:pPr>
        <w:rPr>
          <w:rFonts w:ascii="Arial" w:hAnsi="Arial" w:cs="Arial"/>
          <w:bCs/>
          <w:sz w:val="20"/>
          <w:szCs w:val="20"/>
        </w:rPr>
      </w:pPr>
      <w:r w:rsidRPr="009F228C">
        <w:rPr>
          <w:rFonts w:ascii="Arial" w:hAnsi="Arial" w:cs="Arial"/>
          <w:bCs/>
          <w:sz w:val="20"/>
          <w:szCs w:val="20"/>
        </w:rPr>
        <w:t xml:space="preserve">As </w:t>
      </w:r>
      <w:proofErr w:type="gramStart"/>
      <w:r w:rsidRPr="009F228C">
        <w:rPr>
          <w:rFonts w:ascii="Arial" w:hAnsi="Arial" w:cs="Arial"/>
          <w:bCs/>
          <w:sz w:val="20"/>
          <w:szCs w:val="20"/>
        </w:rPr>
        <w:t>at</w:t>
      </w:r>
      <w:proofErr w:type="gramEnd"/>
      <w:r w:rsidRPr="009F228C">
        <w:rPr>
          <w:rFonts w:ascii="Arial" w:hAnsi="Arial" w:cs="Arial"/>
          <w:bCs/>
          <w:sz w:val="20"/>
          <w:szCs w:val="20"/>
        </w:rPr>
        <w:t xml:space="preserve"> </w:t>
      </w:r>
      <w:r w:rsidR="00B51E3C">
        <w:rPr>
          <w:rFonts w:ascii="Arial" w:hAnsi="Arial" w:cs="Arial"/>
          <w:bCs/>
          <w:sz w:val="20"/>
          <w:szCs w:val="20"/>
        </w:rPr>
        <w:t>June 30</w:t>
      </w:r>
      <w:r w:rsidR="005B3CD1">
        <w:rPr>
          <w:rFonts w:ascii="Arial" w:hAnsi="Arial" w:cs="Arial"/>
          <w:bCs/>
          <w:sz w:val="20"/>
          <w:szCs w:val="20"/>
        </w:rPr>
        <w:t>, 2021</w:t>
      </w:r>
      <w:r w:rsidRPr="009F228C">
        <w:rPr>
          <w:rFonts w:ascii="Arial" w:hAnsi="Arial" w:cs="Arial"/>
          <w:bCs/>
          <w:sz w:val="20"/>
          <w:szCs w:val="20"/>
        </w:rPr>
        <w:t>, the Company’s financial instruments consisted of cash</w:t>
      </w:r>
      <w:r w:rsidR="00535E25">
        <w:rPr>
          <w:rFonts w:ascii="Arial" w:hAnsi="Arial" w:cs="Arial"/>
          <w:bCs/>
          <w:sz w:val="20"/>
          <w:szCs w:val="20"/>
        </w:rPr>
        <w:t>,</w:t>
      </w:r>
      <w:r w:rsidR="00681E4A">
        <w:rPr>
          <w:rFonts w:ascii="Arial" w:hAnsi="Arial" w:cs="Arial"/>
          <w:bCs/>
          <w:sz w:val="20"/>
          <w:szCs w:val="20"/>
        </w:rPr>
        <w:t xml:space="preserve"> accounts receivable,</w:t>
      </w:r>
      <w:r>
        <w:rPr>
          <w:rFonts w:ascii="Arial" w:hAnsi="Arial" w:cs="Arial"/>
          <w:bCs/>
          <w:sz w:val="20"/>
          <w:szCs w:val="20"/>
        </w:rPr>
        <w:t xml:space="preserve"> </w:t>
      </w:r>
      <w:r w:rsidRPr="009F228C">
        <w:rPr>
          <w:rFonts w:ascii="Arial" w:hAnsi="Arial" w:cs="Arial"/>
          <w:bCs/>
          <w:sz w:val="20"/>
          <w:szCs w:val="20"/>
        </w:rPr>
        <w:t>accounts payable</w:t>
      </w:r>
      <w:r w:rsidR="00681E4A">
        <w:rPr>
          <w:rFonts w:ascii="Arial" w:hAnsi="Arial" w:cs="Arial"/>
          <w:bCs/>
          <w:sz w:val="20"/>
          <w:szCs w:val="20"/>
        </w:rPr>
        <w:t xml:space="preserve"> and accrued liabilities, and the CEBA loan</w:t>
      </w:r>
      <w:r w:rsidRPr="009F228C">
        <w:rPr>
          <w:rFonts w:ascii="Arial" w:hAnsi="Arial" w:cs="Arial"/>
          <w:bCs/>
          <w:sz w:val="20"/>
          <w:szCs w:val="20"/>
        </w:rPr>
        <w:t>. Cash</w:t>
      </w:r>
      <w:r w:rsidR="00681E4A">
        <w:rPr>
          <w:rFonts w:ascii="Arial" w:hAnsi="Arial" w:cs="Arial"/>
          <w:bCs/>
          <w:sz w:val="20"/>
          <w:szCs w:val="20"/>
        </w:rPr>
        <w:t xml:space="preserve"> is</w:t>
      </w:r>
      <w:r w:rsidR="00BE59B8">
        <w:rPr>
          <w:rFonts w:ascii="Arial" w:hAnsi="Arial" w:cs="Arial"/>
          <w:bCs/>
          <w:sz w:val="20"/>
          <w:szCs w:val="20"/>
        </w:rPr>
        <w:t xml:space="preserve"> </w:t>
      </w:r>
      <w:r>
        <w:rPr>
          <w:rFonts w:ascii="Arial" w:hAnsi="Arial" w:cs="Arial"/>
          <w:bCs/>
          <w:sz w:val="20"/>
          <w:szCs w:val="20"/>
        </w:rPr>
        <w:t>measured</w:t>
      </w:r>
      <w:r w:rsidRPr="009F228C">
        <w:rPr>
          <w:rFonts w:ascii="Arial" w:hAnsi="Arial" w:cs="Arial"/>
          <w:bCs/>
          <w:sz w:val="20"/>
          <w:szCs w:val="20"/>
        </w:rPr>
        <w:t xml:space="preserve"> at fair value </w:t>
      </w:r>
      <w:r>
        <w:rPr>
          <w:rFonts w:ascii="Arial" w:hAnsi="Arial" w:cs="Arial"/>
          <w:bCs/>
          <w:sz w:val="20"/>
          <w:szCs w:val="20"/>
        </w:rPr>
        <w:t>in accordance with</w:t>
      </w:r>
      <w:r w:rsidRPr="009F228C">
        <w:rPr>
          <w:rFonts w:ascii="Arial" w:hAnsi="Arial" w:cs="Arial"/>
          <w:bCs/>
          <w:sz w:val="20"/>
          <w:szCs w:val="20"/>
        </w:rPr>
        <w:t xml:space="preserve"> Level 1.</w:t>
      </w:r>
      <w:r>
        <w:rPr>
          <w:rFonts w:ascii="Arial" w:hAnsi="Arial" w:cs="Arial"/>
          <w:bCs/>
          <w:sz w:val="20"/>
          <w:szCs w:val="20"/>
        </w:rPr>
        <w:t xml:space="preserve">  </w:t>
      </w:r>
      <w:r w:rsidRPr="009F228C">
        <w:rPr>
          <w:rFonts w:ascii="Arial" w:hAnsi="Arial" w:cs="Arial"/>
          <w:bCs/>
          <w:sz w:val="20"/>
          <w:szCs w:val="20"/>
        </w:rPr>
        <w:t xml:space="preserve">The fair value of </w:t>
      </w:r>
      <w:r w:rsidR="00681E4A">
        <w:rPr>
          <w:rFonts w:ascii="Arial" w:hAnsi="Arial" w:cs="Arial"/>
          <w:bCs/>
          <w:sz w:val="20"/>
          <w:szCs w:val="20"/>
        </w:rPr>
        <w:t>accounts receivable, and accounts payable and accrued liabilities</w:t>
      </w:r>
      <w:r>
        <w:rPr>
          <w:rFonts w:ascii="Arial" w:hAnsi="Arial" w:cs="Arial"/>
          <w:bCs/>
          <w:sz w:val="20"/>
          <w:szCs w:val="20"/>
        </w:rPr>
        <w:t xml:space="preserve"> </w:t>
      </w:r>
      <w:r w:rsidRPr="009F228C">
        <w:rPr>
          <w:rFonts w:ascii="Arial" w:hAnsi="Arial" w:cs="Arial"/>
          <w:bCs/>
          <w:sz w:val="20"/>
          <w:szCs w:val="20"/>
        </w:rPr>
        <w:t xml:space="preserve">approximate their carrying values because of the short-term nature of these instruments.  </w:t>
      </w:r>
    </w:p>
    <w:p w14:paraId="7430406C" w14:textId="77777777" w:rsidR="00BE59B8" w:rsidRDefault="00BE59B8" w:rsidP="00AE5F3F">
      <w:pPr>
        <w:rPr>
          <w:rFonts w:ascii="Arial" w:hAnsi="Arial" w:cs="Arial"/>
          <w:b/>
          <w:bCs/>
          <w:sz w:val="20"/>
          <w:szCs w:val="20"/>
        </w:rPr>
      </w:pPr>
    </w:p>
    <w:p w14:paraId="7A245E80" w14:textId="77777777" w:rsidR="00AE5F3F" w:rsidRPr="009F228C" w:rsidRDefault="00AE5F3F" w:rsidP="00AE5F3F">
      <w:pPr>
        <w:rPr>
          <w:rFonts w:ascii="Arial" w:hAnsi="Arial" w:cs="Arial"/>
          <w:sz w:val="20"/>
          <w:szCs w:val="20"/>
        </w:rPr>
      </w:pPr>
      <w:r w:rsidRPr="009F228C">
        <w:rPr>
          <w:rFonts w:ascii="Arial" w:hAnsi="Arial" w:cs="Arial"/>
          <w:b/>
          <w:bCs/>
          <w:sz w:val="20"/>
          <w:szCs w:val="20"/>
        </w:rPr>
        <w:t>Financial risks</w:t>
      </w:r>
    </w:p>
    <w:p w14:paraId="604A4AA9" w14:textId="77777777" w:rsidR="00AE5F3F" w:rsidRPr="009F228C" w:rsidRDefault="00AE5F3F" w:rsidP="00AE5F3F">
      <w:pPr>
        <w:rPr>
          <w:rFonts w:ascii="Arial" w:hAnsi="Arial" w:cs="Arial"/>
          <w:sz w:val="20"/>
          <w:szCs w:val="20"/>
        </w:rPr>
      </w:pPr>
    </w:p>
    <w:p w14:paraId="1D1F2078" w14:textId="77777777" w:rsidR="00AE5F3F" w:rsidRPr="009F228C" w:rsidRDefault="00AE5F3F" w:rsidP="00AE5F3F">
      <w:pPr>
        <w:rPr>
          <w:rFonts w:ascii="Arial" w:hAnsi="Arial" w:cs="Arial"/>
          <w:sz w:val="20"/>
          <w:szCs w:val="20"/>
        </w:rPr>
      </w:pPr>
      <w:r w:rsidRPr="009F228C">
        <w:rPr>
          <w:rFonts w:ascii="Arial" w:hAnsi="Arial" w:cs="Arial"/>
          <w:sz w:val="20"/>
          <w:szCs w:val="20"/>
        </w:rPr>
        <w:t xml:space="preserve">The Company's risk exposures </w:t>
      </w:r>
      <w:r>
        <w:rPr>
          <w:rFonts w:ascii="Arial" w:hAnsi="Arial" w:cs="Arial"/>
          <w:sz w:val="20"/>
          <w:szCs w:val="20"/>
        </w:rPr>
        <w:t xml:space="preserve">arising from financial instruments </w:t>
      </w:r>
      <w:r w:rsidRPr="009F228C">
        <w:rPr>
          <w:rFonts w:ascii="Arial" w:hAnsi="Arial" w:cs="Arial"/>
          <w:sz w:val="20"/>
          <w:szCs w:val="20"/>
        </w:rPr>
        <w:t xml:space="preserve">and the impact on the Company's financial </w:t>
      </w:r>
      <w:r>
        <w:rPr>
          <w:rFonts w:ascii="Arial" w:hAnsi="Arial" w:cs="Arial"/>
          <w:sz w:val="20"/>
          <w:szCs w:val="20"/>
        </w:rPr>
        <w:t xml:space="preserve">statements </w:t>
      </w:r>
      <w:r w:rsidRPr="009F228C">
        <w:rPr>
          <w:rFonts w:ascii="Arial" w:hAnsi="Arial" w:cs="Arial"/>
          <w:sz w:val="20"/>
          <w:szCs w:val="20"/>
        </w:rPr>
        <w:t>are summarized below:</w:t>
      </w:r>
    </w:p>
    <w:p w14:paraId="00B3766A" w14:textId="77777777" w:rsidR="005B3CD1" w:rsidRPr="004B0BF0" w:rsidRDefault="005B3CD1" w:rsidP="00C31A39">
      <w:pPr>
        <w:pStyle w:val="ListParagraph"/>
        <w:ind w:left="567"/>
        <w:rPr>
          <w:rFonts w:ascii="Arial" w:hAnsi="Arial" w:cs="Arial"/>
          <w:sz w:val="20"/>
          <w:szCs w:val="20"/>
        </w:rPr>
      </w:pPr>
    </w:p>
    <w:p w14:paraId="7FD2618C" w14:textId="77777777" w:rsidR="00AE5F3F" w:rsidRPr="00C31A39" w:rsidRDefault="00AE5F3F" w:rsidP="00AE5F3F">
      <w:pPr>
        <w:rPr>
          <w:rFonts w:ascii="Arial" w:hAnsi="Arial" w:cs="Arial"/>
          <w:i/>
          <w:iCs/>
          <w:sz w:val="20"/>
          <w:szCs w:val="20"/>
        </w:rPr>
      </w:pPr>
      <w:r w:rsidRPr="00C31A39">
        <w:rPr>
          <w:rFonts w:ascii="Arial" w:hAnsi="Arial" w:cs="Arial"/>
          <w:i/>
          <w:iCs/>
          <w:sz w:val="20"/>
          <w:szCs w:val="20"/>
        </w:rPr>
        <w:t>Credit risk</w:t>
      </w:r>
    </w:p>
    <w:p w14:paraId="44F53C09" w14:textId="77777777" w:rsidR="00AE5F3F" w:rsidRPr="009F228C" w:rsidRDefault="00AE5F3F" w:rsidP="00AE5F3F">
      <w:pPr>
        <w:rPr>
          <w:rFonts w:ascii="Arial" w:hAnsi="Arial" w:cs="Arial"/>
          <w:sz w:val="20"/>
          <w:szCs w:val="20"/>
        </w:rPr>
      </w:pPr>
      <w:r w:rsidRPr="009F228C">
        <w:rPr>
          <w:rFonts w:ascii="Arial" w:hAnsi="Arial" w:cs="Arial"/>
          <w:sz w:val="20"/>
          <w:szCs w:val="20"/>
        </w:rPr>
        <w:t>Credit risk is the risk that one party to a financial instrument will fail to discharge an obligation and cause the other party to incur a financial loss. The Company's cash</w:t>
      </w:r>
      <w:r w:rsidR="008C6033">
        <w:rPr>
          <w:rFonts w:ascii="Arial" w:hAnsi="Arial" w:cs="Arial"/>
          <w:sz w:val="20"/>
          <w:szCs w:val="20"/>
        </w:rPr>
        <w:t xml:space="preserve"> are deposited with high credit</w:t>
      </w:r>
      <w:r w:rsidR="008C43F9">
        <w:rPr>
          <w:rFonts w:ascii="Arial" w:hAnsi="Arial" w:cs="Arial"/>
          <w:sz w:val="20"/>
          <w:szCs w:val="20"/>
        </w:rPr>
        <w:t xml:space="preserve"> rated </w:t>
      </w:r>
      <w:proofErr w:type="gramStart"/>
      <w:r w:rsidR="008C43F9">
        <w:rPr>
          <w:rFonts w:ascii="Arial" w:hAnsi="Arial" w:cs="Arial"/>
          <w:sz w:val="20"/>
          <w:szCs w:val="20"/>
        </w:rPr>
        <w:t>banks,</w:t>
      </w:r>
      <w:proofErr w:type="gramEnd"/>
      <w:r w:rsidR="008C43F9">
        <w:rPr>
          <w:rFonts w:ascii="Arial" w:hAnsi="Arial" w:cs="Arial"/>
          <w:sz w:val="20"/>
          <w:szCs w:val="20"/>
        </w:rPr>
        <w:t xml:space="preserve"> therefore, the credit risk is limited.</w:t>
      </w:r>
      <w:r w:rsidRPr="009F228C">
        <w:rPr>
          <w:rFonts w:ascii="Arial" w:hAnsi="Arial" w:cs="Arial"/>
          <w:sz w:val="20"/>
          <w:szCs w:val="20"/>
        </w:rPr>
        <w:t xml:space="preserve"> </w:t>
      </w:r>
    </w:p>
    <w:p w14:paraId="0F0CF42C" w14:textId="77777777" w:rsidR="00AE5F3F" w:rsidRPr="009F228C" w:rsidRDefault="00AE5F3F" w:rsidP="00AE5F3F">
      <w:pPr>
        <w:rPr>
          <w:rFonts w:ascii="Arial" w:hAnsi="Arial" w:cs="Arial"/>
          <w:sz w:val="20"/>
          <w:szCs w:val="20"/>
        </w:rPr>
      </w:pPr>
    </w:p>
    <w:p w14:paraId="7EFFF9B9" w14:textId="77777777" w:rsidR="00AE5F3F" w:rsidRPr="00C31A39" w:rsidRDefault="00AE5F3F" w:rsidP="00AE5F3F">
      <w:pPr>
        <w:rPr>
          <w:rFonts w:ascii="Arial" w:hAnsi="Arial" w:cs="Arial"/>
          <w:i/>
          <w:iCs/>
          <w:sz w:val="20"/>
          <w:szCs w:val="20"/>
        </w:rPr>
      </w:pPr>
      <w:r w:rsidRPr="00C31A39">
        <w:rPr>
          <w:rFonts w:ascii="Arial" w:hAnsi="Arial" w:cs="Arial"/>
          <w:i/>
          <w:iCs/>
          <w:sz w:val="20"/>
          <w:szCs w:val="20"/>
        </w:rPr>
        <w:t>Liquidity risk</w:t>
      </w:r>
    </w:p>
    <w:p w14:paraId="3D1C21D2" w14:textId="5EBD49C4" w:rsidR="00AE5F3F" w:rsidRPr="009F228C" w:rsidRDefault="00BE59B8" w:rsidP="00AE5F3F">
      <w:pPr>
        <w:rPr>
          <w:rFonts w:ascii="Arial" w:hAnsi="Arial" w:cs="Arial"/>
          <w:sz w:val="20"/>
          <w:szCs w:val="20"/>
        </w:rPr>
      </w:pPr>
      <w:r w:rsidRPr="00A3146E">
        <w:rPr>
          <w:rFonts w:ascii="Arial" w:hAnsi="Arial" w:cs="Arial"/>
          <w:sz w:val="20"/>
          <w:szCs w:val="20"/>
          <w:lang w:val="en-US"/>
        </w:rPr>
        <w:t xml:space="preserve">Liquidity risk is the risk that the Company is not able to meet its financial obligations as they fall due. As </w:t>
      </w:r>
      <w:proofErr w:type="gramStart"/>
      <w:r w:rsidRPr="00A3146E">
        <w:rPr>
          <w:rFonts w:ascii="Arial" w:hAnsi="Arial" w:cs="Arial"/>
          <w:sz w:val="20"/>
          <w:szCs w:val="20"/>
          <w:lang w:val="en-US"/>
        </w:rPr>
        <w:t>at</w:t>
      </w:r>
      <w:proofErr w:type="gramEnd"/>
      <w:r w:rsidRPr="00A3146E">
        <w:rPr>
          <w:rFonts w:ascii="Arial" w:hAnsi="Arial" w:cs="Arial"/>
          <w:sz w:val="20"/>
          <w:szCs w:val="20"/>
          <w:lang w:val="en-US"/>
        </w:rPr>
        <w:t xml:space="preserve"> </w:t>
      </w:r>
      <w:r w:rsidR="00A3146E" w:rsidRPr="00A3146E">
        <w:rPr>
          <w:rFonts w:ascii="Arial" w:hAnsi="Arial" w:cs="Arial"/>
          <w:sz w:val="20"/>
          <w:szCs w:val="20"/>
          <w:lang w:val="en-US"/>
        </w:rPr>
        <w:t>June 30</w:t>
      </w:r>
      <w:r w:rsidR="005B3CD1" w:rsidRPr="00A3146E">
        <w:rPr>
          <w:rFonts w:ascii="Arial" w:hAnsi="Arial" w:cs="Arial"/>
          <w:sz w:val="20"/>
          <w:szCs w:val="20"/>
          <w:lang w:val="en-US"/>
        </w:rPr>
        <w:t>, 2021</w:t>
      </w:r>
      <w:r w:rsidRPr="00A3146E">
        <w:rPr>
          <w:rFonts w:ascii="Arial" w:hAnsi="Arial" w:cs="Arial"/>
          <w:sz w:val="20"/>
          <w:szCs w:val="20"/>
          <w:lang w:val="en-US"/>
        </w:rPr>
        <w:t>, the Company has working capital o</w:t>
      </w:r>
      <w:r w:rsidR="00A333B3" w:rsidRPr="00A3146E">
        <w:rPr>
          <w:rFonts w:ascii="Arial" w:hAnsi="Arial" w:cs="Arial"/>
          <w:sz w:val="20"/>
          <w:szCs w:val="20"/>
          <w:lang w:val="en-US"/>
        </w:rPr>
        <w:t>f $</w:t>
      </w:r>
      <w:r w:rsidR="00A036F2">
        <w:rPr>
          <w:rFonts w:ascii="Arial" w:hAnsi="Arial" w:cs="Arial"/>
          <w:sz w:val="20"/>
          <w:szCs w:val="20"/>
          <w:lang w:val="en-US"/>
        </w:rPr>
        <w:t>2,195,612</w:t>
      </w:r>
      <w:r w:rsidRPr="00A3146E">
        <w:rPr>
          <w:rFonts w:ascii="Arial" w:hAnsi="Arial" w:cs="Arial"/>
          <w:sz w:val="20"/>
          <w:szCs w:val="20"/>
          <w:lang w:val="en-US"/>
        </w:rPr>
        <w:t xml:space="preserve"> (</w:t>
      </w:r>
      <w:r w:rsidR="0028156E" w:rsidRPr="00A3146E">
        <w:rPr>
          <w:rFonts w:ascii="Arial" w:hAnsi="Arial" w:cs="Arial"/>
          <w:sz w:val="20"/>
          <w:szCs w:val="20"/>
          <w:lang w:val="en-US"/>
        </w:rPr>
        <w:t xml:space="preserve">December 31, </w:t>
      </w:r>
      <w:r w:rsidRPr="00A3146E">
        <w:rPr>
          <w:rFonts w:ascii="Arial" w:hAnsi="Arial" w:cs="Arial"/>
          <w:sz w:val="20"/>
          <w:szCs w:val="20"/>
          <w:lang w:val="en-US"/>
        </w:rPr>
        <w:t>20</w:t>
      </w:r>
      <w:r w:rsidR="005B3CD1" w:rsidRPr="00A3146E">
        <w:rPr>
          <w:rFonts w:ascii="Arial" w:hAnsi="Arial" w:cs="Arial"/>
          <w:sz w:val="20"/>
          <w:szCs w:val="20"/>
          <w:lang w:val="en-US"/>
        </w:rPr>
        <w:t>20</w:t>
      </w:r>
      <w:r w:rsidRPr="00A3146E">
        <w:rPr>
          <w:rFonts w:ascii="Arial" w:hAnsi="Arial" w:cs="Arial"/>
          <w:sz w:val="20"/>
          <w:szCs w:val="20"/>
          <w:lang w:val="en-US"/>
        </w:rPr>
        <w:t xml:space="preserve"> – </w:t>
      </w:r>
      <w:r w:rsidR="005B3CD1" w:rsidRPr="00A3146E">
        <w:rPr>
          <w:rFonts w:ascii="Arial" w:hAnsi="Arial" w:cs="Arial"/>
          <w:sz w:val="20"/>
          <w:szCs w:val="20"/>
          <w:lang w:val="en-US"/>
        </w:rPr>
        <w:t>$2,116,352</w:t>
      </w:r>
      <w:r w:rsidRPr="00A3146E">
        <w:rPr>
          <w:rFonts w:ascii="Arial" w:hAnsi="Arial" w:cs="Arial"/>
          <w:sz w:val="20"/>
          <w:szCs w:val="20"/>
          <w:lang w:val="en-US"/>
        </w:rPr>
        <w:t xml:space="preserve">) and </w:t>
      </w:r>
      <w:r w:rsidR="00A3146E">
        <w:rPr>
          <w:rFonts w:ascii="Arial" w:hAnsi="Arial" w:cs="Arial"/>
          <w:sz w:val="20"/>
          <w:szCs w:val="20"/>
          <w:lang w:val="en-US"/>
        </w:rPr>
        <w:t>has long term liabilities of $</w:t>
      </w:r>
      <w:r w:rsidR="00A036F2">
        <w:rPr>
          <w:rFonts w:ascii="Arial" w:hAnsi="Arial" w:cs="Arial"/>
          <w:sz w:val="20"/>
          <w:szCs w:val="20"/>
          <w:lang w:val="en-US"/>
        </w:rPr>
        <w:t>1,568,058</w:t>
      </w:r>
      <w:r w:rsidR="00A3146E">
        <w:rPr>
          <w:rFonts w:ascii="Arial" w:hAnsi="Arial" w:cs="Arial"/>
          <w:sz w:val="20"/>
          <w:szCs w:val="20"/>
          <w:lang w:val="en-US"/>
        </w:rPr>
        <w:t xml:space="preserve"> (December 31, 2020 - $Nil).  </w:t>
      </w:r>
      <w:r w:rsidRPr="00A3146E">
        <w:rPr>
          <w:rFonts w:ascii="Arial" w:hAnsi="Arial" w:cs="Arial"/>
          <w:sz w:val="20"/>
          <w:szCs w:val="20"/>
          <w:lang w:val="en-US"/>
        </w:rPr>
        <w:t xml:space="preserve">The Company may seek additional financing through debt or equity offerings, but there can be no assurance that such financing will be available on terms acceptable to the Company or at all. Any equity offering will result in dilution to the ownership interests of the Company’s shareholders and may result in dilution to the value of such interests. The Company’s approach to managing liquidity risk is to ensure that it will have sufficient liquidity to meet liabilities when due. As </w:t>
      </w:r>
      <w:proofErr w:type="gramStart"/>
      <w:r w:rsidRPr="00A3146E">
        <w:rPr>
          <w:rFonts w:ascii="Arial" w:hAnsi="Arial" w:cs="Arial"/>
          <w:sz w:val="20"/>
          <w:szCs w:val="20"/>
          <w:lang w:val="en-US"/>
        </w:rPr>
        <w:t>at</w:t>
      </w:r>
      <w:proofErr w:type="gramEnd"/>
      <w:r w:rsidRPr="00A3146E">
        <w:rPr>
          <w:rFonts w:ascii="Arial" w:hAnsi="Arial" w:cs="Arial"/>
          <w:sz w:val="20"/>
          <w:szCs w:val="20"/>
          <w:lang w:val="en-US"/>
        </w:rPr>
        <w:t xml:space="preserve"> </w:t>
      </w:r>
      <w:r w:rsidR="002E1D44">
        <w:rPr>
          <w:rFonts w:ascii="Arial" w:hAnsi="Arial" w:cs="Arial"/>
          <w:sz w:val="20"/>
          <w:szCs w:val="20"/>
          <w:lang w:val="en-US"/>
        </w:rPr>
        <w:t>June 30</w:t>
      </w:r>
      <w:r w:rsidR="005B3CD1" w:rsidRPr="00A3146E">
        <w:rPr>
          <w:rFonts w:ascii="Arial" w:hAnsi="Arial" w:cs="Arial"/>
          <w:sz w:val="20"/>
          <w:szCs w:val="20"/>
          <w:lang w:val="en-US"/>
        </w:rPr>
        <w:t>, 2021</w:t>
      </w:r>
      <w:r w:rsidRPr="00A3146E">
        <w:rPr>
          <w:rFonts w:ascii="Arial" w:hAnsi="Arial" w:cs="Arial"/>
          <w:sz w:val="20"/>
          <w:szCs w:val="20"/>
          <w:lang w:val="en-US"/>
        </w:rPr>
        <w:t>, the Company had cash of $</w:t>
      </w:r>
      <w:r w:rsidR="002E1D44">
        <w:rPr>
          <w:rFonts w:ascii="Arial" w:hAnsi="Arial" w:cs="Arial"/>
          <w:sz w:val="20"/>
          <w:szCs w:val="20"/>
          <w:lang w:val="en-US"/>
        </w:rPr>
        <w:t>3,555,951</w:t>
      </w:r>
      <w:r w:rsidRPr="00A3146E">
        <w:rPr>
          <w:rFonts w:ascii="Arial" w:hAnsi="Arial" w:cs="Arial"/>
          <w:sz w:val="20"/>
          <w:szCs w:val="20"/>
          <w:lang w:val="en-US"/>
        </w:rPr>
        <w:t xml:space="preserve"> </w:t>
      </w:r>
      <w:r w:rsidR="005B3CD1" w:rsidRPr="00A3146E">
        <w:rPr>
          <w:rFonts w:ascii="Arial" w:hAnsi="Arial" w:cs="Arial"/>
          <w:sz w:val="20"/>
          <w:szCs w:val="20"/>
          <w:lang w:val="en-US"/>
        </w:rPr>
        <w:t>(</w:t>
      </w:r>
      <w:r w:rsidR="0028156E" w:rsidRPr="00A3146E">
        <w:rPr>
          <w:rFonts w:ascii="Arial" w:hAnsi="Arial" w:cs="Arial"/>
          <w:sz w:val="20"/>
          <w:szCs w:val="20"/>
          <w:lang w:val="en-US"/>
        </w:rPr>
        <w:t xml:space="preserve">December 31, </w:t>
      </w:r>
      <w:r w:rsidR="005B3CD1" w:rsidRPr="00A3146E">
        <w:rPr>
          <w:rFonts w:ascii="Arial" w:hAnsi="Arial" w:cs="Arial"/>
          <w:sz w:val="20"/>
          <w:szCs w:val="20"/>
          <w:lang w:val="en-US"/>
        </w:rPr>
        <w:t xml:space="preserve">2020 - $2,082,206) </w:t>
      </w:r>
      <w:r w:rsidRPr="00A3146E">
        <w:rPr>
          <w:rFonts w:ascii="Arial" w:hAnsi="Arial" w:cs="Arial"/>
          <w:sz w:val="20"/>
          <w:szCs w:val="20"/>
          <w:lang w:val="en-US"/>
        </w:rPr>
        <w:t>and accounts payable and accrued liabilities of $</w:t>
      </w:r>
      <w:r w:rsidR="002E1D44">
        <w:rPr>
          <w:rFonts w:ascii="Arial" w:hAnsi="Arial" w:cs="Arial"/>
          <w:sz w:val="20"/>
          <w:szCs w:val="20"/>
          <w:lang w:val="en-US"/>
        </w:rPr>
        <w:t>493,7</w:t>
      </w:r>
      <w:r w:rsidR="008C58A6">
        <w:rPr>
          <w:rFonts w:ascii="Arial" w:hAnsi="Arial" w:cs="Arial"/>
          <w:sz w:val="20"/>
          <w:szCs w:val="20"/>
          <w:lang w:val="en-US"/>
        </w:rPr>
        <w:t>80</w:t>
      </w:r>
      <w:r w:rsidR="005B3CD1" w:rsidRPr="00A3146E">
        <w:rPr>
          <w:rFonts w:ascii="Arial" w:hAnsi="Arial" w:cs="Arial"/>
          <w:sz w:val="20"/>
          <w:szCs w:val="20"/>
          <w:lang w:val="en-US"/>
        </w:rPr>
        <w:t xml:space="preserve"> (</w:t>
      </w:r>
      <w:r w:rsidR="0028156E" w:rsidRPr="00A3146E">
        <w:rPr>
          <w:rFonts w:ascii="Arial" w:hAnsi="Arial" w:cs="Arial"/>
          <w:sz w:val="20"/>
          <w:szCs w:val="20"/>
          <w:lang w:val="en-US"/>
        </w:rPr>
        <w:t xml:space="preserve">December 31, </w:t>
      </w:r>
      <w:r w:rsidR="005B3CD1" w:rsidRPr="00A3146E">
        <w:rPr>
          <w:rFonts w:ascii="Arial" w:hAnsi="Arial" w:cs="Arial"/>
          <w:sz w:val="20"/>
          <w:szCs w:val="20"/>
          <w:lang w:val="en-US"/>
        </w:rPr>
        <w:t>2020 - $73,355)</w:t>
      </w:r>
      <w:r w:rsidRPr="00A3146E">
        <w:rPr>
          <w:rFonts w:ascii="Arial" w:hAnsi="Arial" w:cs="Arial"/>
          <w:sz w:val="20"/>
          <w:szCs w:val="20"/>
          <w:lang w:val="en-US"/>
        </w:rPr>
        <w:t>.</w:t>
      </w:r>
    </w:p>
    <w:p w14:paraId="7B4A599D" w14:textId="77777777" w:rsidR="002B3FC0" w:rsidRPr="00300914" w:rsidRDefault="002B3FC0" w:rsidP="002B3FC0">
      <w:pPr>
        <w:widowControl/>
        <w:ind w:right="114"/>
        <w:rPr>
          <w:rFonts w:ascii="Arial" w:hAnsi="Arial" w:cs="Arial"/>
          <w:i/>
          <w:sz w:val="20"/>
          <w:szCs w:val="20"/>
          <w:lang w:val="en-US"/>
        </w:rPr>
      </w:pPr>
    </w:p>
    <w:p w14:paraId="6E5CE48D" w14:textId="77777777" w:rsidR="002B3FC0" w:rsidRPr="00300914" w:rsidRDefault="002B3FC0" w:rsidP="002B3FC0">
      <w:pPr>
        <w:widowControl/>
        <w:ind w:right="-64"/>
        <w:rPr>
          <w:rFonts w:ascii="Arial" w:hAnsi="Arial" w:cs="Arial"/>
          <w:i/>
          <w:sz w:val="20"/>
          <w:szCs w:val="20"/>
          <w:lang w:val="en-US"/>
        </w:rPr>
      </w:pPr>
      <w:r w:rsidRPr="00300914">
        <w:rPr>
          <w:rFonts w:ascii="Arial" w:hAnsi="Arial" w:cs="Arial"/>
          <w:i/>
          <w:sz w:val="20"/>
          <w:szCs w:val="20"/>
          <w:lang w:val="en-US"/>
        </w:rPr>
        <w:t>Foreign currency risk</w:t>
      </w:r>
    </w:p>
    <w:p w14:paraId="7CB8F3A0" w14:textId="77777777" w:rsidR="002B3FC0" w:rsidRPr="00300914" w:rsidRDefault="002B3FC0" w:rsidP="002B3FC0">
      <w:pPr>
        <w:widowControl/>
        <w:ind w:right="-64"/>
        <w:rPr>
          <w:rFonts w:ascii="Arial" w:hAnsi="Arial" w:cs="Arial"/>
          <w:sz w:val="20"/>
          <w:szCs w:val="20"/>
          <w:lang w:val="en-US"/>
        </w:rPr>
      </w:pPr>
      <w:r w:rsidRPr="00300914">
        <w:rPr>
          <w:rFonts w:ascii="Arial" w:hAnsi="Arial" w:cs="Arial"/>
          <w:sz w:val="20"/>
          <w:szCs w:val="20"/>
          <w:lang w:val="en-US"/>
        </w:rPr>
        <w:t>Currency risk relates to the risk that the fair values or future cash flows of the Company’s financial instruments will fluctuate because of changes in foreign exchange rates. Exchange rate fluctuations affect the costs that the Company incurs in its operations as well as the currency in which the Company has historically raised capital.</w:t>
      </w:r>
    </w:p>
    <w:p w14:paraId="5E672B72" w14:textId="77777777" w:rsidR="002B3FC0" w:rsidRPr="00300914" w:rsidRDefault="002B3FC0" w:rsidP="002B3FC0">
      <w:pPr>
        <w:widowControl/>
        <w:ind w:right="-64"/>
        <w:rPr>
          <w:rFonts w:ascii="Arial" w:hAnsi="Arial" w:cs="Arial"/>
          <w:sz w:val="20"/>
          <w:szCs w:val="20"/>
          <w:lang w:val="en-US"/>
        </w:rPr>
      </w:pPr>
    </w:p>
    <w:p w14:paraId="36FAAB07" w14:textId="77777777" w:rsidR="002B3FC0" w:rsidRPr="00300914" w:rsidRDefault="002B3FC0" w:rsidP="002B3FC0">
      <w:pPr>
        <w:widowControl/>
        <w:ind w:right="-64"/>
        <w:rPr>
          <w:rFonts w:ascii="Arial" w:hAnsi="Arial" w:cs="Arial"/>
          <w:sz w:val="20"/>
          <w:szCs w:val="20"/>
          <w:lang w:val="en-US"/>
        </w:rPr>
      </w:pPr>
      <w:r w:rsidRPr="00300914">
        <w:rPr>
          <w:rFonts w:ascii="Arial" w:hAnsi="Arial" w:cs="Arial"/>
          <w:sz w:val="20"/>
          <w:szCs w:val="20"/>
          <w:lang w:val="en-US"/>
        </w:rPr>
        <w:t xml:space="preserve">The Company’s presentation currency is the US dollar and major purchases are transacted in US dollars. Financing incurred to date has been completed in Canadian dollars. The fluctuation of the Canadian dollar in relation to the US dollar will consequently impact the profitability of the Company and may also affect the value of the Company’s assets and liabilities and the amount of shareholders’ equity. </w:t>
      </w:r>
    </w:p>
    <w:p w14:paraId="497FF3A0" w14:textId="77777777" w:rsidR="00AE5F3F" w:rsidRPr="002B3FC0" w:rsidRDefault="00AE5F3F" w:rsidP="002B3FC0">
      <w:pPr>
        <w:ind w:right="-64"/>
        <w:rPr>
          <w:rFonts w:ascii="Arial" w:hAnsi="Arial" w:cs="Arial"/>
          <w:bCs/>
          <w:sz w:val="20"/>
          <w:szCs w:val="20"/>
          <w:lang w:val="en-US"/>
        </w:rPr>
      </w:pPr>
    </w:p>
    <w:p w14:paraId="4CB210EC" w14:textId="77777777" w:rsidR="00AE5F3F" w:rsidRPr="00C31A39" w:rsidRDefault="00AE5F3F" w:rsidP="00AE5F3F">
      <w:pPr>
        <w:rPr>
          <w:rFonts w:ascii="Arial" w:hAnsi="Arial" w:cs="Arial"/>
          <w:i/>
          <w:iCs/>
          <w:sz w:val="20"/>
          <w:szCs w:val="20"/>
        </w:rPr>
      </w:pPr>
      <w:r w:rsidRPr="00C31A39">
        <w:rPr>
          <w:rFonts w:ascii="Arial" w:hAnsi="Arial" w:cs="Arial"/>
          <w:i/>
          <w:iCs/>
          <w:sz w:val="20"/>
          <w:szCs w:val="20"/>
        </w:rPr>
        <w:t>Market risk</w:t>
      </w:r>
    </w:p>
    <w:p w14:paraId="664018BB" w14:textId="4EAE51BE" w:rsidR="00AE5F3F" w:rsidRDefault="00AE5F3F" w:rsidP="00627002">
      <w:pPr>
        <w:widowControl/>
        <w:autoSpaceDE/>
        <w:autoSpaceDN/>
        <w:adjustRightInd/>
        <w:jc w:val="left"/>
        <w:rPr>
          <w:rFonts w:ascii="Arial" w:hAnsi="Arial" w:cs="Arial"/>
          <w:sz w:val="20"/>
          <w:szCs w:val="20"/>
          <w:shd w:val="clear" w:color="auto" w:fill="FFFFFF"/>
        </w:rPr>
      </w:pPr>
      <w:r w:rsidRPr="00B86CDF">
        <w:rPr>
          <w:rFonts w:ascii="Arial" w:hAnsi="Arial" w:cs="Arial"/>
          <w:sz w:val="20"/>
          <w:szCs w:val="20"/>
          <w:shd w:val="clear" w:color="auto" w:fill="FFFFFF"/>
        </w:rPr>
        <w:t>The risk that the fair value or future cash flows of a financial instrument will fluctuate because of changes in market prices. Market risk comprises three types of risk: </w:t>
      </w:r>
      <w:r w:rsidRPr="00B86CDF">
        <w:rPr>
          <w:rFonts w:ascii="Arial" w:hAnsi="Arial" w:cs="Arial"/>
          <w:bCs/>
          <w:sz w:val="20"/>
          <w:szCs w:val="20"/>
          <w:shd w:val="clear" w:color="auto" w:fill="FFFFFF"/>
        </w:rPr>
        <w:t>currency risk</w:t>
      </w:r>
      <w:r w:rsidRPr="00B86CDF">
        <w:rPr>
          <w:rFonts w:ascii="Arial" w:hAnsi="Arial" w:cs="Arial"/>
          <w:sz w:val="20"/>
          <w:szCs w:val="20"/>
          <w:shd w:val="clear" w:color="auto" w:fill="FFFFFF"/>
        </w:rPr>
        <w:t>, </w:t>
      </w:r>
      <w:r w:rsidRPr="00B86CDF">
        <w:rPr>
          <w:rFonts w:ascii="Arial" w:hAnsi="Arial" w:cs="Arial"/>
          <w:bCs/>
          <w:sz w:val="20"/>
          <w:szCs w:val="20"/>
          <w:shd w:val="clear" w:color="auto" w:fill="FFFFFF"/>
        </w:rPr>
        <w:t>interest rate risk</w:t>
      </w:r>
      <w:r w:rsidRPr="00B86CDF">
        <w:rPr>
          <w:rFonts w:ascii="Arial" w:hAnsi="Arial" w:cs="Arial"/>
          <w:sz w:val="20"/>
          <w:szCs w:val="20"/>
          <w:shd w:val="clear" w:color="auto" w:fill="FFFFFF"/>
        </w:rPr>
        <w:t> and </w:t>
      </w:r>
      <w:r w:rsidRPr="00B86CDF">
        <w:rPr>
          <w:rFonts w:ascii="Arial" w:hAnsi="Arial" w:cs="Arial"/>
          <w:bCs/>
          <w:sz w:val="20"/>
          <w:szCs w:val="20"/>
          <w:shd w:val="clear" w:color="auto" w:fill="FFFFFF"/>
        </w:rPr>
        <w:t>other price risk</w:t>
      </w:r>
      <w:r w:rsidRPr="00B86CDF">
        <w:rPr>
          <w:rFonts w:ascii="Arial" w:hAnsi="Arial" w:cs="Arial"/>
          <w:sz w:val="20"/>
          <w:szCs w:val="20"/>
          <w:shd w:val="clear" w:color="auto" w:fill="FFFFFF"/>
        </w:rPr>
        <w:t>.</w:t>
      </w:r>
      <w:r>
        <w:rPr>
          <w:rFonts w:ascii="Arial" w:hAnsi="Arial" w:cs="Arial"/>
          <w:sz w:val="20"/>
          <w:szCs w:val="20"/>
          <w:shd w:val="clear" w:color="auto" w:fill="FFFFFF"/>
        </w:rPr>
        <w:t xml:space="preserve">  Management does not believe the Company is exposed to significant interest or other price risk.</w:t>
      </w:r>
    </w:p>
    <w:p w14:paraId="1082C3D6" w14:textId="50911F7D" w:rsidR="00952CDD" w:rsidRDefault="00952CDD" w:rsidP="00627002">
      <w:pPr>
        <w:widowControl/>
        <w:autoSpaceDE/>
        <w:autoSpaceDN/>
        <w:adjustRightInd/>
        <w:jc w:val="left"/>
        <w:rPr>
          <w:rFonts w:ascii="Arial" w:hAnsi="Arial" w:cs="Arial"/>
          <w:sz w:val="20"/>
          <w:szCs w:val="20"/>
          <w:shd w:val="clear" w:color="auto" w:fill="FFFFFF"/>
        </w:rPr>
      </w:pPr>
    </w:p>
    <w:p w14:paraId="6A71E762" w14:textId="2EC686CD" w:rsidR="000F2890" w:rsidRDefault="000F2890" w:rsidP="00627002">
      <w:pPr>
        <w:widowControl/>
        <w:autoSpaceDE/>
        <w:autoSpaceDN/>
        <w:adjustRightInd/>
        <w:jc w:val="left"/>
        <w:rPr>
          <w:rFonts w:ascii="Arial" w:hAnsi="Arial" w:cs="Arial"/>
          <w:sz w:val="20"/>
          <w:szCs w:val="20"/>
          <w:shd w:val="clear" w:color="auto" w:fill="FFFFFF"/>
        </w:rPr>
      </w:pPr>
    </w:p>
    <w:p w14:paraId="112E250A" w14:textId="324FBDCF" w:rsidR="000F2890" w:rsidRDefault="000F2890" w:rsidP="00627002">
      <w:pPr>
        <w:widowControl/>
        <w:autoSpaceDE/>
        <w:autoSpaceDN/>
        <w:adjustRightInd/>
        <w:jc w:val="left"/>
        <w:rPr>
          <w:rFonts w:ascii="Arial" w:hAnsi="Arial" w:cs="Arial"/>
          <w:sz w:val="20"/>
          <w:szCs w:val="20"/>
          <w:shd w:val="clear" w:color="auto" w:fill="FFFFFF"/>
        </w:rPr>
      </w:pPr>
    </w:p>
    <w:p w14:paraId="38318B7C" w14:textId="5FC0F35B" w:rsidR="000F2890" w:rsidRDefault="000F2890" w:rsidP="00627002">
      <w:pPr>
        <w:widowControl/>
        <w:autoSpaceDE/>
        <w:autoSpaceDN/>
        <w:adjustRightInd/>
        <w:jc w:val="left"/>
        <w:rPr>
          <w:rFonts w:ascii="Arial" w:hAnsi="Arial" w:cs="Arial"/>
          <w:sz w:val="20"/>
          <w:szCs w:val="20"/>
          <w:shd w:val="clear" w:color="auto" w:fill="FFFFFF"/>
        </w:rPr>
      </w:pPr>
    </w:p>
    <w:p w14:paraId="0844C5B3" w14:textId="51611D1F" w:rsidR="000F2890" w:rsidRDefault="000F2890" w:rsidP="00627002">
      <w:pPr>
        <w:widowControl/>
        <w:autoSpaceDE/>
        <w:autoSpaceDN/>
        <w:adjustRightInd/>
        <w:jc w:val="left"/>
        <w:rPr>
          <w:rFonts w:ascii="Arial" w:hAnsi="Arial" w:cs="Arial"/>
          <w:sz w:val="20"/>
          <w:szCs w:val="20"/>
          <w:shd w:val="clear" w:color="auto" w:fill="FFFFFF"/>
        </w:rPr>
      </w:pPr>
    </w:p>
    <w:p w14:paraId="15A717D7" w14:textId="464A43F5" w:rsidR="000F2890" w:rsidRDefault="000F2890" w:rsidP="00627002">
      <w:pPr>
        <w:widowControl/>
        <w:autoSpaceDE/>
        <w:autoSpaceDN/>
        <w:adjustRightInd/>
        <w:jc w:val="left"/>
        <w:rPr>
          <w:rFonts w:ascii="Arial" w:hAnsi="Arial" w:cs="Arial"/>
          <w:sz w:val="20"/>
          <w:szCs w:val="20"/>
          <w:shd w:val="clear" w:color="auto" w:fill="FFFFFF"/>
        </w:rPr>
      </w:pPr>
    </w:p>
    <w:p w14:paraId="2A1DF854" w14:textId="5ACC7EB0" w:rsidR="000F2890" w:rsidRDefault="000F2890" w:rsidP="00627002">
      <w:pPr>
        <w:widowControl/>
        <w:autoSpaceDE/>
        <w:autoSpaceDN/>
        <w:adjustRightInd/>
        <w:jc w:val="left"/>
        <w:rPr>
          <w:rFonts w:ascii="Arial" w:hAnsi="Arial" w:cs="Arial"/>
          <w:sz w:val="20"/>
          <w:szCs w:val="20"/>
          <w:shd w:val="clear" w:color="auto" w:fill="FFFFFF"/>
        </w:rPr>
      </w:pPr>
    </w:p>
    <w:p w14:paraId="1F9A469A" w14:textId="5730D914" w:rsidR="00952CDD" w:rsidRPr="009331D0" w:rsidRDefault="00952CDD" w:rsidP="00D06676">
      <w:pPr>
        <w:pStyle w:val="ListParagraph"/>
        <w:widowControl/>
        <w:numPr>
          <w:ilvl w:val="0"/>
          <w:numId w:val="18"/>
        </w:numPr>
        <w:autoSpaceDE/>
        <w:autoSpaceDN/>
        <w:adjustRightInd/>
        <w:ind w:left="567" w:hanging="567"/>
        <w:jc w:val="left"/>
        <w:rPr>
          <w:rFonts w:ascii="Arial" w:hAnsi="Arial" w:cs="Arial"/>
          <w:b/>
          <w:bCs/>
          <w:sz w:val="20"/>
          <w:szCs w:val="20"/>
          <w:shd w:val="clear" w:color="auto" w:fill="FFFFFF"/>
        </w:rPr>
      </w:pPr>
      <w:r w:rsidRPr="009331D0">
        <w:rPr>
          <w:rFonts w:ascii="Arial" w:hAnsi="Arial" w:cs="Arial"/>
          <w:b/>
          <w:bCs/>
          <w:sz w:val="20"/>
          <w:szCs w:val="20"/>
          <w:shd w:val="clear" w:color="auto" w:fill="FFFFFF"/>
        </w:rPr>
        <w:lastRenderedPageBreak/>
        <w:t>SEGMENTED INFORMATION</w:t>
      </w:r>
    </w:p>
    <w:p w14:paraId="0804CA82" w14:textId="77777777" w:rsidR="00952CDD" w:rsidRPr="003F7AF7" w:rsidRDefault="00952CDD" w:rsidP="00952CDD">
      <w:pPr>
        <w:pStyle w:val="ListParagraph"/>
        <w:widowControl/>
        <w:autoSpaceDE/>
        <w:autoSpaceDN/>
        <w:adjustRightInd/>
        <w:jc w:val="left"/>
        <w:rPr>
          <w:rFonts w:ascii="Arial" w:hAnsi="Arial" w:cs="Arial"/>
          <w:sz w:val="20"/>
          <w:szCs w:val="20"/>
          <w:shd w:val="clear" w:color="auto" w:fill="FFFFFF"/>
        </w:rPr>
      </w:pPr>
    </w:p>
    <w:p w14:paraId="7364AFFF" w14:textId="1E3FFB44" w:rsidR="003F7AF7" w:rsidRPr="003F7AF7" w:rsidRDefault="0027690F" w:rsidP="00EF1D17">
      <w:pPr>
        <w:pStyle w:val="Default"/>
        <w:jc w:val="both"/>
        <w:rPr>
          <w:sz w:val="20"/>
          <w:szCs w:val="20"/>
        </w:rPr>
      </w:pPr>
      <w:r w:rsidRPr="009331D0">
        <w:rPr>
          <w:sz w:val="20"/>
          <w:szCs w:val="20"/>
        </w:rPr>
        <w:t>The Company owns and operates a self-sustaining umbrella of businesses in the psychedelic ecosystem consisting of media, science, and health.</w:t>
      </w:r>
      <w:r>
        <w:rPr>
          <w:sz w:val="20"/>
          <w:szCs w:val="20"/>
        </w:rPr>
        <w:t xml:space="preserve">  </w:t>
      </w:r>
      <w:r w:rsidR="003F7AF7" w:rsidRPr="003F7AF7">
        <w:rPr>
          <w:sz w:val="20"/>
          <w:szCs w:val="20"/>
        </w:rPr>
        <w:t xml:space="preserve">Reportable segments are defined as components of an enterprise about which separate financial information is available that is evaluated regularly by the chief operating decision maker in deciding how to allocate resources, and in assessing performance. </w:t>
      </w:r>
    </w:p>
    <w:p w14:paraId="78C0ADF6" w14:textId="61332B9D" w:rsidR="003F7AF7" w:rsidRDefault="003F7AF7" w:rsidP="00EF1D17">
      <w:pPr>
        <w:pStyle w:val="Default"/>
        <w:ind w:left="567"/>
        <w:jc w:val="both"/>
        <w:rPr>
          <w:sz w:val="20"/>
          <w:szCs w:val="20"/>
        </w:rPr>
      </w:pPr>
    </w:p>
    <w:p w14:paraId="60EAF311" w14:textId="77777777" w:rsidR="00EF1D17" w:rsidRDefault="003F7AF7" w:rsidP="00EF1D17">
      <w:pPr>
        <w:widowControl/>
        <w:autoSpaceDE/>
        <w:autoSpaceDN/>
        <w:adjustRightInd/>
        <w:spacing w:line="259" w:lineRule="auto"/>
        <w:jc w:val="left"/>
        <w:rPr>
          <w:rFonts w:ascii="Arial" w:hAnsi="Arial" w:cs="Arial"/>
          <w:sz w:val="20"/>
          <w:szCs w:val="20"/>
        </w:rPr>
      </w:pPr>
      <w:r w:rsidRPr="003F7AF7">
        <w:rPr>
          <w:rFonts w:ascii="Arial" w:hAnsi="Arial" w:cs="Arial"/>
          <w:sz w:val="20"/>
          <w:szCs w:val="20"/>
        </w:rPr>
        <w:t xml:space="preserve">During </w:t>
      </w:r>
      <w:r w:rsidR="00A96AE4">
        <w:rPr>
          <w:rFonts w:ascii="Arial" w:hAnsi="Arial" w:cs="Arial"/>
          <w:sz w:val="20"/>
          <w:szCs w:val="20"/>
        </w:rPr>
        <w:t>the six</w:t>
      </w:r>
      <w:r w:rsidRPr="003F7AF7">
        <w:rPr>
          <w:rFonts w:ascii="Arial" w:hAnsi="Arial" w:cs="Arial"/>
          <w:sz w:val="20"/>
          <w:szCs w:val="20"/>
        </w:rPr>
        <w:t xml:space="preserve"> months ended </w:t>
      </w:r>
      <w:r w:rsidR="00A96AE4">
        <w:rPr>
          <w:rFonts w:ascii="Arial" w:hAnsi="Arial" w:cs="Arial"/>
          <w:sz w:val="20"/>
          <w:szCs w:val="20"/>
        </w:rPr>
        <w:t>June 30</w:t>
      </w:r>
      <w:r w:rsidRPr="003F7AF7">
        <w:rPr>
          <w:rFonts w:ascii="Arial" w:hAnsi="Arial" w:cs="Arial"/>
          <w:sz w:val="20"/>
          <w:szCs w:val="20"/>
        </w:rPr>
        <w:t xml:space="preserve">, 2021, the Company operates in </w:t>
      </w:r>
      <w:r w:rsidR="00EF1D17">
        <w:rPr>
          <w:rFonts w:ascii="Arial" w:hAnsi="Arial" w:cs="Arial"/>
          <w:sz w:val="20"/>
          <w:szCs w:val="20"/>
        </w:rPr>
        <w:t>the following</w:t>
      </w:r>
      <w:r w:rsidRPr="003F7AF7">
        <w:rPr>
          <w:rFonts w:ascii="Arial" w:hAnsi="Arial" w:cs="Arial"/>
          <w:sz w:val="20"/>
          <w:szCs w:val="20"/>
        </w:rPr>
        <w:t xml:space="preserve"> reportable segment</w:t>
      </w:r>
      <w:r w:rsidR="00EF1D17">
        <w:rPr>
          <w:rFonts w:ascii="Arial" w:hAnsi="Arial" w:cs="Arial"/>
          <w:sz w:val="20"/>
          <w:szCs w:val="20"/>
        </w:rPr>
        <w:t>s:</w:t>
      </w:r>
    </w:p>
    <w:p w14:paraId="12D0E5D2" w14:textId="189A7FFA" w:rsidR="00EF1D17" w:rsidRPr="00EF1D17" w:rsidRDefault="00EF1D17" w:rsidP="00EF1D17">
      <w:pPr>
        <w:pStyle w:val="ListParagraph"/>
        <w:widowControl/>
        <w:numPr>
          <w:ilvl w:val="0"/>
          <w:numId w:val="16"/>
        </w:numPr>
        <w:autoSpaceDE/>
        <w:autoSpaceDN/>
        <w:adjustRightInd/>
        <w:spacing w:line="259" w:lineRule="auto"/>
        <w:jc w:val="left"/>
        <w:rPr>
          <w:rFonts w:ascii="Arial" w:hAnsi="Arial" w:cs="Arial"/>
          <w:bCs/>
          <w:sz w:val="20"/>
          <w:szCs w:val="20"/>
        </w:rPr>
      </w:pPr>
      <w:r>
        <w:rPr>
          <w:rFonts w:ascii="Arial" w:hAnsi="Arial" w:cs="Arial"/>
          <w:sz w:val="20"/>
          <w:szCs w:val="20"/>
        </w:rPr>
        <w:t>Media – U.S.</w:t>
      </w:r>
    </w:p>
    <w:p w14:paraId="73125A10" w14:textId="472F068F" w:rsidR="00EF1D17" w:rsidRPr="00EF1D17" w:rsidRDefault="00EF1D17" w:rsidP="00EF1D17">
      <w:pPr>
        <w:pStyle w:val="ListParagraph"/>
        <w:widowControl/>
        <w:numPr>
          <w:ilvl w:val="0"/>
          <w:numId w:val="16"/>
        </w:numPr>
        <w:autoSpaceDE/>
        <w:autoSpaceDN/>
        <w:adjustRightInd/>
        <w:spacing w:line="259" w:lineRule="auto"/>
        <w:jc w:val="left"/>
        <w:rPr>
          <w:rFonts w:ascii="Arial" w:hAnsi="Arial" w:cs="Arial"/>
          <w:bCs/>
          <w:sz w:val="20"/>
          <w:szCs w:val="20"/>
        </w:rPr>
      </w:pPr>
      <w:r>
        <w:rPr>
          <w:rFonts w:ascii="Arial" w:hAnsi="Arial" w:cs="Arial"/>
          <w:sz w:val="20"/>
          <w:szCs w:val="20"/>
        </w:rPr>
        <w:t>Health – U.S.</w:t>
      </w:r>
    </w:p>
    <w:p w14:paraId="7231C62E" w14:textId="22621CAF" w:rsidR="00EF1D17" w:rsidRPr="00EF1D17" w:rsidRDefault="00EF1D17" w:rsidP="00EF1D17">
      <w:pPr>
        <w:pStyle w:val="ListParagraph"/>
        <w:widowControl/>
        <w:numPr>
          <w:ilvl w:val="0"/>
          <w:numId w:val="16"/>
        </w:numPr>
        <w:autoSpaceDE/>
        <w:autoSpaceDN/>
        <w:adjustRightInd/>
        <w:spacing w:line="259" w:lineRule="auto"/>
        <w:jc w:val="left"/>
        <w:rPr>
          <w:rFonts w:ascii="Arial" w:hAnsi="Arial" w:cs="Arial"/>
          <w:bCs/>
          <w:sz w:val="20"/>
          <w:szCs w:val="20"/>
        </w:rPr>
      </w:pPr>
      <w:r>
        <w:rPr>
          <w:rFonts w:ascii="Arial" w:hAnsi="Arial" w:cs="Arial"/>
          <w:sz w:val="20"/>
          <w:szCs w:val="20"/>
        </w:rPr>
        <w:t>Sciences – Canada</w:t>
      </w:r>
    </w:p>
    <w:p w14:paraId="381D5202" w14:textId="4612A0ED" w:rsidR="0027690F" w:rsidRDefault="00EF1D17" w:rsidP="00653601">
      <w:pPr>
        <w:pStyle w:val="ListParagraph"/>
        <w:widowControl/>
        <w:autoSpaceDE/>
        <w:autoSpaceDN/>
        <w:adjustRightInd/>
        <w:spacing w:line="259" w:lineRule="auto"/>
        <w:jc w:val="left"/>
        <w:rPr>
          <w:rFonts w:ascii="Arial" w:hAnsi="Arial" w:cs="Arial"/>
          <w:bCs/>
          <w:sz w:val="20"/>
          <w:szCs w:val="20"/>
        </w:rPr>
      </w:pPr>
      <w:r>
        <w:rPr>
          <w:rFonts w:ascii="Arial" w:hAnsi="Arial" w:cs="Arial"/>
          <w:sz w:val="20"/>
          <w:szCs w:val="20"/>
        </w:rPr>
        <w:t xml:space="preserve">Corporate </w:t>
      </w:r>
      <w:r w:rsidR="007942DB">
        <w:rPr>
          <w:rFonts w:ascii="Arial" w:hAnsi="Arial" w:cs="Arial"/>
          <w:sz w:val="20"/>
          <w:szCs w:val="20"/>
        </w:rPr>
        <w:t>–</w:t>
      </w:r>
      <w:r>
        <w:rPr>
          <w:rFonts w:ascii="Arial" w:hAnsi="Arial" w:cs="Arial"/>
          <w:sz w:val="20"/>
          <w:szCs w:val="20"/>
        </w:rPr>
        <w:t xml:space="preserve"> Canada</w:t>
      </w:r>
    </w:p>
    <w:tbl>
      <w:tblPr>
        <w:tblW w:w="9443" w:type="dxa"/>
        <w:jc w:val="center"/>
        <w:tblLook w:val="04A0" w:firstRow="1" w:lastRow="0" w:firstColumn="1" w:lastColumn="0" w:noHBand="0" w:noVBand="1"/>
      </w:tblPr>
      <w:tblGrid>
        <w:gridCol w:w="2391"/>
        <w:gridCol w:w="1332"/>
        <w:gridCol w:w="1296"/>
        <w:gridCol w:w="1256"/>
        <w:gridCol w:w="1584"/>
        <w:gridCol w:w="1584"/>
      </w:tblGrid>
      <w:tr w:rsidR="00653601" w:rsidRPr="00653601" w14:paraId="0AB1007B"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2CEF8B7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w:t>
            </w:r>
          </w:p>
        </w:tc>
        <w:tc>
          <w:tcPr>
            <w:tcW w:w="1332" w:type="dxa"/>
            <w:tcBorders>
              <w:top w:val="nil"/>
              <w:left w:val="nil"/>
              <w:bottom w:val="single" w:sz="4" w:space="0" w:color="auto"/>
              <w:right w:val="nil"/>
            </w:tcBorders>
            <w:shd w:val="clear" w:color="auto" w:fill="auto"/>
            <w:noWrap/>
            <w:vAlign w:val="bottom"/>
            <w:hideMark/>
          </w:tcPr>
          <w:p w14:paraId="7CC5E982" w14:textId="77777777" w:rsidR="00653601" w:rsidRPr="00653601" w:rsidRDefault="00653601" w:rsidP="00653601">
            <w:pPr>
              <w:widowControl/>
              <w:autoSpaceDE/>
              <w:autoSpaceDN/>
              <w:adjustRightInd/>
              <w:jc w:val="center"/>
              <w:rPr>
                <w:rFonts w:ascii="Arial" w:hAnsi="Arial" w:cs="Arial"/>
                <w:color w:val="000000"/>
                <w:sz w:val="20"/>
                <w:szCs w:val="20"/>
                <w:lang w:eastAsia="en-CA"/>
              </w:rPr>
            </w:pPr>
            <w:r w:rsidRPr="00653601">
              <w:rPr>
                <w:rFonts w:ascii="Arial" w:hAnsi="Arial" w:cs="Arial"/>
                <w:color w:val="000000"/>
                <w:sz w:val="20"/>
                <w:szCs w:val="20"/>
                <w:lang w:eastAsia="en-CA"/>
              </w:rPr>
              <w:t>Media</w:t>
            </w:r>
          </w:p>
        </w:tc>
        <w:tc>
          <w:tcPr>
            <w:tcW w:w="1296" w:type="dxa"/>
            <w:tcBorders>
              <w:top w:val="nil"/>
              <w:left w:val="nil"/>
              <w:bottom w:val="single" w:sz="4" w:space="0" w:color="auto"/>
              <w:right w:val="nil"/>
            </w:tcBorders>
            <w:shd w:val="clear" w:color="auto" w:fill="auto"/>
            <w:noWrap/>
            <w:vAlign w:val="bottom"/>
            <w:hideMark/>
          </w:tcPr>
          <w:p w14:paraId="4F9C108B" w14:textId="77777777" w:rsidR="00653601" w:rsidRPr="00653601" w:rsidRDefault="00653601" w:rsidP="00653601">
            <w:pPr>
              <w:widowControl/>
              <w:autoSpaceDE/>
              <w:autoSpaceDN/>
              <w:adjustRightInd/>
              <w:jc w:val="center"/>
              <w:rPr>
                <w:rFonts w:ascii="Arial" w:hAnsi="Arial" w:cs="Arial"/>
                <w:color w:val="000000"/>
                <w:sz w:val="20"/>
                <w:szCs w:val="20"/>
                <w:lang w:eastAsia="en-CA"/>
              </w:rPr>
            </w:pPr>
            <w:r w:rsidRPr="00653601">
              <w:rPr>
                <w:rFonts w:ascii="Arial" w:hAnsi="Arial" w:cs="Arial"/>
                <w:color w:val="000000"/>
                <w:sz w:val="20"/>
                <w:szCs w:val="20"/>
                <w:lang w:eastAsia="en-CA"/>
              </w:rPr>
              <w:t>Sciences</w:t>
            </w:r>
          </w:p>
        </w:tc>
        <w:tc>
          <w:tcPr>
            <w:tcW w:w="1256" w:type="dxa"/>
            <w:tcBorders>
              <w:top w:val="nil"/>
              <w:left w:val="nil"/>
              <w:bottom w:val="single" w:sz="4" w:space="0" w:color="auto"/>
              <w:right w:val="nil"/>
            </w:tcBorders>
            <w:shd w:val="clear" w:color="auto" w:fill="auto"/>
            <w:noWrap/>
            <w:vAlign w:val="bottom"/>
            <w:hideMark/>
          </w:tcPr>
          <w:p w14:paraId="31338920" w14:textId="77777777" w:rsidR="00653601" w:rsidRPr="00653601" w:rsidRDefault="00653601" w:rsidP="00653601">
            <w:pPr>
              <w:widowControl/>
              <w:autoSpaceDE/>
              <w:autoSpaceDN/>
              <w:adjustRightInd/>
              <w:jc w:val="center"/>
              <w:rPr>
                <w:rFonts w:ascii="Arial" w:hAnsi="Arial" w:cs="Arial"/>
                <w:color w:val="000000"/>
                <w:sz w:val="20"/>
                <w:szCs w:val="20"/>
                <w:lang w:eastAsia="en-CA"/>
              </w:rPr>
            </w:pPr>
            <w:r w:rsidRPr="00653601">
              <w:rPr>
                <w:rFonts w:ascii="Arial" w:hAnsi="Arial" w:cs="Arial"/>
                <w:color w:val="000000"/>
                <w:sz w:val="20"/>
                <w:szCs w:val="20"/>
                <w:lang w:eastAsia="en-CA"/>
              </w:rPr>
              <w:t>Health</w:t>
            </w:r>
          </w:p>
        </w:tc>
        <w:tc>
          <w:tcPr>
            <w:tcW w:w="1584" w:type="dxa"/>
            <w:tcBorders>
              <w:top w:val="nil"/>
              <w:left w:val="nil"/>
              <w:bottom w:val="single" w:sz="4" w:space="0" w:color="auto"/>
              <w:right w:val="nil"/>
            </w:tcBorders>
            <w:shd w:val="clear" w:color="auto" w:fill="auto"/>
            <w:noWrap/>
            <w:vAlign w:val="bottom"/>
            <w:hideMark/>
          </w:tcPr>
          <w:p w14:paraId="2120684B" w14:textId="77777777" w:rsidR="00653601" w:rsidRPr="00653601" w:rsidRDefault="00653601" w:rsidP="00653601">
            <w:pPr>
              <w:widowControl/>
              <w:autoSpaceDE/>
              <w:autoSpaceDN/>
              <w:adjustRightInd/>
              <w:jc w:val="center"/>
              <w:rPr>
                <w:rFonts w:ascii="Arial" w:hAnsi="Arial" w:cs="Arial"/>
                <w:color w:val="000000"/>
                <w:sz w:val="20"/>
                <w:szCs w:val="20"/>
                <w:lang w:eastAsia="en-CA"/>
              </w:rPr>
            </w:pPr>
            <w:r w:rsidRPr="00653601">
              <w:rPr>
                <w:rFonts w:ascii="Arial" w:hAnsi="Arial" w:cs="Arial"/>
                <w:color w:val="000000"/>
                <w:sz w:val="20"/>
                <w:szCs w:val="20"/>
                <w:lang w:eastAsia="en-CA"/>
              </w:rPr>
              <w:t>Corporate</w:t>
            </w:r>
          </w:p>
        </w:tc>
        <w:tc>
          <w:tcPr>
            <w:tcW w:w="1584" w:type="dxa"/>
            <w:tcBorders>
              <w:top w:val="nil"/>
              <w:left w:val="nil"/>
              <w:bottom w:val="single" w:sz="4" w:space="0" w:color="auto"/>
              <w:right w:val="nil"/>
            </w:tcBorders>
            <w:shd w:val="clear" w:color="auto" w:fill="auto"/>
            <w:noWrap/>
            <w:vAlign w:val="bottom"/>
            <w:hideMark/>
          </w:tcPr>
          <w:p w14:paraId="734DCCA6" w14:textId="77777777" w:rsidR="00653601" w:rsidRPr="00653601" w:rsidRDefault="00653601" w:rsidP="00653601">
            <w:pPr>
              <w:widowControl/>
              <w:autoSpaceDE/>
              <w:autoSpaceDN/>
              <w:adjustRightInd/>
              <w:jc w:val="center"/>
              <w:rPr>
                <w:rFonts w:ascii="Arial" w:hAnsi="Arial" w:cs="Arial"/>
                <w:color w:val="000000"/>
                <w:sz w:val="20"/>
                <w:szCs w:val="20"/>
                <w:lang w:eastAsia="en-CA"/>
              </w:rPr>
            </w:pPr>
            <w:r w:rsidRPr="00653601">
              <w:rPr>
                <w:rFonts w:ascii="Arial" w:hAnsi="Arial" w:cs="Arial"/>
                <w:color w:val="000000"/>
                <w:sz w:val="20"/>
                <w:szCs w:val="20"/>
                <w:lang w:eastAsia="en-CA"/>
              </w:rPr>
              <w:t>Total</w:t>
            </w:r>
          </w:p>
        </w:tc>
      </w:tr>
      <w:tr w:rsidR="00653601" w:rsidRPr="00653601" w14:paraId="75A2AEDD"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436C320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Revenue</w:t>
            </w:r>
          </w:p>
        </w:tc>
        <w:tc>
          <w:tcPr>
            <w:tcW w:w="1332" w:type="dxa"/>
            <w:tcBorders>
              <w:top w:val="nil"/>
              <w:left w:val="nil"/>
              <w:bottom w:val="nil"/>
              <w:right w:val="nil"/>
            </w:tcBorders>
            <w:shd w:val="clear" w:color="auto" w:fill="auto"/>
            <w:noWrap/>
            <w:vAlign w:val="bottom"/>
            <w:hideMark/>
          </w:tcPr>
          <w:p w14:paraId="28C8B527"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p>
        </w:tc>
        <w:tc>
          <w:tcPr>
            <w:tcW w:w="1296" w:type="dxa"/>
            <w:tcBorders>
              <w:top w:val="nil"/>
              <w:left w:val="nil"/>
              <w:bottom w:val="nil"/>
              <w:right w:val="nil"/>
            </w:tcBorders>
            <w:shd w:val="clear" w:color="auto" w:fill="auto"/>
            <w:noWrap/>
            <w:vAlign w:val="bottom"/>
            <w:hideMark/>
          </w:tcPr>
          <w:p w14:paraId="36DA54E3" w14:textId="77777777" w:rsidR="00653601" w:rsidRPr="00653601" w:rsidRDefault="00653601" w:rsidP="00653601">
            <w:pPr>
              <w:widowControl/>
              <w:autoSpaceDE/>
              <w:autoSpaceDN/>
              <w:adjustRightInd/>
              <w:jc w:val="left"/>
              <w:rPr>
                <w:sz w:val="20"/>
                <w:szCs w:val="20"/>
                <w:lang w:eastAsia="en-CA"/>
              </w:rPr>
            </w:pPr>
          </w:p>
        </w:tc>
        <w:tc>
          <w:tcPr>
            <w:tcW w:w="1256" w:type="dxa"/>
            <w:tcBorders>
              <w:top w:val="nil"/>
              <w:left w:val="nil"/>
              <w:bottom w:val="nil"/>
              <w:right w:val="nil"/>
            </w:tcBorders>
            <w:shd w:val="clear" w:color="auto" w:fill="auto"/>
            <w:noWrap/>
            <w:vAlign w:val="bottom"/>
            <w:hideMark/>
          </w:tcPr>
          <w:p w14:paraId="70F75962"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5C2D0B65"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471B1934" w14:textId="77777777" w:rsidR="00653601" w:rsidRPr="00653601" w:rsidRDefault="00653601" w:rsidP="00653601">
            <w:pPr>
              <w:widowControl/>
              <w:autoSpaceDE/>
              <w:autoSpaceDN/>
              <w:adjustRightInd/>
              <w:jc w:val="left"/>
              <w:rPr>
                <w:sz w:val="20"/>
                <w:szCs w:val="20"/>
                <w:lang w:eastAsia="en-CA"/>
              </w:rPr>
            </w:pPr>
          </w:p>
        </w:tc>
      </w:tr>
      <w:tr w:rsidR="00653601" w:rsidRPr="00653601" w14:paraId="5343271E"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7D1B3F5B"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U.S.</w:t>
            </w:r>
          </w:p>
        </w:tc>
        <w:tc>
          <w:tcPr>
            <w:tcW w:w="1332" w:type="dxa"/>
            <w:tcBorders>
              <w:top w:val="nil"/>
              <w:left w:val="nil"/>
              <w:bottom w:val="nil"/>
              <w:right w:val="nil"/>
            </w:tcBorders>
            <w:shd w:val="clear" w:color="auto" w:fill="auto"/>
            <w:noWrap/>
            <w:vAlign w:val="bottom"/>
            <w:hideMark/>
          </w:tcPr>
          <w:p w14:paraId="195A75A1"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30,235 </w:t>
            </w:r>
          </w:p>
        </w:tc>
        <w:tc>
          <w:tcPr>
            <w:tcW w:w="1296" w:type="dxa"/>
            <w:tcBorders>
              <w:top w:val="nil"/>
              <w:left w:val="nil"/>
              <w:bottom w:val="nil"/>
              <w:right w:val="nil"/>
            </w:tcBorders>
            <w:shd w:val="clear" w:color="auto" w:fill="auto"/>
            <w:noWrap/>
            <w:vAlign w:val="bottom"/>
            <w:hideMark/>
          </w:tcPr>
          <w:p w14:paraId="3E5F66C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56" w:type="dxa"/>
            <w:tcBorders>
              <w:top w:val="nil"/>
              <w:left w:val="nil"/>
              <w:bottom w:val="nil"/>
              <w:right w:val="nil"/>
            </w:tcBorders>
            <w:shd w:val="clear" w:color="auto" w:fill="auto"/>
            <w:noWrap/>
            <w:vAlign w:val="bottom"/>
            <w:hideMark/>
          </w:tcPr>
          <w:p w14:paraId="6CF77A9F"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6D280FC8"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34F26CC2"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30,235 </w:t>
            </w:r>
          </w:p>
        </w:tc>
      </w:tr>
      <w:tr w:rsidR="00653601" w:rsidRPr="00653601" w14:paraId="586E6C05"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52407F2B"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Canada</w:t>
            </w:r>
          </w:p>
        </w:tc>
        <w:tc>
          <w:tcPr>
            <w:tcW w:w="1332" w:type="dxa"/>
            <w:tcBorders>
              <w:top w:val="nil"/>
              <w:left w:val="nil"/>
              <w:bottom w:val="single" w:sz="4" w:space="0" w:color="auto"/>
              <w:right w:val="nil"/>
            </w:tcBorders>
            <w:shd w:val="clear" w:color="auto" w:fill="auto"/>
            <w:noWrap/>
            <w:vAlign w:val="bottom"/>
            <w:hideMark/>
          </w:tcPr>
          <w:p w14:paraId="0F5B6339"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96" w:type="dxa"/>
            <w:tcBorders>
              <w:top w:val="nil"/>
              <w:left w:val="nil"/>
              <w:bottom w:val="single" w:sz="4" w:space="0" w:color="auto"/>
              <w:right w:val="nil"/>
            </w:tcBorders>
            <w:shd w:val="clear" w:color="auto" w:fill="auto"/>
            <w:noWrap/>
            <w:vAlign w:val="bottom"/>
            <w:hideMark/>
          </w:tcPr>
          <w:p w14:paraId="3FFA49F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119,055 </w:t>
            </w:r>
          </w:p>
        </w:tc>
        <w:tc>
          <w:tcPr>
            <w:tcW w:w="1256" w:type="dxa"/>
            <w:tcBorders>
              <w:top w:val="nil"/>
              <w:left w:val="nil"/>
              <w:bottom w:val="single" w:sz="4" w:space="0" w:color="auto"/>
              <w:right w:val="nil"/>
            </w:tcBorders>
            <w:shd w:val="clear" w:color="auto" w:fill="auto"/>
            <w:noWrap/>
            <w:vAlign w:val="bottom"/>
            <w:hideMark/>
          </w:tcPr>
          <w:p w14:paraId="7FF359E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35CD957E"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2AECC5D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119,055 </w:t>
            </w:r>
          </w:p>
        </w:tc>
      </w:tr>
      <w:tr w:rsidR="00653601" w:rsidRPr="00653601" w14:paraId="11B668D4"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1F32EE62"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Total revenue</w:t>
            </w:r>
          </w:p>
        </w:tc>
        <w:tc>
          <w:tcPr>
            <w:tcW w:w="1332" w:type="dxa"/>
            <w:tcBorders>
              <w:top w:val="nil"/>
              <w:left w:val="nil"/>
              <w:bottom w:val="single" w:sz="4" w:space="0" w:color="auto"/>
              <w:right w:val="nil"/>
            </w:tcBorders>
            <w:shd w:val="clear" w:color="auto" w:fill="auto"/>
            <w:noWrap/>
            <w:vAlign w:val="bottom"/>
            <w:hideMark/>
          </w:tcPr>
          <w:p w14:paraId="7FEFF50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30,235 </w:t>
            </w:r>
          </w:p>
        </w:tc>
        <w:tc>
          <w:tcPr>
            <w:tcW w:w="1296" w:type="dxa"/>
            <w:tcBorders>
              <w:top w:val="nil"/>
              <w:left w:val="nil"/>
              <w:bottom w:val="single" w:sz="4" w:space="0" w:color="auto"/>
              <w:right w:val="nil"/>
            </w:tcBorders>
            <w:shd w:val="clear" w:color="auto" w:fill="auto"/>
            <w:noWrap/>
            <w:vAlign w:val="bottom"/>
            <w:hideMark/>
          </w:tcPr>
          <w:p w14:paraId="3397D5B3"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119,055 </w:t>
            </w:r>
          </w:p>
        </w:tc>
        <w:tc>
          <w:tcPr>
            <w:tcW w:w="1256" w:type="dxa"/>
            <w:tcBorders>
              <w:top w:val="nil"/>
              <w:left w:val="nil"/>
              <w:bottom w:val="single" w:sz="4" w:space="0" w:color="auto"/>
              <w:right w:val="nil"/>
            </w:tcBorders>
            <w:shd w:val="clear" w:color="auto" w:fill="auto"/>
            <w:noWrap/>
            <w:vAlign w:val="bottom"/>
            <w:hideMark/>
          </w:tcPr>
          <w:p w14:paraId="62EE0ADE"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6123D47E"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369BCA8E"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149,290 </w:t>
            </w:r>
          </w:p>
        </w:tc>
      </w:tr>
      <w:tr w:rsidR="00653601" w:rsidRPr="00653601" w14:paraId="353ACCA6"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1DE04C2F"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Cost of sales</w:t>
            </w:r>
          </w:p>
        </w:tc>
        <w:tc>
          <w:tcPr>
            <w:tcW w:w="1332" w:type="dxa"/>
            <w:tcBorders>
              <w:top w:val="nil"/>
              <w:left w:val="nil"/>
              <w:bottom w:val="nil"/>
              <w:right w:val="nil"/>
            </w:tcBorders>
            <w:shd w:val="clear" w:color="auto" w:fill="auto"/>
            <w:noWrap/>
            <w:vAlign w:val="bottom"/>
            <w:hideMark/>
          </w:tcPr>
          <w:p w14:paraId="40D75F4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p>
        </w:tc>
        <w:tc>
          <w:tcPr>
            <w:tcW w:w="1296" w:type="dxa"/>
            <w:tcBorders>
              <w:top w:val="nil"/>
              <w:left w:val="nil"/>
              <w:bottom w:val="nil"/>
              <w:right w:val="nil"/>
            </w:tcBorders>
            <w:shd w:val="clear" w:color="auto" w:fill="auto"/>
            <w:noWrap/>
            <w:vAlign w:val="bottom"/>
            <w:hideMark/>
          </w:tcPr>
          <w:p w14:paraId="216EBCC0" w14:textId="77777777" w:rsidR="00653601" w:rsidRPr="00653601" w:rsidRDefault="00653601" w:rsidP="00653601">
            <w:pPr>
              <w:widowControl/>
              <w:autoSpaceDE/>
              <w:autoSpaceDN/>
              <w:adjustRightInd/>
              <w:jc w:val="left"/>
              <w:rPr>
                <w:sz w:val="20"/>
                <w:szCs w:val="20"/>
                <w:lang w:eastAsia="en-CA"/>
              </w:rPr>
            </w:pPr>
          </w:p>
        </w:tc>
        <w:tc>
          <w:tcPr>
            <w:tcW w:w="1256" w:type="dxa"/>
            <w:tcBorders>
              <w:top w:val="nil"/>
              <w:left w:val="nil"/>
              <w:bottom w:val="nil"/>
              <w:right w:val="nil"/>
            </w:tcBorders>
            <w:shd w:val="clear" w:color="auto" w:fill="auto"/>
            <w:noWrap/>
            <w:vAlign w:val="bottom"/>
            <w:hideMark/>
          </w:tcPr>
          <w:p w14:paraId="304BCDB2"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671EE520"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2748F70F" w14:textId="77777777" w:rsidR="00653601" w:rsidRPr="00653601" w:rsidRDefault="00653601" w:rsidP="00653601">
            <w:pPr>
              <w:widowControl/>
              <w:autoSpaceDE/>
              <w:autoSpaceDN/>
              <w:adjustRightInd/>
              <w:jc w:val="left"/>
              <w:rPr>
                <w:sz w:val="20"/>
                <w:szCs w:val="20"/>
                <w:lang w:eastAsia="en-CA"/>
              </w:rPr>
            </w:pPr>
          </w:p>
        </w:tc>
      </w:tr>
      <w:tr w:rsidR="00653601" w:rsidRPr="00653601" w14:paraId="6AE6919D"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2BC9B9BF"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U.S.</w:t>
            </w:r>
          </w:p>
        </w:tc>
        <w:tc>
          <w:tcPr>
            <w:tcW w:w="1332" w:type="dxa"/>
            <w:tcBorders>
              <w:top w:val="nil"/>
              <w:left w:val="nil"/>
              <w:bottom w:val="nil"/>
              <w:right w:val="nil"/>
            </w:tcBorders>
            <w:shd w:val="clear" w:color="auto" w:fill="auto"/>
            <w:noWrap/>
            <w:vAlign w:val="bottom"/>
            <w:hideMark/>
          </w:tcPr>
          <w:p w14:paraId="74E7AC2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1,806 </w:t>
            </w:r>
          </w:p>
        </w:tc>
        <w:tc>
          <w:tcPr>
            <w:tcW w:w="1296" w:type="dxa"/>
            <w:tcBorders>
              <w:top w:val="nil"/>
              <w:left w:val="nil"/>
              <w:bottom w:val="nil"/>
              <w:right w:val="nil"/>
            </w:tcBorders>
            <w:shd w:val="clear" w:color="auto" w:fill="auto"/>
            <w:noWrap/>
            <w:vAlign w:val="bottom"/>
            <w:hideMark/>
          </w:tcPr>
          <w:p w14:paraId="76C33C5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56" w:type="dxa"/>
            <w:tcBorders>
              <w:top w:val="nil"/>
              <w:left w:val="nil"/>
              <w:bottom w:val="nil"/>
              <w:right w:val="nil"/>
            </w:tcBorders>
            <w:shd w:val="clear" w:color="auto" w:fill="auto"/>
            <w:noWrap/>
            <w:vAlign w:val="bottom"/>
            <w:hideMark/>
          </w:tcPr>
          <w:p w14:paraId="3AEF95A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144BECE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3FCB075F"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1,806 </w:t>
            </w:r>
          </w:p>
        </w:tc>
      </w:tr>
      <w:tr w:rsidR="00653601" w:rsidRPr="00653601" w14:paraId="4ECA55F0"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2A6D2687"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Canada</w:t>
            </w:r>
          </w:p>
        </w:tc>
        <w:tc>
          <w:tcPr>
            <w:tcW w:w="1332" w:type="dxa"/>
            <w:tcBorders>
              <w:top w:val="nil"/>
              <w:left w:val="nil"/>
              <w:bottom w:val="single" w:sz="4" w:space="0" w:color="auto"/>
              <w:right w:val="nil"/>
            </w:tcBorders>
            <w:shd w:val="clear" w:color="auto" w:fill="auto"/>
            <w:noWrap/>
            <w:vAlign w:val="bottom"/>
            <w:hideMark/>
          </w:tcPr>
          <w:p w14:paraId="386BD18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96" w:type="dxa"/>
            <w:tcBorders>
              <w:top w:val="nil"/>
              <w:left w:val="nil"/>
              <w:bottom w:val="single" w:sz="4" w:space="0" w:color="auto"/>
              <w:right w:val="nil"/>
            </w:tcBorders>
            <w:shd w:val="clear" w:color="auto" w:fill="auto"/>
            <w:noWrap/>
            <w:vAlign w:val="bottom"/>
            <w:hideMark/>
          </w:tcPr>
          <w:p w14:paraId="1B50E7C8"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17,355 </w:t>
            </w:r>
          </w:p>
        </w:tc>
        <w:tc>
          <w:tcPr>
            <w:tcW w:w="1256" w:type="dxa"/>
            <w:tcBorders>
              <w:top w:val="nil"/>
              <w:left w:val="nil"/>
              <w:bottom w:val="single" w:sz="4" w:space="0" w:color="auto"/>
              <w:right w:val="nil"/>
            </w:tcBorders>
            <w:shd w:val="clear" w:color="auto" w:fill="auto"/>
            <w:noWrap/>
            <w:vAlign w:val="bottom"/>
            <w:hideMark/>
          </w:tcPr>
          <w:p w14:paraId="09D893B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54A68AF9"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142E499A"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17,355 </w:t>
            </w:r>
          </w:p>
        </w:tc>
      </w:tr>
      <w:tr w:rsidR="00653601" w:rsidRPr="00653601" w14:paraId="7CE48F7F"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434FAC7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Total cost of sales</w:t>
            </w:r>
          </w:p>
        </w:tc>
        <w:tc>
          <w:tcPr>
            <w:tcW w:w="1332" w:type="dxa"/>
            <w:tcBorders>
              <w:top w:val="nil"/>
              <w:left w:val="nil"/>
              <w:bottom w:val="single" w:sz="4" w:space="0" w:color="auto"/>
              <w:right w:val="nil"/>
            </w:tcBorders>
            <w:shd w:val="clear" w:color="auto" w:fill="auto"/>
            <w:noWrap/>
            <w:vAlign w:val="bottom"/>
            <w:hideMark/>
          </w:tcPr>
          <w:p w14:paraId="6298D1C8"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1,806 </w:t>
            </w:r>
          </w:p>
        </w:tc>
        <w:tc>
          <w:tcPr>
            <w:tcW w:w="1296" w:type="dxa"/>
            <w:tcBorders>
              <w:top w:val="nil"/>
              <w:left w:val="nil"/>
              <w:bottom w:val="single" w:sz="4" w:space="0" w:color="auto"/>
              <w:right w:val="nil"/>
            </w:tcBorders>
            <w:shd w:val="clear" w:color="auto" w:fill="auto"/>
            <w:noWrap/>
            <w:vAlign w:val="bottom"/>
            <w:hideMark/>
          </w:tcPr>
          <w:p w14:paraId="1BB4E377"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17,355 </w:t>
            </w:r>
          </w:p>
        </w:tc>
        <w:tc>
          <w:tcPr>
            <w:tcW w:w="1256" w:type="dxa"/>
            <w:tcBorders>
              <w:top w:val="nil"/>
              <w:left w:val="nil"/>
              <w:bottom w:val="single" w:sz="4" w:space="0" w:color="auto"/>
              <w:right w:val="nil"/>
            </w:tcBorders>
            <w:shd w:val="clear" w:color="auto" w:fill="auto"/>
            <w:noWrap/>
            <w:vAlign w:val="bottom"/>
            <w:hideMark/>
          </w:tcPr>
          <w:p w14:paraId="0586FEB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26E7361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0F139269"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19,161 </w:t>
            </w:r>
          </w:p>
        </w:tc>
      </w:tr>
      <w:tr w:rsidR="00653601" w:rsidRPr="00653601" w14:paraId="0F63FBD0"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6761F4A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Expenses</w:t>
            </w:r>
          </w:p>
        </w:tc>
        <w:tc>
          <w:tcPr>
            <w:tcW w:w="1332" w:type="dxa"/>
            <w:tcBorders>
              <w:top w:val="nil"/>
              <w:left w:val="nil"/>
              <w:bottom w:val="nil"/>
              <w:right w:val="nil"/>
            </w:tcBorders>
            <w:shd w:val="clear" w:color="auto" w:fill="auto"/>
            <w:noWrap/>
            <w:vAlign w:val="bottom"/>
            <w:hideMark/>
          </w:tcPr>
          <w:p w14:paraId="33F435F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p>
        </w:tc>
        <w:tc>
          <w:tcPr>
            <w:tcW w:w="1296" w:type="dxa"/>
            <w:tcBorders>
              <w:top w:val="nil"/>
              <w:left w:val="nil"/>
              <w:bottom w:val="nil"/>
              <w:right w:val="nil"/>
            </w:tcBorders>
            <w:shd w:val="clear" w:color="auto" w:fill="auto"/>
            <w:noWrap/>
            <w:vAlign w:val="bottom"/>
            <w:hideMark/>
          </w:tcPr>
          <w:p w14:paraId="3AC60EA8" w14:textId="77777777" w:rsidR="00653601" w:rsidRPr="00653601" w:rsidRDefault="00653601" w:rsidP="00653601">
            <w:pPr>
              <w:widowControl/>
              <w:autoSpaceDE/>
              <w:autoSpaceDN/>
              <w:adjustRightInd/>
              <w:jc w:val="left"/>
              <w:rPr>
                <w:sz w:val="20"/>
                <w:szCs w:val="20"/>
                <w:lang w:eastAsia="en-CA"/>
              </w:rPr>
            </w:pPr>
          </w:p>
        </w:tc>
        <w:tc>
          <w:tcPr>
            <w:tcW w:w="1256" w:type="dxa"/>
            <w:tcBorders>
              <w:top w:val="nil"/>
              <w:left w:val="nil"/>
              <w:bottom w:val="nil"/>
              <w:right w:val="nil"/>
            </w:tcBorders>
            <w:shd w:val="clear" w:color="auto" w:fill="auto"/>
            <w:noWrap/>
            <w:vAlign w:val="bottom"/>
            <w:hideMark/>
          </w:tcPr>
          <w:p w14:paraId="5B2D0E08"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6A80424A"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p>
        </w:tc>
        <w:tc>
          <w:tcPr>
            <w:tcW w:w="1584" w:type="dxa"/>
            <w:tcBorders>
              <w:top w:val="nil"/>
              <w:left w:val="nil"/>
              <w:bottom w:val="nil"/>
              <w:right w:val="nil"/>
            </w:tcBorders>
            <w:shd w:val="clear" w:color="auto" w:fill="auto"/>
            <w:noWrap/>
            <w:vAlign w:val="bottom"/>
            <w:hideMark/>
          </w:tcPr>
          <w:p w14:paraId="557BF49D" w14:textId="77777777" w:rsidR="00653601" w:rsidRPr="00653601" w:rsidRDefault="00653601" w:rsidP="00653601">
            <w:pPr>
              <w:widowControl/>
              <w:autoSpaceDE/>
              <w:autoSpaceDN/>
              <w:adjustRightInd/>
              <w:jc w:val="left"/>
              <w:rPr>
                <w:sz w:val="20"/>
                <w:szCs w:val="20"/>
                <w:lang w:eastAsia="en-CA"/>
              </w:rPr>
            </w:pPr>
          </w:p>
        </w:tc>
      </w:tr>
      <w:tr w:rsidR="00653601" w:rsidRPr="00653601" w14:paraId="503CF816"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09C006B3"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U.S.</w:t>
            </w:r>
          </w:p>
        </w:tc>
        <w:tc>
          <w:tcPr>
            <w:tcW w:w="1332" w:type="dxa"/>
            <w:tcBorders>
              <w:top w:val="nil"/>
              <w:left w:val="nil"/>
              <w:bottom w:val="nil"/>
              <w:right w:val="nil"/>
            </w:tcBorders>
            <w:shd w:val="clear" w:color="auto" w:fill="auto"/>
            <w:noWrap/>
            <w:vAlign w:val="bottom"/>
            <w:hideMark/>
          </w:tcPr>
          <w:p w14:paraId="26CDB3F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669,940 </w:t>
            </w:r>
          </w:p>
        </w:tc>
        <w:tc>
          <w:tcPr>
            <w:tcW w:w="1296" w:type="dxa"/>
            <w:tcBorders>
              <w:top w:val="nil"/>
              <w:left w:val="nil"/>
              <w:bottom w:val="nil"/>
              <w:right w:val="nil"/>
            </w:tcBorders>
            <w:shd w:val="clear" w:color="auto" w:fill="auto"/>
            <w:noWrap/>
            <w:vAlign w:val="bottom"/>
            <w:hideMark/>
          </w:tcPr>
          <w:p w14:paraId="3C7E6B71"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56" w:type="dxa"/>
            <w:tcBorders>
              <w:top w:val="nil"/>
              <w:left w:val="nil"/>
              <w:bottom w:val="nil"/>
              <w:right w:val="nil"/>
            </w:tcBorders>
            <w:shd w:val="clear" w:color="auto" w:fill="auto"/>
            <w:noWrap/>
            <w:vAlign w:val="bottom"/>
            <w:hideMark/>
          </w:tcPr>
          <w:p w14:paraId="58EC9DE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087358B4"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4C1EAF6E"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669,940 </w:t>
            </w:r>
          </w:p>
        </w:tc>
      </w:tr>
      <w:tr w:rsidR="00653601" w:rsidRPr="00653601" w14:paraId="46C45589"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4E0637C3"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Canada</w:t>
            </w:r>
          </w:p>
        </w:tc>
        <w:tc>
          <w:tcPr>
            <w:tcW w:w="1332" w:type="dxa"/>
            <w:tcBorders>
              <w:top w:val="nil"/>
              <w:left w:val="nil"/>
              <w:bottom w:val="single" w:sz="4" w:space="0" w:color="auto"/>
              <w:right w:val="nil"/>
            </w:tcBorders>
            <w:shd w:val="clear" w:color="auto" w:fill="auto"/>
            <w:noWrap/>
            <w:vAlign w:val="bottom"/>
            <w:hideMark/>
          </w:tcPr>
          <w:p w14:paraId="5F96108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96" w:type="dxa"/>
            <w:tcBorders>
              <w:top w:val="nil"/>
              <w:left w:val="nil"/>
              <w:bottom w:val="single" w:sz="4" w:space="0" w:color="auto"/>
              <w:right w:val="nil"/>
            </w:tcBorders>
            <w:shd w:val="clear" w:color="auto" w:fill="auto"/>
            <w:noWrap/>
            <w:vAlign w:val="bottom"/>
            <w:hideMark/>
          </w:tcPr>
          <w:p w14:paraId="1B04D8F9"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136,229 </w:t>
            </w:r>
          </w:p>
        </w:tc>
        <w:tc>
          <w:tcPr>
            <w:tcW w:w="1256" w:type="dxa"/>
            <w:tcBorders>
              <w:top w:val="nil"/>
              <w:left w:val="nil"/>
              <w:bottom w:val="single" w:sz="4" w:space="0" w:color="auto"/>
              <w:right w:val="nil"/>
            </w:tcBorders>
            <w:shd w:val="clear" w:color="auto" w:fill="auto"/>
            <w:noWrap/>
            <w:vAlign w:val="bottom"/>
            <w:hideMark/>
          </w:tcPr>
          <w:p w14:paraId="24047857"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5A8957B4"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1,468,596 </w:t>
            </w:r>
          </w:p>
        </w:tc>
        <w:tc>
          <w:tcPr>
            <w:tcW w:w="1584" w:type="dxa"/>
            <w:tcBorders>
              <w:top w:val="nil"/>
              <w:left w:val="nil"/>
              <w:bottom w:val="single" w:sz="4" w:space="0" w:color="auto"/>
              <w:right w:val="nil"/>
            </w:tcBorders>
            <w:shd w:val="clear" w:color="auto" w:fill="auto"/>
            <w:noWrap/>
            <w:vAlign w:val="bottom"/>
            <w:hideMark/>
          </w:tcPr>
          <w:p w14:paraId="61F673C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1,604,825 </w:t>
            </w:r>
          </w:p>
        </w:tc>
      </w:tr>
      <w:tr w:rsidR="00653601" w:rsidRPr="00653601" w14:paraId="06A6FB50"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7512441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Total expenses</w:t>
            </w:r>
          </w:p>
        </w:tc>
        <w:tc>
          <w:tcPr>
            <w:tcW w:w="1332" w:type="dxa"/>
            <w:tcBorders>
              <w:top w:val="nil"/>
              <w:left w:val="nil"/>
              <w:bottom w:val="single" w:sz="4" w:space="0" w:color="auto"/>
              <w:right w:val="nil"/>
            </w:tcBorders>
            <w:shd w:val="clear" w:color="auto" w:fill="auto"/>
            <w:noWrap/>
            <w:vAlign w:val="bottom"/>
            <w:hideMark/>
          </w:tcPr>
          <w:p w14:paraId="58CBA9C2"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669,940 </w:t>
            </w:r>
          </w:p>
        </w:tc>
        <w:tc>
          <w:tcPr>
            <w:tcW w:w="1296" w:type="dxa"/>
            <w:tcBorders>
              <w:top w:val="nil"/>
              <w:left w:val="nil"/>
              <w:bottom w:val="single" w:sz="4" w:space="0" w:color="auto"/>
              <w:right w:val="nil"/>
            </w:tcBorders>
            <w:shd w:val="clear" w:color="auto" w:fill="auto"/>
            <w:noWrap/>
            <w:vAlign w:val="bottom"/>
            <w:hideMark/>
          </w:tcPr>
          <w:p w14:paraId="183C4B53"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136,229 </w:t>
            </w:r>
          </w:p>
        </w:tc>
        <w:tc>
          <w:tcPr>
            <w:tcW w:w="1256" w:type="dxa"/>
            <w:tcBorders>
              <w:top w:val="nil"/>
              <w:left w:val="nil"/>
              <w:bottom w:val="single" w:sz="4" w:space="0" w:color="auto"/>
              <w:right w:val="nil"/>
            </w:tcBorders>
            <w:shd w:val="clear" w:color="auto" w:fill="auto"/>
            <w:noWrap/>
            <w:vAlign w:val="bottom"/>
            <w:hideMark/>
          </w:tcPr>
          <w:p w14:paraId="5C226C71"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2FA71B38"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1,468,596 </w:t>
            </w:r>
          </w:p>
        </w:tc>
        <w:tc>
          <w:tcPr>
            <w:tcW w:w="1584" w:type="dxa"/>
            <w:tcBorders>
              <w:top w:val="nil"/>
              <w:left w:val="nil"/>
              <w:bottom w:val="single" w:sz="4" w:space="0" w:color="auto"/>
              <w:right w:val="nil"/>
            </w:tcBorders>
            <w:shd w:val="clear" w:color="auto" w:fill="auto"/>
            <w:noWrap/>
            <w:vAlign w:val="bottom"/>
            <w:hideMark/>
          </w:tcPr>
          <w:p w14:paraId="38CC09F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2,274,765 </w:t>
            </w:r>
          </w:p>
        </w:tc>
      </w:tr>
      <w:tr w:rsidR="00653601" w:rsidRPr="00653601" w14:paraId="003B1DAE"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4F03D07A"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Assets</w:t>
            </w:r>
          </w:p>
        </w:tc>
        <w:tc>
          <w:tcPr>
            <w:tcW w:w="1332" w:type="dxa"/>
            <w:tcBorders>
              <w:top w:val="nil"/>
              <w:left w:val="nil"/>
              <w:bottom w:val="nil"/>
              <w:right w:val="nil"/>
            </w:tcBorders>
            <w:shd w:val="clear" w:color="auto" w:fill="auto"/>
            <w:noWrap/>
            <w:vAlign w:val="bottom"/>
            <w:hideMark/>
          </w:tcPr>
          <w:p w14:paraId="6061BCC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p>
        </w:tc>
        <w:tc>
          <w:tcPr>
            <w:tcW w:w="1296" w:type="dxa"/>
            <w:tcBorders>
              <w:top w:val="nil"/>
              <w:left w:val="nil"/>
              <w:bottom w:val="nil"/>
              <w:right w:val="nil"/>
            </w:tcBorders>
            <w:shd w:val="clear" w:color="auto" w:fill="auto"/>
            <w:noWrap/>
            <w:vAlign w:val="bottom"/>
            <w:hideMark/>
          </w:tcPr>
          <w:p w14:paraId="2094CE34" w14:textId="77777777" w:rsidR="00653601" w:rsidRPr="00653601" w:rsidRDefault="00653601" w:rsidP="00653601">
            <w:pPr>
              <w:widowControl/>
              <w:autoSpaceDE/>
              <w:autoSpaceDN/>
              <w:adjustRightInd/>
              <w:jc w:val="left"/>
              <w:rPr>
                <w:sz w:val="20"/>
                <w:szCs w:val="20"/>
                <w:lang w:eastAsia="en-CA"/>
              </w:rPr>
            </w:pPr>
          </w:p>
        </w:tc>
        <w:tc>
          <w:tcPr>
            <w:tcW w:w="1256" w:type="dxa"/>
            <w:tcBorders>
              <w:top w:val="nil"/>
              <w:left w:val="nil"/>
              <w:bottom w:val="nil"/>
              <w:right w:val="nil"/>
            </w:tcBorders>
            <w:shd w:val="clear" w:color="auto" w:fill="auto"/>
            <w:noWrap/>
            <w:vAlign w:val="bottom"/>
            <w:hideMark/>
          </w:tcPr>
          <w:p w14:paraId="07B7708B"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23653B32"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7D9CB790" w14:textId="77777777" w:rsidR="00653601" w:rsidRPr="00653601" w:rsidRDefault="00653601" w:rsidP="00653601">
            <w:pPr>
              <w:widowControl/>
              <w:autoSpaceDE/>
              <w:autoSpaceDN/>
              <w:adjustRightInd/>
              <w:jc w:val="left"/>
              <w:rPr>
                <w:sz w:val="20"/>
                <w:szCs w:val="20"/>
                <w:lang w:eastAsia="en-CA"/>
              </w:rPr>
            </w:pPr>
          </w:p>
        </w:tc>
      </w:tr>
      <w:tr w:rsidR="00653601" w:rsidRPr="00653601" w14:paraId="61C6608C"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76EE542E"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U.S.</w:t>
            </w:r>
          </w:p>
        </w:tc>
        <w:tc>
          <w:tcPr>
            <w:tcW w:w="1332" w:type="dxa"/>
            <w:tcBorders>
              <w:top w:val="nil"/>
              <w:left w:val="nil"/>
              <w:bottom w:val="nil"/>
              <w:right w:val="nil"/>
            </w:tcBorders>
            <w:shd w:val="clear" w:color="auto" w:fill="auto"/>
            <w:noWrap/>
            <w:vAlign w:val="bottom"/>
            <w:hideMark/>
          </w:tcPr>
          <w:p w14:paraId="30205CDA" w14:textId="4953CC9C" w:rsidR="00653601" w:rsidRPr="00653601" w:rsidRDefault="00653601" w:rsidP="00C553B7">
            <w:pPr>
              <w:widowControl/>
              <w:autoSpaceDE/>
              <w:autoSpaceDN/>
              <w:adjustRightInd/>
              <w:jc w:val="center"/>
              <w:rPr>
                <w:rFonts w:ascii="Arial" w:hAnsi="Arial" w:cs="Arial"/>
                <w:color w:val="000000"/>
                <w:sz w:val="20"/>
                <w:szCs w:val="20"/>
                <w:lang w:eastAsia="en-CA"/>
              </w:rPr>
            </w:pPr>
            <w:r w:rsidRPr="00653601">
              <w:rPr>
                <w:rFonts w:ascii="Arial" w:hAnsi="Arial" w:cs="Arial"/>
                <w:color w:val="000000"/>
                <w:sz w:val="20"/>
                <w:szCs w:val="20"/>
                <w:lang w:eastAsia="en-CA"/>
              </w:rPr>
              <w:t>95,934</w:t>
            </w:r>
          </w:p>
        </w:tc>
        <w:tc>
          <w:tcPr>
            <w:tcW w:w="1296" w:type="dxa"/>
            <w:tcBorders>
              <w:top w:val="nil"/>
              <w:left w:val="nil"/>
              <w:bottom w:val="nil"/>
              <w:right w:val="nil"/>
            </w:tcBorders>
            <w:shd w:val="clear" w:color="auto" w:fill="auto"/>
            <w:noWrap/>
            <w:vAlign w:val="bottom"/>
            <w:hideMark/>
          </w:tcPr>
          <w:p w14:paraId="6496EDE3"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56" w:type="dxa"/>
            <w:tcBorders>
              <w:top w:val="nil"/>
              <w:left w:val="nil"/>
              <w:bottom w:val="nil"/>
              <w:right w:val="nil"/>
            </w:tcBorders>
            <w:shd w:val="clear" w:color="auto" w:fill="auto"/>
            <w:noWrap/>
            <w:vAlign w:val="bottom"/>
            <w:hideMark/>
          </w:tcPr>
          <w:p w14:paraId="0D30FD6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326,299 </w:t>
            </w:r>
          </w:p>
        </w:tc>
        <w:tc>
          <w:tcPr>
            <w:tcW w:w="1584" w:type="dxa"/>
            <w:tcBorders>
              <w:top w:val="nil"/>
              <w:left w:val="nil"/>
              <w:bottom w:val="nil"/>
              <w:right w:val="nil"/>
            </w:tcBorders>
            <w:shd w:val="clear" w:color="auto" w:fill="auto"/>
            <w:noWrap/>
            <w:vAlign w:val="bottom"/>
            <w:hideMark/>
          </w:tcPr>
          <w:p w14:paraId="2B751289"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4554D042"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422,233 </w:t>
            </w:r>
          </w:p>
        </w:tc>
      </w:tr>
      <w:tr w:rsidR="00653601" w:rsidRPr="00653601" w14:paraId="4006ED54"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1272BC45"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Canada</w:t>
            </w:r>
          </w:p>
        </w:tc>
        <w:tc>
          <w:tcPr>
            <w:tcW w:w="1332" w:type="dxa"/>
            <w:tcBorders>
              <w:top w:val="nil"/>
              <w:left w:val="nil"/>
              <w:bottom w:val="single" w:sz="4" w:space="0" w:color="auto"/>
              <w:right w:val="nil"/>
            </w:tcBorders>
            <w:shd w:val="clear" w:color="auto" w:fill="auto"/>
            <w:noWrap/>
            <w:vAlign w:val="bottom"/>
            <w:hideMark/>
          </w:tcPr>
          <w:p w14:paraId="56AD5BA3"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96" w:type="dxa"/>
            <w:tcBorders>
              <w:top w:val="nil"/>
              <w:left w:val="nil"/>
              <w:bottom w:val="single" w:sz="4" w:space="0" w:color="auto"/>
              <w:right w:val="nil"/>
            </w:tcBorders>
            <w:shd w:val="clear" w:color="auto" w:fill="auto"/>
            <w:noWrap/>
            <w:vAlign w:val="bottom"/>
            <w:hideMark/>
          </w:tcPr>
          <w:p w14:paraId="53A15B5F"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522,620 </w:t>
            </w:r>
          </w:p>
        </w:tc>
        <w:tc>
          <w:tcPr>
            <w:tcW w:w="1256" w:type="dxa"/>
            <w:tcBorders>
              <w:top w:val="nil"/>
              <w:left w:val="nil"/>
              <w:bottom w:val="single" w:sz="4" w:space="0" w:color="auto"/>
              <w:right w:val="nil"/>
            </w:tcBorders>
            <w:shd w:val="clear" w:color="auto" w:fill="auto"/>
            <w:noWrap/>
            <w:vAlign w:val="bottom"/>
            <w:hideMark/>
          </w:tcPr>
          <w:p w14:paraId="703B3F93"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2C02D21B"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10,746,685 </w:t>
            </w:r>
          </w:p>
        </w:tc>
        <w:tc>
          <w:tcPr>
            <w:tcW w:w="1584" w:type="dxa"/>
            <w:tcBorders>
              <w:top w:val="nil"/>
              <w:left w:val="nil"/>
              <w:bottom w:val="single" w:sz="4" w:space="0" w:color="auto"/>
              <w:right w:val="nil"/>
            </w:tcBorders>
            <w:shd w:val="clear" w:color="auto" w:fill="auto"/>
            <w:noWrap/>
            <w:vAlign w:val="bottom"/>
            <w:hideMark/>
          </w:tcPr>
          <w:p w14:paraId="0343184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11,269,305 </w:t>
            </w:r>
          </w:p>
        </w:tc>
      </w:tr>
      <w:tr w:rsidR="00653601" w:rsidRPr="00653601" w14:paraId="7E389794"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64CB7653"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Total assets</w:t>
            </w:r>
          </w:p>
        </w:tc>
        <w:tc>
          <w:tcPr>
            <w:tcW w:w="1332" w:type="dxa"/>
            <w:tcBorders>
              <w:top w:val="nil"/>
              <w:left w:val="nil"/>
              <w:bottom w:val="single" w:sz="4" w:space="0" w:color="auto"/>
              <w:right w:val="nil"/>
            </w:tcBorders>
            <w:shd w:val="clear" w:color="auto" w:fill="auto"/>
            <w:noWrap/>
            <w:vAlign w:val="bottom"/>
            <w:hideMark/>
          </w:tcPr>
          <w:p w14:paraId="6C873194"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95,934 </w:t>
            </w:r>
          </w:p>
        </w:tc>
        <w:tc>
          <w:tcPr>
            <w:tcW w:w="1296" w:type="dxa"/>
            <w:tcBorders>
              <w:top w:val="nil"/>
              <w:left w:val="nil"/>
              <w:bottom w:val="single" w:sz="4" w:space="0" w:color="auto"/>
              <w:right w:val="nil"/>
            </w:tcBorders>
            <w:shd w:val="clear" w:color="auto" w:fill="auto"/>
            <w:noWrap/>
            <w:vAlign w:val="bottom"/>
            <w:hideMark/>
          </w:tcPr>
          <w:p w14:paraId="1985FC6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522,620 </w:t>
            </w:r>
          </w:p>
        </w:tc>
        <w:tc>
          <w:tcPr>
            <w:tcW w:w="1256" w:type="dxa"/>
            <w:tcBorders>
              <w:top w:val="nil"/>
              <w:left w:val="nil"/>
              <w:bottom w:val="single" w:sz="4" w:space="0" w:color="auto"/>
              <w:right w:val="nil"/>
            </w:tcBorders>
            <w:shd w:val="clear" w:color="auto" w:fill="auto"/>
            <w:noWrap/>
            <w:vAlign w:val="bottom"/>
            <w:hideMark/>
          </w:tcPr>
          <w:p w14:paraId="44306B7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326,299 </w:t>
            </w:r>
          </w:p>
        </w:tc>
        <w:tc>
          <w:tcPr>
            <w:tcW w:w="1584" w:type="dxa"/>
            <w:tcBorders>
              <w:top w:val="nil"/>
              <w:left w:val="nil"/>
              <w:bottom w:val="single" w:sz="4" w:space="0" w:color="auto"/>
              <w:right w:val="nil"/>
            </w:tcBorders>
            <w:shd w:val="clear" w:color="auto" w:fill="auto"/>
            <w:noWrap/>
            <w:vAlign w:val="bottom"/>
            <w:hideMark/>
          </w:tcPr>
          <w:p w14:paraId="10974D42"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10,746,685 </w:t>
            </w:r>
          </w:p>
        </w:tc>
        <w:tc>
          <w:tcPr>
            <w:tcW w:w="1584" w:type="dxa"/>
            <w:tcBorders>
              <w:top w:val="nil"/>
              <w:left w:val="nil"/>
              <w:bottom w:val="single" w:sz="4" w:space="0" w:color="auto"/>
              <w:right w:val="nil"/>
            </w:tcBorders>
            <w:shd w:val="clear" w:color="auto" w:fill="auto"/>
            <w:noWrap/>
            <w:vAlign w:val="bottom"/>
            <w:hideMark/>
          </w:tcPr>
          <w:p w14:paraId="177BAA1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11,691,538 </w:t>
            </w:r>
          </w:p>
        </w:tc>
      </w:tr>
      <w:tr w:rsidR="00653601" w:rsidRPr="00653601" w14:paraId="0D77BF25"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5C1C128F"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Liabilities</w:t>
            </w:r>
          </w:p>
        </w:tc>
        <w:tc>
          <w:tcPr>
            <w:tcW w:w="1332" w:type="dxa"/>
            <w:tcBorders>
              <w:top w:val="nil"/>
              <w:left w:val="nil"/>
              <w:bottom w:val="nil"/>
              <w:right w:val="nil"/>
            </w:tcBorders>
            <w:shd w:val="clear" w:color="auto" w:fill="auto"/>
            <w:noWrap/>
            <w:vAlign w:val="bottom"/>
            <w:hideMark/>
          </w:tcPr>
          <w:p w14:paraId="3C00D34A"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p>
        </w:tc>
        <w:tc>
          <w:tcPr>
            <w:tcW w:w="1296" w:type="dxa"/>
            <w:tcBorders>
              <w:top w:val="nil"/>
              <w:left w:val="nil"/>
              <w:bottom w:val="nil"/>
              <w:right w:val="nil"/>
            </w:tcBorders>
            <w:shd w:val="clear" w:color="auto" w:fill="auto"/>
            <w:noWrap/>
            <w:vAlign w:val="bottom"/>
            <w:hideMark/>
          </w:tcPr>
          <w:p w14:paraId="06B68179" w14:textId="77777777" w:rsidR="00653601" w:rsidRPr="00653601" w:rsidRDefault="00653601" w:rsidP="00653601">
            <w:pPr>
              <w:widowControl/>
              <w:autoSpaceDE/>
              <w:autoSpaceDN/>
              <w:adjustRightInd/>
              <w:jc w:val="left"/>
              <w:rPr>
                <w:sz w:val="20"/>
                <w:szCs w:val="20"/>
                <w:lang w:eastAsia="en-CA"/>
              </w:rPr>
            </w:pPr>
          </w:p>
        </w:tc>
        <w:tc>
          <w:tcPr>
            <w:tcW w:w="1256" w:type="dxa"/>
            <w:tcBorders>
              <w:top w:val="nil"/>
              <w:left w:val="nil"/>
              <w:bottom w:val="nil"/>
              <w:right w:val="nil"/>
            </w:tcBorders>
            <w:shd w:val="clear" w:color="auto" w:fill="auto"/>
            <w:noWrap/>
            <w:vAlign w:val="bottom"/>
            <w:hideMark/>
          </w:tcPr>
          <w:p w14:paraId="2291AC4A"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498B689A" w14:textId="77777777" w:rsidR="00653601" w:rsidRPr="00653601" w:rsidRDefault="00653601" w:rsidP="00653601">
            <w:pPr>
              <w:widowControl/>
              <w:autoSpaceDE/>
              <w:autoSpaceDN/>
              <w:adjustRightInd/>
              <w:jc w:val="left"/>
              <w:rPr>
                <w:sz w:val="20"/>
                <w:szCs w:val="20"/>
                <w:lang w:eastAsia="en-CA"/>
              </w:rPr>
            </w:pPr>
          </w:p>
        </w:tc>
        <w:tc>
          <w:tcPr>
            <w:tcW w:w="1584" w:type="dxa"/>
            <w:tcBorders>
              <w:top w:val="nil"/>
              <w:left w:val="nil"/>
              <w:bottom w:val="nil"/>
              <w:right w:val="nil"/>
            </w:tcBorders>
            <w:shd w:val="clear" w:color="auto" w:fill="auto"/>
            <w:noWrap/>
            <w:vAlign w:val="bottom"/>
            <w:hideMark/>
          </w:tcPr>
          <w:p w14:paraId="0438ADFF" w14:textId="77777777" w:rsidR="00653601" w:rsidRPr="00653601" w:rsidRDefault="00653601" w:rsidP="00653601">
            <w:pPr>
              <w:widowControl/>
              <w:autoSpaceDE/>
              <w:autoSpaceDN/>
              <w:adjustRightInd/>
              <w:jc w:val="left"/>
              <w:rPr>
                <w:sz w:val="20"/>
                <w:szCs w:val="20"/>
                <w:lang w:eastAsia="en-CA"/>
              </w:rPr>
            </w:pPr>
          </w:p>
        </w:tc>
      </w:tr>
      <w:tr w:rsidR="00653601" w:rsidRPr="00653601" w14:paraId="133A54DD" w14:textId="77777777" w:rsidTr="00C553B7">
        <w:trPr>
          <w:trHeight w:val="56"/>
          <w:jc w:val="center"/>
        </w:trPr>
        <w:tc>
          <w:tcPr>
            <w:tcW w:w="2391" w:type="dxa"/>
            <w:tcBorders>
              <w:top w:val="nil"/>
              <w:left w:val="nil"/>
              <w:bottom w:val="nil"/>
              <w:right w:val="nil"/>
            </w:tcBorders>
            <w:shd w:val="clear" w:color="auto" w:fill="auto"/>
            <w:noWrap/>
            <w:vAlign w:val="bottom"/>
            <w:hideMark/>
          </w:tcPr>
          <w:p w14:paraId="45ECA810"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U.S.</w:t>
            </w:r>
          </w:p>
        </w:tc>
        <w:tc>
          <w:tcPr>
            <w:tcW w:w="1332" w:type="dxa"/>
            <w:tcBorders>
              <w:top w:val="nil"/>
              <w:left w:val="nil"/>
              <w:bottom w:val="nil"/>
              <w:right w:val="nil"/>
            </w:tcBorders>
            <w:shd w:val="clear" w:color="auto" w:fill="auto"/>
            <w:noWrap/>
            <w:vAlign w:val="bottom"/>
            <w:hideMark/>
          </w:tcPr>
          <w:p w14:paraId="22F83B71"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116,417 </w:t>
            </w:r>
          </w:p>
        </w:tc>
        <w:tc>
          <w:tcPr>
            <w:tcW w:w="1296" w:type="dxa"/>
            <w:tcBorders>
              <w:top w:val="nil"/>
              <w:left w:val="nil"/>
              <w:bottom w:val="nil"/>
              <w:right w:val="nil"/>
            </w:tcBorders>
            <w:shd w:val="clear" w:color="auto" w:fill="auto"/>
            <w:noWrap/>
            <w:vAlign w:val="bottom"/>
            <w:hideMark/>
          </w:tcPr>
          <w:p w14:paraId="280D186C"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56" w:type="dxa"/>
            <w:tcBorders>
              <w:top w:val="nil"/>
              <w:left w:val="nil"/>
              <w:bottom w:val="nil"/>
              <w:right w:val="nil"/>
            </w:tcBorders>
            <w:shd w:val="clear" w:color="auto" w:fill="auto"/>
            <w:noWrap/>
            <w:vAlign w:val="bottom"/>
            <w:hideMark/>
          </w:tcPr>
          <w:p w14:paraId="196EADD2"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202,901 </w:t>
            </w:r>
          </w:p>
        </w:tc>
        <w:tc>
          <w:tcPr>
            <w:tcW w:w="1584" w:type="dxa"/>
            <w:tcBorders>
              <w:top w:val="nil"/>
              <w:left w:val="nil"/>
              <w:bottom w:val="nil"/>
              <w:right w:val="nil"/>
            </w:tcBorders>
            <w:shd w:val="clear" w:color="auto" w:fill="auto"/>
            <w:noWrap/>
            <w:vAlign w:val="bottom"/>
            <w:hideMark/>
          </w:tcPr>
          <w:p w14:paraId="460F08D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nil"/>
              <w:right w:val="nil"/>
            </w:tcBorders>
            <w:shd w:val="clear" w:color="auto" w:fill="auto"/>
            <w:noWrap/>
            <w:vAlign w:val="bottom"/>
            <w:hideMark/>
          </w:tcPr>
          <w:p w14:paraId="49D1DDE4"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319,318 </w:t>
            </w:r>
          </w:p>
        </w:tc>
      </w:tr>
      <w:tr w:rsidR="00653601" w:rsidRPr="00653601" w14:paraId="4A112A0D"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3FD65E61" w14:textId="77777777" w:rsidR="00653601" w:rsidRPr="00653601" w:rsidRDefault="00653601" w:rsidP="00653601">
            <w:pPr>
              <w:widowControl/>
              <w:autoSpaceDE/>
              <w:autoSpaceDN/>
              <w:adjustRightInd/>
              <w:ind w:firstLineChars="100" w:firstLine="200"/>
              <w:jc w:val="left"/>
              <w:rPr>
                <w:rFonts w:ascii="Arial" w:hAnsi="Arial" w:cs="Arial"/>
                <w:color w:val="000000"/>
                <w:sz w:val="20"/>
                <w:szCs w:val="20"/>
                <w:lang w:eastAsia="en-CA"/>
              </w:rPr>
            </w:pPr>
            <w:r w:rsidRPr="00653601">
              <w:rPr>
                <w:rFonts w:ascii="Arial" w:hAnsi="Arial" w:cs="Arial"/>
                <w:color w:val="000000"/>
                <w:sz w:val="20"/>
                <w:szCs w:val="20"/>
                <w:lang w:eastAsia="en-CA"/>
              </w:rPr>
              <w:t>Canada</w:t>
            </w:r>
          </w:p>
        </w:tc>
        <w:tc>
          <w:tcPr>
            <w:tcW w:w="1332" w:type="dxa"/>
            <w:tcBorders>
              <w:top w:val="nil"/>
              <w:left w:val="nil"/>
              <w:bottom w:val="single" w:sz="4" w:space="0" w:color="auto"/>
              <w:right w:val="nil"/>
            </w:tcBorders>
            <w:shd w:val="clear" w:color="auto" w:fill="auto"/>
            <w:noWrap/>
            <w:vAlign w:val="bottom"/>
            <w:hideMark/>
          </w:tcPr>
          <w:p w14:paraId="1DEF7CA4"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296" w:type="dxa"/>
            <w:tcBorders>
              <w:top w:val="nil"/>
              <w:left w:val="nil"/>
              <w:bottom w:val="single" w:sz="4" w:space="0" w:color="auto"/>
              <w:right w:val="nil"/>
            </w:tcBorders>
            <w:shd w:val="clear" w:color="auto" w:fill="auto"/>
            <w:noWrap/>
            <w:vAlign w:val="bottom"/>
            <w:hideMark/>
          </w:tcPr>
          <w:p w14:paraId="078D6B69"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313,899 </w:t>
            </w:r>
          </w:p>
        </w:tc>
        <w:tc>
          <w:tcPr>
            <w:tcW w:w="1256" w:type="dxa"/>
            <w:tcBorders>
              <w:top w:val="nil"/>
              <w:left w:val="nil"/>
              <w:bottom w:val="single" w:sz="4" w:space="0" w:color="auto"/>
              <w:right w:val="nil"/>
            </w:tcBorders>
            <w:shd w:val="clear" w:color="auto" w:fill="auto"/>
            <w:noWrap/>
            <w:vAlign w:val="bottom"/>
            <w:hideMark/>
          </w:tcPr>
          <w:p w14:paraId="575E47BA"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 </w:t>
            </w:r>
          </w:p>
        </w:tc>
        <w:tc>
          <w:tcPr>
            <w:tcW w:w="1584" w:type="dxa"/>
            <w:tcBorders>
              <w:top w:val="nil"/>
              <w:left w:val="nil"/>
              <w:bottom w:val="single" w:sz="4" w:space="0" w:color="auto"/>
              <w:right w:val="nil"/>
            </w:tcBorders>
            <w:shd w:val="clear" w:color="auto" w:fill="auto"/>
            <w:noWrap/>
            <w:vAlign w:val="bottom"/>
            <w:hideMark/>
          </w:tcPr>
          <w:p w14:paraId="56F2875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3,000,988 </w:t>
            </w:r>
          </w:p>
        </w:tc>
        <w:tc>
          <w:tcPr>
            <w:tcW w:w="1584" w:type="dxa"/>
            <w:tcBorders>
              <w:top w:val="nil"/>
              <w:left w:val="nil"/>
              <w:bottom w:val="single" w:sz="4" w:space="0" w:color="auto"/>
              <w:right w:val="nil"/>
            </w:tcBorders>
            <w:shd w:val="clear" w:color="auto" w:fill="auto"/>
            <w:noWrap/>
            <w:vAlign w:val="bottom"/>
            <w:hideMark/>
          </w:tcPr>
          <w:p w14:paraId="313E9CC6"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3,314,887 </w:t>
            </w:r>
          </w:p>
        </w:tc>
      </w:tr>
      <w:tr w:rsidR="00653601" w:rsidRPr="00653601" w14:paraId="77E95A5B" w14:textId="77777777" w:rsidTr="00C553B7">
        <w:trPr>
          <w:trHeight w:val="56"/>
          <w:jc w:val="center"/>
        </w:trPr>
        <w:tc>
          <w:tcPr>
            <w:tcW w:w="2391" w:type="dxa"/>
            <w:tcBorders>
              <w:top w:val="nil"/>
              <w:left w:val="nil"/>
              <w:bottom w:val="single" w:sz="4" w:space="0" w:color="auto"/>
              <w:right w:val="nil"/>
            </w:tcBorders>
            <w:shd w:val="clear" w:color="auto" w:fill="auto"/>
            <w:noWrap/>
            <w:vAlign w:val="bottom"/>
            <w:hideMark/>
          </w:tcPr>
          <w:p w14:paraId="0F87119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Total liabilities</w:t>
            </w:r>
          </w:p>
        </w:tc>
        <w:tc>
          <w:tcPr>
            <w:tcW w:w="1332" w:type="dxa"/>
            <w:tcBorders>
              <w:top w:val="nil"/>
              <w:left w:val="nil"/>
              <w:bottom w:val="single" w:sz="4" w:space="0" w:color="auto"/>
              <w:right w:val="nil"/>
            </w:tcBorders>
            <w:shd w:val="clear" w:color="auto" w:fill="auto"/>
            <w:noWrap/>
            <w:vAlign w:val="bottom"/>
            <w:hideMark/>
          </w:tcPr>
          <w:p w14:paraId="4BB976D0"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116,417 </w:t>
            </w:r>
          </w:p>
        </w:tc>
        <w:tc>
          <w:tcPr>
            <w:tcW w:w="1296" w:type="dxa"/>
            <w:tcBorders>
              <w:top w:val="nil"/>
              <w:left w:val="nil"/>
              <w:bottom w:val="single" w:sz="4" w:space="0" w:color="auto"/>
              <w:right w:val="nil"/>
            </w:tcBorders>
            <w:shd w:val="clear" w:color="auto" w:fill="auto"/>
            <w:noWrap/>
            <w:vAlign w:val="bottom"/>
            <w:hideMark/>
          </w:tcPr>
          <w:p w14:paraId="250FD791"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313,899 </w:t>
            </w:r>
          </w:p>
        </w:tc>
        <w:tc>
          <w:tcPr>
            <w:tcW w:w="1256" w:type="dxa"/>
            <w:tcBorders>
              <w:top w:val="nil"/>
              <w:left w:val="nil"/>
              <w:bottom w:val="single" w:sz="4" w:space="0" w:color="auto"/>
              <w:right w:val="nil"/>
            </w:tcBorders>
            <w:shd w:val="clear" w:color="auto" w:fill="auto"/>
            <w:noWrap/>
            <w:vAlign w:val="bottom"/>
            <w:hideMark/>
          </w:tcPr>
          <w:p w14:paraId="6BCD8C8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202,901 </w:t>
            </w:r>
          </w:p>
        </w:tc>
        <w:tc>
          <w:tcPr>
            <w:tcW w:w="1584" w:type="dxa"/>
            <w:tcBorders>
              <w:top w:val="nil"/>
              <w:left w:val="nil"/>
              <w:bottom w:val="single" w:sz="4" w:space="0" w:color="auto"/>
              <w:right w:val="nil"/>
            </w:tcBorders>
            <w:shd w:val="clear" w:color="auto" w:fill="auto"/>
            <w:noWrap/>
            <w:vAlign w:val="bottom"/>
            <w:hideMark/>
          </w:tcPr>
          <w:p w14:paraId="4794C905"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3,000,988 </w:t>
            </w:r>
          </w:p>
        </w:tc>
        <w:tc>
          <w:tcPr>
            <w:tcW w:w="1584" w:type="dxa"/>
            <w:tcBorders>
              <w:top w:val="nil"/>
              <w:left w:val="nil"/>
              <w:bottom w:val="single" w:sz="4" w:space="0" w:color="auto"/>
              <w:right w:val="nil"/>
            </w:tcBorders>
            <w:shd w:val="clear" w:color="auto" w:fill="auto"/>
            <w:noWrap/>
            <w:vAlign w:val="bottom"/>
            <w:hideMark/>
          </w:tcPr>
          <w:p w14:paraId="31F0A4A7" w14:textId="77777777" w:rsidR="00653601" w:rsidRPr="00653601" w:rsidRDefault="00653601" w:rsidP="00653601">
            <w:pPr>
              <w:widowControl/>
              <w:autoSpaceDE/>
              <w:autoSpaceDN/>
              <w:adjustRightInd/>
              <w:jc w:val="left"/>
              <w:rPr>
                <w:rFonts w:ascii="Arial" w:hAnsi="Arial" w:cs="Arial"/>
                <w:color w:val="000000"/>
                <w:sz w:val="20"/>
                <w:szCs w:val="20"/>
                <w:lang w:eastAsia="en-CA"/>
              </w:rPr>
            </w:pPr>
            <w:r w:rsidRPr="00653601">
              <w:rPr>
                <w:rFonts w:ascii="Arial" w:hAnsi="Arial" w:cs="Arial"/>
                <w:color w:val="000000"/>
                <w:sz w:val="20"/>
                <w:szCs w:val="20"/>
                <w:lang w:eastAsia="en-CA"/>
              </w:rPr>
              <w:t xml:space="preserve">   3,634,205 </w:t>
            </w:r>
          </w:p>
        </w:tc>
      </w:tr>
    </w:tbl>
    <w:p w14:paraId="646DEC69" w14:textId="77777777" w:rsidR="00653601" w:rsidRDefault="00653601" w:rsidP="00C553B7">
      <w:pPr>
        <w:pStyle w:val="ListParagraph"/>
        <w:widowControl/>
        <w:autoSpaceDE/>
        <w:autoSpaceDN/>
        <w:adjustRightInd/>
        <w:spacing w:line="259" w:lineRule="auto"/>
        <w:jc w:val="left"/>
        <w:rPr>
          <w:rFonts w:ascii="Arial" w:hAnsi="Arial" w:cs="Arial"/>
          <w:bCs/>
          <w:sz w:val="20"/>
          <w:szCs w:val="20"/>
        </w:rPr>
      </w:pPr>
    </w:p>
    <w:sectPr w:rsidR="00653601" w:rsidSect="00FA6C95">
      <w:endnotePr>
        <w:numFmt w:val="decimal"/>
      </w:endnotePr>
      <w:pgSz w:w="12240" w:h="15840" w:code="1"/>
      <w:pgMar w:top="1985" w:right="964" w:bottom="851" w:left="1134" w:header="646" w:footer="2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18E" w14:textId="77777777" w:rsidR="00D6230E" w:rsidRDefault="00D6230E" w:rsidP="00C24597">
      <w:r>
        <w:separator/>
      </w:r>
    </w:p>
  </w:endnote>
  <w:endnote w:type="continuationSeparator" w:id="0">
    <w:p w14:paraId="62285A54" w14:textId="77777777" w:rsidR="00D6230E" w:rsidRDefault="00D6230E" w:rsidP="00C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05066"/>
      <w:docPartObj>
        <w:docPartGallery w:val="Page Numbers (Bottom of Page)"/>
        <w:docPartUnique/>
      </w:docPartObj>
    </w:sdtPr>
    <w:sdtEndPr>
      <w:rPr>
        <w:noProof/>
      </w:rPr>
    </w:sdtEndPr>
    <w:sdtContent>
      <w:p w14:paraId="538760FB" w14:textId="6AB5852F" w:rsidR="00262B9C" w:rsidRDefault="00262B9C">
        <w:pPr>
          <w:pStyle w:val="Footer"/>
          <w:jc w:val="center"/>
        </w:pPr>
        <w:r w:rsidRPr="00B96A51">
          <w:rPr>
            <w:rFonts w:ascii="Arial" w:hAnsi="Arial" w:cs="Arial"/>
          </w:rPr>
          <w:fldChar w:fldCharType="begin"/>
        </w:r>
        <w:r w:rsidRPr="00B96A51">
          <w:rPr>
            <w:rFonts w:ascii="Arial" w:hAnsi="Arial" w:cs="Arial"/>
          </w:rPr>
          <w:instrText xml:space="preserve"> PAGE   \* MERGEFORMAT </w:instrText>
        </w:r>
        <w:r w:rsidRPr="00B96A51">
          <w:rPr>
            <w:rFonts w:ascii="Arial" w:hAnsi="Arial" w:cs="Arial"/>
          </w:rPr>
          <w:fldChar w:fldCharType="separate"/>
        </w:r>
        <w:r w:rsidR="00C85788">
          <w:rPr>
            <w:rFonts w:ascii="Arial" w:hAnsi="Arial" w:cs="Arial"/>
            <w:noProof/>
          </w:rPr>
          <w:t>16</w:t>
        </w:r>
        <w:r w:rsidRPr="00B96A51">
          <w:rPr>
            <w:rFonts w:ascii="Arial" w:hAnsi="Arial" w:cs="Arial"/>
          </w:rPr>
          <w:fldChar w:fldCharType="end"/>
        </w:r>
      </w:p>
    </w:sdtContent>
  </w:sdt>
  <w:p w14:paraId="0BA05F1E" w14:textId="77777777" w:rsidR="00262B9C" w:rsidRPr="00074963" w:rsidRDefault="0026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AE99" w14:textId="77777777" w:rsidR="00D6230E" w:rsidRDefault="00D6230E" w:rsidP="00C24597">
      <w:r>
        <w:separator/>
      </w:r>
    </w:p>
  </w:footnote>
  <w:footnote w:type="continuationSeparator" w:id="0">
    <w:p w14:paraId="6B0A4350" w14:textId="77777777" w:rsidR="00D6230E" w:rsidRDefault="00D6230E" w:rsidP="00C2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FAC6" w14:textId="77777777" w:rsidR="00262B9C" w:rsidRDefault="00262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A072" w14:textId="77777777" w:rsidR="00262B9C" w:rsidRPr="009F228C" w:rsidRDefault="00262B9C" w:rsidP="00D32164">
    <w:pPr>
      <w:tabs>
        <w:tab w:val="left" w:pos="-1440"/>
        <w:tab w:val="left" w:pos="0"/>
        <w:tab w:val="left" w:pos="4896"/>
      </w:tabs>
      <w:rPr>
        <w:rFonts w:ascii="Arial" w:hAnsi="Arial" w:cs="Arial"/>
        <w:bCs/>
        <w:sz w:val="20"/>
        <w:szCs w:val="22"/>
        <w:u w:val="single"/>
      </w:rPr>
    </w:pPr>
    <w:r>
      <w:rPr>
        <w:rFonts w:ascii="Arial" w:hAnsi="Arial" w:cs="Arial"/>
        <w:b/>
        <w:bCs/>
        <w:sz w:val="20"/>
        <w:szCs w:val="22"/>
      </w:rPr>
      <w:t>DELIC HOLDINGS INC.</w:t>
    </w:r>
    <w:r w:rsidRPr="009F228C">
      <w:rPr>
        <w:rFonts w:ascii="Arial" w:hAnsi="Arial" w:cs="Arial"/>
        <w:b/>
        <w:bCs/>
        <w:sz w:val="20"/>
        <w:szCs w:val="22"/>
      </w:rPr>
      <w:tab/>
    </w:r>
    <w:r w:rsidRPr="009F228C">
      <w:rPr>
        <w:rFonts w:ascii="Arial" w:hAnsi="Arial" w:cs="Arial"/>
        <w:b/>
        <w:bCs/>
        <w:sz w:val="20"/>
        <w:szCs w:val="22"/>
      </w:rPr>
      <w:tab/>
    </w:r>
    <w:r w:rsidRPr="009F228C">
      <w:rPr>
        <w:rFonts w:ascii="Arial" w:hAnsi="Arial" w:cs="Arial"/>
        <w:b/>
        <w:bCs/>
        <w:sz w:val="20"/>
        <w:szCs w:val="22"/>
      </w:rPr>
      <w:tab/>
    </w:r>
    <w:r w:rsidRPr="009F228C">
      <w:rPr>
        <w:rFonts w:ascii="Arial" w:hAnsi="Arial" w:cs="Arial"/>
        <w:b/>
        <w:bCs/>
        <w:sz w:val="20"/>
        <w:szCs w:val="22"/>
      </w:rPr>
      <w:tab/>
    </w:r>
    <w:r w:rsidRPr="009F228C">
      <w:rPr>
        <w:rFonts w:ascii="Arial" w:hAnsi="Arial" w:cs="Arial"/>
        <w:b/>
        <w:bCs/>
        <w:sz w:val="20"/>
        <w:szCs w:val="22"/>
      </w:rPr>
      <w:tab/>
    </w:r>
    <w:r w:rsidRPr="009F228C">
      <w:rPr>
        <w:rFonts w:ascii="Arial" w:hAnsi="Arial" w:cs="Arial"/>
        <w:b/>
        <w:bCs/>
        <w:sz w:val="20"/>
        <w:szCs w:val="22"/>
      </w:rPr>
      <w:tab/>
    </w:r>
  </w:p>
  <w:p w14:paraId="17ED2775" w14:textId="77777777" w:rsidR="00262B9C" w:rsidRPr="009F228C" w:rsidRDefault="00262B9C" w:rsidP="00D32164">
    <w:pPr>
      <w:tabs>
        <w:tab w:val="left" w:pos="-1440"/>
        <w:tab w:val="left" w:pos="720"/>
        <w:tab w:val="left" w:pos="1440"/>
        <w:tab w:val="left" w:pos="4896"/>
      </w:tabs>
      <w:rPr>
        <w:rFonts w:ascii="Arial" w:hAnsi="Arial" w:cs="Arial"/>
        <w:b/>
        <w:bCs/>
        <w:sz w:val="20"/>
        <w:szCs w:val="22"/>
      </w:rPr>
    </w:pPr>
    <w:r w:rsidRPr="009F228C">
      <w:rPr>
        <w:rFonts w:ascii="Arial" w:hAnsi="Arial" w:cs="Arial"/>
        <w:b/>
        <w:bCs/>
        <w:sz w:val="20"/>
        <w:szCs w:val="22"/>
      </w:rPr>
      <w:t xml:space="preserve">Notes to the </w:t>
    </w:r>
    <w:r>
      <w:rPr>
        <w:rFonts w:ascii="Arial" w:hAnsi="Arial" w:cs="Arial"/>
        <w:b/>
        <w:bCs/>
        <w:sz w:val="20"/>
        <w:szCs w:val="22"/>
      </w:rPr>
      <w:t xml:space="preserve">Condensed Consolidated Interim </w:t>
    </w:r>
    <w:r w:rsidRPr="009F228C">
      <w:rPr>
        <w:rFonts w:ascii="Arial" w:hAnsi="Arial" w:cs="Arial"/>
        <w:b/>
        <w:bCs/>
        <w:sz w:val="20"/>
        <w:szCs w:val="22"/>
      </w:rPr>
      <w:t>Financial Statements</w:t>
    </w:r>
  </w:p>
  <w:p w14:paraId="000F7884" w14:textId="61A27319" w:rsidR="00262B9C" w:rsidRDefault="00262B9C" w:rsidP="00AD3808">
    <w:pPr>
      <w:pStyle w:val="Header"/>
      <w:pBdr>
        <w:bottom w:val="single" w:sz="12" w:space="1" w:color="auto"/>
      </w:pBdr>
      <w:rPr>
        <w:rFonts w:ascii="Arial" w:hAnsi="Arial" w:cs="Arial"/>
        <w:b/>
        <w:szCs w:val="20"/>
      </w:rPr>
    </w:pPr>
    <w:r w:rsidRPr="009F228C">
      <w:rPr>
        <w:rFonts w:ascii="Arial" w:hAnsi="Arial" w:cs="Arial"/>
        <w:b/>
        <w:szCs w:val="20"/>
      </w:rPr>
      <w:t xml:space="preserve">For the </w:t>
    </w:r>
    <w:r>
      <w:rPr>
        <w:rFonts w:ascii="Arial" w:hAnsi="Arial" w:cs="Arial"/>
        <w:b/>
        <w:szCs w:val="20"/>
      </w:rPr>
      <w:t xml:space="preserve">six months ended June 30, </w:t>
    </w:r>
    <w:proofErr w:type="gramStart"/>
    <w:r>
      <w:rPr>
        <w:rFonts w:ascii="Arial" w:hAnsi="Arial" w:cs="Arial"/>
        <w:b/>
        <w:szCs w:val="20"/>
      </w:rPr>
      <w:t>2021</w:t>
    </w:r>
    <w:proofErr w:type="gramEnd"/>
    <w:r>
      <w:rPr>
        <w:rFonts w:ascii="Arial" w:hAnsi="Arial" w:cs="Arial"/>
        <w:b/>
        <w:szCs w:val="20"/>
      </w:rPr>
      <w:t xml:space="preserve"> and 2020</w:t>
    </w:r>
  </w:p>
  <w:p w14:paraId="6C8F1E97" w14:textId="77777777" w:rsidR="00262B9C" w:rsidRPr="009F228C" w:rsidRDefault="00262B9C">
    <w:pPr>
      <w:pStyle w:val="Header"/>
      <w:pBdr>
        <w:bottom w:val="single" w:sz="12" w:space="1" w:color="auto"/>
      </w:pBdr>
      <w:rPr>
        <w:rFonts w:ascii="Arial" w:hAnsi="Arial" w:cs="Arial"/>
      </w:rPr>
    </w:pPr>
    <w:r w:rsidRPr="009F228C">
      <w:rPr>
        <w:rFonts w:ascii="Arial" w:hAnsi="Arial" w:cs="Arial"/>
        <w:szCs w:val="20"/>
      </w:rPr>
      <w:t>(</w:t>
    </w:r>
    <w:r>
      <w:rPr>
        <w:rFonts w:ascii="Arial" w:hAnsi="Arial" w:cs="Arial"/>
        <w:szCs w:val="20"/>
      </w:rPr>
      <w:t xml:space="preserve">Unaudited - Expressed </w:t>
    </w:r>
    <w:r w:rsidRPr="009F228C">
      <w:rPr>
        <w:rFonts w:ascii="Arial" w:hAnsi="Arial" w:cs="Arial"/>
        <w:szCs w:val="20"/>
      </w:rPr>
      <w:t xml:space="preserve">in </w:t>
    </w:r>
    <w:r>
      <w:rPr>
        <w:rFonts w:ascii="Arial" w:hAnsi="Arial" w:cs="Arial"/>
        <w:szCs w:val="20"/>
      </w:rPr>
      <w:t>US</w:t>
    </w:r>
    <w:r w:rsidRPr="009F228C">
      <w:rPr>
        <w:rFonts w:ascii="Arial" w:hAnsi="Arial" w:cs="Arial"/>
        <w:szCs w:val="20"/>
      </w:rPr>
      <w:t xml:space="preserve"> Dollars)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3A6"/>
    <w:multiLevelType w:val="hybridMultilevel"/>
    <w:tmpl w:val="9C6EA1D6"/>
    <w:lvl w:ilvl="0" w:tplc="EFC022E8">
      <w:start w:val="1"/>
      <w:numFmt w:val="lowerRoman"/>
      <w:lvlText w:val="(%1)"/>
      <w:lvlJc w:val="left"/>
      <w:pPr>
        <w:ind w:left="1374" w:hanging="720"/>
      </w:pPr>
      <w:rPr>
        <w:rFonts w:ascii="Arial" w:hAnsi="Arial" w:cs="Arial" w:hint="default"/>
        <w:sz w:val="20"/>
        <w:szCs w:val="20"/>
      </w:rPr>
    </w:lvl>
    <w:lvl w:ilvl="1" w:tplc="10090019">
      <w:start w:val="1"/>
      <w:numFmt w:val="lowerLetter"/>
      <w:lvlText w:val="%2."/>
      <w:lvlJc w:val="left"/>
      <w:pPr>
        <w:ind w:left="1734" w:hanging="360"/>
      </w:pPr>
    </w:lvl>
    <w:lvl w:ilvl="2" w:tplc="1009001B" w:tentative="1">
      <w:start w:val="1"/>
      <w:numFmt w:val="lowerRoman"/>
      <w:lvlText w:val="%3."/>
      <w:lvlJc w:val="right"/>
      <w:pPr>
        <w:ind w:left="2454" w:hanging="180"/>
      </w:pPr>
    </w:lvl>
    <w:lvl w:ilvl="3" w:tplc="1009000F" w:tentative="1">
      <w:start w:val="1"/>
      <w:numFmt w:val="decimal"/>
      <w:lvlText w:val="%4."/>
      <w:lvlJc w:val="left"/>
      <w:pPr>
        <w:ind w:left="3174" w:hanging="360"/>
      </w:pPr>
    </w:lvl>
    <w:lvl w:ilvl="4" w:tplc="10090019" w:tentative="1">
      <w:start w:val="1"/>
      <w:numFmt w:val="lowerLetter"/>
      <w:lvlText w:val="%5."/>
      <w:lvlJc w:val="left"/>
      <w:pPr>
        <w:ind w:left="3894" w:hanging="360"/>
      </w:pPr>
    </w:lvl>
    <w:lvl w:ilvl="5" w:tplc="1009001B" w:tentative="1">
      <w:start w:val="1"/>
      <w:numFmt w:val="lowerRoman"/>
      <w:lvlText w:val="%6."/>
      <w:lvlJc w:val="right"/>
      <w:pPr>
        <w:ind w:left="4614" w:hanging="180"/>
      </w:pPr>
    </w:lvl>
    <w:lvl w:ilvl="6" w:tplc="1009000F" w:tentative="1">
      <w:start w:val="1"/>
      <w:numFmt w:val="decimal"/>
      <w:lvlText w:val="%7."/>
      <w:lvlJc w:val="left"/>
      <w:pPr>
        <w:ind w:left="5334" w:hanging="360"/>
      </w:pPr>
    </w:lvl>
    <w:lvl w:ilvl="7" w:tplc="10090019" w:tentative="1">
      <w:start w:val="1"/>
      <w:numFmt w:val="lowerLetter"/>
      <w:lvlText w:val="%8."/>
      <w:lvlJc w:val="left"/>
      <w:pPr>
        <w:ind w:left="6054" w:hanging="360"/>
      </w:pPr>
    </w:lvl>
    <w:lvl w:ilvl="8" w:tplc="1009001B" w:tentative="1">
      <w:start w:val="1"/>
      <w:numFmt w:val="lowerRoman"/>
      <w:lvlText w:val="%9."/>
      <w:lvlJc w:val="right"/>
      <w:pPr>
        <w:ind w:left="6774" w:hanging="180"/>
      </w:pPr>
    </w:lvl>
  </w:abstractNum>
  <w:abstractNum w:abstractNumId="1" w15:restartNumberingAfterBreak="0">
    <w:nsid w:val="05A94FF8"/>
    <w:multiLevelType w:val="multilevel"/>
    <w:tmpl w:val="F796F9BA"/>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9F11B7B"/>
    <w:multiLevelType w:val="hybridMultilevel"/>
    <w:tmpl w:val="E30E41A2"/>
    <w:lvl w:ilvl="0" w:tplc="48649C8C">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356E0"/>
    <w:multiLevelType w:val="hybridMultilevel"/>
    <w:tmpl w:val="61A20DBA"/>
    <w:lvl w:ilvl="0" w:tplc="FA1EFCF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F56F3"/>
    <w:multiLevelType w:val="hybridMultilevel"/>
    <w:tmpl w:val="BB16DA0A"/>
    <w:lvl w:ilvl="0" w:tplc="66647424">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612844"/>
    <w:multiLevelType w:val="hybridMultilevel"/>
    <w:tmpl w:val="1F2E99C8"/>
    <w:lvl w:ilvl="0" w:tplc="F9AA87B8">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555128"/>
    <w:multiLevelType w:val="hybridMultilevel"/>
    <w:tmpl w:val="4EDA5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919D1"/>
    <w:multiLevelType w:val="hybridMultilevel"/>
    <w:tmpl w:val="588677CA"/>
    <w:lvl w:ilvl="0" w:tplc="749AA6E6">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256A1D"/>
    <w:multiLevelType w:val="multilevel"/>
    <w:tmpl w:val="08ECC010"/>
    <w:lvl w:ilvl="0">
      <w:start w:val="6"/>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AEF23FB"/>
    <w:multiLevelType w:val="multilevel"/>
    <w:tmpl w:val="1F2E99C8"/>
    <w:styleLink w:val="CurrentList1"/>
    <w:lvl w:ilvl="0">
      <w:start w:val="9"/>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0303B3"/>
    <w:multiLevelType w:val="hybridMultilevel"/>
    <w:tmpl w:val="BB16DA0A"/>
    <w:lvl w:ilvl="0" w:tplc="66647424">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D750A1"/>
    <w:multiLevelType w:val="hybridMultilevel"/>
    <w:tmpl w:val="F38E5076"/>
    <w:lvl w:ilvl="0" w:tplc="047A399C">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8B5153"/>
    <w:multiLevelType w:val="hybridMultilevel"/>
    <w:tmpl w:val="72B4F1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8F5D71"/>
    <w:multiLevelType w:val="hybridMultilevel"/>
    <w:tmpl w:val="25BC042A"/>
    <w:lvl w:ilvl="0" w:tplc="45868CA2">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C20432"/>
    <w:multiLevelType w:val="hybridMultilevel"/>
    <w:tmpl w:val="99640B76"/>
    <w:lvl w:ilvl="0" w:tplc="B340432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C02F67"/>
    <w:multiLevelType w:val="hybridMultilevel"/>
    <w:tmpl w:val="0D42E40A"/>
    <w:lvl w:ilvl="0" w:tplc="654ED3DA">
      <w:start w:val="1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3E39D9"/>
    <w:multiLevelType w:val="hybridMultilevel"/>
    <w:tmpl w:val="FA7E60E6"/>
    <w:lvl w:ilvl="0" w:tplc="621C6882">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6B7531"/>
    <w:multiLevelType w:val="hybridMultilevel"/>
    <w:tmpl w:val="99640B76"/>
    <w:lvl w:ilvl="0" w:tplc="B340432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0"/>
  </w:num>
  <w:num w:numId="5">
    <w:abstractNumId w:val="18"/>
  </w:num>
  <w:num w:numId="6">
    <w:abstractNumId w:val="1"/>
  </w:num>
  <w:num w:numId="7">
    <w:abstractNumId w:val="8"/>
  </w:num>
  <w:num w:numId="8">
    <w:abstractNumId w:val="7"/>
  </w:num>
  <w:num w:numId="9">
    <w:abstractNumId w:val="17"/>
  </w:num>
  <w:num w:numId="10">
    <w:abstractNumId w:val="4"/>
  </w:num>
  <w:num w:numId="11">
    <w:abstractNumId w:val="14"/>
  </w:num>
  <w:num w:numId="12">
    <w:abstractNumId w:val="11"/>
  </w:num>
  <w:num w:numId="13">
    <w:abstractNumId w:val="2"/>
  </w:num>
  <w:num w:numId="14">
    <w:abstractNumId w:val="12"/>
  </w:num>
  <w:num w:numId="15">
    <w:abstractNumId w:val="5"/>
  </w:num>
  <w:num w:numId="16">
    <w:abstractNumId w:val="6"/>
  </w:num>
  <w:num w:numId="17">
    <w:abstractNumId w:val="10"/>
  </w:num>
  <w:num w:numId="18">
    <w:abstractNumId w:val="16"/>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45"/>
    <w:rsid w:val="00002E91"/>
    <w:rsid w:val="000033BB"/>
    <w:rsid w:val="00003A7C"/>
    <w:rsid w:val="00006AE8"/>
    <w:rsid w:val="00010511"/>
    <w:rsid w:val="000177BA"/>
    <w:rsid w:val="00024BB1"/>
    <w:rsid w:val="00025815"/>
    <w:rsid w:val="00025862"/>
    <w:rsid w:val="00025D2B"/>
    <w:rsid w:val="00026024"/>
    <w:rsid w:val="00033134"/>
    <w:rsid w:val="00035CB3"/>
    <w:rsid w:val="000360DD"/>
    <w:rsid w:val="00036F1A"/>
    <w:rsid w:val="00036F75"/>
    <w:rsid w:val="0004014C"/>
    <w:rsid w:val="00040FDD"/>
    <w:rsid w:val="00041766"/>
    <w:rsid w:val="0004434F"/>
    <w:rsid w:val="00044B22"/>
    <w:rsid w:val="00044C75"/>
    <w:rsid w:val="00050AC8"/>
    <w:rsid w:val="00051E7A"/>
    <w:rsid w:val="000565AB"/>
    <w:rsid w:val="00060098"/>
    <w:rsid w:val="00060DC6"/>
    <w:rsid w:val="0006149B"/>
    <w:rsid w:val="00071024"/>
    <w:rsid w:val="000750F6"/>
    <w:rsid w:val="00080EC8"/>
    <w:rsid w:val="0008105B"/>
    <w:rsid w:val="0008505A"/>
    <w:rsid w:val="00091E6F"/>
    <w:rsid w:val="00093D50"/>
    <w:rsid w:val="000943B2"/>
    <w:rsid w:val="00096468"/>
    <w:rsid w:val="000A023A"/>
    <w:rsid w:val="000A3229"/>
    <w:rsid w:val="000A6454"/>
    <w:rsid w:val="000A7124"/>
    <w:rsid w:val="000A7433"/>
    <w:rsid w:val="000B08CA"/>
    <w:rsid w:val="000B1ED1"/>
    <w:rsid w:val="000C1656"/>
    <w:rsid w:val="000C381B"/>
    <w:rsid w:val="000D05BB"/>
    <w:rsid w:val="000D2262"/>
    <w:rsid w:val="000D2DF6"/>
    <w:rsid w:val="000D3A79"/>
    <w:rsid w:val="000D49FF"/>
    <w:rsid w:val="000D563D"/>
    <w:rsid w:val="000D72DA"/>
    <w:rsid w:val="000E01E3"/>
    <w:rsid w:val="000E4301"/>
    <w:rsid w:val="000E438D"/>
    <w:rsid w:val="000E45E7"/>
    <w:rsid w:val="000F0FB5"/>
    <w:rsid w:val="000F1B7D"/>
    <w:rsid w:val="000F2890"/>
    <w:rsid w:val="000F414D"/>
    <w:rsid w:val="00100B3A"/>
    <w:rsid w:val="00100E1B"/>
    <w:rsid w:val="00105763"/>
    <w:rsid w:val="0010641C"/>
    <w:rsid w:val="00112C3D"/>
    <w:rsid w:val="00115BA7"/>
    <w:rsid w:val="00117E77"/>
    <w:rsid w:val="00122483"/>
    <w:rsid w:val="00126183"/>
    <w:rsid w:val="00127C8F"/>
    <w:rsid w:val="00143F7B"/>
    <w:rsid w:val="00144531"/>
    <w:rsid w:val="00150F1B"/>
    <w:rsid w:val="00150FA2"/>
    <w:rsid w:val="00156A45"/>
    <w:rsid w:val="00157992"/>
    <w:rsid w:val="00160034"/>
    <w:rsid w:val="00160AD9"/>
    <w:rsid w:val="00161348"/>
    <w:rsid w:val="001616A5"/>
    <w:rsid w:val="00163ED3"/>
    <w:rsid w:val="0016603A"/>
    <w:rsid w:val="001677E3"/>
    <w:rsid w:val="00167F10"/>
    <w:rsid w:val="00171651"/>
    <w:rsid w:val="001728F0"/>
    <w:rsid w:val="00176184"/>
    <w:rsid w:val="00176542"/>
    <w:rsid w:val="00181846"/>
    <w:rsid w:val="00182AA0"/>
    <w:rsid w:val="00186B6D"/>
    <w:rsid w:val="00187502"/>
    <w:rsid w:val="00190A92"/>
    <w:rsid w:val="001A3BF5"/>
    <w:rsid w:val="001A559B"/>
    <w:rsid w:val="001A6AF8"/>
    <w:rsid w:val="001B0517"/>
    <w:rsid w:val="001B0C0B"/>
    <w:rsid w:val="001B2C66"/>
    <w:rsid w:val="001B3462"/>
    <w:rsid w:val="001B50E0"/>
    <w:rsid w:val="001C3093"/>
    <w:rsid w:val="001C3181"/>
    <w:rsid w:val="001C78F7"/>
    <w:rsid w:val="001C794C"/>
    <w:rsid w:val="001D009C"/>
    <w:rsid w:val="001D28DC"/>
    <w:rsid w:val="001D2E70"/>
    <w:rsid w:val="001E4F2D"/>
    <w:rsid w:val="001F5A74"/>
    <w:rsid w:val="00204EAF"/>
    <w:rsid w:val="00205110"/>
    <w:rsid w:val="00205689"/>
    <w:rsid w:val="002101EB"/>
    <w:rsid w:val="002105CD"/>
    <w:rsid w:val="002219D4"/>
    <w:rsid w:val="00225A93"/>
    <w:rsid w:val="0023099D"/>
    <w:rsid w:val="00232D96"/>
    <w:rsid w:val="0023573C"/>
    <w:rsid w:val="00240201"/>
    <w:rsid w:val="00241918"/>
    <w:rsid w:val="002464DC"/>
    <w:rsid w:val="00247A0A"/>
    <w:rsid w:val="00247A18"/>
    <w:rsid w:val="00250EEE"/>
    <w:rsid w:val="0025585C"/>
    <w:rsid w:val="0025701F"/>
    <w:rsid w:val="00262B9C"/>
    <w:rsid w:val="00264976"/>
    <w:rsid w:val="002674CC"/>
    <w:rsid w:val="0027034B"/>
    <w:rsid w:val="00273FA6"/>
    <w:rsid w:val="00274834"/>
    <w:rsid w:val="0027690F"/>
    <w:rsid w:val="00280989"/>
    <w:rsid w:val="0028156E"/>
    <w:rsid w:val="00282724"/>
    <w:rsid w:val="00282B10"/>
    <w:rsid w:val="0028719A"/>
    <w:rsid w:val="0028763E"/>
    <w:rsid w:val="0029555C"/>
    <w:rsid w:val="002A1148"/>
    <w:rsid w:val="002A1D8D"/>
    <w:rsid w:val="002A2208"/>
    <w:rsid w:val="002A2E53"/>
    <w:rsid w:val="002A33A6"/>
    <w:rsid w:val="002A46E5"/>
    <w:rsid w:val="002B06D0"/>
    <w:rsid w:val="002B1532"/>
    <w:rsid w:val="002B3FC0"/>
    <w:rsid w:val="002B653D"/>
    <w:rsid w:val="002C3E41"/>
    <w:rsid w:val="002D3342"/>
    <w:rsid w:val="002D4E0B"/>
    <w:rsid w:val="002D5304"/>
    <w:rsid w:val="002D60B2"/>
    <w:rsid w:val="002D7F6A"/>
    <w:rsid w:val="002E19CF"/>
    <w:rsid w:val="002E1D44"/>
    <w:rsid w:val="002E23C8"/>
    <w:rsid w:val="002F13A6"/>
    <w:rsid w:val="002F167D"/>
    <w:rsid w:val="002F23A7"/>
    <w:rsid w:val="002F4524"/>
    <w:rsid w:val="002F4649"/>
    <w:rsid w:val="002F67EE"/>
    <w:rsid w:val="002F69BB"/>
    <w:rsid w:val="003009C2"/>
    <w:rsid w:val="00303FF2"/>
    <w:rsid w:val="00307329"/>
    <w:rsid w:val="00307A61"/>
    <w:rsid w:val="003104B4"/>
    <w:rsid w:val="00311368"/>
    <w:rsid w:val="00311F26"/>
    <w:rsid w:val="00313E5C"/>
    <w:rsid w:val="003171CA"/>
    <w:rsid w:val="00322E07"/>
    <w:rsid w:val="00325998"/>
    <w:rsid w:val="00325B5F"/>
    <w:rsid w:val="0032613F"/>
    <w:rsid w:val="00327EB6"/>
    <w:rsid w:val="00330F83"/>
    <w:rsid w:val="00335F15"/>
    <w:rsid w:val="0033737F"/>
    <w:rsid w:val="003560B1"/>
    <w:rsid w:val="00356766"/>
    <w:rsid w:val="00361F43"/>
    <w:rsid w:val="00362AC0"/>
    <w:rsid w:val="00367E99"/>
    <w:rsid w:val="00370F42"/>
    <w:rsid w:val="003717AE"/>
    <w:rsid w:val="00372AB8"/>
    <w:rsid w:val="00374E69"/>
    <w:rsid w:val="0037518B"/>
    <w:rsid w:val="00376E73"/>
    <w:rsid w:val="00380E89"/>
    <w:rsid w:val="00383E0B"/>
    <w:rsid w:val="00394891"/>
    <w:rsid w:val="00394C05"/>
    <w:rsid w:val="0039710C"/>
    <w:rsid w:val="003A1519"/>
    <w:rsid w:val="003A1708"/>
    <w:rsid w:val="003A1A41"/>
    <w:rsid w:val="003A255F"/>
    <w:rsid w:val="003A4F94"/>
    <w:rsid w:val="003B4ECE"/>
    <w:rsid w:val="003C27E7"/>
    <w:rsid w:val="003C4729"/>
    <w:rsid w:val="003C50B6"/>
    <w:rsid w:val="003D2E01"/>
    <w:rsid w:val="003D38BC"/>
    <w:rsid w:val="003D4A27"/>
    <w:rsid w:val="003D4FBC"/>
    <w:rsid w:val="003D746A"/>
    <w:rsid w:val="003E09D8"/>
    <w:rsid w:val="003E3583"/>
    <w:rsid w:val="003E7869"/>
    <w:rsid w:val="003F3F16"/>
    <w:rsid w:val="003F424D"/>
    <w:rsid w:val="003F7AF7"/>
    <w:rsid w:val="00400692"/>
    <w:rsid w:val="004073BD"/>
    <w:rsid w:val="00414E97"/>
    <w:rsid w:val="004200E2"/>
    <w:rsid w:val="00430B54"/>
    <w:rsid w:val="00430C21"/>
    <w:rsid w:val="004332D5"/>
    <w:rsid w:val="00434DB6"/>
    <w:rsid w:val="004363B6"/>
    <w:rsid w:val="004370C4"/>
    <w:rsid w:val="00447ADD"/>
    <w:rsid w:val="00451F47"/>
    <w:rsid w:val="00451FEE"/>
    <w:rsid w:val="0045787D"/>
    <w:rsid w:val="00464ADE"/>
    <w:rsid w:val="00465E01"/>
    <w:rsid w:val="00467663"/>
    <w:rsid w:val="00470360"/>
    <w:rsid w:val="00471409"/>
    <w:rsid w:val="0047178E"/>
    <w:rsid w:val="00475D73"/>
    <w:rsid w:val="004764F2"/>
    <w:rsid w:val="00481525"/>
    <w:rsid w:val="0048364F"/>
    <w:rsid w:val="00486241"/>
    <w:rsid w:val="00490E62"/>
    <w:rsid w:val="00495E95"/>
    <w:rsid w:val="004A16B9"/>
    <w:rsid w:val="004A1F3D"/>
    <w:rsid w:val="004A4A7D"/>
    <w:rsid w:val="004A790C"/>
    <w:rsid w:val="004A7B81"/>
    <w:rsid w:val="004A7FD4"/>
    <w:rsid w:val="004B0BF0"/>
    <w:rsid w:val="004B341A"/>
    <w:rsid w:val="004B5648"/>
    <w:rsid w:val="004C08D9"/>
    <w:rsid w:val="004C6B7D"/>
    <w:rsid w:val="004D32F2"/>
    <w:rsid w:val="004D4272"/>
    <w:rsid w:val="004D44F1"/>
    <w:rsid w:val="004D5358"/>
    <w:rsid w:val="004F168F"/>
    <w:rsid w:val="004F640B"/>
    <w:rsid w:val="004F7493"/>
    <w:rsid w:val="00501DE6"/>
    <w:rsid w:val="00503778"/>
    <w:rsid w:val="0050726C"/>
    <w:rsid w:val="00507318"/>
    <w:rsid w:val="00510B38"/>
    <w:rsid w:val="00513647"/>
    <w:rsid w:val="00513DFF"/>
    <w:rsid w:val="00521FE9"/>
    <w:rsid w:val="005233D3"/>
    <w:rsid w:val="00525035"/>
    <w:rsid w:val="005266C1"/>
    <w:rsid w:val="00533E95"/>
    <w:rsid w:val="00535E25"/>
    <w:rsid w:val="0054117F"/>
    <w:rsid w:val="00544D74"/>
    <w:rsid w:val="00546723"/>
    <w:rsid w:val="00547AB3"/>
    <w:rsid w:val="00551B4C"/>
    <w:rsid w:val="00553208"/>
    <w:rsid w:val="0056172B"/>
    <w:rsid w:val="00562F87"/>
    <w:rsid w:val="00563A91"/>
    <w:rsid w:val="0056445E"/>
    <w:rsid w:val="005645F9"/>
    <w:rsid w:val="005662EC"/>
    <w:rsid w:val="00571E69"/>
    <w:rsid w:val="00577DE7"/>
    <w:rsid w:val="00583807"/>
    <w:rsid w:val="00583BE8"/>
    <w:rsid w:val="00586839"/>
    <w:rsid w:val="005913BE"/>
    <w:rsid w:val="00595FBD"/>
    <w:rsid w:val="005A433D"/>
    <w:rsid w:val="005B1F55"/>
    <w:rsid w:val="005B299D"/>
    <w:rsid w:val="005B3CD1"/>
    <w:rsid w:val="005B4444"/>
    <w:rsid w:val="005B6918"/>
    <w:rsid w:val="005C0DF2"/>
    <w:rsid w:val="005C49B1"/>
    <w:rsid w:val="005E5E7A"/>
    <w:rsid w:val="005F1BBC"/>
    <w:rsid w:val="005F4270"/>
    <w:rsid w:val="005F4544"/>
    <w:rsid w:val="00601960"/>
    <w:rsid w:val="0060414D"/>
    <w:rsid w:val="00604587"/>
    <w:rsid w:val="00615C55"/>
    <w:rsid w:val="00617725"/>
    <w:rsid w:val="00620176"/>
    <w:rsid w:val="00622CA2"/>
    <w:rsid w:val="006241D3"/>
    <w:rsid w:val="00627002"/>
    <w:rsid w:val="0062775C"/>
    <w:rsid w:val="00630A99"/>
    <w:rsid w:val="0063191D"/>
    <w:rsid w:val="00634A5A"/>
    <w:rsid w:val="0063525F"/>
    <w:rsid w:val="006355C5"/>
    <w:rsid w:val="00637E3C"/>
    <w:rsid w:val="006442B6"/>
    <w:rsid w:val="0064738D"/>
    <w:rsid w:val="00652A14"/>
    <w:rsid w:val="00653601"/>
    <w:rsid w:val="00661836"/>
    <w:rsid w:val="00661C75"/>
    <w:rsid w:val="00663806"/>
    <w:rsid w:val="0067033B"/>
    <w:rsid w:val="00670940"/>
    <w:rsid w:val="00671EA6"/>
    <w:rsid w:val="00672A86"/>
    <w:rsid w:val="00674D3B"/>
    <w:rsid w:val="0067665F"/>
    <w:rsid w:val="00681E4A"/>
    <w:rsid w:val="00681FF1"/>
    <w:rsid w:val="00683034"/>
    <w:rsid w:val="00684077"/>
    <w:rsid w:val="006902FF"/>
    <w:rsid w:val="006904FD"/>
    <w:rsid w:val="00694089"/>
    <w:rsid w:val="0069495B"/>
    <w:rsid w:val="00695555"/>
    <w:rsid w:val="006A2136"/>
    <w:rsid w:val="006A2F24"/>
    <w:rsid w:val="006A787F"/>
    <w:rsid w:val="006B492A"/>
    <w:rsid w:val="006B5BCD"/>
    <w:rsid w:val="006B5D16"/>
    <w:rsid w:val="006C5FDC"/>
    <w:rsid w:val="006D364A"/>
    <w:rsid w:val="006D67DF"/>
    <w:rsid w:val="006D7110"/>
    <w:rsid w:val="006E0F04"/>
    <w:rsid w:val="006E4C7E"/>
    <w:rsid w:val="006E62BD"/>
    <w:rsid w:val="006E76C2"/>
    <w:rsid w:val="006F026C"/>
    <w:rsid w:val="006F30A0"/>
    <w:rsid w:val="006F44D5"/>
    <w:rsid w:val="006F50FF"/>
    <w:rsid w:val="007036DB"/>
    <w:rsid w:val="00705C88"/>
    <w:rsid w:val="00706738"/>
    <w:rsid w:val="007072D2"/>
    <w:rsid w:val="00713EE3"/>
    <w:rsid w:val="00713EEA"/>
    <w:rsid w:val="00716F88"/>
    <w:rsid w:val="00720C79"/>
    <w:rsid w:val="00723E11"/>
    <w:rsid w:val="007251D1"/>
    <w:rsid w:val="0072630B"/>
    <w:rsid w:val="00726757"/>
    <w:rsid w:val="007335A1"/>
    <w:rsid w:val="00736474"/>
    <w:rsid w:val="007374B6"/>
    <w:rsid w:val="00741D8F"/>
    <w:rsid w:val="00745376"/>
    <w:rsid w:val="00745A65"/>
    <w:rsid w:val="00745F39"/>
    <w:rsid w:val="007532B2"/>
    <w:rsid w:val="0076392F"/>
    <w:rsid w:val="007710A5"/>
    <w:rsid w:val="00771693"/>
    <w:rsid w:val="00772BED"/>
    <w:rsid w:val="007742B6"/>
    <w:rsid w:val="00775605"/>
    <w:rsid w:val="007807E1"/>
    <w:rsid w:val="0078102B"/>
    <w:rsid w:val="00787480"/>
    <w:rsid w:val="00792475"/>
    <w:rsid w:val="00792C9C"/>
    <w:rsid w:val="007942DB"/>
    <w:rsid w:val="007A16BC"/>
    <w:rsid w:val="007A2E03"/>
    <w:rsid w:val="007A70D8"/>
    <w:rsid w:val="007B11F0"/>
    <w:rsid w:val="007B2F35"/>
    <w:rsid w:val="007B4777"/>
    <w:rsid w:val="007B4E13"/>
    <w:rsid w:val="007B76AE"/>
    <w:rsid w:val="007B7C04"/>
    <w:rsid w:val="007C2BBC"/>
    <w:rsid w:val="007D2A8C"/>
    <w:rsid w:val="007D49E6"/>
    <w:rsid w:val="007D596E"/>
    <w:rsid w:val="007D61A7"/>
    <w:rsid w:val="007D72EC"/>
    <w:rsid w:val="007E6A6A"/>
    <w:rsid w:val="008038B5"/>
    <w:rsid w:val="00804270"/>
    <w:rsid w:val="0081030F"/>
    <w:rsid w:val="00815558"/>
    <w:rsid w:val="0081676D"/>
    <w:rsid w:val="00825974"/>
    <w:rsid w:val="008307A5"/>
    <w:rsid w:val="00832785"/>
    <w:rsid w:val="00835ADA"/>
    <w:rsid w:val="00845652"/>
    <w:rsid w:val="00851615"/>
    <w:rsid w:val="00853EC1"/>
    <w:rsid w:val="00856A20"/>
    <w:rsid w:val="008628D4"/>
    <w:rsid w:val="008631C1"/>
    <w:rsid w:val="00865308"/>
    <w:rsid w:val="0086665C"/>
    <w:rsid w:val="008671ED"/>
    <w:rsid w:val="00867469"/>
    <w:rsid w:val="00876737"/>
    <w:rsid w:val="00877143"/>
    <w:rsid w:val="00877C12"/>
    <w:rsid w:val="00877C63"/>
    <w:rsid w:val="00883305"/>
    <w:rsid w:val="008929BE"/>
    <w:rsid w:val="00896256"/>
    <w:rsid w:val="008A214C"/>
    <w:rsid w:val="008A2DB4"/>
    <w:rsid w:val="008A3203"/>
    <w:rsid w:val="008A4068"/>
    <w:rsid w:val="008A40AC"/>
    <w:rsid w:val="008B203C"/>
    <w:rsid w:val="008B3F5D"/>
    <w:rsid w:val="008C1A34"/>
    <w:rsid w:val="008C1A4A"/>
    <w:rsid w:val="008C3ABF"/>
    <w:rsid w:val="008C43F9"/>
    <w:rsid w:val="008C58A6"/>
    <w:rsid w:val="008C6033"/>
    <w:rsid w:val="008C6FD4"/>
    <w:rsid w:val="008D446C"/>
    <w:rsid w:val="008E44C7"/>
    <w:rsid w:val="008E5431"/>
    <w:rsid w:val="008E7700"/>
    <w:rsid w:val="008F12D7"/>
    <w:rsid w:val="008F2B4E"/>
    <w:rsid w:val="008F7BAF"/>
    <w:rsid w:val="009003A3"/>
    <w:rsid w:val="00905AB0"/>
    <w:rsid w:val="00907B4C"/>
    <w:rsid w:val="00910AA7"/>
    <w:rsid w:val="009118DB"/>
    <w:rsid w:val="00917302"/>
    <w:rsid w:val="0092124B"/>
    <w:rsid w:val="00921260"/>
    <w:rsid w:val="009218FA"/>
    <w:rsid w:val="00921C27"/>
    <w:rsid w:val="00926821"/>
    <w:rsid w:val="0092747B"/>
    <w:rsid w:val="009305BF"/>
    <w:rsid w:val="009331D0"/>
    <w:rsid w:val="00933B9F"/>
    <w:rsid w:val="009361E4"/>
    <w:rsid w:val="00942912"/>
    <w:rsid w:val="009477E9"/>
    <w:rsid w:val="0095293F"/>
    <w:rsid w:val="00952CDD"/>
    <w:rsid w:val="009547C8"/>
    <w:rsid w:val="00957B5C"/>
    <w:rsid w:val="00966F00"/>
    <w:rsid w:val="009702C1"/>
    <w:rsid w:val="00983928"/>
    <w:rsid w:val="009869C0"/>
    <w:rsid w:val="00990AF5"/>
    <w:rsid w:val="00992567"/>
    <w:rsid w:val="0099303D"/>
    <w:rsid w:val="00996A78"/>
    <w:rsid w:val="00996CFA"/>
    <w:rsid w:val="009A0806"/>
    <w:rsid w:val="009A4C61"/>
    <w:rsid w:val="009B3F0D"/>
    <w:rsid w:val="009B5A73"/>
    <w:rsid w:val="009D0D45"/>
    <w:rsid w:val="009D157D"/>
    <w:rsid w:val="009D57EF"/>
    <w:rsid w:val="009D5F6D"/>
    <w:rsid w:val="009D65EC"/>
    <w:rsid w:val="009D72ED"/>
    <w:rsid w:val="009E1469"/>
    <w:rsid w:val="009E77B0"/>
    <w:rsid w:val="009F39C8"/>
    <w:rsid w:val="00A008EE"/>
    <w:rsid w:val="00A0124F"/>
    <w:rsid w:val="00A01357"/>
    <w:rsid w:val="00A021BA"/>
    <w:rsid w:val="00A033F3"/>
    <w:rsid w:val="00A036F2"/>
    <w:rsid w:val="00A05118"/>
    <w:rsid w:val="00A056C9"/>
    <w:rsid w:val="00A11493"/>
    <w:rsid w:val="00A11BD9"/>
    <w:rsid w:val="00A146A4"/>
    <w:rsid w:val="00A16797"/>
    <w:rsid w:val="00A20400"/>
    <w:rsid w:val="00A20534"/>
    <w:rsid w:val="00A20D52"/>
    <w:rsid w:val="00A23AAA"/>
    <w:rsid w:val="00A27B69"/>
    <w:rsid w:val="00A3028B"/>
    <w:rsid w:val="00A3146E"/>
    <w:rsid w:val="00A333B3"/>
    <w:rsid w:val="00A4028A"/>
    <w:rsid w:val="00A45E8D"/>
    <w:rsid w:val="00A4759A"/>
    <w:rsid w:val="00A5164E"/>
    <w:rsid w:val="00A57819"/>
    <w:rsid w:val="00A62718"/>
    <w:rsid w:val="00A62CF6"/>
    <w:rsid w:val="00A65AE8"/>
    <w:rsid w:val="00A67E9F"/>
    <w:rsid w:val="00A72486"/>
    <w:rsid w:val="00A850BF"/>
    <w:rsid w:val="00A92EC6"/>
    <w:rsid w:val="00A96AE4"/>
    <w:rsid w:val="00A96D4E"/>
    <w:rsid w:val="00A97B72"/>
    <w:rsid w:val="00AA072E"/>
    <w:rsid w:val="00AA2276"/>
    <w:rsid w:val="00AA2BEC"/>
    <w:rsid w:val="00AA3324"/>
    <w:rsid w:val="00AA3696"/>
    <w:rsid w:val="00AA6D56"/>
    <w:rsid w:val="00AA782A"/>
    <w:rsid w:val="00AB0F1E"/>
    <w:rsid w:val="00AB19AC"/>
    <w:rsid w:val="00AC52CC"/>
    <w:rsid w:val="00AC750E"/>
    <w:rsid w:val="00AD0FA9"/>
    <w:rsid w:val="00AD37DD"/>
    <w:rsid w:val="00AD3808"/>
    <w:rsid w:val="00AD64E4"/>
    <w:rsid w:val="00AD76E8"/>
    <w:rsid w:val="00AE099D"/>
    <w:rsid w:val="00AE1A87"/>
    <w:rsid w:val="00AE29D2"/>
    <w:rsid w:val="00AE2BC9"/>
    <w:rsid w:val="00AE3BF2"/>
    <w:rsid w:val="00AE56E6"/>
    <w:rsid w:val="00AE5F3F"/>
    <w:rsid w:val="00AF535C"/>
    <w:rsid w:val="00B01562"/>
    <w:rsid w:val="00B025FF"/>
    <w:rsid w:val="00B036C7"/>
    <w:rsid w:val="00B03FF2"/>
    <w:rsid w:val="00B0608E"/>
    <w:rsid w:val="00B140AE"/>
    <w:rsid w:val="00B14D79"/>
    <w:rsid w:val="00B16DDA"/>
    <w:rsid w:val="00B20AED"/>
    <w:rsid w:val="00B22845"/>
    <w:rsid w:val="00B22ECD"/>
    <w:rsid w:val="00B35E1B"/>
    <w:rsid w:val="00B41B44"/>
    <w:rsid w:val="00B42442"/>
    <w:rsid w:val="00B46DD6"/>
    <w:rsid w:val="00B51E3C"/>
    <w:rsid w:val="00B54ED4"/>
    <w:rsid w:val="00B56713"/>
    <w:rsid w:val="00B632A8"/>
    <w:rsid w:val="00B645AB"/>
    <w:rsid w:val="00B72D5D"/>
    <w:rsid w:val="00B74966"/>
    <w:rsid w:val="00B74B6D"/>
    <w:rsid w:val="00B75BE6"/>
    <w:rsid w:val="00B77026"/>
    <w:rsid w:val="00B80416"/>
    <w:rsid w:val="00B81702"/>
    <w:rsid w:val="00B818D2"/>
    <w:rsid w:val="00B8303A"/>
    <w:rsid w:val="00B83E41"/>
    <w:rsid w:val="00B90B5A"/>
    <w:rsid w:val="00B918F1"/>
    <w:rsid w:val="00B925B0"/>
    <w:rsid w:val="00B96A51"/>
    <w:rsid w:val="00B96C9F"/>
    <w:rsid w:val="00B96DD1"/>
    <w:rsid w:val="00B96F45"/>
    <w:rsid w:val="00BB427C"/>
    <w:rsid w:val="00BB43F5"/>
    <w:rsid w:val="00BC35FF"/>
    <w:rsid w:val="00BD0BF2"/>
    <w:rsid w:val="00BD71F3"/>
    <w:rsid w:val="00BE2101"/>
    <w:rsid w:val="00BE43F7"/>
    <w:rsid w:val="00BE59B8"/>
    <w:rsid w:val="00BE6F76"/>
    <w:rsid w:val="00BF0A5D"/>
    <w:rsid w:val="00BF4B65"/>
    <w:rsid w:val="00C07BAE"/>
    <w:rsid w:val="00C10C03"/>
    <w:rsid w:val="00C115D9"/>
    <w:rsid w:val="00C11F42"/>
    <w:rsid w:val="00C14899"/>
    <w:rsid w:val="00C178A8"/>
    <w:rsid w:val="00C2427E"/>
    <w:rsid w:val="00C24597"/>
    <w:rsid w:val="00C251ED"/>
    <w:rsid w:val="00C3093A"/>
    <w:rsid w:val="00C30C12"/>
    <w:rsid w:val="00C31A39"/>
    <w:rsid w:val="00C31D79"/>
    <w:rsid w:val="00C33204"/>
    <w:rsid w:val="00C33B7A"/>
    <w:rsid w:val="00C34FCB"/>
    <w:rsid w:val="00C37FDF"/>
    <w:rsid w:val="00C46652"/>
    <w:rsid w:val="00C5044D"/>
    <w:rsid w:val="00C5139E"/>
    <w:rsid w:val="00C5314A"/>
    <w:rsid w:val="00C553B7"/>
    <w:rsid w:val="00C576C2"/>
    <w:rsid w:val="00C60391"/>
    <w:rsid w:val="00C619FF"/>
    <w:rsid w:val="00C7384B"/>
    <w:rsid w:val="00C81B5F"/>
    <w:rsid w:val="00C83E54"/>
    <w:rsid w:val="00C844FF"/>
    <w:rsid w:val="00C85788"/>
    <w:rsid w:val="00C909D5"/>
    <w:rsid w:val="00C92D73"/>
    <w:rsid w:val="00C95B4F"/>
    <w:rsid w:val="00C95B66"/>
    <w:rsid w:val="00CB08B9"/>
    <w:rsid w:val="00CB2517"/>
    <w:rsid w:val="00CB53BC"/>
    <w:rsid w:val="00CB6E58"/>
    <w:rsid w:val="00CC7CC4"/>
    <w:rsid w:val="00CD31E7"/>
    <w:rsid w:val="00CD4A59"/>
    <w:rsid w:val="00CD5EFA"/>
    <w:rsid w:val="00CD6483"/>
    <w:rsid w:val="00CE04CC"/>
    <w:rsid w:val="00CE0E07"/>
    <w:rsid w:val="00CF191D"/>
    <w:rsid w:val="00CF58A1"/>
    <w:rsid w:val="00CF5B59"/>
    <w:rsid w:val="00CF63A3"/>
    <w:rsid w:val="00CF6FB4"/>
    <w:rsid w:val="00D00120"/>
    <w:rsid w:val="00D02F7C"/>
    <w:rsid w:val="00D03A13"/>
    <w:rsid w:val="00D06676"/>
    <w:rsid w:val="00D07385"/>
    <w:rsid w:val="00D12892"/>
    <w:rsid w:val="00D17418"/>
    <w:rsid w:val="00D207BC"/>
    <w:rsid w:val="00D23562"/>
    <w:rsid w:val="00D267E3"/>
    <w:rsid w:val="00D27F0C"/>
    <w:rsid w:val="00D32164"/>
    <w:rsid w:val="00D4067F"/>
    <w:rsid w:val="00D41D5F"/>
    <w:rsid w:val="00D43176"/>
    <w:rsid w:val="00D46288"/>
    <w:rsid w:val="00D46A19"/>
    <w:rsid w:val="00D475B7"/>
    <w:rsid w:val="00D55551"/>
    <w:rsid w:val="00D56222"/>
    <w:rsid w:val="00D56FAC"/>
    <w:rsid w:val="00D57DC5"/>
    <w:rsid w:val="00D6230E"/>
    <w:rsid w:val="00D64A5F"/>
    <w:rsid w:val="00D66149"/>
    <w:rsid w:val="00D70324"/>
    <w:rsid w:val="00D744E1"/>
    <w:rsid w:val="00D75CB0"/>
    <w:rsid w:val="00D773B8"/>
    <w:rsid w:val="00D81DC3"/>
    <w:rsid w:val="00D876E8"/>
    <w:rsid w:val="00D87863"/>
    <w:rsid w:val="00D905FD"/>
    <w:rsid w:val="00D916E7"/>
    <w:rsid w:val="00D91C91"/>
    <w:rsid w:val="00D923A3"/>
    <w:rsid w:val="00D92902"/>
    <w:rsid w:val="00D96144"/>
    <w:rsid w:val="00DA68EE"/>
    <w:rsid w:val="00DA7F73"/>
    <w:rsid w:val="00DB0645"/>
    <w:rsid w:val="00DB31D1"/>
    <w:rsid w:val="00DB383C"/>
    <w:rsid w:val="00DB6161"/>
    <w:rsid w:val="00DB71BB"/>
    <w:rsid w:val="00DC140C"/>
    <w:rsid w:val="00DC1B7E"/>
    <w:rsid w:val="00DC3C9A"/>
    <w:rsid w:val="00DC5642"/>
    <w:rsid w:val="00DC566A"/>
    <w:rsid w:val="00DC569C"/>
    <w:rsid w:val="00DC5927"/>
    <w:rsid w:val="00DD034C"/>
    <w:rsid w:val="00DD1130"/>
    <w:rsid w:val="00DD1458"/>
    <w:rsid w:val="00DE20B7"/>
    <w:rsid w:val="00DE4777"/>
    <w:rsid w:val="00DF1C5F"/>
    <w:rsid w:val="00DF72B5"/>
    <w:rsid w:val="00E008FC"/>
    <w:rsid w:val="00E00C68"/>
    <w:rsid w:val="00E01EC2"/>
    <w:rsid w:val="00E051B6"/>
    <w:rsid w:val="00E11874"/>
    <w:rsid w:val="00E12AF0"/>
    <w:rsid w:val="00E165C2"/>
    <w:rsid w:val="00E17222"/>
    <w:rsid w:val="00E238B3"/>
    <w:rsid w:val="00E23988"/>
    <w:rsid w:val="00E26456"/>
    <w:rsid w:val="00E37387"/>
    <w:rsid w:val="00E41AF5"/>
    <w:rsid w:val="00E4298B"/>
    <w:rsid w:val="00E439B6"/>
    <w:rsid w:val="00E45AEE"/>
    <w:rsid w:val="00E468F5"/>
    <w:rsid w:val="00E47207"/>
    <w:rsid w:val="00E54232"/>
    <w:rsid w:val="00E62F9F"/>
    <w:rsid w:val="00E637F6"/>
    <w:rsid w:val="00E64A47"/>
    <w:rsid w:val="00E66380"/>
    <w:rsid w:val="00E66D13"/>
    <w:rsid w:val="00E66E26"/>
    <w:rsid w:val="00E6714E"/>
    <w:rsid w:val="00E730C8"/>
    <w:rsid w:val="00E75DB3"/>
    <w:rsid w:val="00E813E9"/>
    <w:rsid w:val="00E81815"/>
    <w:rsid w:val="00E83885"/>
    <w:rsid w:val="00E83BD2"/>
    <w:rsid w:val="00E83BD6"/>
    <w:rsid w:val="00E84C72"/>
    <w:rsid w:val="00E873F7"/>
    <w:rsid w:val="00E9060D"/>
    <w:rsid w:val="00E91795"/>
    <w:rsid w:val="00E973FB"/>
    <w:rsid w:val="00EA2BE6"/>
    <w:rsid w:val="00EA78C6"/>
    <w:rsid w:val="00EB127A"/>
    <w:rsid w:val="00EB16F3"/>
    <w:rsid w:val="00EB5515"/>
    <w:rsid w:val="00EB79B5"/>
    <w:rsid w:val="00EC2456"/>
    <w:rsid w:val="00EC5560"/>
    <w:rsid w:val="00EC6E7D"/>
    <w:rsid w:val="00EC79CF"/>
    <w:rsid w:val="00ED14A5"/>
    <w:rsid w:val="00ED3E41"/>
    <w:rsid w:val="00EE21AE"/>
    <w:rsid w:val="00EE7766"/>
    <w:rsid w:val="00EF1D17"/>
    <w:rsid w:val="00EF20AE"/>
    <w:rsid w:val="00EF2F4A"/>
    <w:rsid w:val="00EF3D1C"/>
    <w:rsid w:val="00EF5076"/>
    <w:rsid w:val="00EF607C"/>
    <w:rsid w:val="00F0243D"/>
    <w:rsid w:val="00F074CC"/>
    <w:rsid w:val="00F10348"/>
    <w:rsid w:val="00F10777"/>
    <w:rsid w:val="00F10B7D"/>
    <w:rsid w:val="00F131BA"/>
    <w:rsid w:val="00F15274"/>
    <w:rsid w:val="00F16032"/>
    <w:rsid w:val="00F227AF"/>
    <w:rsid w:val="00F245C5"/>
    <w:rsid w:val="00F30590"/>
    <w:rsid w:val="00F3109B"/>
    <w:rsid w:val="00F31B7D"/>
    <w:rsid w:val="00F376AE"/>
    <w:rsid w:val="00F42147"/>
    <w:rsid w:val="00F4593F"/>
    <w:rsid w:val="00F45D1E"/>
    <w:rsid w:val="00F47ADC"/>
    <w:rsid w:val="00F50C6E"/>
    <w:rsid w:val="00F50EF9"/>
    <w:rsid w:val="00F55D2E"/>
    <w:rsid w:val="00F55EFA"/>
    <w:rsid w:val="00F5625D"/>
    <w:rsid w:val="00F57B77"/>
    <w:rsid w:val="00F635C3"/>
    <w:rsid w:val="00F64B10"/>
    <w:rsid w:val="00F70905"/>
    <w:rsid w:val="00F72E39"/>
    <w:rsid w:val="00F77020"/>
    <w:rsid w:val="00F7770A"/>
    <w:rsid w:val="00F8382E"/>
    <w:rsid w:val="00F853E6"/>
    <w:rsid w:val="00F9010D"/>
    <w:rsid w:val="00F90563"/>
    <w:rsid w:val="00F92922"/>
    <w:rsid w:val="00F93E15"/>
    <w:rsid w:val="00FA06EB"/>
    <w:rsid w:val="00FA0A4F"/>
    <w:rsid w:val="00FA1B04"/>
    <w:rsid w:val="00FA2206"/>
    <w:rsid w:val="00FA5DCC"/>
    <w:rsid w:val="00FA694E"/>
    <w:rsid w:val="00FA6C95"/>
    <w:rsid w:val="00FB0213"/>
    <w:rsid w:val="00FB309D"/>
    <w:rsid w:val="00FB5E64"/>
    <w:rsid w:val="00FC224F"/>
    <w:rsid w:val="00FC28B7"/>
    <w:rsid w:val="00FC680E"/>
    <w:rsid w:val="00FF49B7"/>
    <w:rsid w:val="00FF5C21"/>
    <w:rsid w:val="00FF649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19AE"/>
  <w15:chartTrackingRefBased/>
  <w15:docId w15:val="{420DCCA6-E535-4C58-8AF8-BB77351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97"/>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4597"/>
    <w:pPr>
      <w:tabs>
        <w:tab w:val="center" w:pos="4320"/>
        <w:tab w:val="right" w:pos="8640"/>
      </w:tabs>
    </w:pPr>
    <w:rPr>
      <w:sz w:val="20"/>
    </w:rPr>
  </w:style>
  <w:style w:type="character" w:customStyle="1" w:styleId="FooterChar">
    <w:name w:val="Footer Char"/>
    <w:basedOn w:val="DefaultParagraphFont"/>
    <w:link w:val="Footer"/>
    <w:uiPriority w:val="99"/>
    <w:rsid w:val="00C24597"/>
    <w:rPr>
      <w:rFonts w:ascii="Times New Roman" w:eastAsia="Times New Roman" w:hAnsi="Times New Roman" w:cs="Times New Roman"/>
      <w:sz w:val="20"/>
      <w:szCs w:val="24"/>
    </w:rPr>
  </w:style>
  <w:style w:type="paragraph" w:styleId="Header">
    <w:name w:val="header"/>
    <w:basedOn w:val="Normal"/>
    <w:link w:val="HeaderChar"/>
    <w:uiPriority w:val="99"/>
    <w:rsid w:val="00C24597"/>
    <w:pPr>
      <w:tabs>
        <w:tab w:val="center" w:pos="4320"/>
        <w:tab w:val="right" w:pos="8640"/>
      </w:tabs>
    </w:pPr>
    <w:rPr>
      <w:sz w:val="20"/>
    </w:rPr>
  </w:style>
  <w:style w:type="character" w:customStyle="1" w:styleId="HeaderChar">
    <w:name w:val="Header Char"/>
    <w:basedOn w:val="DefaultParagraphFont"/>
    <w:link w:val="Header"/>
    <w:uiPriority w:val="99"/>
    <w:rsid w:val="00C24597"/>
    <w:rPr>
      <w:rFonts w:ascii="Times New Roman" w:eastAsia="Times New Roman" w:hAnsi="Times New Roman" w:cs="Times New Roman"/>
      <w:sz w:val="20"/>
      <w:szCs w:val="24"/>
    </w:rPr>
  </w:style>
  <w:style w:type="paragraph" w:styleId="ListParagraph">
    <w:name w:val="List Paragraph"/>
    <w:aliases w:val="Bullets in notes"/>
    <w:basedOn w:val="Normal"/>
    <w:link w:val="ListParagraphChar"/>
    <w:uiPriority w:val="99"/>
    <w:qFormat/>
    <w:rsid w:val="00C24597"/>
    <w:pPr>
      <w:ind w:left="720"/>
    </w:pPr>
  </w:style>
  <w:style w:type="character" w:customStyle="1" w:styleId="ListParagraphChar">
    <w:name w:val="List Paragraph Char"/>
    <w:aliases w:val="Bullets in notes Char"/>
    <w:basedOn w:val="DefaultParagraphFont"/>
    <w:link w:val="ListParagraph"/>
    <w:uiPriority w:val="99"/>
    <w:rsid w:val="00C24597"/>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B2C66"/>
    <w:rPr>
      <w:sz w:val="16"/>
      <w:szCs w:val="16"/>
    </w:rPr>
  </w:style>
  <w:style w:type="paragraph" w:styleId="CommentText">
    <w:name w:val="annotation text"/>
    <w:basedOn w:val="Normal"/>
    <w:link w:val="CommentTextChar"/>
    <w:uiPriority w:val="99"/>
    <w:semiHidden/>
    <w:unhideWhenUsed/>
    <w:rsid w:val="001B2C66"/>
    <w:rPr>
      <w:sz w:val="20"/>
      <w:szCs w:val="20"/>
    </w:rPr>
  </w:style>
  <w:style w:type="character" w:customStyle="1" w:styleId="CommentTextChar">
    <w:name w:val="Comment Text Char"/>
    <w:basedOn w:val="DefaultParagraphFont"/>
    <w:link w:val="CommentText"/>
    <w:uiPriority w:val="99"/>
    <w:semiHidden/>
    <w:rsid w:val="001B2C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C66"/>
    <w:rPr>
      <w:b/>
      <w:bCs/>
    </w:rPr>
  </w:style>
  <w:style w:type="character" w:customStyle="1" w:styleId="CommentSubjectChar">
    <w:name w:val="Comment Subject Char"/>
    <w:basedOn w:val="CommentTextChar"/>
    <w:link w:val="CommentSubject"/>
    <w:uiPriority w:val="99"/>
    <w:semiHidden/>
    <w:rsid w:val="001B2C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66"/>
    <w:rPr>
      <w:rFonts w:ascii="Segoe UI" w:eastAsia="Times New Roman" w:hAnsi="Segoe UI" w:cs="Segoe UI"/>
      <w:sz w:val="18"/>
      <w:szCs w:val="18"/>
    </w:rPr>
  </w:style>
  <w:style w:type="table" w:customStyle="1" w:styleId="MediumList1-Accent11">
    <w:name w:val="Medium List 1 - Accent 11"/>
    <w:basedOn w:val="TableNormal"/>
    <w:uiPriority w:val="65"/>
    <w:rsid w:val="0027034B"/>
    <w:pPr>
      <w:spacing w:after="0" w:line="240" w:lineRule="auto"/>
      <w:ind w:left="-115" w:right="-115"/>
      <w:jc w:val="right"/>
    </w:pPr>
    <w:rPr>
      <w:rFonts w:eastAsia="PMingLiU" w:cs="Times New Roma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TableGrid">
    <w:name w:val="Table Grid"/>
    <w:basedOn w:val="TableNormal"/>
    <w:uiPriority w:val="39"/>
    <w:rsid w:val="0095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214C"/>
    <w:rPr>
      <w:sz w:val="24"/>
    </w:rPr>
  </w:style>
  <w:style w:type="paragraph" w:customStyle="1" w:styleId="Default">
    <w:name w:val="Default"/>
    <w:link w:val="DefaultChar"/>
    <w:rsid w:val="003F7AF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locked/>
    <w:rsid w:val="003F7AF7"/>
    <w:rPr>
      <w:rFonts w:ascii="Arial" w:eastAsia="Times New Roman" w:hAnsi="Arial" w:cs="Arial"/>
      <w:color w:val="000000"/>
      <w:sz w:val="24"/>
      <w:szCs w:val="24"/>
      <w:lang w:val="en-US"/>
    </w:rPr>
  </w:style>
  <w:style w:type="numbering" w:customStyle="1" w:styleId="CurrentList1">
    <w:name w:val="Current List1"/>
    <w:uiPriority w:val="99"/>
    <w:rsid w:val="00713EEA"/>
    <w:pPr>
      <w:numPr>
        <w:numId w:val="17"/>
      </w:numPr>
    </w:pPr>
  </w:style>
  <w:style w:type="paragraph" w:styleId="Revision">
    <w:name w:val="Revision"/>
    <w:hidden/>
    <w:uiPriority w:val="99"/>
    <w:semiHidden/>
    <w:rsid w:val="000943B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088">
      <w:bodyDiv w:val="1"/>
      <w:marLeft w:val="0"/>
      <w:marRight w:val="0"/>
      <w:marTop w:val="0"/>
      <w:marBottom w:val="0"/>
      <w:divBdr>
        <w:top w:val="none" w:sz="0" w:space="0" w:color="auto"/>
        <w:left w:val="none" w:sz="0" w:space="0" w:color="auto"/>
        <w:bottom w:val="none" w:sz="0" w:space="0" w:color="auto"/>
        <w:right w:val="none" w:sz="0" w:space="0" w:color="auto"/>
      </w:divBdr>
    </w:div>
    <w:div w:id="116795687">
      <w:bodyDiv w:val="1"/>
      <w:marLeft w:val="0"/>
      <w:marRight w:val="0"/>
      <w:marTop w:val="0"/>
      <w:marBottom w:val="0"/>
      <w:divBdr>
        <w:top w:val="none" w:sz="0" w:space="0" w:color="auto"/>
        <w:left w:val="none" w:sz="0" w:space="0" w:color="auto"/>
        <w:bottom w:val="none" w:sz="0" w:space="0" w:color="auto"/>
        <w:right w:val="none" w:sz="0" w:space="0" w:color="auto"/>
      </w:divBdr>
    </w:div>
    <w:div w:id="195043903">
      <w:bodyDiv w:val="1"/>
      <w:marLeft w:val="0"/>
      <w:marRight w:val="0"/>
      <w:marTop w:val="0"/>
      <w:marBottom w:val="0"/>
      <w:divBdr>
        <w:top w:val="none" w:sz="0" w:space="0" w:color="auto"/>
        <w:left w:val="none" w:sz="0" w:space="0" w:color="auto"/>
        <w:bottom w:val="none" w:sz="0" w:space="0" w:color="auto"/>
        <w:right w:val="none" w:sz="0" w:space="0" w:color="auto"/>
      </w:divBdr>
    </w:div>
    <w:div w:id="288053084">
      <w:bodyDiv w:val="1"/>
      <w:marLeft w:val="0"/>
      <w:marRight w:val="0"/>
      <w:marTop w:val="0"/>
      <w:marBottom w:val="0"/>
      <w:divBdr>
        <w:top w:val="none" w:sz="0" w:space="0" w:color="auto"/>
        <w:left w:val="none" w:sz="0" w:space="0" w:color="auto"/>
        <w:bottom w:val="none" w:sz="0" w:space="0" w:color="auto"/>
        <w:right w:val="none" w:sz="0" w:space="0" w:color="auto"/>
      </w:divBdr>
    </w:div>
    <w:div w:id="421882001">
      <w:bodyDiv w:val="1"/>
      <w:marLeft w:val="0"/>
      <w:marRight w:val="0"/>
      <w:marTop w:val="0"/>
      <w:marBottom w:val="0"/>
      <w:divBdr>
        <w:top w:val="none" w:sz="0" w:space="0" w:color="auto"/>
        <w:left w:val="none" w:sz="0" w:space="0" w:color="auto"/>
        <w:bottom w:val="none" w:sz="0" w:space="0" w:color="auto"/>
        <w:right w:val="none" w:sz="0" w:space="0" w:color="auto"/>
      </w:divBdr>
    </w:div>
    <w:div w:id="511377594">
      <w:bodyDiv w:val="1"/>
      <w:marLeft w:val="0"/>
      <w:marRight w:val="0"/>
      <w:marTop w:val="0"/>
      <w:marBottom w:val="0"/>
      <w:divBdr>
        <w:top w:val="none" w:sz="0" w:space="0" w:color="auto"/>
        <w:left w:val="none" w:sz="0" w:space="0" w:color="auto"/>
        <w:bottom w:val="none" w:sz="0" w:space="0" w:color="auto"/>
        <w:right w:val="none" w:sz="0" w:space="0" w:color="auto"/>
      </w:divBdr>
    </w:div>
    <w:div w:id="532497493">
      <w:bodyDiv w:val="1"/>
      <w:marLeft w:val="0"/>
      <w:marRight w:val="0"/>
      <w:marTop w:val="0"/>
      <w:marBottom w:val="0"/>
      <w:divBdr>
        <w:top w:val="none" w:sz="0" w:space="0" w:color="auto"/>
        <w:left w:val="none" w:sz="0" w:space="0" w:color="auto"/>
        <w:bottom w:val="none" w:sz="0" w:space="0" w:color="auto"/>
        <w:right w:val="none" w:sz="0" w:space="0" w:color="auto"/>
      </w:divBdr>
    </w:div>
    <w:div w:id="604771958">
      <w:bodyDiv w:val="1"/>
      <w:marLeft w:val="0"/>
      <w:marRight w:val="0"/>
      <w:marTop w:val="0"/>
      <w:marBottom w:val="0"/>
      <w:divBdr>
        <w:top w:val="none" w:sz="0" w:space="0" w:color="auto"/>
        <w:left w:val="none" w:sz="0" w:space="0" w:color="auto"/>
        <w:bottom w:val="none" w:sz="0" w:space="0" w:color="auto"/>
        <w:right w:val="none" w:sz="0" w:space="0" w:color="auto"/>
      </w:divBdr>
    </w:div>
    <w:div w:id="706562408">
      <w:bodyDiv w:val="1"/>
      <w:marLeft w:val="0"/>
      <w:marRight w:val="0"/>
      <w:marTop w:val="0"/>
      <w:marBottom w:val="0"/>
      <w:divBdr>
        <w:top w:val="none" w:sz="0" w:space="0" w:color="auto"/>
        <w:left w:val="none" w:sz="0" w:space="0" w:color="auto"/>
        <w:bottom w:val="none" w:sz="0" w:space="0" w:color="auto"/>
        <w:right w:val="none" w:sz="0" w:space="0" w:color="auto"/>
      </w:divBdr>
    </w:div>
    <w:div w:id="740640405">
      <w:bodyDiv w:val="1"/>
      <w:marLeft w:val="0"/>
      <w:marRight w:val="0"/>
      <w:marTop w:val="0"/>
      <w:marBottom w:val="0"/>
      <w:divBdr>
        <w:top w:val="none" w:sz="0" w:space="0" w:color="auto"/>
        <w:left w:val="none" w:sz="0" w:space="0" w:color="auto"/>
        <w:bottom w:val="none" w:sz="0" w:space="0" w:color="auto"/>
        <w:right w:val="none" w:sz="0" w:space="0" w:color="auto"/>
      </w:divBdr>
    </w:div>
    <w:div w:id="950894513">
      <w:bodyDiv w:val="1"/>
      <w:marLeft w:val="0"/>
      <w:marRight w:val="0"/>
      <w:marTop w:val="0"/>
      <w:marBottom w:val="0"/>
      <w:divBdr>
        <w:top w:val="none" w:sz="0" w:space="0" w:color="auto"/>
        <w:left w:val="none" w:sz="0" w:space="0" w:color="auto"/>
        <w:bottom w:val="none" w:sz="0" w:space="0" w:color="auto"/>
        <w:right w:val="none" w:sz="0" w:space="0" w:color="auto"/>
      </w:divBdr>
    </w:div>
    <w:div w:id="1020665236">
      <w:bodyDiv w:val="1"/>
      <w:marLeft w:val="0"/>
      <w:marRight w:val="0"/>
      <w:marTop w:val="0"/>
      <w:marBottom w:val="0"/>
      <w:divBdr>
        <w:top w:val="none" w:sz="0" w:space="0" w:color="auto"/>
        <w:left w:val="none" w:sz="0" w:space="0" w:color="auto"/>
        <w:bottom w:val="none" w:sz="0" w:space="0" w:color="auto"/>
        <w:right w:val="none" w:sz="0" w:space="0" w:color="auto"/>
      </w:divBdr>
    </w:div>
    <w:div w:id="1100641503">
      <w:bodyDiv w:val="1"/>
      <w:marLeft w:val="0"/>
      <w:marRight w:val="0"/>
      <w:marTop w:val="0"/>
      <w:marBottom w:val="0"/>
      <w:divBdr>
        <w:top w:val="none" w:sz="0" w:space="0" w:color="auto"/>
        <w:left w:val="none" w:sz="0" w:space="0" w:color="auto"/>
        <w:bottom w:val="none" w:sz="0" w:space="0" w:color="auto"/>
        <w:right w:val="none" w:sz="0" w:space="0" w:color="auto"/>
      </w:divBdr>
    </w:div>
    <w:div w:id="1114517159">
      <w:bodyDiv w:val="1"/>
      <w:marLeft w:val="0"/>
      <w:marRight w:val="0"/>
      <w:marTop w:val="0"/>
      <w:marBottom w:val="0"/>
      <w:divBdr>
        <w:top w:val="none" w:sz="0" w:space="0" w:color="auto"/>
        <w:left w:val="none" w:sz="0" w:space="0" w:color="auto"/>
        <w:bottom w:val="none" w:sz="0" w:space="0" w:color="auto"/>
        <w:right w:val="none" w:sz="0" w:space="0" w:color="auto"/>
      </w:divBdr>
    </w:div>
    <w:div w:id="1143306349">
      <w:bodyDiv w:val="1"/>
      <w:marLeft w:val="0"/>
      <w:marRight w:val="0"/>
      <w:marTop w:val="0"/>
      <w:marBottom w:val="0"/>
      <w:divBdr>
        <w:top w:val="none" w:sz="0" w:space="0" w:color="auto"/>
        <w:left w:val="none" w:sz="0" w:space="0" w:color="auto"/>
        <w:bottom w:val="none" w:sz="0" w:space="0" w:color="auto"/>
        <w:right w:val="none" w:sz="0" w:space="0" w:color="auto"/>
      </w:divBdr>
    </w:div>
    <w:div w:id="1170491008">
      <w:bodyDiv w:val="1"/>
      <w:marLeft w:val="0"/>
      <w:marRight w:val="0"/>
      <w:marTop w:val="0"/>
      <w:marBottom w:val="0"/>
      <w:divBdr>
        <w:top w:val="none" w:sz="0" w:space="0" w:color="auto"/>
        <w:left w:val="none" w:sz="0" w:space="0" w:color="auto"/>
        <w:bottom w:val="none" w:sz="0" w:space="0" w:color="auto"/>
        <w:right w:val="none" w:sz="0" w:space="0" w:color="auto"/>
      </w:divBdr>
    </w:div>
    <w:div w:id="1211961288">
      <w:bodyDiv w:val="1"/>
      <w:marLeft w:val="0"/>
      <w:marRight w:val="0"/>
      <w:marTop w:val="0"/>
      <w:marBottom w:val="0"/>
      <w:divBdr>
        <w:top w:val="none" w:sz="0" w:space="0" w:color="auto"/>
        <w:left w:val="none" w:sz="0" w:space="0" w:color="auto"/>
        <w:bottom w:val="none" w:sz="0" w:space="0" w:color="auto"/>
        <w:right w:val="none" w:sz="0" w:space="0" w:color="auto"/>
      </w:divBdr>
    </w:div>
    <w:div w:id="1226524487">
      <w:bodyDiv w:val="1"/>
      <w:marLeft w:val="0"/>
      <w:marRight w:val="0"/>
      <w:marTop w:val="0"/>
      <w:marBottom w:val="0"/>
      <w:divBdr>
        <w:top w:val="none" w:sz="0" w:space="0" w:color="auto"/>
        <w:left w:val="none" w:sz="0" w:space="0" w:color="auto"/>
        <w:bottom w:val="none" w:sz="0" w:space="0" w:color="auto"/>
        <w:right w:val="none" w:sz="0" w:space="0" w:color="auto"/>
      </w:divBdr>
    </w:div>
    <w:div w:id="1240097687">
      <w:bodyDiv w:val="1"/>
      <w:marLeft w:val="0"/>
      <w:marRight w:val="0"/>
      <w:marTop w:val="0"/>
      <w:marBottom w:val="0"/>
      <w:divBdr>
        <w:top w:val="none" w:sz="0" w:space="0" w:color="auto"/>
        <w:left w:val="none" w:sz="0" w:space="0" w:color="auto"/>
        <w:bottom w:val="none" w:sz="0" w:space="0" w:color="auto"/>
        <w:right w:val="none" w:sz="0" w:space="0" w:color="auto"/>
      </w:divBdr>
    </w:div>
    <w:div w:id="1243178819">
      <w:bodyDiv w:val="1"/>
      <w:marLeft w:val="0"/>
      <w:marRight w:val="0"/>
      <w:marTop w:val="0"/>
      <w:marBottom w:val="0"/>
      <w:divBdr>
        <w:top w:val="none" w:sz="0" w:space="0" w:color="auto"/>
        <w:left w:val="none" w:sz="0" w:space="0" w:color="auto"/>
        <w:bottom w:val="none" w:sz="0" w:space="0" w:color="auto"/>
        <w:right w:val="none" w:sz="0" w:space="0" w:color="auto"/>
      </w:divBdr>
    </w:div>
    <w:div w:id="1349746544">
      <w:bodyDiv w:val="1"/>
      <w:marLeft w:val="0"/>
      <w:marRight w:val="0"/>
      <w:marTop w:val="0"/>
      <w:marBottom w:val="0"/>
      <w:divBdr>
        <w:top w:val="none" w:sz="0" w:space="0" w:color="auto"/>
        <w:left w:val="none" w:sz="0" w:space="0" w:color="auto"/>
        <w:bottom w:val="none" w:sz="0" w:space="0" w:color="auto"/>
        <w:right w:val="none" w:sz="0" w:space="0" w:color="auto"/>
      </w:divBdr>
    </w:div>
    <w:div w:id="1412773579">
      <w:bodyDiv w:val="1"/>
      <w:marLeft w:val="0"/>
      <w:marRight w:val="0"/>
      <w:marTop w:val="0"/>
      <w:marBottom w:val="0"/>
      <w:divBdr>
        <w:top w:val="none" w:sz="0" w:space="0" w:color="auto"/>
        <w:left w:val="none" w:sz="0" w:space="0" w:color="auto"/>
        <w:bottom w:val="none" w:sz="0" w:space="0" w:color="auto"/>
        <w:right w:val="none" w:sz="0" w:space="0" w:color="auto"/>
      </w:divBdr>
    </w:div>
    <w:div w:id="1436364235">
      <w:bodyDiv w:val="1"/>
      <w:marLeft w:val="0"/>
      <w:marRight w:val="0"/>
      <w:marTop w:val="0"/>
      <w:marBottom w:val="0"/>
      <w:divBdr>
        <w:top w:val="none" w:sz="0" w:space="0" w:color="auto"/>
        <w:left w:val="none" w:sz="0" w:space="0" w:color="auto"/>
        <w:bottom w:val="none" w:sz="0" w:space="0" w:color="auto"/>
        <w:right w:val="none" w:sz="0" w:space="0" w:color="auto"/>
      </w:divBdr>
    </w:div>
    <w:div w:id="1441996347">
      <w:bodyDiv w:val="1"/>
      <w:marLeft w:val="0"/>
      <w:marRight w:val="0"/>
      <w:marTop w:val="0"/>
      <w:marBottom w:val="0"/>
      <w:divBdr>
        <w:top w:val="none" w:sz="0" w:space="0" w:color="auto"/>
        <w:left w:val="none" w:sz="0" w:space="0" w:color="auto"/>
        <w:bottom w:val="none" w:sz="0" w:space="0" w:color="auto"/>
        <w:right w:val="none" w:sz="0" w:space="0" w:color="auto"/>
      </w:divBdr>
    </w:div>
    <w:div w:id="1519930309">
      <w:bodyDiv w:val="1"/>
      <w:marLeft w:val="0"/>
      <w:marRight w:val="0"/>
      <w:marTop w:val="0"/>
      <w:marBottom w:val="0"/>
      <w:divBdr>
        <w:top w:val="none" w:sz="0" w:space="0" w:color="auto"/>
        <w:left w:val="none" w:sz="0" w:space="0" w:color="auto"/>
        <w:bottom w:val="none" w:sz="0" w:space="0" w:color="auto"/>
        <w:right w:val="none" w:sz="0" w:space="0" w:color="auto"/>
      </w:divBdr>
    </w:div>
    <w:div w:id="1553423267">
      <w:bodyDiv w:val="1"/>
      <w:marLeft w:val="0"/>
      <w:marRight w:val="0"/>
      <w:marTop w:val="0"/>
      <w:marBottom w:val="0"/>
      <w:divBdr>
        <w:top w:val="none" w:sz="0" w:space="0" w:color="auto"/>
        <w:left w:val="none" w:sz="0" w:space="0" w:color="auto"/>
        <w:bottom w:val="none" w:sz="0" w:space="0" w:color="auto"/>
        <w:right w:val="none" w:sz="0" w:space="0" w:color="auto"/>
      </w:divBdr>
    </w:div>
    <w:div w:id="1597322618">
      <w:bodyDiv w:val="1"/>
      <w:marLeft w:val="0"/>
      <w:marRight w:val="0"/>
      <w:marTop w:val="0"/>
      <w:marBottom w:val="0"/>
      <w:divBdr>
        <w:top w:val="none" w:sz="0" w:space="0" w:color="auto"/>
        <w:left w:val="none" w:sz="0" w:space="0" w:color="auto"/>
        <w:bottom w:val="none" w:sz="0" w:space="0" w:color="auto"/>
        <w:right w:val="none" w:sz="0" w:space="0" w:color="auto"/>
      </w:divBdr>
    </w:div>
    <w:div w:id="1690060900">
      <w:bodyDiv w:val="1"/>
      <w:marLeft w:val="0"/>
      <w:marRight w:val="0"/>
      <w:marTop w:val="0"/>
      <w:marBottom w:val="0"/>
      <w:divBdr>
        <w:top w:val="none" w:sz="0" w:space="0" w:color="auto"/>
        <w:left w:val="none" w:sz="0" w:space="0" w:color="auto"/>
        <w:bottom w:val="none" w:sz="0" w:space="0" w:color="auto"/>
        <w:right w:val="none" w:sz="0" w:space="0" w:color="auto"/>
      </w:divBdr>
    </w:div>
    <w:div w:id="1854034120">
      <w:bodyDiv w:val="1"/>
      <w:marLeft w:val="0"/>
      <w:marRight w:val="0"/>
      <w:marTop w:val="0"/>
      <w:marBottom w:val="0"/>
      <w:divBdr>
        <w:top w:val="none" w:sz="0" w:space="0" w:color="auto"/>
        <w:left w:val="none" w:sz="0" w:space="0" w:color="auto"/>
        <w:bottom w:val="none" w:sz="0" w:space="0" w:color="auto"/>
        <w:right w:val="none" w:sz="0" w:space="0" w:color="auto"/>
      </w:divBdr>
    </w:div>
    <w:div w:id="1909922010">
      <w:bodyDiv w:val="1"/>
      <w:marLeft w:val="0"/>
      <w:marRight w:val="0"/>
      <w:marTop w:val="0"/>
      <w:marBottom w:val="0"/>
      <w:divBdr>
        <w:top w:val="none" w:sz="0" w:space="0" w:color="auto"/>
        <w:left w:val="none" w:sz="0" w:space="0" w:color="auto"/>
        <w:bottom w:val="none" w:sz="0" w:space="0" w:color="auto"/>
        <w:right w:val="none" w:sz="0" w:space="0" w:color="auto"/>
      </w:divBdr>
    </w:div>
    <w:div w:id="1927298098">
      <w:bodyDiv w:val="1"/>
      <w:marLeft w:val="0"/>
      <w:marRight w:val="0"/>
      <w:marTop w:val="0"/>
      <w:marBottom w:val="0"/>
      <w:divBdr>
        <w:top w:val="none" w:sz="0" w:space="0" w:color="auto"/>
        <w:left w:val="none" w:sz="0" w:space="0" w:color="auto"/>
        <w:bottom w:val="none" w:sz="0" w:space="0" w:color="auto"/>
        <w:right w:val="none" w:sz="0" w:space="0" w:color="auto"/>
      </w:divBdr>
    </w:div>
    <w:div w:id="1960912475">
      <w:bodyDiv w:val="1"/>
      <w:marLeft w:val="0"/>
      <w:marRight w:val="0"/>
      <w:marTop w:val="0"/>
      <w:marBottom w:val="0"/>
      <w:divBdr>
        <w:top w:val="none" w:sz="0" w:space="0" w:color="auto"/>
        <w:left w:val="none" w:sz="0" w:space="0" w:color="auto"/>
        <w:bottom w:val="none" w:sz="0" w:space="0" w:color="auto"/>
        <w:right w:val="none" w:sz="0" w:space="0" w:color="auto"/>
      </w:divBdr>
    </w:div>
    <w:div w:id="1984383530">
      <w:bodyDiv w:val="1"/>
      <w:marLeft w:val="0"/>
      <w:marRight w:val="0"/>
      <w:marTop w:val="0"/>
      <w:marBottom w:val="0"/>
      <w:divBdr>
        <w:top w:val="none" w:sz="0" w:space="0" w:color="auto"/>
        <w:left w:val="none" w:sz="0" w:space="0" w:color="auto"/>
        <w:bottom w:val="none" w:sz="0" w:space="0" w:color="auto"/>
        <w:right w:val="none" w:sz="0" w:space="0" w:color="auto"/>
      </w:divBdr>
    </w:div>
    <w:div w:id="19873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CC10-C168-491D-A925-7D5CA820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20</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dc:creator>
  <cp:keywords/>
  <dc:description/>
  <cp:lastModifiedBy>Mathew Lee</cp:lastModifiedBy>
  <cp:revision>158</cp:revision>
  <cp:lastPrinted>2021-08-30T19:31:00Z</cp:lastPrinted>
  <dcterms:created xsi:type="dcterms:W3CDTF">2021-05-25T18:08:00Z</dcterms:created>
  <dcterms:modified xsi:type="dcterms:W3CDTF">2021-08-30T20:21:00Z</dcterms:modified>
</cp:coreProperties>
</file>