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41" w:rsidRPr="00A33D41" w:rsidRDefault="005E34DF" w:rsidP="00A33D41">
      <w:pPr>
        <w:jc w:val="center"/>
        <w:rPr>
          <w:rFonts w:ascii="Century Gothic" w:hAnsi="Century Gothic"/>
          <w:b/>
          <w:caps/>
          <w:sz w:val="28"/>
          <w:szCs w:val="28"/>
        </w:rPr>
      </w:pPr>
      <w:bookmarkStart w:id="0" w:name="_GoBack"/>
      <w:bookmarkEnd w:id="0"/>
      <w:r>
        <w:rPr>
          <w:rFonts w:ascii="Century Gothic" w:hAnsi="Century Gothic"/>
          <w:b/>
          <w:caps/>
          <w:sz w:val="28"/>
          <w:szCs w:val="28"/>
        </w:rPr>
        <w:t>P</w:t>
      </w:r>
      <w:r w:rsidR="00425805">
        <w:rPr>
          <w:rFonts w:ascii="Century Gothic" w:hAnsi="Century Gothic"/>
          <w:b/>
          <w:caps/>
          <w:sz w:val="28"/>
          <w:szCs w:val="28"/>
        </w:rPr>
        <w:t>LA</w:t>
      </w:r>
      <w:r w:rsidR="00F42D4C">
        <w:rPr>
          <w:rFonts w:ascii="Century Gothic" w:hAnsi="Century Gothic"/>
          <w:b/>
          <w:caps/>
          <w:sz w:val="28"/>
          <w:szCs w:val="28"/>
        </w:rPr>
        <w:t xml:space="preserve">TINEX </w:t>
      </w:r>
      <w:r w:rsidR="005C301B">
        <w:rPr>
          <w:rFonts w:ascii="Century Gothic" w:hAnsi="Century Gothic"/>
          <w:b/>
          <w:caps/>
          <w:sz w:val="28"/>
          <w:szCs w:val="28"/>
        </w:rPr>
        <w:t>INC. – PROPOSED PRIVATE PLACEMENT</w:t>
      </w:r>
    </w:p>
    <w:p w:rsidR="00E13060" w:rsidRPr="00E13060" w:rsidRDefault="00E13060" w:rsidP="00E13060">
      <w:pPr>
        <w:jc w:val="center"/>
        <w:rPr>
          <w:rFonts w:ascii="Century Gothic" w:hAnsi="Century Gothic"/>
          <w:b/>
          <w:caps/>
          <w:sz w:val="28"/>
          <w:szCs w:val="28"/>
        </w:rPr>
      </w:pPr>
    </w:p>
    <w:p w:rsidR="000766CF" w:rsidRDefault="00C72259" w:rsidP="00F42D4C">
      <w:pPr>
        <w:pStyle w:val="NormalWeb"/>
        <w:spacing w:before="0" w:beforeAutospacing="0" w:after="0" w:afterAutospacing="0"/>
        <w:contextualSpacing/>
        <w:jc w:val="both"/>
        <w:rPr>
          <w:rFonts w:ascii="Century Gothic" w:hAnsi="Century Gothic" w:cs="Century Gothic"/>
          <w:sz w:val="20"/>
          <w:szCs w:val="20"/>
        </w:rPr>
      </w:pPr>
      <w:r>
        <w:rPr>
          <w:rFonts w:ascii="Century Gothic" w:hAnsi="Century Gothic" w:cs="Century Gothic"/>
          <w:b/>
          <w:bCs/>
          <w:sz w:val="20"/>
          <w:szCs w:val="20"/>
        </w:rPr>
        <w:t>Toronto, Ontario,</w:t>
      </w:r>
      <w:r w:rsidR="003F6766">
        <w:rPr>
          <w:rFonts w:ascii="Century Gothic" w:hAnsi="Century Gothic" w:cs="Century Gothic"/>
          <w:b/>
          <w:bCs/>
          <w:sz w:val="20"/>
          <w:szCs w:val="20"/>
        </w:rPr>
        <w:t xml:space="preserve"> </w:t>
      </w:r>
      <w:r w:rsidR="00BC2046">
        <w:rPr>
          <w:rFonts w:ascii="Century Gothic" w:hAnsi="Century Gothic" w:cs="Century Gothic"/>
          <w:b/>
          <w:bCs/>
          <w:sz w:val="20"/>
          <w:szCs w:val="20"/>
        </w:rPr>
        <w:t>April 18</w:t>
      </w:r>
      <w:r w:rsidR="009A0493">
        <w:rPr>
          <w:rFonts w:ascii="Century Gothic" w:hAnsi="Century Gothic" w:cs="Century Gothic"/>
          <w:b/>
          <w:bCs/>
          <w:sz w:val="20"/>
          <w:szCs w:val="20"/>
        </w:rPr>
        <w:t>,</w:t>
      </w:r>
      <w:r w:rsidR="00A571BC">
        <w:rPr>
          <w:rFonts w:ascii="Century Gothic" w:hAnsi="Century Gothic" w:cs="Century Gothic"/>
          <w:b/>
          <w:bCs/>
          <w:sz w:val="20"/>
          <w:szCs w:val="20"/>
        </w:rPr>
        <w:t xml:space="preserve"> 201</w:t>
      </w:r>
      <w:r w:rsidR="00BC2046">
        <w:rPr>
          <w:rFonts w:ascii="Century Gothic" w:hAnsi="Century Gothic" w:cs="Century Gothic"/>
          <w:b/>
          <w:bCs/>
          <w:sz w:val="20"/>
          <w:szCs w:val="20"/>
        </w:rPr>
        <w:t>7</w:t>
      </w:r>
      <w:r w:rsidR="00682032">
        <w:rPr>
          <w:rFonts w:ascii="Century Gothic" w:hAnsi="Century Gothic" w:cs="Century Gothic"/>
          <w:b/>
          <w:bCs/>
          <w:sz w:val="20"/>
          <w:szCs w:val="20"/>
        </w:rPr>
        <w:t xml:space="preserve"> </w:t>
      </w:r>
      <w:r w:rsidR="00A571BC">
        <w:rPr>
          <w:rFonts w:ascii="Century Gothic" w:hAnsi="Century Gothic" w:cs="Century Gothic"/>
          <w:b/>
          <w:bCs/>
          <w:sz w:val="20"/>
          <w:szCs w:val="20"/>
        </w:rPr>
        <w:t xml:space="preserve">- Platinex Inc. </w:t>
      </w:r>
      <w:r w:rsidR="00A571BC" w:rsidRPr="00745257">
        <w:rPr>
          <w:rFonts w:ascii="Century Gothic" w:hAnsi="Century Gothic" w:cs="Century Gothic"/>
          <w:bCs/>
          <w:sz w:val="20"/>
          <w:szCs w:val="20"/>
        </w:rPr>
        <w:t>(</w:t>
      </w:r>
      <w:r w:rsidR="00FC6879">
        <w:rPr>
          <w:rFonts w:ascii="Century Gothic" w:hAnsi="Century Gothic" w:cs="Century Gothic"/>
          <w:bCs/>
          <w:sz w:val="20"/>
          <w:szCs w:val="20"/>
        </w:rPr>
        <w:t>CSE</w:t>
      </w:r>
      <w:r w:rsidR="00A571BC" w:rsidRPr="00745257">
        <w:rPr>
          <w:rFonts w:ascii="Century Gothic" w:hAnsi="Century Gothic" w:cs="Century Gothic"/>
          <w:bCs/>
          <w:sz w:val="20"/>
          <w:szCs w:val="20"/>
        </w:rPr>
        <w:t>: PTX)</w:t>
      </w:r>
      <w:r w:rsidR="00745257">
        <w:rPr>
          <w:rFonts w:ascii="Century Gothic" w:hAnsi="Century Gothic" w:cs="Century Gothic"/>
          <w:sz w:val="20"/>
          <w:szCs w:val="20"/>
        </w:rPr>
        <w:t xml:space="preserve"> (the "</w:t>
      </w:r>
      <w:r w:rsidR="00745257" w:rsidRPr="00745257">
        <w:rPr>
          <w:rFonts w:ascii="Century Gothic" w:hAnsi="Century Gothic" w:cs="Century Gothic"/>
          <w:b/>
          <w:sz w:val="20"/>
          <w:szCs w:val="20"/>
        </w:rPr>
        <w:t>Company</w:t>
      </w:r>
      <w:r w:rsidR="00745257">
        <w:rPr>
          <w:rFonts w:ascii="Century Gothic" w:hAnsi="Century Gothic" w:cs="Century Gothic"/>
          <w:sz w:val="20"/>
          <w:szCs w:val="20"/>
        </w:rPr>
        <w:t>")</w:t>
      </w:r>
      <w:r w:rsidR="00A571BC">
        <w:rPr>
          <w:rFonts w:ascii="Century Gothic" w:hAnsi="Century Gothic" w:cs="Century Gothic"/>
          <w:sz w:val="20"/>
          <w:szCs w:val="20"/>
        </w:rPr>
        <w:t xml:space="preserve"> </w:t>
      </w:r>
      <w:r w:rsidR="00760FED">
        <w:rPr>
          <w:rFonts w:ascii="Century Gothic" w:hAnsi="Century Gothic" w:cs="Century Gothic"/>
          <w:sz w:val="20"/>
          <w:szCs w:val="20"/>
        </w:rPr>
        <w:t xml:space="preserve">announced a non-brokered </w:t>
      </w:r>
      <w:r w:rsidR="00745257">
        <w:rPr>
          <w:rFonts w:ascii="Century Gothic" w:hAnsi="Century Gothic" w:cs="Century Gothic"/>
          <w:sz w:val="20"/>
          <w:szCs w:val="20"/>
        </w:rPr>
        <w:t>private placement</w:t>
      </w:r>
      <w:r w:rsidR="00760FED">
        <w:rPr>
          <w:rFonts w:ascii="Century Gothic" w:hAnsi="Century Gothic" w:cs="Century Gothic"/>
          <w:sz w:val="20"/>
          <w:szCs w:val="20"/>
        </w:rPr>
        <w:t xml:space="preserve"> </w:t>
      </w:r>
      <w:r w:rsidR="00745257">
        <w:rPr>
          <w:rFonts w:ascii="Century Gothic" w:hAnsi="Century Gothic" w:cs="Century Gothic"/>
          <w:sz w:val="20"/>
          <w:szCs w:val="20"/>
        </w:rPr>
        <w:t>(the "</w:t>
      </w:r>
      <w:r w:rsidR="00745257" w:rsidRPr="00745257">
        <w:rPr>
          <w:rFonts w:ascii="Century Gothic" w:hAnsi="Century Gothic" w:cs="Century Gothic"/>
          <w:b/>
          <w:sz w:val="20"/>
          <w:szCs w:val="20"/>
        </w:rPr>
        <w:t>Private Placement</w:t>
      </w:r>
      <w:r w:rsidR="00745257">
        <w:rPr>
          <w:rFonts w:ascii="Century Gothic" w:hAnsi="Century Gothic" w:cs="Century Gothic"/>
          <w:sz w:val="20"/>
          <w:szCs w:val="20"/>
        </w:rPr>
        <w:t xml:space="preserve">") </w:t>
      </w:r>
      <w:r w:rsidR="00760FED">
        <w:rPr>
          <w:rFonts w:ascii="Century Gothic" w:hAnsi="Century Gothic" w:cs="Century Gothic"/>
          <w:sz w:val="20"/>
          <w:szCs w:val="20"/>
        </w:rPr>
        <w:t xml:space="preserve">of </w:t>
      </w:r>
      <w:r w:rsidR="003E5E55">
        <w:rPr>
          <w:rFonts w:ascii="Century Gothic" w:hAnsi="Century Gothic" w:cs="Century Gothic"/>
          <w:sz w:val="20"/>
          <w:szCs w:val="20"/>
        </w:rPr>
        <w:t>2</w:t>
      </w:r>
      <w:r w:rsidR="00777C29" w:rsidRPr="001F1C6E">
        <w:rPr>
          <w:rFonts w:ascii="Century Gothic" w:hAnsi="Century Gothic" w:cs="Century Gothic"/>
          <w:sz w:val="20"/>
          <w:szCs w:val="20"/>
        </w:rPr>
        <w:t>,</w:t>
      </w:r>
      <w:r w:rsidR="003E5E55">
        <w:rPr>
          <w:rFonts w:ascii="Century Gothic" w:hAnsi="Century Gothic" w:cs="Century Gothic"/>
          <w:sz w:val="20"/>
          <w:szCs w:val="20"/>
        </w:rPr>
        <w:t>5</w:t>
      </w:r>
      <w:r w:rsidR="00777C29" w:rsidRPr="001F1C6E">
        <w:rPr>
          <w:rFonts w:ascii="Century Gothic" w:hAnsi="Century Gothic" w:cs="Century Gothic"/>
          <w:sz w:val="20"/>
          <w:szCs w:val="20"/>
        </w:rPr>
        <w:t>00,000</w:t>
      </w:r>
      <w:r w:rsidR="00303986" w:rsidRPr="00303986">
        <w:rPr>
          <w:rFonts w:ascii="Century Gothic" w:hAnsi="Century Gothic"/>
          <w:sz w:val="20"/>
          <w:szCs w:val="20"/>
        </w:rPr>
        <w:t xml:space="preserve"> units ("</w:t>
      </w:r>
      <w:r w:rsidR="00303986" w:rsidRPr="00303986">
        <w:rPr>
          <w:rFonts w:ascii="Century Gothic" w:hAnsi="Century Gothic"/>
          <w:b/>
          <w:sz w:val="20"/>
          <w:szCs w:val="20"/>
        </w:rPr>
        <w:t>Units</w:t>
      </w:r>
      <w:r w:rsidR="00303986" w:rsidRPr="00303986">
        <w:rPr>
          <w:rFonts w:ascii="Century Gothic" w:hAnsi="Century Gothic"/>
          <w:sz w:val="20"/>
          <w:szCs w:val="20"/>
        </w:rPr>
        <w:t xml:space="preserve">") </w:t>
      </w:r>
      <w:r w:rsidR="00303986">
        <w:rPr>
          <w:rFonts w:ascii="Century Gothic" w:hAnsi="Century Gothic" w:cs="Century Gothic"/>
          <w:sz w:val="20"/>
          <w:szCs w:val="20"/>
        </w:rPr>
        <w:t xml:space="preserve">at </w:t>
      </w:r>
      <w:r w:rsidR="00303986" w:rsidRPr="001F1C6E">
        <w:rPr>
          <w:rFonts w:ascii="Century Gothic" w:hAnsi="Century Gothic" w:cs="Century Gothic"/>
          <w:sz w:val="20"/>
          <w:szCs w:val="20"/>
        </w:rPr>
        <w:t>$0.</w:t>
      </w:r>
      <w:r w:rsidR="003E5E55">
        <w:rPr>
          <w:rFonts w:ascii="Century Gothic" w:hAnsi="Century Gothic" w:cs="Century Gothic"/>
          <w:sz w:val="20"/>
          <w:szCs w:val="20"/>
        </w:rPr>
        <w:t>1</w:t>
      </w:r>
      <w:r w:rsidR="00BC2046">
        <w:rPr>
          <w:rFonts w:ascii="Century Gothic" w:hAnsi="Century Gothic" w:cs="Century Gothic"/>
          <w:sz w:val="20"/>
          <w:szCs w:val="20"/>
        </w:rPr>
        <w:t>6</w:t>
      </w:r>
      <w:r w:rsidR="00303986">
        <w:rPr>
          <w:rFonts w:ascii="Century Gothic" w:hAnsi="Century Gothic" w:cs="Century Gothic"/>
          <w:sz w:val="20"/>
          <w:szCs w:val="20"/>
        </w:rPr>
        <w:t>/U</w:t>
      </w:r>
      <w:r w:rsidR="00760FED">
        <w:rPr>
          <w:rFonts w:ascii="Century Gothic" w:hAnsi="Century Gothic" w:cs="Century Gothic"/>
          <w:sz w:val="20"/>
          <w:szCs w:val="20"/>
        </w:rPr>
        <w:t xml:space="preserve">nit to raise </w:t>
      </w:r>
      <w:r w:rsidR="003757CE">
        <w:rPr>
          <w:rFonts w:ascii="Century Gothic" w:hAnsi="Century Gothic" w:cs="Century Gothic"/>
          <w:sz w:val="20"/>
          <w:szCs w:val="20"/>
        </w:rPr>
        <w:t>$</w:t>
      </w:r>
      <w:r w:rsidR="00BC2046">
        <w:rPr>
          <w:rFonts w:ascii="Century Gothic" w:hAnsi="Century Gothic" w:cs="Century Gothic"/>
          <w:sz w:val="20"/>
          <w:szCs w:val="20"/>
        </w:rPr>
        <w:t>40</w:t>
      </w:r>
      <w:r w:rsidR="00FA69B9" w:rsidRPr="001F1C6E">
        <w:rPr>
          <w:rFonts w:ascii="Century Gothic" w:hAnsi="Century Gothic" w:cs="Century Gothic"/>
          <w:sz w:val="20"/>
          <w:szCs w:val="20"/>
        </w:rPr>
        <w:t>0,000</w:t>
      </w:r>
      <w:r w:rsidR="009A0493">
        <w:rPr>
          <w:rFonts w:ascii="Century Gothic" w:hAnsi="Century Gothic" w:cs="Century Gothic"/>
          <w:sz w:val="20"/>
          <w:szCs w:val="20"/>
        </w:rPr>
        <w:t xml:space="preserve">. </w:t>
      </w:r>
      <w:r w:rsidR="00760FED">
        <w:rPr>
          <w:rFonts w:ascii="Century Gothic" w:hAnsi="Century Gothic" w:cs="Century Gothic"/>
          <w:sz w:val="20"/>
          <w:szCs w:val="20"/>
        </w:rPr>
        <w:t xml:space="preserve">Each </w:t>
      </w:r>
      <w:r w:rsidR="005B35F8">
        <w:rPr>
          <w:rFonts w:ascii="Century Gothic" w:hAnsi="Century Gothic" w:cs="Century Gothic"/>
          <w:sz w:val="20"/>
          <w:szCs w:val="20"/>
        </w:rPr>
        <w:t>U</w:t>
      </w:r>
      <w:r w:rsidR="00760FED">
        <w:rPr>
          <w:rFonts w:ascii="Century Gothic" w:hAnsi="Century Gothic" w:cs="Century Gothic"/>
          <w:sz w:val="20"/>
          <w:szCs w:val="20"/>
        </w:rPr>
        <w:t xml:space="preserve">nit </w:t>
      </w:r>
      <w:r w:rsidR="00745257">
        <w:rPr>
          <w:rFonts w:ascii="Century Gothic" w:hAnsi="Century Gothic" w:cs="Century Gothic"/>
          <w:sz w:val="20"/>
          <w:szCs w:val="20"/>
        </w:rPr>
        <w:t>will consist</w:t>
      </w:r>
      <w:r w:rsidR="00760FED">
        <w:rPr>
          <w:rFonts w:ascii="Century Gothic" w:hAnsi="Century Gothic" w:cs="Century Gothic"/>
          <w:sz w:val="20"/>
          <w:szCs w:val="20"/>
        </w:rPr>
        <w:t xml:space="preserve"> of one common share</w:t>
      </w:r>
      <w:r w:rsidR="00745257">
        <w:rPr>
          <w:rFonts w:ascii="Century Gothic" w:hAnsi="Century Gothic" w:cs="Century Gothic"/>
          <w:sz w:val="20"/>
          <w:szCs w:val="20"/>
        </w:rPr>
        <w:t xml:space="preserve"> ("</w:t>
      </w:r>
      <w:r w:rsidR="00745257" w:rsidRPr="00745257">
        <w:rPr>
          <w:rFonts w:ascii="Century Gothic" w:hAnsi="Century Gothic" w:cs="Century Gothic"/>
          <w:b/>
          <w:sz w:val="20"/>
          <w:szCs w:val="20"/>
        </w:rPr>
        <w:t>Common Share</w:t>
      </w:r>
      <w:r w:rsidR="00745257">
        <w:rPr>
          <w:rFonts w:ascii="Century Gothic" w:hAnsi="Century Gothic" w:cs="Century Gothic"/>
          <w:sz w:val="20"/>
          <w:szCs w:val="20"/>
        </w:rPr>
        <w:t xml:space="preserve">") of the Company and one </w:t>
      </w:r>
      <w:r w:rsidR="00760FED">
        <w:rPr>
          <w:rFonts w:ascii="Century Gothic" w:hAnsi="Century Gothic" w:cs="Century Gothic"/>
          <w:sz w:val="20"/>
          <w:szCs w:val="20"/>
        </w:rPr>
        <w:t>warrant</w:t>
      </w:r>
      <w:r w:rsidR="00745257">
        <w:rPr>
          <w:rFonts w:ascii="Century Gothic" w:hAnsi="Century Gothic" w:cs="Century Gothic"/>
          <w:sz w:val="20"/>
          <w:szCs w:val="20"/>
        </w:rPr>
        <w:t xml:space="preserve"> ("</w:t>
      </w:r>
      <w:r w:rsidR="00745257" w:rsidRPr="00745257">
        <w:rPr>
          <w:rFonts w:ascii="Century Gothic" w:hAnsi="Century Gothic" w:cs="Century Gothic"/>
          <w:b/>
          <w:sz w:val="20"/>
          <w:szCs w:val="20"/>
        </w:rPr>
        <w:t>Warrant</w:t>
      </w:r>
      <w:r w:rsidR="00745257">
        <w:rPr>
          <w:rFonts w:ascii="Century Gothic" w:hAnsi="Century Gothic" w:cs="Century Gothic"/>
          <w:sz w:val="20"/>
          <w:szCs w:val="20"/>
        </w:rPr>
        <w:t>") of the Company</w:t>
      </w:r>
      <w:r w:rsidR="00760FED">
        <w:rPr>
          <w:rFonts w:ascii="Century Gothic" w:hAnsi="Century Gothic" w:cs="Century Gothic"/>
          <w:sz w:val="20"/>
          <w:szCs w:val="20"/>
        </w:rPr>
        <w:t xml:space="preserve">. </w:t>
      </w:r>
    </w:p>
    <w:p w:rsidR="000766CF" w:rsidRDefault="000766CF" w:rsidP="00F42D4C">
      <w:pPr>
        <w:pStyle w:val="NormalWeb"/>
        <w:spacing w:before="0" w:beforeAutospacing="0" w:after="0" w:afterAutospacing="0"/>
        <w:contextualSpacing/>
        <w:jc w:val="both"/>
        <w:rPr>
          <w:rFonts w:ascii="Century Gothic" w:hAnsi="Century Gothic" w:cs="Century Gothic"/>
          <w:sz w:val="20"/>
          <w:szCs w:val="20"/>
        </w:rPr>
      </w:pPr>
    </w:p>
    <w:p w:rsidR="00E944C0" w:rsidRDefault="00DB3C68" w:rsidP="00F42D4C">
      <w:pPr>
        <w:pStyle w:val="NormalWeb"/>
        <w:spacing w:before="0" w:beforeAutospacing="0" w:after="0" w:afterAutospacing="0"/>
        <w:contextualSpacing/>
        <w:jc w:val="both"/>
        <w:rPr>
          <w:rFonts w:ascii="Century Gothic" w:hAnsi="Century Gothic" w:cs="Century Gothic"/>
          <w:b/>
          <w:sz w:val="20"/>
          <w:szCs w:val="20"/>
        </w:rPr>
      </w:pPr>
      <w:r>
        <w:rPr>
          <w:rFonts w:ascii="Century Gothic" w:hAnsi="Century Gothic" w:cs="Century Gothic"/>
          <w:sz w:val="20"/>
          <w:szCs w:val="20"/>
        </w:rPr>
        <w:t>Each W</w:t>
      </w:r>
      <w:r w:rsidR="00760FED">
        <w:rPr>
          <w:rFonts w:ascii="Century Gothic" w:hAnsi="Century Gothic" w:cs="Century Gothic"/>
          <w:sz w:val="20"/>
          <w:szCs w:val="20"/>
        </w:rPr>
        <w:t>arrant is exe</w:t>
      </w:r>
      <w:r>
        <w:rPr>
          <w:rFonts w:ascii="Century Gothic" w:hAnsi="Century Gothic" w:cs="Century Gothic"/>
          <w:sz w:val="20"/>
          <w:szCs w:val="20"/>
        </w:rPr>
        <w:t xml:space="preserve">rcisable </w:t>
      </w:r>
      <w:r w:rsidR="008505BE">
        <w:rPr>
          <w:rFonts w:ascii="Century Gothic" w:hAnsi="Century Gothic" w:cs="Century Gothic"/>
          <w:sz w:val="20"/>
          <w:szCs w:val="20"/>
        </w:rPr>
        <w:t>into</w:t>
      </w:r>
      <w:r>
        <w:rPr>
          <w:rFonts w:ascii="Century Gothic" w:hAnsi="Century Gothic" w:cs="Century Gothic"/>
          <w:sz w:val="20"/>
          <w:szCs w:val="20"/>
        </w:rPr>
        <w:t xml:space="preserve"> a Common S</w:t>
      </w:r>
      <w:r w:rsidR="00760FED">
        <w:rPr>
          <w:rFonts w:ascii="Century Gothic" w:hAnsi="Century Gothic" w:cs="Century Gothic"/>
          <w:sz w:val="20"/>
          <w:szCs w:val="20"/>
        </w:rPr>
        <w:t>hare at an exercise price of</w:t>
      </w:r>
      <w:r w:rsidR="00760FED" w:rsidRPr="00B903E1">
        <w:rPr>
          <w:rFonts w:ascii="Century Gothic" w:hAnsi="Century Gothic" w:cs="Century Gothic"/>
          <w:sz w:val="20"/>
          <w:szCs w:val="20"/>
        </w:rPr>
        <w:t xml:space="preserve"> $0.</w:t>
      </w:r>
      <w:r w:rsidR="003E5E55">
        <w:rPr>
          <w:rFonts w:ascii="Century Gothic" w:hAnsi="Century Gothic" w:cs="Century Gothic"/>
          <w:sz w:val="20"/>
          <w:szCs w:val="20"/>
        </w:rPr>
        <w:t>2</w:t>
      </w:r>
      <w:r w:rsidR="00BC2046">
        <w:rPr>
          <w:rFonts w:ascii="Century Gothic" w:hAnsi="Century Gothic" w:cs="Century Gothic"/>
          <w:sz w:val="20"/>
          <w:szCs w:val="20"/>
        </w:rPr>
        <w:t>0</w:t>
      </w:r>
      <w:r w:rsidR="00760FED" w:rsidRPr="00B903E1">
        <w:rPr>
          <w:rFonts w:ascii="Century Gothic" w:hAnsi="Century Gothic" w:cs="Century Gothic"/>
          <w:sz w:val="20"/>
          <w:szCs w:val="20"/>
        </w:rPr>
        <w:t xml:space="preserve"> on or before the date which is 12 months after the closing of </w:t>
      </w:r>
      <w:r w:rsidRPr="00B903E1">
        <w:rPr>
          <w:rFonts w:ascii="Century Gothic" w:hAnsi="Century Gothic" w:cs="Century Gothic"/>
          <w:sz w:val="20"/>
          <w:szCs w:val="20"/>
        </w:rPr>
        <w:t>the Private Placement</w:t>
      </w:r>
      <w:r w:rsidR="00760FED" w:rsidRPr="00B903E1">
        <w:rPr>
          <w:rFonts w:ascii="Century Gothic" w:hAnsi="Century Gothic" w:cs="Century Gothic"/>
          <w:sz w:val="20"/>
          <w:szCs w:val="20"/>
        </w:rPr>
        <w:t xml:space="preserve"> and</w:t>
      </w:r>
      <w:r w:rsidR="008505BE" w:rsidRPr="00B903E1">
        <w:rPr>
          <w:rFonts w:ascii="Century Gothic" w:hAnsi="Century Gothic" w:cs="Century Gothic"/>
          <w:sz w:val="20"/>
          <w:szCs w:val="20"/>
        </w:rPr>
        <w:t xml:space="preserve"> thereafter</w:t>
      </w:r>
      <w:r w:rsidR="00760FED" w:rsidRPr="00B903E1">
        <w:rPr>
          <w:rFonts w:ascii="Century Gothic" w:hAnsi="Century Gothic" w:cs="Century Gothic"/>
          <w:sz w:val="20"/>
          <w:szCs w:val="20"/>
        </w:rPr>
        <w:t xml:space="preserve"> at an exercise price of $0.</w:t>
      </w:r>
      <w:r w:rsidR="00BC2046">
        <w:rPr>
          <w:rFonts w:ascii="Century Gothic" w:hAnsi="Century Gothic" w:cs="Century Gothic"/>
          <w:sz w:val="20"/>
          <w:szCs w:val="20"/>
        </w:rPr>
        <w:t>30</w:t>
      </w:r>
      <w:r w:rsidR="00760FED" w:rsidRPr="00B903E1">
        <w:rPr>
          <w:rFonts w:ascii="Century Gothic" w:hAnsi="Century Gothic" w:cs="Century Gothic"/>
          <w:sz w:val="20"/>
          <w:szCs w:val="20"/>
        </w:rPr>
        <w:t xml:space="preserve"> on or before the date which is </w:t>
      </w:r>
      <w:r w:rsidR="008505BE" w:rsidRPr="00B903E1">
        <w:rPr>
          <w:rFonts w:ascii="Century Gothic" w:hAnsi="Century Gothic" w:cs="Century Gothic"/>
          <w:sz w:val="20"/>
          <w:szCs w:val="20"/>
        </w:rPr>
        <w:t>60</w:t>
      </w:r>
      <w:r w:rsidR="00760FED" w:rsidRPr="00B903E1">
        <w:rPr>
          <w:rFonts w:ascii="Century Gothic" w:hAnsi="Century Gothic" w:cs="Century Gothic"/>
          <w:sz w:val="20"/>
          <w:szCs w:val="20"/>
        </w:rPr>
        <w:t xml:space="preserve"> months after the </w:t>
      </w:r>
      <w:r w:rsidR="00760FED">
        <w:rPr>
          <w:rFonts w:ascii="Century Gothic" w:hAnsi="Century Gothic" w:cs="Century Gothic"/>
          <w:sz w:val="20"/>
          <w:szCs w:val="20"/>
        </w:rPr>
        <w:t xml:space="preserve">closing of the </w:t>
      </w:r>
      <w:r>
        <w:rPr>
          <w:rFonts w:ascii="Century Gothic" w:hAnsi="Century Gothic" w:cs="Century Gothic"/>
          <w:sz w:val="20"/>
          <w:szCs w:val="20"/>
        </w:rPr>
        <w:t>Private Placement</w:t>
      </w:r>
      <w:r w:rsidR="00760FED">
        <w:rPr>
          <w:rFonts w:ascii="Century Gothic" w:hAnsi="Century Gothic" w:cs="Century Gothic"/>
          <w:sz w:val="20"/>
          <w:szCs w:val="20"/>
        </w:rPr>
        <w:t>.</w:t>
      </w:r>
      <w:r w:rsidR="009A0493">
        <w:rPr>
          <w:rFonts w:ascii="Century Gothic" w:hAnsi="Century Gothic" w:cs="Century Gothic"/>
          <w:sz w:val="20"/>
          <w:szCs w:val="20"/>
        </w:rPr>
        <w:t xml:space="preserve"> </w:t>
      </w:r>
      <w:r w:rsidR="00760FED">
        <w:rPr>
          <w:rFonts w:ascii="Century Gothic" w:hAnsi="Century Gothic" w:cs="Century Gothic"/>
          <w:sz w:val="20"/>
          <w:szCs w:val="20"/>
        </w:rPr>
        <w:t xml:space="preserve">Provided that if the </w:t>
      </w:r>
      <w:r w:rsidR="00760FED" w:rsidRPr="00B903E1">
        <w:rPr>
          <w:rFonts w:ascii="Century Gothic" w:hAnsi="Century Gothic" w:cs="Century Gothic"/>
          <w:sz w:val="20"/>
          <w:szCs w:val="20"/>
        </w:rPr>
        <w:t>average closing price</w:t>
      </w:r>
      <w:r w:rsidR="00760FED">
        <w:rPr>
          <w:rFonts w:ascii="Century Gothic" w:hAnsi="Century Gothic" w:cs="Century Gothic"/>
          <w:sz w:val="20"/>
          <w:szCs w:val="20"/>
        </w:rPr>
        <w:t xml:space="preserve"> of </w:t>
      </w:r>
      <w:r>
        <w:rPr>
          <w:rFonts w:ascii="Century Gothic" w:hAnsi="Century Gothic" w:cs="Century Gothic"/>
          <w:sz w:val="20"/>
          <w:szCs w:val="20"/>
        </w:rPr>
        <w:t>Common Shares</w:t>
      </w:r>
      <w:r w:rsidR="00760FED">
        <w:rPr>
          <w:rFonts w:ascii="Century Gothic" w:hAnsi="Century Gothic" w:cs="Century Gothic"/>
          <w:sz w:val="20"/>
          <w:szCs w:val="20"/>
        </w:rPr>
        <w:t xml:space="preserve"> trade at a price of </w:t>
      </w:r>
      <w:r w:rsidR="001F1C6E">
        <w:rPr>
          <w:rFonts w:ascii="Century Gothic" w:hAnsi="Century Gothic" w:cs="Century Gothic"/>
          <w:sz w:val="20"/>
          <w:szCs w:val="20"/>
        </w:rPr>
        <w:t>$0.</w:t>
      </w:r>
      <w:r w:rsidR="003E5E55">
        <w:rPr>
          <w:rFonts w:ascii="Century Gothic" w:hAnsi="Century Gothic" w:cs="Century Gothic"/>
          <w:sz w:val="20"/>
          <w:szCs w:val="20"/>
        </w:rPr>
        <w:t>2</w:t>
      </w:r>
      <w:r w:rsidR="00BC2046">
        <w:rPr>
          <w:rFonts w:ascii="Century Gothic" w:hAnsi="Century Gothic" w:cs="Century Gothic"/>
          <w:sz w:val="20"/>
          <w:szCs w:val="20"/>
        </w:rPr>
        <w:t>5</w:t>
      </w:r>
      <w:r w:rsidR="00760FED">
        <w:rPr>
          <w:rFonts w:ascii="Century Gothic" w:hAnsi="Century Gothic" w:cs="Century Gothic"/>
          <w:sz w:val="20"/>
          <w:szCs w:val="20"/>
        </w:rPr>
        <w:t xml:space="preserve"> for </w:t>
      </w:r>
      <w:r w:rsidR="00760FED" w:rsidRPr="00B903E1">
        <w:rPr>
          <w:rFonts w:ascii="Century Gothic" w:hAnsi="Century Gothic" w:cs="Century Gothic"/>
          <w:sz w:val="20"/>
          <w:szCs w:val="20"/>
        </w:rPr>
        <w:t>20</w:t>
      </w:r>
      <w:r w:rsidR="00760FED">
        <w:rPr>
          <w:rFonts w:ascii="Century Gothic" w:hAnsi="Century Gothic" w:cs="Century Gothic"/>
          <w:sz w:val="20"/>
          <w:szCs w:val="20"/>
        </w:rPr>
        <w:t xml:space="preserve"> consecutive days four months after the closing of the </w:t>
      </w:r>
      <w:r>
        <w:rPr>
          <w:rFonts w:ascii="Century Gothic" w:hAnsi="Century Gothic" w:cs="Century Gothic"/>
          <w:sz w:val="20"/>
          <w:szCs w:val="20"/>
        </w:rPr>
        <w:t>Private Placement</w:t>
      </w:r>
      <w:r w:rsidR="00760FED">
        <w:rPr>
          <w:rFonts w:ascii="Century Gothic" w:hAnsi="Century Gothic" w:cs="Century Gothic"/>
          <w:sz w:val="20"/>
          <w:szCs w:val="20"/>
        </w:rPr>
        <w:t xml:space="preserve">, </w:t>
      </w:r>
      <w:r w:rsidR="00777C29">
        <w:rPr>
          <w:rFonts w:ascii="Century Gothic" w:hAnsi="Century Gothic" w:cs="Century Gothic"/>
          <w:sz w:val="20"/>
          <w:szCs w:val="20"/>
        </w:rPr>
        <w:t>or if the average closing price of the Common Shares trade at a price of $0.</w:t>
      </w:r>
      <w:r w:rsidR="00BC2046">
        <w:rPr>
          <w:rFonts w:ascii="Century Gothic" w:hAnsi="Century Gothic" w:cs="Century Gothic"/>
          <w:sz w:val="20"/>
          <w:szCs w:val="20"/>
        </w:rPr>
        <w:t>4</w:t>
      </w:r>
      <w:r w:rsidR="00B903E1">
        <w:rPr>
          <w:rFonts w:ascii="Century Gothic" w:hAnsi="Century Gothic" w:cs="Century Gothic"/>
          <w:sz w:val="20"/>
          <w:szCs w:val="20"/>
        </w:rPr>
        <w:t>0</w:t>
      </w:r>
      <w:r w:rsidR="00777C29">
        <w:rPr>
          <w:rFonts w:ascii="Century Gothic" w:hAnsi="Century Gothic" w:cs="Century Gothic"/>
          <w:sz w:val="20"/>
          <w:szCs w:val="20"/>
        </w:rPr>
        <w:t xml:space="preserve"> </w:t>
      </w:r>
      <w:r w:rsidR="00505D69">
        <w:rPr>
          <w:rFonts w:ascii="Century Gothic" w:hAnsi="Century Gothic" w:cs="Century Gothic"/>
          <w:sz w:val="20"/>
          <w:szCs w:val="20"/>
        </w:rPr>
        <w:t>for 20 consecutive days 12 months after the closing</w:t>
      </w:r>
      <w:r w:rsidR="00CF1F7B">
        <w:rPr>
          <w:rFonts w:ascii="Century Gothic" w:hAnsi="Century Gothic" w:cs="Century Gothic"/>
          <w:sz w:val="20"/>
          <w:szCs w:val="20"/>
        </w:rPr>
        <w:t>,</w:t>
      </w:r>
      <w:r w:rsidR="00505D69">
        <w:rPr>
          <w:rFonts w:ascii="Century Gothic" w:hAnsi="Century Gothic" w:cs="Century Gothic"/>
          <w:sz w:val="20"/>
          <w:szCs w:val="20"/>
        </w:rPr>
        <w:t xml:space="preserve"> </w:t>
      </w:r>
      <w:r w:rsidR="00CF1F7B">
        <w:rPr>
          <w:rFonts w:ascii="Century Gothic" w:hAnsi="Century Gothic" w:cs="Century Gothic"/>
          <w:sz w:val="20"/>
          <w:szCs w:val="20"/>
        </w:rPr>
        <w:t>the Company</w:t>
      </w:r>
      <w:r w:rsidR="00760FED">
        <w:rPr>
          <w:rFonts w:ascii="Century Gothic" w:hAnsi="Century Gothic" w:cs="Century Gothic"/>
          <w:sz w:val="20"/>
          <w:szCs w:val="20"/>
        </w:rPr>
        <w:t xml:space="preserve"> may give writte</w:t>
      </w:r>
      <w:r>
        <w:rPr>
          <w:rFonts w:ascii="Century Gothic" w:hAnsi="Century Gothic" w:cs="Century Gothic"/>
          <w:sz w:val="20"/>
          <w:szCs w:val="20"/>
        </w:rPr>
        <w:t>n notice to the holders of the W</w:t>
      </w:r>
      <w:r w:rsidR="00760FED">
        <w:rPr>
          <w:rFonts w:ascii="Century Gothic" w:hAnsi="Century Gothic" w:cs="Century Gothic"/>
          <w:sz w:val="20"/>
          <w:szCs w:val="20"/>
        </w:rPr>
        <w:t>arrants changing the expiry date to a date which is not less than 30 days following that written notice.</w:t>
      </w:r>
      <w:r>
        <w:rPr>
          <w:rFonts w:ascii="Century Gothic" w:hAnsi="Century Gothic" w:cs="Century Gothic"/>
          <w:sz w:val="20"/>
          <w:szCs w:val="20"/>
        </w:rPr>
        <w:t xml:space="preserve"> </w:t>
      </w:r>
    </w:p>
    <w:p w:rsidR="00CF1F7B" w:rsidRDefault="00CF1F7B" w:rsidP="00F42D4C">
      <w:pPr>
        <w:pStyle w:val="NormalWeb"/>
        <w:spacing w:before="0" w:beforeAutospacing="0" w:after="0" w:afterAutospacing="0"/>
        <w:contextualSpacing/>
        <w:jc w:val="both"/>
        <w:rPr>
          <w:rFonts w:ascii="Century Gothic" w:hAnsi="Century Gothic" w:cs="Century Gothic"/>
          <w:sz w:val="20"/>
          <w:szCs w:val="20"/>
        </w:rPr>
      </w:pPr>
    </w:p>
    <w:p w:rsidR="00760FED" w:rsidRPr="00AF4C7F" w:rsidRDefault="00A22FE6" w:rsidP="00F42D4C">
      <w:pPr>
        <w:pStyle w:val="NormalWeb"/>
        <w:spacing w:before="0" w:beforeAutospacing="0" w:after="0" w:afterAutospacing="0"/>
        <w:contextualSpacing/>
        <w:jc w:val="both"/>
        <w:rPr>
          <w:rFonts w:ascii="Century Gothic" w:hAnsi="Century Gothic" w:cs="Century Gothic"/>
          <w:sz w:val="20"/>
          <w:szCs w:val="20"/>
        </w:rPr>
      </w:pPr>
      <w:r>
        <w:rPr>
          <w:rFonts w:ascii="Century Gothic" w:hAnsi="Century Gothic" w:cs="Century Gothic"/>
          <w:sz w:val="20"/>
          <w:szCs w:val="20"/>
        </w:rPr>
        <w:t>T</w:t>
      </w:r>
      <w:r w:rsidR="00AF4C7F" w:rsidRPr="00AF4C7F">
        <w:rPr>
          <w:rFonts w:ascii="Century Gothic" w:hAnsi="Century Gothic" w:cs="Century Gothic"/>
          <w:sz w:val="20"/>
          <w:szCs w:val="20"/>
        </w:rPr>
        <w:t xml:space="preserve">he Company </w:t>
      </w:r>
      <w:r>
        <w:rPr>
          <w:rFonts w:ascii="Century Gothic" w:hAnsi="Century Gothic" w:cs="Century Gothic"/>
          <w:sz w:val="20"/>
          <w:szCs w:val="20"/>
        </w:rPr>
        <w:t xml:space="preserve">will use </w:t>
      </w:r>
      <w:r w:rsidR="00AF4C7F" w:rsidRPr="00AF4C7F">
        <w:rPr>
          <w:rFonts w:ascii="Century Gothic" w:hAnsi="Century Gothic" w:cs="Century Gothic"/>
          <w:sz w:val="20"/>
          <w:szCs w:val="20"/>
        </w:rPr>
        <w:t xml:space="preserve">the proceeds </w:t>
      </w:r>
      <w:r w:rsidR="00C36479">
        <w:rPr>
          <w:rFonts w:ascii="Century Gothic" w:hAnsi="Century Gothic" w:cs="Century Gothic"/>
          <w:sz w:val="20"/>
          <w:szCs w:val="20"/>
        </w:rPr>
        <w:t>for working capital.</w:t>
      </w:r>
      <w:r w:rsidR="00AF4C7F" w:rsidRPr="00AF4C7F">
        <w:rPr>
          <w:rFonts w:ascii="Century Gothic" w:hAnsi="Century Gothic" w:cs="Century Gothic"/>
          <w:sz w:val="20"/>
          <w:szCs w:val="20"/>
        </w:rPr>
        <w:t xml:space="preserve"> </w:t>
      </w:r>
    </w:p>
    <w:p w:rsidR="00AF4C7F" w:rsidRDefault="00AF4C7F" w:rsidP="00F42D4C">
      <w:pPr>
        <w:pStyle w:val="NormalWeb"/>
        <w:spacing w:before="0" w:beforeAutospacing="0" w:after="0" w:afterAutospacing="0"/>
        <w:contextualSpacing/>
        <w:jc w:val="both"/>
        <w:rPr>
          <w:rFonts w:ascii="Century Gothic" w:hAnsi="Century Gothic" w:cs="Century Gothic"/>
          <w:sz w:val="20"/>
          <w:szCs w:val="20"/>
        </w:rPr>
      </w:pPr>
    </w:p>
    <w:p w:rsidR="0027079C" w:rsidRPr="00927667" w:rsidRDefault="0027079C" w:rsidP="0027079C">
      <w:pPr>
        <w:pStyle w:val="NormalWeb"/>
        <w:contextualSpacing/>
        <w:jc w:val="both"/>
        <w:rPr>
          <w:rFonts w:ascii="Century Gothic" w:hAnsi="Century Gothic" w:cs="Century Gothic"/>
          <w:sz w:val="20"/>
          <w:szCs w:val="20"/>
        </w:rPr>
      </w:pPr>
      <w:r w:rsidRPr="00927667">
        <w:rPr>
          <w:rFonts w:ascii="Century Gothic" w:hAnsi="Century Gothic" w:cs="Century Gothic"/>
          <w:sz w:val="20"/>
          <w:szCs w:val="20"/>
        </w:rPr>
        <w:t xml:space="preserve">The Company may pay </w:t>
      </w:r>
      <w:r w:rsidR="00927667">
        <w:rPr>
          <w:rFonts w:ascii="Century Gothic" w:hAnsi="Century Gothic" w:cs="Century Gothic"/>
          <w:sz w:val="20"/>
          <w:szCs w:val="20"/>
        </w:rPr>
        <w:t>f</w:t>
      </w:r>
      <w:r w:rsidRPr="00927667">
        <w:rPr>
          <w:rFonts w:ascii="Century Gothic" w:hAnsi="Century Gothic" w:cs="Century Gothic"/>
          <w:sz w:val="20"/>
          <w:szCs w:val="20"/>
        </w:rPr>
        <w:t>inder fees of up to 7% of the gross proceeds</w:t>
      </w:r>
      <w:r w:rsidR="008F34D4">
        <w:rPr>
          <w:rFonts w:ascii="Century Gothic" w:hAnsi="Century Gothic" w:cs="Century Gothic"/>
          <w:sz w:val="20"/>
          <w:szCs w:val="20"/>
        </w:rPr>
        <w:t xml:space="preserve"> raised by </w:t>
      </w:r>
      <w:r w:rsidR="008F34D4" w:rsidRPr="00D5106D">
        <w:rPr>
          <w:rFonts w:ascii="Century Gothic" w:hAnsi="Century Gothic" w:cs="Century Gothic"/>
          <w:sz w:val="20"/>
          <w:szCs w:val="20"/>
        </w:rPr>
        <w:t xml:space="preserve">registered brokers, and other finders where </w:t>
      </w:r>
      <w:r w:rsidR="008F34D4">
        <w:rPr>
          <w:rFonts w:ascii="Century Gothic" w:hAnsi="Century Gothic" w:cs="Century Gothic"/>
          <w:sz w:val="20"/>
          <w:szCs w:val="20"/>
        </w:rPr>
        <w:t>permitted by law</w:t>
      </w:r>
      <w:r w:rsidRPr="00927667">
        <w:rPr>
          <w:rFonts w:ascii="Century Gothic" w:hAnsi="Century Gothic" w:cs="Century Gothic"/>
          <w:sz w:val="20"/>
          <w:szCs w:val="20"/>
        </w:rPr>
        <w:t xml:space="preserve">. </w:t>
      </w:r>
    </w:p>
    <w:p w:rsidR="0027079C" w:rsidRPr="0027079C" w:rsidRDefault="0027079C" w:rsidP="0027079C">
      <w:pPr>
        <w:pStyle w:val="NormalWeb"/>
        <w:contextualSpacing/>
        <w:jc w:val="both"/>
        <w:rPr>
          <w:rFonts w:ascii="Century Gothic" w:hAnsi="Century Gothic" w:cs="Century Gothic"/>
          <w:b/>
          <w:sz w:val="20"/>
          <w:szCs w:val="20"/>
        </w:rPr>
      </w:pPr>
    </w:p>
    <w:p w:rsidR="005D798D" w:rsidRDefault="0027079C" w:rsidP="0027079C">
      <w:pPr>
        <w:pStyle w:val="NormalWeb"/>
        <w:contextualSpacing/>
        <w:jc w:val="both"/>
        <w:rPr>
          <w:rFonts w:ascii="Century Gothic" w:hAnsi="Century Gothic" w:cs="Century Gothic"/>
          <w:sz w:val="20"/>
          <w:szCs w:val="20"/>
        </w:rPr>
      </w:pPr>
      <w:r w:rsidRPr="00927667">
        <w:rPr>
          <w:rFonts w:ascii="Century Gothic" w:hAnsi="Century Gothic" w:cs="Century Gothic"/>
          <w:sz w:val="20"/>
          <w:szCs w:val="20"/>
        </w:rPr>
        <w:t xml:space="preserve">All securities issued in connection with this </w:t>
      </w:r>
      <w:r w:rsidR="00254D98">
        <w:rPr>
          <w:rFonts w:ascii="Century Gothic" w:hAnsi="Century Gothic" w:cs="Century Gothic"/>
          <w:sz w:val="20"/>
          <w:szCs w:val="20"/>
        </w:rPr>
        <w:t>Private Placement</w:t>
      </w:r>
      <w:r w:rsidRPr="00927667">
        <w:rPr>
          <w:rFonts w:ascii="Century Gothic" w:hAnsi="Century Gothic" w:cs="Century Gothic"/>
          <w:sz w:val="20"/>
          <w:szCs w:val="20"/>
        </w:rPr>
        <w:t xml:space="preserve"> will be subject to a four month hold period from the date of issuance in accordance with applicable securities law</w:t>
      </w:r>
      <w:r w:rsidR="008505BE">
        <w:rPr>
          <w:rFonts w:ascii="Century Gothic" w:hAnsi="Century Gothic" w:cs="Century Gothic"/>
          <w:sz w:val="20"/>
          <w:szCs w:val="20"/>
        </w:rPr>
        <w:t>s</w:t>
      </w:r>
      <w:r w:rsidRPr="00927667">
        <w:rPr>
          <w:rFonts w:ascii="Century Gothic" w:hAnsi="Century Gothic" w:cs="Century Gothic"/>
          <w:sz w:val="20"/>
          <w:szCs w:val="20"/>
        </w:rPr>
        <w:t>.</w:t>
      </w:r>
    </w:p>
    <w:p w:rsidR="00254D98" w:rsidRDefault="005D798D" w:rsidP="0027079C">
      <w:pPr>
        <w:pStyle w:val="NormalWeb"/>
        <w:contextualSpacing/>
        <w:jc w:val="both"/>
        <w:rPr>
          <w:rFonts w:ascii="Century Gothic" w:hAnsi="Century Gothic" w:cs="Century Gothic"/>
          <w:sz w:val="20"/>
          <w:szCs w:val="20"/>
        </w:rPr>
      </w:pPr>
      <w:r>
        <w:rPr>
          <w:rFonts w:ascii="Century Gothic" w:hAnsi="Century Gothic" w:cs="Century Gothic"/>
          <w:sz w:val="20"/>
          <w:szCs w:val="20"/>
        </w:rPr>
        <w:t xml:space="preserve"> </w:t>
      </w:r>
    </w:p>
    <w:p w:rsidR="00254D98" w:rsidRPr="00927667" w:rsidRDefault="00254D98" w:rsidP="0027079C">
      <w:pPr>
        <w:pStyle w:val="NormalWeb"/>
        <w:contextualSpacing/>
        <w:jc w:val="both"/>
        <w:rPr>
          <w:rFonts w:ascii="Century Gothic" w:hAnsi="Century Gothic" w:cs="Century Gothic"/>
          <w:sz w:val="20"/>
          <w:szCs w:val="20"/>
        </w:rPr>
      </w:pPr>
      <w:r w:rsidRPr="00254D98">
        <w:rPr>
          <w:rFonts w:ascii="Century Gothic" w:hAnsi="Century Gothic" w:cs="Century Gothic"/>
          <w:sz w:val="20"/>
          <w:szCs w:val="20"/>
        </w:rPr>
        <w:t xml:space="preserve">This press release shall not constitute an offer to sell or the solicitation of an offer to buy nor shall there be any sale of the securities in any state in which such offer, solicitation or sale would be unlawful. The securities issued, or to be issued, under the </w:t>
      </w:r>
      <w:r>
        <w:rPr>
          <w:rFonts w:ascii="Century Gothic" w:hAnsi="Century Gothic" w:cs="Century Gothic"/>
          <w:sz w:val="20"/>
          <w:szCs w:val="20"/>
        </w:rPr>
        <w:t>Private Placement</w:t>
      </w:r>
      <w:r w:rsidRPr="00254D98">
        <w:rPr>
          <w:rFonts w:ascii="Century Gothic" w:hAnsi="Century Gothic" w:cs="Century Gothic"/>
          <w:sz w:val="20"/>
          <w:szCs w:val="20"/>
        </w:rPr>
        <w:t xml:space="preserve"> have not been, and will not be, registered under the United States Securities Act of 1933, as amended, and may not be offered or sold in the United States absent registration or an applicable exemption from registration requirements.</w:t>
      </w:r>
      <w:r w:rsidR="008505BE">
        <w:rPr>
          <w:rFonts w:ascii="Century Gothic" w:hAnsi="Century Gothic" w:cs="Century Gothic"/>
          <w:sz w:val="20"/>
          <w:szCs w:val="20"/>
        </w:rPr>
        <w:t xml:space="preserve"> </w:t>
      </w:r>
    </w:p>
    <w:p w:rsidR="0027079C" w:rsidRPr="0027079C" w:rsidRDefault="0027079C" w:rsidP="0027079C">
      <w:pPr>
        <w:pStyle w:val="NormalWeb"/>
        <w:contextualSpacing/>
        <w:jc w:val="both"/>
        <w:rPr>
          <w:rFonts w:ascii="Century Gothic" w:hAnsi="Century Gothic" w:cs="Century Gothic"/>
          <w:b/>
          <w:sz w:val="20"/>
          <w:szCs w:val="20"/>
        </w:rPr>
      </w:pPr>
    </w:p>
    <w:p w:rsidR="000766CF" w:rsidRDefault="000766CF" w:rsidP="00AF4C7F">
      <w:pPr>
        <w:pStyle w:val="NormalWeb"/>
        <w:keepNext/>
        <w:spacing w:before="0" w:beforeAutospacing="0" w:after="0" w:afterAutospacing="0"/>
        <w:contextualSpacing/>
        <w:jc w:val="both"/>
        <w:rPr>
          <w:rFonts w:ascii="Century Gothic" w:hAnsi="Century Gothic" w:cs="Century Gothic"/>
          <w:b/>
          <w:sz w:val="20"/>
          <w:szCs w:val="20"/>
        </w:rPr>
      </w:pPr>
      <w:r>
        <w:rPr>
          <w:rFonts w:ascii="Century Gothic" w:hAnsi="Century Gothic" w:cs="Century Gothic"/>
          <w:b/>
          <w:sz w:val="20"/>
          <w:szCs w:val="20"/>
        </w:rPr>
        <w:t>Existing Security Holder Exemption</w:t>
      </w:r>
    </w:p>
    <w:p w:rsidR="000766CF" w:rsidRDefault="000766CF" w:rsidP="00AF4C7F">
      <w:pPr>
        <w:pStyle w:val="NormalWeb"/>
        <w:keepNext/>
        <w:spacing w:before="0" w:beforeAutospacing="0" w:after="0" w:afterAutospacing="0"/>
        <w:contextualSpacing/>
        <w:jc w:val="both"/>
        <w:rPr>
          <w:rFonts w:ascii="Century Gothic" w:hAnsi="Century Gothic" w:cs="Century Gothic"/>
          <w:b/>
          <w:sz w:val="20"/>
          <w:szCs w:val="20"/>
        </w:rPr>
      </w:pPr>
    </w:p>
    <w:p w:rsidR="000766CF" w:rsidRPr="000766CF" w:rsidRDefault="000766CF" w:rsidP="00AF4C7F">
      <w:pPr>
        <w:pStyle w:val="NormalWeb"/>
        <w:keepNext/>
        <w:spacing w:before="0" w:beforeAutospacing="0" w:after="0" w:afterAutospacing="0"/>
        <w:contextualSpacing/>
        <w:jc w:val="both"/>
        <w:rPr>
          <w:rFonts w:ascii="Century Gothic" w:hAnsi="Century Gothic" w:cs="Century Gothic"/>
          <w:sz w:val="20"/>
          <w:szCs w:val="20"/>
        </w:rPr>
      </w:pPr>
      <w:r>
        <w:rPr>
          <w:rFonts w:ascii="Century Gothic" w:hAnsi="Century Gothic" w:cs="Century Gothic"/>
          <w:sz w:val="20"/>
          <w:szCs w:val="20"/>
        </w:rPr>
        <w:t xml:space="preserve">The Private Placement is being made available to </w:t>
      </w:r>
      <w:r w:rsidRPr="000766CF">
        <w:rPr>
          <w:rFonts w:ascii="Century Gothic" w:hAnsi="Century Gothic" w:cs="Century Gothic"/>
          <w:sz w:val="20"/>
          <w:szCs w:val="20"/>
        </w:rPr>
        <w:t>existing shareholders of the Company</w:t>
      </w:r>
      <w:r w:rsidR="008505BE">
        <w:rPr>
          <w:rFonts w:ascii="Century Gothic" w:hAnsi="Century Gothic" w:cs="Century Gothic"/>
          <w:sz w:val="20"/>
          <w:szCs w:val="20"/>
        </w:rPr>
        <w:t xml:space="preserve"> ("</w:t>
      </w:r>
      <w:r w:rsidR="008505BE" w:rsidRPr="008505BE">
        <w:rPr>
          <w:rFonts w:ascii="Century Gothic" w:hAnsi="Century Gothic" w:cs="Century Gothic"/>
          <w:b/>
          <w:sz w:val="20"/>
          <w:szCs w:val="20"/>
        </w:rPr>
        <w:t>Existing Security Holders</w:t>
      </w:r>
      <w:r w:rsidR="008505BE">
        <w:rPr>
          <w:rFonts w:ascii="Century Gothic" w:hAnsi="Century Gothic" w:cs="Century Gothic"/>
          <w:sz w:val="20"/>
          <w:szCs w:val="20"/>
        </w:rPr>
        <w:t>")</w:t>
      </w:r>
      <w:r w:rsidRPr="000766CF">
        <w:rPr>
          <w:rFonts w:ascii="Century Gothic" w:hAnsi="Century Gothic" w:cs="Century Gothic"/>
          <w:sz w:val="20"/>
          <w:szCs w:val="20"/>
        </w:rPr>
        <w:t xml:space="preserve"> who qualify under the "existing </w:t>
      </w:r>
      <w:r>
        <w:rPr>
          <w:rFonts w:ascii="Century Gothic" w:hAnsi="Century Gothic" w:cs="Century Gothic"/>
          <w:sz w:val="20"/>
          <w:szCs w:val="20"/>
        </w:rPr>
        <w:t>security holder</w:t>
      </w:r>
      <w:r w:rsidRPr="000766CF">
        <w:rPr>
          <w:rFonts w:ascii="Century Gothic" w:hAnsi="Century Gothic" w:cs="Century Gothic"/>
          <w:sz w:val="20"/>
          <w:szCs w:val="20"/>
        </w:rPr>
        <w:t xml:space="preserve"> prospectus exemption" available in certain jurisdictions in Canada</w:t>
      </w:r>
      <w:r w:rsidR="008505BE">
        <w:rPr>
          <w:rFonts w:ascii="Century Gothic" w:hAnsi="Century Gothic" w:cs="Century Gothic"/>
          <w:sz w:val="20"/>
          <w:szCs w:val="20"/>
        </w:rPr>
        <w:t xml:space="preserve"> (the "</w:t>
      </w:r>
      <w:r w:rsidR="008505BE" w:rsidRPr="008505BE">
        <w:rPr>
          <w:rFonts w:ascii="Century Gothic" w:hAnsi="Century Gothic" w:cs="Century Gothic"/>
          <w:b/>
          <w:sz w:val="20"/>
          <w:szCs w:val="20"/>
        </w:rPr>
        <w:t>Existing Security Holder Exemption</w:t>
      </w:r>
      <w:r w:rsidR="008505BE">
        <w:rPr>
          <w:rFonts w:ascii="Century Gothic" w:hAnsi="Century Gothic" w:cs="Century Gothic"/>
          <w:sz w:val="20"/>
          <w:szCs w:val="20"/>
        </w:rPr>
        <w:t>")</w:t>
      </w:r>
      <w:r w:rsidRPr="000766CF">
        <w:rPr>
          <w:rFonts w:ascii="Century Gothic" w:hAnsi="Century Gothic" w:cs="Century Gothic"/>
          <w:sz w:val="20"/>
          <w:szCs w:val="20"/>
        </w:rPr>
        <w:t>.</w:t>
      </w:r>
    </w:p>
    <w:p w:rsidR="00345CD7" w:rsidRDefault="00345CD7" w:rsidP="00F42D4C">
      <w:pPr>
        <w:pStyle w:val="NormalWeb"/>
        <w:spacing w:before="0" w:beforeAutospacing="0" w:after="0" w:afterAutospacing="0"/>
        <w:contextualSpacing/>
        <w:jc w:val="both"/>
        <w:rPr>
          <w:rFonts w:ascii="Century Gothic" w:hAnsi="Century Gothic" w:cs="Century Gothic"/>
          <w:sz w:val="20"/>
          <w:szCs w:val="20"/>
        </w:rPr>
      </w:pPr>
    </w:p>
    <w:p w:rsidR="000766CF" w:rsidRDefault="00991783" w:rsidP="00F42D4C">
      <w:pPr>
        <w:pStyle w:val="NormalWeb"/>
        <w:spacing w:before="0" w:beforeAutospacing="0" w:after="0" w:afterAutospacing="0"/>
        <w:contextualSpacing/>
        <w:jc w:val="both"/>
        <w:rPr>
          <w:rFonts w:ascii="Century Gothic" w:hAnsi="Century Gothic" w:cs="Century Gothic"/>
          <w:sz w:val="20"/>
          <w:szCs w:val="20"/>
        </w:rPr>
      </w:pPr>
      <w:r w:rsidRPr="00991783">
        <w:rPr>
          <w:rFonts w:ascii="Century Gothic" w:hAnsi="Century Gothic" w:cs="Century Gothic"/>
          <w:sz w:val="20"/>
          <w:szCs w:val="20"/>
        </w:rPr>
        <w:t xml:space="preserve">As the </w:t>
      </w:r>
      <w:r w:rsidR="008505BE">
        <w:rPr>
          <w:rFonts w:ascii="Century Gothic" w:hAnsi="Century Gothic" w:cs="Century Gothic"/>
          <w:sz w:val="20"/>
          <w:szCs w:val="20"/>
        </w:rPr>
        <w:t>Existing Security Holder Exemption</w:t>
      </w:r>
      <w:r w:rsidRPr="00991783">
        <w:rPr>
          <w:rFonts w:ascii="Century Gothic" w:hAnsi="Century Gothic" w:cs="Century Gothic"/>
          <w:sz w:val="20"/>
          <w:szCs w:val="20"/>
        </w:rPr>
        <w:t xml:space="preserve"> contains certain restrictions and is only available in certain jurisdictions in Canada, </w:t>
      </w:r>
      <w:r>
        <w:rPr>
          <w:rFonts w:ascii="Century Gothic" w:hAnsi="Century Gothic" w:cs="Century Gothic"/>
          <w:sz w:val="20"/>
          <w:szCs w:val="20"/>
        </w:rPr>
        <w:t>others</w:t>
      </w:r>
      <w:r w:rsidRPr="00991783">
        <w:rPr>
          <w:rFonts w:ascii="Century Gothic" w:hAnsi="Century Gothic" w:cs="Century Gothic"/>
          <w:sz w:val="20"/>
          <w:szCs w:val="20"/>
        </w:rPr>
        <w:t xml:space="preserve"> that do not qualify under the </w:t>
      </w:r>
      <w:r w:rsidR="008505BE">
        <w:rPr>
          <w:rFonts w:ascii="Century Gothic" w:hAnsi="Century Gothic" w:cs="Century Gothic"/>
          <w:sz w:val="20"/>
          <w:szCs w:val="20"/>
        </w:rPr>
        <w:t>Existing Security Holder Exemption</w:t>
      </w:r>
      <w:r w:rsidRPr="00991783">
        <w:rPr>
          <w:rFonts w:ascii="Century Gothic" w:hAnsi="Century Gothic" w:cs="Century Gothic"/>
          <w:sz w:val="20"/>
          <w:szCs w:val="20"/>
        </w:rPr>
        <w:t xml:space="preserve"> may qual</w:t>
      </w:r>
      <w:r w:rsidR="008505BE">
        <w:rPr>
          <w:rFonts w:ascii="Century Gothic" w:hAnsi="Century Gothic" w:cs="Century Gothic"/>
          <w:sz w:val="20"/>
          <w:szCs w:val="20"/>
        </w:rPr>
        <w:t>ify to participate under other prospectus exemptions</w:t>
      </w:r>
      <w:r w:rsidRPr="00991783">
        <w:rPr>
          <w:rFonts w:ascii="Century Gothic" w:hAnsi="Century Gothic" w:cs="Century Gothic"/>
          <w:sz w:val="20"/>
          <w:szCs w:val="20"/>
        </w:rPr>
        <w:t>.</w:t>
      </w:r>
    </w:p>
    <w:p w:rsidR="00991783" w:rsidRDefault="00991783" w:rsidP="00F42D4C">
      <w:pPr>
        <w:pStyle w:val="NormalWeb"/>
        <w:spacing w:before="0" w:beforeAutospacing="0" w:after="0" w:afterAutospacing="0"/>
        <w:contextualSpacing/>
        <w:jc w:val="both"/>
        <w:rPr>
          <w:rFonts w:ascii="Century Gothic" w:hAnsi="Century Gothic" w:cs="Century Gothic"/>
          <w:sz w:val="20"/>
          <w:szCs w:val="20"/>
        </w:rPr>
      </w:pPr>
    </w:p>
    <w:p w:rsidR="00991783" w:rsidRPr="00991783" w:rsidRDefault="00991783" w:rsidP="00F42D4C">
      <w:pPr>
        <w:pStyle w:val="NormalWeb"/>
        <w:spacing w:before="0" w:beforeAutospacing="0" w:after="0" w:afterAutospacing="0"/>
        <w:contextualSpacing/>
        <w:jc w:val="both"/>
        <w:rPr>
          <w:rFonts w:ascii="Century Gothic" w:hAnsi="Century Gothic" w:cs="Century Gothic"/>
          <w:sz w:val="20"/>
          <w:szCs w:val="20"/>
          <w:u w:val="single"/>
        </w:rPr>
      </w:pPr>
      <w:r w:rsidRPr="00991783">
        <w:rPr>
          <w:rFonts w:ascii="Century Gothic" w:hAnsi="Century Gothic" w:cs="Century Gothic"/>
          <w:sz w:val="20"/>
          <w:szCs w:val="20"/>
          <w:u w:val="single"/>
        </w:rPr>
        <w:t>Terms and Restrictions Relating to the Existing Security Holder Exemption</w:t>
      </w:r>
    </w:p>
    <w:p w:rsidR="00283C5E" w:rsidRDefault="00283C5E" w:rsidP="00E95CE4">
      <w:pPr>
        <w:pStyle w:val="NormalWeb"/>
        <w:spacing w:before="0" w:beforeAutospacing="0" w:after="0" w:afterAutospacing="0"/>
        <w:contextualSpacing/>
        <w:jc w:val="both"/>
        <w:rPr>
          <w:rFonts w:ascii="Century Gothic" w:hAnsi="Century Gothic"/>
          <w:sz w:val="20"/>
          <w:szCs w:val="20"/>
        </w:rPr>
      </w:pPr>
    </w:p>
    <w:p w:rsidR="00991783" w:rsidRDefault="00991783" w:rsidP="00E95CE4">
      <w:pPr>
        <w:pStyle w:val="NormalWeb"/>
        <w:spacing w:before="0" w:beforeAutospacing="0" w:after="0" w:afterAutospacing="0"/>
        <w:contextualSpacing/>
        <w:jc w:val="both"/>
        <w:rPr>
          <w:rFonts w:ascii="Century Gothic" w:hAnsi="Century Gothic"/>
          <w:sz w:val="20"/>
          <w:szCs w:val="20"/>
        </w:rPr>
      </w:pPr>
      <w:r w:rsidRPr="00991783">
        <w:rPr>
          <w:rFonts w:ascii="Century Gothic" w:hAnsi="Century Gothic"/>
          <w:sz w:val="20"/>
          <w:szCs w:val="20"/>
        </w:rPr>
        <w:t xml:space="preserve">The criteria of the </w:t>
      </w:r>
      <w:r w:rsidR="008505BE">
        <w:rPr>
          <w:rFonts w:ascii="Century Gothic" w:hAnsi="Century Gothic"/>
          <w:sz w:val="20"/>
          <w:szCs w:val="20"/>
        </w:rPr>
        <w:t>Existing Security Holder Exemption</w:t>
      </w:r>
      <w:r w:rsidRPr="00991783">
        <w:rPr>
          <w:rFonts w:ascii="Century Gothic" w:hAnsi="Century Gothic"/>
          <w:sz w:val="20"/>
          <w:szCs w:val="20"/>
        </w:rPr>
        <w:t xml:space="preserve"> are set out in various regulatory instruments of the participating jurisdictions in Canada. To comply with the criteria of the Existing </w:t>
      </w:r>
      <w:r>
        <w:rPr>
          <w:rFonts w:ascii="Century Gothic" w:hAnsi="Century Gothic"/>
          <w:sz w:val="20"/>
          <w:szCs w:val="20"/>
        </w:rPr>
        <w:t>Security Holder</w:t>
      </w:r>
      <w:r w:rsidRPr="00991783">
        <w:rPr>
          <w:rFonts w:ascii="Century Gothic" w:hAnsi="Century Gothic"/>
          <w:sz w:val="20"/>
          <w:szCs w:val="20"/>
        </w:rPr>
        <w:t xml:space="preserve"> Exemption, the offering to </w:t>
      </w:r>
      <w:r w:rsidR="0086472D">
        <w:rPr>
          <w:rFonts w:ascii="Century Gothic" w:hAnsi="Century Gothic"/>
          <w:sz w:val="20"/>
          <w:szCs w:val="20"/>
        </w:rPr>
        <w:t>Existing Security Holders</w:t>
      </w:r>
      <w:r w:rsidRPr="00991783">
        <w:rPr>
          <w:rFonts w:ascii="Century Gothic" w:hAnsi="Century Gothic"/>
          <w:sz w:val="20"/>
          <w:szCs w:val="20"/>
        </w:rPr>
        <w:t xml:space="preserve"> shall be subject to, among other criteria, the following:</w:t>
      </w:r>
    </w:p>
    <w:p w:rsidR="00991783" w:rsidRDefault="00991783" w:rsidP="00E95CE4">
      <w:pPr>
        <w:pStyle w:val="NormalWeb"/>
        <w:spacing w:before="0" w:beforeAutospacing="0" w:after="0" w:afterAutospacing="0"/>
        <w:contextualSpacing/>
        <w:jc w:val="both"/>
        <w:rPr>
          <w:rFonts w:ascii="Century Gothic" w:hAnsi="Century Gothic"/>
          <w:sz w:val="20"/>
          <w:szCs w:val="20"/>
        </w:rPr>
      </w:pPr>
    </w:p>
    <w:p w:rsidR="00DB4700" w:rsidRDefault="009805BC" w:rsidP="00DB4700">
      <w:pPr>
        <w:pStyle w:val="NormalWeb"/>
        <w:numPr>
          <w:ilvl w:val="0"/>
          <w:numId w:val="1"/>
        </w:numPr>
        <w:contextualSpacing/>
        <w:jc w:val="both"/>
        <w:rPr>
          <w:rFonts w:ascii="Century Gothic" w:hAnsi="Century Gothic"/>
          <w:sz w:val="20"/>
          <w:szCs w:val="20"/>
        </w:rPr>
      </w:pPr>
      <w:r>
        <w:rPr>
          <w:rFonts w:ascii="Century Gothic" w:hAnsi="Century Gothic"/>
          <w:sz w:val="20"/>
          <w:szCs w:val="20"/>
        </w:rPr>
        <w:t>April</w:t>
      </w:r>
      <w:r w:rsidR="00C36479">
        <w:rPr>
          <w:rFonts w:ascii="Century Gothic" w:hAnsi="Century Gothic"/>
          <w:sz w:val="20"/>
          <w:szCs w:val="20"/>
        </w:rPr>
        <w:t xml:space="preserve"> 1</w:t>
      </w:r>
      <w:r w:rsidR="005D798D">
        <w:rPr>
          <w:rFonts w:ascii="Century Gothic" w:hAnsi="Century Gothic"/>
          <w:sz w:val="20"/>
          <w:szCs w:val="20"/>
        </w:rPr>
        <w:t>0</w:t>
      </w:r>
      <w:r w:rsidR="00262F43">
        <w:rPr>
          <w:rFonts w:ascii="Century Gothic" w:hAnsi="Century Gothic"/>
          <w:sz w:val="20"/>
          <w:szCs w:val="20"/>
        </w:rPr>
        <w:t xml:space="preserve">, </w:t>
      </w:r>
      <w:r w:rsidR="00991783" w:rsidRPr="00191ABB">
        <w:rPr>
          <w:rFonts w:ascii="Century Gothic" w:hAnsi="Century Gothic"/>
          <w:sz w:val="20"/>
          <w:szCs w:val="20"/>
        </w:rPr>
        <w:t>201</w:t>
      </w:r>
      <w:r>
        <w:rPr>
          <w:rFonts w:ascii="Century Gothic" w:hAnsi="Century Gothic"/>
          <w:sz w:val="20"/>
          <w:szCs w:val="20"/>
        </w:rPr>
        <w:t>7</w:t>
      </w:r>
      <w:r w:rsidR="00991783" w:rsidRPr="00191ABB">
        <w:rPr>
          <w:rFonts w:ascii="Century Gothic" w:hAnsi="Century Gothic"/>
          <w:sz w:val="20"/>
          <w:szCs w:val="20"/>
        </w:rPr>
        <w:t xml:space="preserve"> </w:t>
      </w:r>
      <w:r w:rsidR="00991783" w:rsidRPr="00991783">
        <w:rPr>
          <w:rFonts w:ascii="Century Gothic" w:hAnsi="Century Gothic"/>
          <w:sz w:val="20"/>
          <w:szCs w:val="20"/>
        </w:rPr>
        <w:t>has been set as the record date (the "</w:t>
      </w:r>
      <w:r w:rsidR="00991783" w:rsidRPr="00254D98">
        <w:rPr>
          <w:rFonts w:ascii="Century Gothic" w:hAnsi="Century Gothic"/>
          <w:b/>
          <w:sz w:val="20"/>
          <w:szCs w:val="20"/>
        </w:rPr>
        <w:t>Record Date</w:t>
      </w:r>
      <w:r w:rsidR="00991783" w:rsidRPr="00991783">
        <w:rPr>
          <w:rFonts w:ascii="Century Gothic" w:hAnsi="Century Gothic"/>
          <w:sz w:val="20"/>
          <w:szCs w:val="20"/>
        </w:rPr>
        <w:t xml:space="preserve">") for the purpose of determining existing </w:t>
      </w:r>
      <w:r w:rsidR="00991783">
        <w:rPr>
          <w:rFonts w:ascii="Century Gothic" w:hAnsi="Century Gothic"/>
          <w:sz w:val="20"/>
          <w:szCs w:val="20"/>
        </w:rPr>
        <w:t>security holders</w:t>
      </w:r>
      <w:r w:rsidR="00991783" w:rsidRPr="00991783">
        <w:rPr>
          <w:rFonts w:ascii="Century Gothic" w:hAnsi="Century Gothic"/>
          <w:sz w:val="20"/>
          <w:szCs w:val="20"/>
        </w:rPr>
        <w:t xml:space="preserve"> entitled to purchase </w:t>
      </w:r>
      <w:r w:rsidR="00991783">
        <w:rPr>
          <w:rFonts w:ascii="Century Gothic" w:hAnsi="Century Gothic"/>
          <w:sz w:val="20"/>
          <w:szCs w:val="20"/>
        </w:rPr>
        <w:t>Units</w:t>
      </w:r>
      <w:r w:rsidR="00991783" w:rsidRPr="00991783">
        <w:rPr>
          <w:rFonts w:ascii="Century Gothic" w:hAnsi="Century Gothic"/>
          <w:sz w:val="20"/>
          <w:szCs w:val="20"/>
        </w:rPr>
        <w:t xml:space="preserve"> pursuant to the Existing Shareholder Exemption.</w:t>
      </w:r>
    </w:p>
    <w:p w:rsidR="00DB4700" w:rsidRDefault="00DB4700" w:rsidP="00DB4700">
      <w:pPr>
        <w:pStyle w:val="NormalWeb"/>
        <w:ind w:left="360"/>
        <w:contextualSpacing/>
        <w:jc w:val="both"/>
        <w:rPr>
          <w:rFonts w:ascii="Century Gothic" w:hAnsi="Century Gothic"/>
          <w:sz w:val="20"/>
          <w:szCs w:val="20"/>
        </w:rPr>
      </w:pPr>
    </w:p>
    <w:p w:rsidR="00DB4700" w:rsidRDefault="00DB4700" w:rsidP="00DB4700">
      <w:pPr>
        <w:pStyle w:val="NormalWeb"/>
        <w:numPr>
          <w:ilvl w:val="0"/>
          <w:numId w:val="1"/>
        </w:numPr>
        <w:contextualSpacing/>
        <w:jc w:val="both"/>
        <w:rPr>
          <w:rFonts w:ascii="Century Gothic" w:hAnsi="Century Gothic"/>
          <w:sz w:val="20"/>
          <w:szCs w:val="20"/>
        </w:rPr>
      </w:pPr>
      <w:r w:rsidRPr="00DB4700">
        <w:rPr>
          <w:rFonts w:ascii="Century Gothic" w:hAnsi="Century Gothic"/>
          <w:sz w:val="20"/>
          <w:szCs w:val="20"/>
        </w:rPr>
        <w:lastRenderedPageBreak/>
        <w:t xml:space="preserve">To participate, a qualified shareholder must deliver (a) an executed subscription agreement in the required form, which will include requirements of the Existing </w:t>
      </w:r>
      <w:r>
        <w:rPr>
          <w:rFonts w:ascii="Century Gothic" w:hAnsi="Century Gothic"/>
          <w:sz w:val="20"/>
          <w:szCs w:val="20"/>
        </w:rPr>
        <w:t>Security Holder</w:t>
      </w:r>
      <w:r w:rsidRPr="00DB4700">
        <w:rPr>
          <w:rFonts w:ascii="Century Gothic" w:hAnsi="Century Gothic"/>
          <w:sz w:val="20"/>
          <w:szCs w:val="20"/>
        </w:rPr>
        <w:t xml:space="preserve"> Exemption (e.g., that the subscriber was as of the Record Date and continues to be as of the date of closing, a shareholder of </w:t>
      </w:r>
      <w:r>
        <w:rPr>
          <w:rFonts w:ascii="Century Gothic" w:hAnsi="Century Gothic"/>
          <w:sz w:val="20"/>
          <w:szCs w:val="20"/>
        </w:rPr>
        <w:t>the Company</w:t>
      </w:r>
      <w:r w:rsidRPr="00DB4700">
        <w:rPr>
          <w:rFonts w:ascii="Century Gothic" w:hAnsi="Century Gothic"/>
          <w:sz w:val="20"/>
          <w:szCs w:val="20"/>
        </w:rPr>
        <w:t>) and (b) pay the subscription am</w:t>
      </w:r>
      <w:r>
        <w:rPr>
          <w:rFonts w:ascii="Century Gothic" w:hAnsi="Century Gothic"/>
          <w:sz w:val="20"/>
          <w:szCs w:val="20"/>
        </w:rPr>
        <w:t>ount no later than</w:t>
      </w:r>
      <w:r w:rsidR="003F6766">
        <w:rPr>
          <w:rFonts w:ascii="Century Gothic" w:hAnsi="Century Gothic"/>
          <w:sz w:val="20"/>
          <w:szCs w:val="20"/>
        </w:rPr>
        <w:t xml:space="preserve"> </w:t>
      </w:r>
      <w:r w:rsidR="005D798D">
        <w:rPr>
          <w:rFonts w:ascii="Century Gothic" w:hAnsi="Century Gothic"/>
          <w:sz w:val="20"/>
          <w:szCs w:val="20"/>
        </w:rPr>
        <w:t>June</w:t>
      </w:r>
      <w:r w:rsidR="003F6766">
        <w:rPr>
          <w:rFonts w:ascii="Century Gothic" w:hAnsi="Century Gothic"/>
          <w:sz w:val="20"/>
          <w:szCs w:val="20"/>
        </w:rPr>
        <w:t xml:space="preserve"> </w:t>
      </w:r>
      <w:r w:rsidR="005D798D">
        <w:rPr>
          <w:rFonts w:ascii="Century Gothic" w:hAnsi="Century Gothic"/>
          <w:sz w:val="20"/>
          <w:szCs w:val="20"/>
        </w:rPr>
        <w:t>2</w:t>
      </w:r>
      <w:r w:rsidRPr="00DB4700">
        <w:rPr>
          <w:rStyle w:val="Fillin"/>
          <w:b w:val="0"/>
          <w:color w:val="auto"/>
        </w:rPr>
        <w:t>, 201</w:t>
      </w:r>
      <w:r w:rsidR="00FC6879">
        <w:rPr>
          <w:rStyle w:val="Fillin"/>
          <w:b w:val="0"/>
          <w:color w:val="auto"/>
        </w:rPr>
        <w:t>7</w:t>
      </w:r>
      <w:r w:rsidRPr="00DB4700">
        <w:rPr>
          <w:rFonts w:ascii="Century Gothic" w:hAnsi="Century Gothic"/>
          <w:sz w:val="20"/>
          <w:szCs w:val="20"/>
        </w:rPr>
        <w:t>. Contact information to obtain the subscription form is set out below.</w:t>
      </w:r>
    </w:p>
    <w:p w:rsidR="00DB4700" w:rsidRDefault="00DB4700" w:rsidP="00DB4700">
      <w:pPr>
        <w:pStyle w:val="NormalWeb"/>
        <w:contextualSpacing/>
        <w:jc w:val="both"/>
        <w:rPr>
          <w:rFonts w:ascii="Century Gothic" w:hAnsi="Century Gothic"/>
          <w:sz w:val="20"/>
          <w:szCs w:val="20"/>
        </w:rPr>
      </w:pPr>
    </w:p>
    <w:p w:rsidR="00DB4700" w:rsidRDefault="00DB4700" w:rsidP="00DB4700">
      <w:pPr>
        <w:pStyle w:val="NormalWeb"/>
        <w:numPr>
          <w:ilvl w:val="0"/>
          <w:numId w:val="1"/>
        </w:numPr>
        <w:contextualSpacing/>
        <w:jc w:val="both"/>
        <w:rPr>
          <w:rFonts w:ascii="Century Gothic" w:hAnsi="Century Gothic"/>
          <w:sz w:val="20"/>
          <w:szCs w:val="20"/>
        </w:rPr>
      </w:pPr>
      <w:r w:rsidRPr="00DB4700">
        <w:rPr>
          <w:rFonts w:ascii="Century Gothic" w:hAnsi="Century Gothic"/>
          <w:sz w:val="20"/>
          <w:szCs w:val="20"/>
        </w:rPr>
        <w:t xml:space="preserve">The aggregate acquisition cost to a subscriber under the Existing </w:t>
      </w:r>
      <w:r>
        <w:rPr>
          <w:rFonts w:ascii="Century Gothic" w:hAnsi="Century Gothic"/>
          <w:sz w:val="20"/>
          <w:szCs w:val="20"/>
        </w:rPr>
        <w:t>Security Holder</w:t>
      </w:r>
      <w:r w:rsidRPr="00DB4700">
        <w:rPr>
          <w:rFonts w:ascii="Century Gothic" w:hAnsi="Century Gothic"/>
          <w:sz w:val="20"/>
          <w:szCs w:val="20"/>
        </w:rPr>
        <w:t xml:space="preserve"> Exemption cannot exceed $15,000 </w:t>
      </w:r>
      <w:r w:rsidR="008F34D4">
        <w:rPr>
          <w:rFonts w:ascii="Century Gothic" w:hAnsi="Century Gothic"/>
          <w:sz w:val="20"/>
          <w:szCs w:val="20"/>
        </w:rPr>
        <w:t xml:space="preserve">per twelve month period </w:t>
      </w:r>
      <w:r w:rsidRPr="00DB4700">
        <w:rPr>
          <w:rFonts w:ascii="Century Gothic" w:hAnsi="Century Gothic"/>
          <w:sz w:val="20"/>
          <w:szCs w:val="20"/>
        </w:rPr>
        <w:t>unless that subscriber has obtained advice from a registered investment dealer regarding the suitability of the investment.</w:t>
      </w:r>
    </w:p>
    <w:p w:rsidR="00DB4700" w:rsidRDefault="00DB4700" w:rsidP="00DB4700">
      <w:pPr>
        <w:pStyle w:val="NormalWeb"/>
        <w:ind w:left="360"/>
        <w:contextualSpacing/>
        <w:jc w:val="both"/>
        <w:rPr>
          <w:rFonts w:ascii="Century Gothic" w:hAnsi="Century Gothic"/>
          <w:sz w:val="20"/>
          <w:szCs w:val="20"/>
        </w:rPr>
      </w:pPr>
    </w:p>
    <w:p w:rsidR="00C048A4" w:rsidRDefault="00DB4700" w:rsidP="00DB4700">
      <w:pPr>
        <w:pStyle w:val="NormalWeb"/>
        <w:numPr>
          <w:ilvl w:val="0"/>
          <w:numId w:val="1"/>
        </w:numPr>
        <w:contextualSpacing/>
        <w:jc w:val="both"/>
        <w:rPr>
          <w:rFonts w:ascii="Century Gothic" w:hAnsi="Century Gothic"/>
          <w:sz w:val="20"/>
          <w:szCs w:val="20"/>
        </w:rPr>
      </w:pPr>
      <w:r>
        <w:rPr>
          <w:rFonts w:ascii="Century Gothic" w:hAnsi="Century Gothic"/>
          <w:sz w:val="20"/>
          <w:szCs w:val="20"/>
        </w:rPr>
        <w:t xml:space="preserve">A maximum of </w:t>
      </w:r>
      <w:r w:rsidR="00C36479">
        <w:rPr>
          <w:rFonts w:ascii="Century Gothic" w:hAnsi="Century Gothic"/>
          <w:sz w:val="20"/>
          <w:szCs w:val="20"/>
        </w:rPr>
        <w:t>2</w:t>
      </w:r>
      <w:r>
        <w:rPr>
          <w:rFonts w:ascii="Century Gothic" w:hAnsi="Century Gothic"/>
          <w:sz w:val="20"/>
          <w:szCs w:val="20"/>
        </w:rPr>
        <w:t>,</w:t>
      </w:r>
      <w:r w:rsidR="00C36479">
        <w:rPr>
          <w:rFonts w:ascii="Century Gothic" w:hAnsi="Century Gothic"/>
          <w:sz w:val="20"/>
          <w:szCs w:val="20"/>
        </w:rPr>
        <w:t>5</w:t>
      </w:r>
      <w:r>
        <w:rPr>
          <w:rFonts w:ascii="Century Gothic" w:hAnsi="Century Gothic"/>
          <w:sz w:val="20"/>
          <w:szCs w:val="20"/>
        </w:rPr>
        <w:t>00,000</w:t>
      </w:r>
      <w:r w:rsidRPr="00DB4700">
        <w:rPr>
          <w:rFonts w:ascii="Century Gothic" w:hAnsi="Century Gothic"/>
          <w:sz w:val="20"/>
          <w:szCs w:val="20"/>
        </w:rPr>
        <w:t xml:space="preserve"> </w:t>
      </w:r>
      <w:r>
        <w:rPr>
          <w:rFonts w:ascii="Century Gothic" w:hAnsi="Century Gothic"/>
          <w:sz w:val="20"/>
          <w:szCs w:val="20"/>
        </w:rPr>
        <w:t>Units</w:t>
      </w:r>
      <w:r w:rsidRPr="00DB4700">
        <w:rPr>
          <w:rFonts w:ascii="Century Gothic" w:hAnsi="Century Gothic"/>
          <w:sz w:val="20"/>
          <w:szCs w:val="20"/>
        </w:rPr>
        <w:t xml:space="preserve"> of the Company will be offered to shareholders as of the Record Date under the Existing </w:t>
      </w:r>
      <w:r>
        <w:rPr>
          <w:rFonts w:ascii="Century Gothic" w:hAnsi="Century Gothic"/>
          <w:sz w:val="20"/>
          <w:szCs w:val="20"/>
        </w:rPr>
        <w:t>Security Holder</w:t>
      </w:r>
      <w:r w:rsidRPr="00DB4700">
        <w:rPr>
          <w:rFonts w:ascii="Century Gothic" w:hAnsi="Century Gothic"/>
          <w:sz w:val="20"/>
          <w:szCs w:val="20"/>
        </w:rPr>
        <w:t xml:space="preserve"> Exemption, </w:t>
      </w:r>
      <w:r>
        <w:rPr>
          <w:rFonts w:ascii="Century Gothic" w:hAnsi="Century Gothic"/>
          <w:sz w:val="20"/>
          <w:szCs w:val="20"/>
        </w:rPr>
        <w:t xml:space="preserve">which, assuming all Warrants underlying the Units are exercised, amounts to </w:t>
      </w:r>
      <w:r w:rsidR="00C36479">
        <w:rPr>
          <w:rFonts w:ascii="Century Gothic" w:hAnsi="Century Gothic"/>
          <w:sz w:val="20"/>
          <w:szCs w:val="20"/>
        </w:rPr>
        <w:t>5</w:t>
      </w:r>
      <w:r>
        <w:rPr>
          <w:rFonts w:ascii="Century Gothic" w:hAnsi="Century Gothic"/>
          <w:sz w:val="20"/>
          <w:szCs w:val="20"/>
        </w:rPr>
        <w:t xml:space="preserve">,000,000 Common Shares, </w:t>
      </w:r>
      <w:r w:rsidRPr="00DB4700">
        <w:rPr>
          <w:rFonts w:ascii="Century Gothic" w:hAnsi="Century Gothic"/>
          <w:sz w:val="20"/>
          <w:szCs w:val="20"/>
        </w:rPr>
        <w:t>being</w:t>
      </w:r>
      <w:r>
        <w:rPr>
          <w:rFonts w:ascii="Century Gothic" w:hAnsi="Century Gothic"/>
          <w:sz w:val="20"/>
          <w:szCs w:val="20"/>
        </w:rPr>
        <w:t xml:space="preserve"> less than</w:t>
      </w:r>
      <w:r w:rsidRPr="00DB4700">
        <w:rPr>
          <w:rFonts w:ascii="Century Gothic" w:hAnsi="Century Gothic"/>
          <w:sz w:val="20"/>
          <w:szCs w:val="20"/>
        </w:rPr>
        <w:t xml:space="preserve"> 100% of the issued and outstanding </w:t>
      </w:r>
      <w:r>
        <w:rPr>
          <w:rFonts w:ascii="Century Gothic" w:hAnsi="Century Gothic"/>
          <w:sz w:val="20"/>
          <w:szCs w:val="20"/>
        </w:rPr>
        <w:t>Common Shares</w:t>
      </w:r>
      <w:r w:rsidRPr="00DB4700">
        <w:rPr>
          <w:rFonts w:ascii="Century Gothic" w:hAnsi="Century Gothic"/>
          <w:sz w:val="20"/>
          <w:szCs w:val="20"/>
        </w:rPr>
        <w:t xml:space="preserve">, the maximum permitted to be issued under the Existing </w:t>
      </w:r>
      <w:r>
        <w:rPr>
          <w:rFonts w:ascii="Century Gothic" w:hAnsi="Century Gothic"/>
          <w:sz w:val="20"/>
          <w:szCs w:val="20"/>
        </w:rPr>
        <w:t>Security Holder</w:t>
      </w:r>
      <w:r w:rsidRPr="00DB4700">
        <w:rPr>
          <w:rFonts w:ascii="Century Gothic" w:hAnsi="Century Gothic"/>
          <w:sz w:val="20"/>
          <w:szCs w:val="20"/>
        </w:rPr>
        <w:t xml:space="preserve"> Exemption.</w:t>
      </w:r>
    </w:p>
    <w:p w:rsidR="00C048A4" w:rsidRDefault="00C048A4" w:rsidP="00C048A4">
      <w:pPr>
        <w:pStyle w:val="NormalWeb"/>
        <w:contextualSpacing/>
        <w:jc w:val="both"/>
        <w:rPr>
          <w:rFonts w:ascii="Century Gothic" w:hAnsi="Century Gothic"/>
          <w:sz w:val="20"/>
          <w:szCs w:val="20"/>
        </w:rPr>
      </w:pPr>
    </w:p>
    <w:p w:rsidR="00191ABB" w:rsidRDefault="00BB6634" w:rsidP="00B903E1">
      <w:pPr>
        <w:pStyle w:val="NormalWeb"/>
        <w:numPr>
          <w:ilvl w:val="0"/>
          <w:numId w:val="1"/>
        </w:numPr>
        <w:contextualSpacing/>
        <w:jc w:val="both"/>
        <w:rPr>
          <w:rFonts w:ascii="Century Gothic" w:hAnsi="Century Gothic"/>
          <w:sz w:val="20"/>
          <w:szCs w:val="20"/>
        </w:rPr>
      </w:pPr>
      <w:r w:rsidRPr="00B903E1">
        <w:rPr>
          <w:rFonts w:ascii="Century Gothic" w:hAnsi="Century Gothic"/>
          <w:sz w:val="20"/>
          <w:szCs w:val="20"/>
        </w:rPr>
        <w:t>Subscriptions will be accepted by the Company on a ‘first come, first s</w:t>
      </w:r>
      <w:r w:rsidR="00B903E1" w:rsidRPr="00B903E1">
        <w:rPr>
          <w:rFonts w:ascii="Century Gothic" w:hAnsi="Century Gothic"/>
          <w:sz w:val="20"/>
          <w:szCs w:val="20"/>
        </w:rPr>
        <w:t>erved’ basis. Therefore, if the Private Placement</w:t>
      </w:r>
      <w:r w:rsidRPr="00B903E1">
        <w:rPr>
          <w:rFonts w:ascii="Century Gothic" w:hAnsi="Century Gothic"/>
          <w:sz w:val="20"/>
          <w:szCs w:val="20"/>
        </w:rPr>
        <w:t xml:space="preserve"> is over-subscribed it is possible that a shareholder’s subscription may not be accepted by the Corporation. Additionally, in the event of an imbalance of large subscriptions compared to smaller subscriptions, management reserves the right in its discretion to reduce large subscriptions in </w:t>
      </w:r>
      <w:proofErr w:type="spellStart"/>
      <w:r w:rsidRPr="00B903E1">
        <w:rPr>
          <w:rFonts w:ascii="Century Gothic" w:hAnsi="Century Gothic"/>
          <w:sz w:val="20"/>
          <w:szCs w:val="20"/>
        </w:rPr>
        <w:t>favour</w:t>
      </w:r>
      <w:proofErr w:type="spellEnd"/>
      <w:r w:rsidRPr="00B903E1">
        <w:rPr>
          <w:rFonts w:ascii="Century Gothic" w:hAnsi="Century Gothic"/>
          <w:sz w:val="20"/>
          <w:szCs w:val="20"/>
        </w:rPr>
        <w:t xml:space="preserve"> of smaller shareholder subscriptions. </w:t>
      </w:r>
    </w:p>
    <w:p w:rsidR="00B903E1" w:rsidRDefault="00B903E1" w:rsidP="00B903E1">
      <w:pPr>
        <w:pStyle w:val="NormalWeb"/>
        <w:contextualSpacing/>
        <w:jc w:val="both"/>
        <w:rPr>
          <w:rFonts w:ascii="Century Gothic" w:hAnsi="Century Gothic"/>
          <w:sz w:val="20"/>
          <w:szCs w:val="20"/>
        </w:rPr>
      </w:pPr>
    </w:p>
    <w:p w:rsidR="00991783" w:rsidRPr="00191ABB" w:rsidRDefault="00DB4700" w:rsidP="00191ABB">
      <w:pPr>
        <w:pStyle w:val="NormalWeb"/>
        <w:numPr>
          <w:ilvl w:val="0"/>
          <w:numId w:val="1"/>
        </w:numPr>
        <w:contextualSpacing/>
        <w:jc w:val="both"/>
        <w:rPr>
          <w:rFonts w:ascii="Century Gothic" w:hAnsi="Century Gothic"/>
          <w:sz w:val="20"/>
          <w:szCs w:val="20"/>
        </w:rPr>
      </w:pPr>
      <w:r w:rsidRPr="00191ABB">
        <w:rPr>
          <w:rFonts w:ascii="Century Gothic" w:hAnsi="Century Gothic"/>
          <w:sz w:val="20"/>
          <w:szCs w:val="20"/>
        </w:rPr>
        <w:t xml:space="preserve">In accordance with the Existing </w:t>
      </w:r>
      <w:r w:rsidR="00191ABB">
        <w:rPr>
          <w:rFonts w:ascii="Century Gothic" w:hAnsi="Century Gothic"/>
          <w:sz w:val="20"/>
          <w:szCs w:val="20"/>
        </w:rPr>
        <w:t>Security Holder</w:t>
      </w:r>
      <w:r w:rsidRPr="00191ABB">
        <w:rPr>
          <w:rFonts w:ascii="Century Gothic" w:hAnsi="Century Gothic"/>
          <w:sz w:val="20"/>
          <w:szCs w:val="20"/>
        </w:rPr>
        <w:t xml:space="preserve"> Exemption, the Company confirms there is no material fact or material change related to the Company that has not been generally </w:t>
      </w:r>
      <w:r w:rsidR="00303986">
        <w:rPr>
          <w:rFonts w:ascii="Century Gothic" w:hAnsi="Century Gothic"/>
          <w:sz w:val="20"/>
          <w:szCs w:val="20"/>
        </w:rPr>
        <w:t>disclosed and that the Company's "core documents" and "documents" as defined under applicable securities laws do not contain a misrepresentation</w:t>
      </w:r>
      <w:r w:rsidRPr="00191ABB">
        <w:rPr>
          <w:rFonts w:ascii="Century Gothic" w:hAnsi="Century Gothic"/>
          <w:sz w:val="20"/>
          <w:szCs w:val="20"/>
        </w:rPr>
        <w:t>.</w:t>
      </w:r>
    </w:p>
    <w:p w:rsidR="00991783" w:rsidRDefault="00991783" w:rsidP="00E95CE4">
      <w:pPr>
        <w:pStyle w:val="NormalWeb"/>
        <w:spacing w:before="0" w:beforeAutospacing="0" w:after="0" w:afterAutospacing="0"/>
        <w:contextualSpacing/>
        <w:jc w:val="both"/>
        <w:rPr>
          <w:rFonts w:ascii="Century Gothic" w:hAnsi="Century Gothic"/>
          <w:sz w:val="20"/>
          <w:szCs w:val="20"/>
        </w:rPr>
      </w:pPr>
    </w:p>
    <w:p w:rsidR="00191ABB" w:rsidRPr="00191ABB" w:rsidRDefault="00191ABB" w:rsidP="00191ABB">
      <w:pPr>
        <w:pStyle w:val="NormalWeb"/>
        <w:contextualSpacing/>
        <w:jc w:val="both"/>
        <w:rPr>
          <w:rFonts w:ascii="Century Gothic" w:hAnsi="Century Gothic"/>
          <w:sz w:val="20"/>
          <w:szCs w:val="20"/>
        </w:rPr>
      </w:pPr>
      <w:r w:rsidRPr="00191ABB">
        <w:rPr>
          <w:rFonts w:ascii="Century Gothic" w:hAnsi="Century Gothic"/>
          <w:sz w:val="20"/>
          <w:szCs w:val="20"/>
        </w:rPr>
        <w:t>Further terms and conditions shall be set out in the form of subscription agreement that will be made available to interested shareholders, who are directed to contact the Company as follows:</w:t>
      </w:r>
    </w:p>
    <w:p w:rsidR="00191ABB" w:rsidRDefault="00191ABB" w:rsidP="00191ABB">
      <w:pPr>
        <w:autoSpaceDE w:val="0"/>
        <w:autoSpaceDN w:val="0"/>
        <w:adjustRightInd w:val="0"/>
        <w:jc w:val="both"/>
        <w:rPr>
          <w:rFonts w:ascii="Century Gothic" w:hAnsi="Century Gothic" w:cs="Arial"/>
          <w:sz w:val="20"/>
          <w:szCs w:val="20"/>
        </w:rPr>
      </w:pPr>
      <w:r w:rsidRPr="001355A9">
        <w:rPr>
          <w:rFonts w:ascii="Century Gothic" w:hAnsi="Century Gothic" w:cs="Arial"/>
          <w:sz w:val="20"/>
          <w:szCs w:val="20"/>
        </w:rPr>
        <w:t xml:space="preserve">James R. Trusler, President and CEO </w:t>
      </w:r>
      <w:r>
        <w:rPr>
          <w:rFonts w:ascii="Century Gothic" w:hAnsi="Century Gothic" w:cs="Arial"/>
          <w:sz w:val="20"/>
          <w:szCs w:val="20"/>
        </w:rPr>
        <w:tab/>
      </w:r>
      <w:r>
        <w:rPr>
          <w:rFonts w:ascii="Century Gothic" w:hAnsi="Century Gothic" w:cs="Arial"/>
          <w:sz w:val="20"/>
          <w:szCs w:val="20"/>
        </w:rPr>
        <w:tab/>
      </w:r>
    </w:p>
    <w:p w:rsidR="00191ABB" w:rsidRPr="001355A9" w:rsidRDefault="00191ABB" w:rsidP="00191ABB">
      <w:pPr>
        <w:autoSpaceDE w:val="0"/>
        <w:autoSpaceDN w:val="0"/>
        <w:adjustRightInd w:val="0"/>
        <w:jc w:val="both"/>
        <w:rPr>
          <w:rFonts w:ascii="Century Gothic" w:hAnsi="Century Gothic" w:cs="Arial"/>
          <w:sz w:val="20"/>
          <w:szCs w:val="20"/>
        </w:rPr>
      </w:pPr>
      <w:r>
        <w:rPr>
          <w:rFonts w:ascii="Century Gothic" w:hAnsi="Century Gothic" w:cs="Arial"/>
          <w:sz w:val="20"/>
          <w:szCs w:val="20"/>
        </w:rPr>
        <w:t>Tel: (416) 565-5616</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rsidR="00191ABB" w:rsidRDefault="00191ABB" w:rsidP="00191ABB">
      <w:pPr>
        <w:autoSpaceDE w:val="0"/>
        <w:autoSpaceDN w:val="0"/>
        <w:adjustRightInd w:val="0"/>
        <w:spacing w:line="220" w:lineRule="exact"/>
        <w:jc w:val="both"/>
        <w:rPr>
          <w:rFonts w:ascii="Century Gothic" w:hAnsi="Century Gothic" w:cs="Arial"/>
          <w:sz w:val="20"/>
          <w:szCs w:val="20"/>
        </w:rPr>
      </w:pPr>
      <w:r w:rsidRPr="001355A9">
        <w:rPr>
          <w:rFonts w:ascii="Century Gothic" w:hAnsi="Century Gothic" w:cs="Arial"/>
          <w:sz w:val="20"/>
          <w:szCs w:val="20"/>
        </w:rPr>
        <w:t>Email: jtrusler@platinex.com</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rsidR="00191ABB" w:rsidRDefault="00191ABB" w:rsidP="00191ABB">
      <w:pPr>
        <w:jc w:val="both"/>
        <w:rPr>
          <w:rFonts w:ascii="Century Gothic" w:hAnsi="Century Gothic"/>
          <w:b/>
          <w:bCs/>
          <w:sz w:val="20"/>
          <w:szCs w:val="20"/>
          <w:lang w:val="en-CA"/>
        </w:rPr>
      </w:pPr>
      <w:r w:rsidRPr="001355A9">
        <w:rPr>
          <w:rFonts w:ascii="Century Gothic" w:hAnsi="Century Gothic" w:cs="Arial"/>
          <w:sz w:val="20"/>
          <w:szCs w:val="20"/>
        </w:rPr>
        <w:t>Web: www.platinex.com</w:t>
      </w:r>
      <w:r w:rsidRPr="000E0B73">
        <w:rPr>
          <w:rFonts w:ascii="Century Gothic" w:hAnsi="Century Gothic"/>
          <w:b/>
          <w:bCs/>
          <w:sz w:val="20"/>
          <w:szCs w:val="20"/>
          <w:lang w:val="en-CA"/>
        </w:rPr>
        <w:t xml:space="preserve"> </w:t>
      </w:r>
    </w:p>
    <w:p w:rsidR="00927667" w:rsidRDefault="00927667" w:rsidP="00191ABB">
      <w:pPr>
        <w:jc w:val="both"/>
        <w:rPr>
          <w:rFonts w:ascii="Century Gothic" w:hAnsi="Century Gothic"/>
          <w:b/>
          <w:bCs/>
          <w:sz w:val="20"/>
          <w:szCs w:val="20"/>
          <w:lang w:val="en-CA"/>
        </w:rPr>
      </w:pPr>
    </w:p>
    <w:p w:rsidR="00927667" w:rsidRDefault="00927667" w:rsidP="00191ABB">
      <w:pPr>
        <w:jc w:val="both"/>
        <w:rPr>
          <w:rFonts w:ascii="Century Gothic" w:hAnsi="Century Gothic"/>
          <w:b/>
          <w:bCs/>
          <w:sz w:val="20"/>
          <w:szCs w:val="20"/>
          <w:lang w:val="en-CA"/>
        </w:rPr>
      </w:pPr>
      <w:r>
        <w:rPr>
          <w:rFonts w:ascii="Century Gothic" w:hAnsi="Century Gothic"/>
          <w:b/>
          <w:bCs/>
          <w:sz w:val="20"/>
          <w:szCs w:val="20"/>
          <w:lang w:val="en-CA"/>
        </w:rPr>
        <w:t>Insider Participation</w:t>
      </w:r>
    </w:p>
    <w:p w:rsidR="00191ABB" w:rsidRPr="00927667" w:rsidRDefault="00927667" w:rsidP="00927667">
      <w:pPr>
        <w:pStyle w:val="NormalWeb"/>
        <w:contextualSpacing/>
        <w:jc w:val="both"/>
        <w:rPr>
          <w:rFonts w:ascii="Century Gothic" w:hAnsi="Century Gothic" w:cs="Century Gothic"/>
          <w:sz w:val="20"/>
          <w:szCs w:val="20"/>
        </w:rPr>
      </w:pPr>
      <w:r w:rsidRPr="00927667">
        <w:rPr>
          <w:rFonts w:ascii="Century Gothic" w:hAnsi="Century Gothic" w:cs="Century Gothic"/>
          <w:sz w:val="20"/>
          <w:szCs w:val="20"/>
        </w:rPr>
        <w:t xml:space="preserve">Insiders of the Company are expected to participate in the </w:t>
      </w:r>
      <w:r>
        <w:rPr>
          <w:rFonts w:ascii="Century Gothic" w:hAnsi="Century Gothic" w:cs="Century Gothic"/>
          <w:sz w:val="20"/>
          <w:szCs w:val="20"/>
        </w:rPr>
        <w:t>Private Placement</w:t>
      </w:r>
      <w:r w:rsidRPr="00927667">
        <w:rPr>
          <w:rFonts w:ascii="Century Gothic" w:hAnsi="Century Gothic" w:cs="Century Gothic"/>
          <w:sz w:val="20"/>
          <w:szCs w:val="20"/>
        </w:rPr>
        <w:t xml:space="preserve"> (the "</w:t>
      </w:r>
      <w:r w:rsidRPr="00927667">
        <w:rPr>
          <w:rFonts w:ascii="Century Gothic" w:hAnsi="Century Gothic" w:cs="Century Gothic"/>
          <w:b/>
          <w:sz w:val="20"/>
          <w:szCs w:val="20"/>
        </w:rPr>
        <w:t>Insider Participation</w:t>
      </w:r>
      <w:r w:rsidRPr="00927667">
        <w:rPr>
          <w:rFonts w:ascii="Century Gothic" w:hAnsi="Century Gothic" w:cs="Century Gothic"/>
          <w:sz w:val="20"/>
          <w:szCs w:val="20"/>
        </w:rPr>
        <w:t>"), which will be considered a related party transaction within the meaning of Multilateral Instrument 61-101 ("</w:t>
      </w:r>
      <w:r w:rsidRPr="00927667">
        <w:rPr>
          <w:rFonts w:ascii="Century Gothic" w:hAnsi="Century Gothic" w:cs="Century Gothic"/>
          <w:b/>
          <w:sz w:val="20"/>
          <w:szCs w:val="20"/>
        </w:rPr>
        <w:t>MI 61-101</w:t>
      </w:r>
      <w:r w:rsidRPr="00927667">
        <w:rPr>
          <w:rFonts w:ascii="Century Gothic" w:hAnsi="Century Gothic" w:cs="Century Gothic"/>
          <w:sz w:val="20"/>
          <w:szCs w:val="20"/>
        </w:rPr>
        <w:t xml:space="preserve">"). </w:t>
      </w:r>
      <w:r>
        <w:rPr>
          <w:rFonts w:ascii="Century Gothic" w:hAnsi="Century Gothic" w:cs="Century Gothic"/>
          <w:sz w:val="20"/>
          <w:szCs w:val="20"/>
        </w:rPr>
        <w:t>The Company</w:t>
      </w:r>
      <w:r w:rsidRPr="00927667">
        <w:rPr>
          <w:rFonts w:ascii="Century Gothic" w:hAnsi="Century Gothic" w:cs="Century Gothic"/>
          <w:sz w:val="20"/>
          <w:szCs w:val="20"/>
        </w:rPr>
        <w:t xml:space="preserve"> intends to rely on the exemptions from the valuation and minority shareholder approval requirements of MI 61-101 contained in Sections 5.5(a) and 5.7(1)(a) of MI 61-101 in respect of any Insider Participation.</w:t>
      </w:r>
    </w:p>
    <w:p w:rsidR="00283C5E" w:rsidRPr="00D530A4" w:rsidRDefault="00283C5E" w:rsidP="00191ABB">
      <w:pPr>
        <w:jc w:val="both"/>
      </w:pPr>
      <w:proofErr w:type="gramStart"/>
      <w:r w:rsidRPr="000E0B73">
        <w:rPr>
          <w:rFonts w:ascii="Century Gothic" w:hAnsi="Century Gothic"/>
          <w:b/>
          <w:bCs/>
          <w:sz w:val="20"/>
          <w:szCs w:val="20"/>
          <w:lang w:val="en-CA"/>
        </w:rPr>
        <w:t>About Platinex Inc.</w:t>
      </w:r>
      <w:proofErr w:type="gramEnd"/>
    </w:p>
    <w:p w:rsidR="005D798D" w:rsidRPr="005D798D" w:rsidRDefault="005D798D" w:rsidP="005D798D">
      <w:pPr>
        <w:jc w:val="both"/>
        <w:rPr>
          <w:rFonts w:ascii="Century Gothic" w:hAnsi="Century Gothic" w:cs="Arial"/>
          <w:sz w:val="20"/>
          <w:szCs w:val="20"/>
        </w:rPr>
      </w:pPr>
      <w:proofErr w:type="spellStart"/>
      <w:r w:rsidRPr="005D798D">
        <w:rPr>
          <w:rFonts w:ascii="Century Gothic" w:hAnsi="Century Gothic" w:cs="Arial"/>
          <w:sz w:val="20"/>
          <w:szCs w:val="20"/>
        </w:rPr>
        <w:t>Platinex’s</w:t>
      </w:r>
      <w:proofErr w:type="spellEnd"/>
      <w:r w:rsidRPr="005D798D">
        <w:rPr>
          <w:rFonts w:ascii="Century Gothic" w:hAnsi="Century Gothic" w:cs="Arial"/>
          <w:sz w:val="20"/>
          <w:szCs w:val="20"/>
        </w:rPr>
        <w:t xml:space="preserve"> goal is to create shareholder value through entrepreneurial endeavors and its existing mineral exploration activities. </w:t>
      </w:r>
      <w:r w:rsidRPr="005D798D">
        <w:rPr>
          <w:rFonts w:ascii="Century Gothic" w:eastAsiaTheme="minorHAnsi" w:hAnsi="Century Gothic" w:cs="Arial"/>
          <w:sz w:val="20"/>
          <w:szCs w:val="20"/>
        </w:rPr>
        <w:t>The mining focus is currently on the Shining Tree gold camp, which has received little modern exploration compared to other gold camps in the Abitibi Greenstone Belt, but its potential is accentuated by several major discoveries along strike in recent years.</w:t>
      </w:r>
      <w:r w:rsidRPr="005D798D">
        <w:rPr>
          <w:rFonts w:ascii="Century Gothic" w:hAnsi="Century Gothic" w:cs="Arial"/>
          <w:sz w:val="20"/>
          <w:szCs w:val="20"/>
        </w:rPr>
        <w:t xml:space="preserve"> Its current entrepreneurial activities include the establishment of a</w:t>
      </w:r>
      <w:r>
        <w:rPr>
          <w:rFonts w:ascii="Century Gothic" w:hAnsi="Century Gothic" w:cs="Arial"/>
          <w:sz w:val="20"/>
          <w:szCs w:val="20"/>
        </w:rPr>
        <w:t>n online</w:t>
      </w:r>
      <w:r w:rsidRPr="005D798D">
        <w:rPr>
          <w:rFonts w:ascii="Century Gothic" w:hAnsi="Century Gothic" w:cs="Arial"/>
          <w:sz w:val="20"/>
          <w:szCs w:val="20"/>
        </w:rPr>
        <w:t xml:space="preserve"> cannabis mall. Shares of Platinex are listed for trading on the Canadian Securities Exchange (“CSE”) under the symbol "PTX".</w:t>
      </w:r>
    </w:p>
    <w:p w:rsidR="005B35F8" w:rsidRDefault="005B35F8" w:rsidP="00283C5E">
      <w:pPr>
        <w:widowControl w:val="0"/>
        <w:jc w:val="both"/>
        <w:rPr>
          <w:sz w:val="20"/>
          <w:szCs w:val="20"/>
        </w:rPr>
      </w:pPr>
    </w:p>
    <w:p w:rsidR="005B35F8" w:rsidRPr="005B35F8" w:rsidRDefault="005B35F8" w:rsidP="005B35F8">
      <w:pPr>
        <w:widowControl w:val="0"/>
        <w:jc w:val="both"/>
        <w:rPr>
          <w:rFonts w:ascii="Century Gothic" w:hAnsi="Century Gothic"/>
          <w:sz w:val="20"/>
          <w:szCs w:val="20"/>
        </w:rPr>
      </w:pPr>
      <w:r w:rsidRPr="005B35F8">
        <w:rPr>
          <w:rFonts w:ascii="Century Gothic" w:hAnsi="Century Gothic"/>
          <w:sz w:val="20"/>
          <w:szCs w:val="20"/>
        </w:rPr>
        <w:t>The information presented in this news release has been reviewed and approved by James R. Trusler,</w:t>
      </w:r>
      <w:r w:rsidR="00BB6634">
        <w:rPr>
          <w:rFonts w:ascii="Century Gothic" w:hAnsi="Century Gothic"/>
          <w:sz w:val="20"/>
          <w:szCs w:val="20"/>
        </w:rPr>
        <w:t xml:space="preserve"> Geological Engineer</w:t>
      </w:r>
      <w:r w:rsidRPr="005B35F8">
        <w:rPr>
          <w:rFonts w:ascii="Century Gothic" w:hAnsi="Century Gothic"/>
          <w:sz w:val="20"/>
          <w:szCs w:val="20"/>
        </w:rPr>
        <w:t xml:space="preserve">, </w:t>
      </w:r>
      <w:r>
        <w:rPr>
          <w:rFonts w:ascii="Century Gothic" w:hAnsi="Century Gothic"/>
          <w:sz w:val="20"/>
          <w:szCs w:val="20"/>
        </w:rPr>
        <w:t>the Chief Executive Officer of</w:t>
      </w:r>
      <w:r w:rsidRPr="005B35F8">
        <w:rPr>
          <w:rFonts w:ascii="Century Gothic" w:hAnsi="Century Gothic"/>
          <w:sz w:val="20"/>
          <w:szCs w:val="20"/>
        </w:rPr>
        <w:t xml:space="preserve"> the Company and the Qualified Person for exploration at the Shining Tree property, as defined by National Instrument 43-101 “Standards of Disclosure </w:t>
      </w:r>
      <w:r>
        <w:rPr>
          <w:rFonts w:ascii="Century Gothic" w:hAnsi="Century Gothic"/>
          <w:sz w:val="20"/>
          <w:szCs w:val="20"/>
        </w:rPr>
        <w:t>for Mineral Projects”</w:t>
      </w:r>
      <w:r w:rsidRPr="005B35F8">
        <w:rPr>
          <w:rFonts w:ascii="Century Gothic" w:hAnsi="Century Gothic"/>
          <w:sz w:val="20"/>
          <w:szCs w:val="20"/>
        </w:rPr>
        <w:t>.</w:t>
      </w:r>
    </w:p>
    <w:p w:rsidR="006B7316" w:rsidRPr="00283C5E" w:rsidRDefault="006B7316" w:rsidP="006B7316">
      <w:pPr>
        <w:jc w:val="both"/>
        <w:rPr>
          <w:sz w:val="22"/>
          <w:szCs w:val="22"/>
          <w:lang w:val="en-CA"/>
        </w:rPr>
      </w:pPr>
    </w:p>
    <w:p w:rsidR="00A571BC" w:rsidRPr="00C10C9A" w:rsidRDefault="00A571BC" w:rsidP="00A571BC">
      <w:pPr>
        <w:autoSpaceDE w:val="0"/>
        <w:autoSpaceDN w:val="0"/>
        <w:adjustRightInd w:val="0"/>
        <w:spacing w:line="220" w:lineRule="exact"/>
        <w:jc w:val="both"/>
        <w:rPr>
          <w:rFonts w:ascii="Century Gothic" w:hAnsi="Century Gothic"/>
          <w:sz w:val="20"/>
          <w:szCs w:val="20"/>
        </w:rPr>
      </w:pPr>
      <w:r w:rsidRPr="00C10C9A">
        <w:rPr>
          <w:rFonts w:ascii="Century Gothic" w:hAnsi="Century Gothic"/>
          <w:sz w:val="20"/>
          <w:szCs w:val="20"/>
        </w:rPr>
        <w:t xml:space="preserve">For further information please </w:t>
      </w:r>
      <w:r w:rsidR="000E0B73">
        <w:rPr>
          <w:rFonts w:ascii="Century Gothic" w:hAnsi="Century Gothic"/>
          <w:sz w:val="20"/>
          <w:szCs w:val="20"/>
        </w:rPr>
        <w:t xml:space="preserve">visit the company website or </w:t>
      </w:r>
      <w:r w:rsidRPr="00C10C9A">
        <w:rPr>
          <w:rFonts w:ascii="Century Gothic" w:hAnsi="Century Gothic"/>
          <w:sz w:val="20"/>
          <w:szCs w:val="20"/>
        </w:rPr>
        <w:t>contact:</w:t>
      </w:r>
    </w:p>
    <w:p w:rsidR="00A571BC" w:rsidRPr="000C26EA" w:rsidRDefault="00A571BC" w:rsidP="00A571BC">
      <w:pPr>
        <w:autoSpaceDE w:val="0"/>
        <w:autoSpaceDN w:val="0"/>
        <w:adjustRightInd w:val="0"/>
        <w:spacing w:line="220" w:lineRule="exact"/>
        <w:jc w:val="both"/>
        <w:rPr>
          <w:rFonts w:ascii="Century Gothic" w:hAnsi="Century Gothic"/>
          <w:b/>
          <w:bCs/>
          <w:sz w:val="16"/>
          <w:szCs w:val="16"/>
        </w:rPr>
      </w:pPr>
    </w:p>
    <w:p w:rsidR="00A571BC" w:rsidRDefault="00A571BC" w:rsidP="00A571BC">
      <w:pPr>
        <w:autoSpaceDE w:val="0"/>
        <w:autoSpaceDN w:val="0"/>
        <w:adjustRightInd w:val="0"/>
        <w:jc w:val="both"/>
        <w:rPr>
          <w:rFonts w:ascii="Century Gothic" w:hAnsi="Century Gothic" w:cs="Arial"/>
          <w:b/>
          <w:bCs/>
          <w:color w:val="000000"/>
          <w:sz w:val="20"/>
          <w:szCs w:val="20"/>
        </w:rPr>
      </w:pPr>
      <w:r w:rsidRPr="001355A9">
        <w:rPr>
          <w:rFonts w:ascii="Century Gothic" w:hAnsi="Century Gothic" w:cs="Arial"/>
          <w:b/>
          <w:bCs/>
          <w:sz w:val="20"/>
          <w:szCs w:val="20"/>
        </w:rPr>
        <w:t xml:space="preserve">Platinex Inc. </w:t>
      </w:r>
      <w:r w:rsidRPr="001355A9">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p>
    <w:p w:rsidR="00E95CE4" w:rsidRDefault="00A571BC" w:rsidP="00760FED">
      <w:pPr>
        <w:autoSpaceDE w:val="0"/>
        <w:autoSpaceDN w:val="0"/>
        <w:adjustRightInd w:val="0"/>
        <w:jc w:val="both"/>
        <w:rPr>
          <w:rFonts w:ascii="Century Gothic" w:hAnsi="Century Gothic" w:cs="Arial"/>
          <w:sz w:val="20"/>
          <w:szCs w:val="20"/>
        </w:rPr>
      </w:pPr>
      <w:r w:rsidRPr="001355A9">
        <w:rPr>
          <w:rFonts w:ascii="Century Gothic" w:hAnsi="Century Gothic" w:cs="Arial"/>
          <w:sz w:val="20"/>
          <w:szCs w:val="20"/>
        </w:rPr>
        <w:t xml:space="preserve">James R. Trusler, President and CEO </w:t>
      </w:r>
      <w:r>
        <w:rPr>
          <w:rFonts w:ascii="Century Gothic" w:hAnsi="Century Gothic" w:cs="Arial"/>
          <w:sz w:val="20"/>
          <w:szCs w:val="20"/>
        </w:rPr>
        <w:tab/>
      </w:r>
      <w:r>
        <w:rPr>
          <w:rFonts w:ascii="Century Gothic" w:hAnsi="Century Gothic" w:cs="Arial"/>
          <w:sz w:val="20"/>
          <w:szCs w:val="20"/>
        </w:rPr>
        <w:tab/>
      </w:r>
    </w:p>
    <w:p w:rsidR="00A571BC" w:rsidRPr="001355A9" w:rsidRDefault="004B3F3A" w:rsidP="00760FED">
      <w:pPr>
        <w:autoSpaceDE w:val="0"/>
        <w:autoSpaceDN w:val="0"/>
        <w:adjustRightInd w:val="0"/>
        <w:jc w:val="both"/>
        <w:rPr>
          <w:rFonts w:ascii="Century Gothic" w:hAnsi="Century Gothic" w:cs="Arial"/>
          <w:sz w:val="20"/>
          <w:szCs w:val="20"/>
        </w:rPr>
      </w:pPr>
      <w:r>
        <w:rPr>
          <w:rFonts w:ascii="Century Gothic" w:hAnsi="Century Gothic" w:cs="Arial"/>
          <w:sz w:val="20"/>
          <w:szCs w:val="20"/>
        </w:rPr>
        <w:t>Tel: (</w:t>
      </w:r>
      <w:r w:rsidR="00FE0247">
        <w:rPr>
          <w:rFonts w:ascii="Century Gothic" w:hAnsi="Century Gothic" w:cs="Arial"/>
          <w:sz w:val="20"/>
          <w:szCs w:val="20"/>
        </w:rPr>
        <w:t>416</w:t>
      </w:r>
      <w:r>
        <w:rPr>
          <w:rFonts w:ascii="Century Gothic" w:hAnsi="Century Gothic" w:cs="Arial"/>
          <w:sz w:val="20"/>
          <w:szCs w:val="20"/>
        </w:rPr>
        <w:t xml:space="preserve">) </w:t>
      </w:r>
      <w:r w:rsidR="00FE0247">
        <w:rPr>
          <w:rFonts w:ascii="Century Gothic" w:hAnsi="Century Gothic" w:cs="Arial"/>
          <w:sz w:val="20"/>
          <w:szCs w:val="20"/>
        </w:rPr>
        <w:t>565</w:t>
      </w:r>
      <w:r>
        <w:rPr>
          <w:rFonts w:ascii="Century Gothic" w:hAnsi="Century Gothic" w:cs="Arial"/>
          <w:sz w:val="20"/>
          <w:szCs w:val="20"/>
        </w:rPr>
        <w:t>-</w:t>
      </w:r>
      <w:r w:rsidR="00FE0247">
        <w:rPr>
          <w:rFonts w:ascii="Century Gothic" w:hAnsi="Century Gothic" w:cs="Arial"/>
          <w:sz w:val="20"/>
          <w:szCs w:val="20"/>
        </w:rPr>
        <w:t>5616</w:t>
      </w:r>
      <w:r w:rsidR="00A571BC">
        <w:rPr>
          <w:rFonts w:ascii="Century Gothic" w:hAnsi="Century Gothic" w:cs="Arial"/>
          <w:sz w:val="20"/>
          <w:szCs w:val="20"/>
        </w:rPr>
        <w:tab/>
      </w:r>
      <w:r w:rsidR="00A571BC">
        <w:rPr>
          <w:rFonts w:ascii="Century Gothic" w:hAnsi="Century Gothic" w:cs="Arial"/>
          <w:sz w:val="20"/>
          <w:szCs w:val="20"/>
        </w:rPr>
        <w:tab/>
      </w:r>
      <w:r w:rsidR="00A571BC">
        <w:rPr>
          <w:rFonts w:ascii="Century Gothic" w:hAnsi="Century Gothic" w:cs="Arial"/>
          <w:sz w:val="20"/>
          <w:szCs w:val="20"/>
        </w:rPr>
        <w:tab/>
      </w:r>
      <w:r w:rsidR="00A571BC">
        <w:rPr>
          <w:rFonts w:ascii="Century Gothic" w:hAnsi="Century Gothic" w:cs="Arial"/>
          <w:sz w:val="20"/>
          <w:szCs w:val="20"/>
        </w:rPr>
        <w:tab/>
      </w:r>
    </w:p>
    <w:p w:rsidR="00A571BC" w:rsidRDefault="00A571BC" w:rsidP="00A571BC">
      <w:pPr>
        <w:autoSpaceDE w:val="0"/>
        <w:autoSpaceDN w:val="0"/>
        <w:adjustRightInd w:val="0"/>
        <w:spacing w:line="220" w:lineRule="exact"/>
        <w:jc w:val="both"/>
        <w:rPr>
          <w:rFonts w:ascii="Century Gothic" w:hAnsi="Century Gothic" w:cs="Arial"/>
          <w:sz w:val="20"/>
          <w:szCs w:val="20"/>
        </w:rPr>
      </w:pPr>
      <w:r w:rsidRPr="001355A9">
        <w:rPr>
          <w:rFonts w:ascii="Century Gothic" w:hAnsi="Century Gothic" w:cs="Arial"/>
          <w:sz w:val="20"/>
          <w:szCs w:val="20"/>
        </w:rPr>
        <w:t>Email: jtrusler@platinex.com</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rsidR="00A571BC" w:rsidRPr="001355A9" w:rsidRDefault="00A571BC" w:rsidP="00A571BC">
      <w:pPr>
        <w:autoSpaceDE w:val="0"/>
        <w:autoSpaceDN w:val="0"/>
        <w:adjustRightInd w:val="0"/>
        <w:spacing w:line="220" w:lineRule="exact"/>
        <w:jc w:val="both"/>
        <w:rPr>
          <w:rFonts w:ascii="Century Gothic" w:hAnsi="Century Gothic" w:cs="Arial"/>
          <w:sz w:val="20"/>
          <w:szCs w:val="20"/>
        </w:rPr>
      </w:pPr>
      <w:r w:rsidRPr="001355A9">
        <w:rPr>
          <w:rFonts w:ascii="Century Gothic" w:hAnsi="Century Gothic" w:cs="Arial"/>
          <w:sz w:val="20"/>
          <w:szCs w:val="20"/>
        </w:rPr>
        <w:t>Web: www.platinex.com</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p>
    <w:p w:rsidR="00A571BC" w:rsidRDefault="00A571BC" w:rsidP="00A571BC">
      <w:pPr>
        <w:autoSpaceDE w:val="0"/>
        <w:autoSpaceDN w:val="0"/>
        <w:adjustRightInd w:val="0"/>
        <w:spacing w:line="220" w:lineRule="exact"/>
        <w:jc w:val="center"/>
        <w:rPr>
          <w:rFonts w:ascii="Century Gothic" w:hAnsi="Century Gothic"/>
          <w:i/>
          <w:iCs/>
          <w:sz w:val="20"/>
          <w:szCs w:val="20"/>
        </w:rPr>
      </w:pPr>
    </w:p>
    <w:p w:rsidR="00A571BC" w:rsidRPr="00C10C9A" w:rsidRDefault="00A571BC" w:rsidP="00A571BC">
      <w:pPr>
        <w:autoSpaceDE w:val="0"/>
        <w:autoSpaceDN w:val="0"/>
        <w:adjustRightInd w:val="0"/>
        <w:spacing w:line="220" w:lineRule="exact"/>
        <w:jc w:val="center"/>
        <w:rPr>
          <w:rFonts w:ascii="Century Gothic" w:hAnsi="Century Gothic"/>
          <w:i/>
          <w:iCs/>
          <w:sz w:val="20"/>
          <w:szCs w:val="20"/>
        </w:rPr>
      </w:pPr>
      <w:r w:rsidRPr="00C10C9A">
        <w:rPr>
          <w:rFonts w:ascii="Century Gothic" w:hAnsi="Century Gothic"/>
          <w:i/>
          <w:iCs/>
          <w:sz w:val="20"/>
          <w:szCs w:val="20"/>
        </w:rPr>
        <w:t xml:space="preserve">To receive Company press releases, please email </w:t>
      </w:r>
      <w:r w:rsidR="00FE0247">
        <w:rPr>
          <w:rFonts w:ascii="Century Gothic" w:hAnsi="Century Gothic"/>
          <w:i/>
          <w:iCs/>
          <w:sz w:val="20"/>
          <w:szCs w:val="20"/>
        </w:rPr>
        <w:t>jtrusler</w:t>
      </w:r>
      <w:r w:rsidRPr="00C10C9A">
        <w:rPr>
          <w:rFonts w:ascii="Century Gothic" w:hAnsi="Century Gothic"/>
          <w:i/>
          <w:iCs/>
          <w:sz w:val="20"/>
          <w:szCs w:val="20"/>
        </w:rPr>
        <w:t>@platinex.com and</w:t>
      </w:r>
    </w:p>
    <w:p w:rsidR="00A571BC" w:rsidRPr="00C10C9A" w:rsidRDefault="00A571BC" w:rsidP="00A571BC">
      <w:pPr>
        <w:autoSpaceDE w:val="0"/>
        <w:autoSpaceDN w:val="0"/>
        <w:adjustRightInd w:val="0"/>
        <w:spacing w:line="220" w:lineRule="exact"/>
        <w:jc w:val="center"/>
        <w:rPr>
          <w:rFonts w:ascii="Century Gothic" w:hAnsi="Century Gothic"/>
          <w:i/>
          <w:iCs/>
          <w:sz w:val="20"/>
          <w:szCs w:val="20"/>
        </w:rPr>
      </w:pPr>
      <w:proofErr w:type="gramStart"/>
      <w:r w:rsidRPr="000E0B73">
        <w:rPr>
          <w:rFonts w:ascii="Century Gothic" w:hAnsi="Century Gothic"/>
          <w:i/>
          <w:iCs/>
          <w:sz w:val="20"/>
          <w:szCs w:val="20"/>
          <w:lang w:val="en-CA"/>
        </w:rPr>
        <w:t>mention</w:t>
      </w:r>
      <w:proofErr w:type="gramEnd"/>
      <w:r w:rsidRPr="000E0B73">
        <w:rPr>
          <w:rFonts w:ascii="Century Gothic" w:hAnsi="Century Gothic"/>
          <w:i/>
          <w:iCs/>
          <w:sz w:val="20"/>
          <w:szCs w:val="20"/>
          <w:lang w:val="en-CA"/>
        </w:rPr>
        <w:t xml:space="preserve"> “Platinex press release” on the subject line.</w:t>
      </w:r>
    </w:p>
    <w:p w:rsidR="00842174" w:rsidRPr="0077786D" w:rsidRDefault="00842174" w:rsidP="00A571BC">
      <w:pPr>
        <w:autoSpaceDE w:val="0"/>
        <w:autoSpaceDN w:val="0"/>
        <w:adjustRightInd w:val="0"/>
        <w:spacing w:line="220" w:lineRule="exact"/>
        <w:jc w:val="both"/>
        <w:rPr>
          <w:rFonts w:ascii="Century Gothic" w:hAnsi="Century Gothic" w:cs="Arial"/>
          <w:b/>
          <w:bCs/>
          <w:sz w:val="17"/>
          <w:szCs w:val="17"/>
        </w:rPr>
      </w:pPr>
    </w:p>
    <w:p w:rsidR="00A571BC" w:rsidRPr="0077786D" w:rsidRDefault="00A571BC" w:rsidP="00A571BC">
      <w:pPr>
        <w:autoSpaceDE w:val="0"/>
        <w:autoSpaceDN w:val="0"/>
        <w:adjustRightInd w:val="0"/>
        <w:spacing w:line="220" w:lineRule="exact"/>
        <w:jc w:val="both"/>
        <w:rPr>
          <w:rFonts w:ascii="Century Gothic" w:hAnsi="Century Gothic" w:cs="Arial"/>
          <w:sz w:val="17"/>
          <w:szCs w:val="17"/>
        </w:rPr>
      </w:pPr>
      <w:r w:rsidRPr="0077786D">
        <w:rPr>
          <w:rFonts w:ascii="Century Gothic" w:hAnsi="Century Gothic" w:cs="Arial"/>
          <w:b/>
          <w:bCs/>
          <w:sz w:val="17"/>
          <w:szCs w:val="17"/>
        </w:rPr>
        <w:t>FORWARD-LOOKING STATEMENTS</w:t>
      </w:r>
      <w:r w:rsidRPr="0077786D">
        <w:rPr>
          <w:rFonts w:ascii="Century Gothic" w:hAnsi="Century Gothic" w:cs="Arial"/>
          <w:sz w:val="17"/>
          <w:szCs w:val="17"/>
        </w:rPr>
        <w:t>:</w:t>
      </w:r>
    </w:p>
    <w:p w:rsidR="00A571BC" w:rsidRDefault="00A571BC" w:rsidP="00A571BC">
      <w:pPr>
        <w:autoSpaceDE w:val="0"/>
        <w:autoSpaceDN w:val="0"/>
        <w:adjustRightInd w:val="0"/>
        <w:spacing w:line="220" w:lineRule="exact"/>
        <w:jc w:val="both"/>
        <w:rPr>
          <w:rFonts w:ascii="Century Gothic" w:hAnsi="Century Gothic" w:cs="Arial"/>
          <w:sz w:val="17"/>
          <w:szCs w:val="17"/>
        </w:rPr>
      </w:pPr>
      <w:r w:rsidRPr="0077786D">
        <w:rPr>
          <w:rFonts w:ascii="Century Gothic" w:hAnsi="Century Gothic" w:cs="Arial"/>
          <w:sz w:val="17"/>
          <w:szCs w:val="17"/>
        </w:rPr>
        <w:t>Except for statements of historical fact, all statements in this news release - including, without limitation, statements regarding future plans and objectives, are forward-looking statements that involve various risks and uncertainties. There can be no assurance that such statements will prove to be accurate; actual results and future events could differ materially from those anticipated in such statements.</w:t>
      </w:r>
    </w:p>
    <w:p w:rsidR="00A571BC" w:rsidRDefault="00A571BC" w:rsidP="00A571BC">
      <w:pPr>
        <w:autoSpaceDE w:val="0"/>
        <w:autoSpaceDN w:val="0"/>
        <w:adjustRightInd w:val="0"/>
        <w:spacing w:line="220" w:lineRule="exact"/>
        <w:jc w:val="both"/>
        <w:rPr>
          <w:rFonts w:ascii="Century Gothic" w:hAnsi="Century Gothic" w:cs="Arial"/>
          <w:sz w:val="17"/>
          <w:szCs w:val="17"/>
        </w:rPr>
      </w:pPr>
    </w:p>
    <w:p w:rsidR="00F26ED0" w:rsidRDefault="00A571BC" w:rsidP="00B62BC5">
      <w:pPr>
        <w:autoSpaceDE w:val="0"/>
        <w:autoSpaceDN w:val="0"/>
        <w:adjustRightInd w:val="0"/>
        <w:spacing w:line="220" w:lineRule="exact"/>
        <w:jc w:val="both"/>
      </w:pPr>
      <w:r w:rsidRPr="0077786D">
        <w:rPr>
          <w:rFonts w:ascii="Century Gothic" w:eastAsia="MS Mincho" w:hAnsi="Century Gothic" w:cs="Arial"/>
          <w:b/>
          <w:sz w:val="17"/>
          <w:szCs w:val="17"/>
          <w:lang w:eastAsia="ja-JP"/>
        </w:rPr>
        <w:t xml:space="preserve">Neither the </w:t>
      </w:r>
      <w:r w:rsidR="009E432C">
        <w:rPr>
          <w:rFonts w:ascii="Century Gothic" w:eastAsia="MS Mincho" w:hAnsi="Century Gothic" w:cs="Arial"/>
          <w:b/>
          <w:sz w:val="17"/>
          <w:szCs w:val="17"/>
          <w:lang w:eastAsia="ja-JP"/>
        </w:rPr>
        <w:t xml:space="preserve">Canadian Securities Exchange </w:t>
      </w:r>
      <w:r w:rsidRPr="0077786D">
        <w:rPr>
          <w:rFonts w:ascii="Century Gothic" w:eastAsia="MS Mincho" w:hAnsi="Century Gothic" w:cs="Arial"/>
          <w:b/>
          <w:sz w:val="17"/>
          <w:szCs w:val="17"/>
          <w:lang w:eastAsia="ja-JP"/>
        </w:rPr>
        <w:t xml:space="preserve">nor its Regulation Services Provider (as that term is defined in the policies of the </w:t>
      </w:r>
      <w:r w:rsidR="009E432C">
        <w:rPr>
          <w:rFonts w:ascii="Century Gothic" w:eastAsia="MS Mincho" w:hAnsi="Century Gothic" w:cs="Arial"/>
          <w:b/>
          <w:sz w:val="17"/>
          <w:szCs w:val="17"/>
          <w:lang w:eastAsia="ja-JP"/>
        </w:rPr>
        <w:t>CSE</w:t>
      </w:r>
      <w:r w:rsidRPr="0077786D">
        <w:rPr>
          <w:rFonts w:ascii="Century Gothic" w:eastAsia="MS Mincho" w:hAnsi="Century Gothic" w:cs="Arial"/>
          <w:b/>
          <w:sz w:val="17"/>
          <w:szCs w:val="17"/>
          <w:lang w:eastAsia="ja-JP"/>
        </w:rPr>
        <w:t>) accepts responsibility for the adequacy or accuracy of this release.</w:t>
      </w:r>
      <w:r w:rsidRPr="0077786D">
        <w:rPr>
          <w:rFonts w:ascii="Century Gothic" w:hAnsi="Century Gothic" w:cs="Arial"/>
          <w:sz w:val="17"/>
          <w:szCs w:val="17"/>
        </w:rPr>
        <w:t xml:space="preserve"> </w:t>
      </w:r>
    </w:p>
    <w:sectPr w:rsidR="00F26ED0" w:rsidSect="008F34D4">
      <w:headerReference w:type="first" r:id="rId8"/>
      <w:pgSz w:w="12240" w:h="15840" w:code="1"/>
      <w:pgMar w:top="964" w:right="1247" w:bottom="1260" w:left="1247" w:header="73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B48" w:rsidRDefault="005F5B48" w:rsidP="00A73197">
      <w:r>
        <w:separator/>
      </w:r>
    </w:p>
  </w:endnote>
  <w:endnote w:type="continuationSeparator" w:id="0">
    <w:p w:rsidR="005F5B48" w:rsidRDefault="005F5B48" w:rsidP="00A73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B48" w:rsidRDefault="005F5B48" w:rsidP="00A73197">
      <w:r>
        <w:separator/>
      </w:r>
    </w:p>
  </w:footnote>
  <w:footnote w:type="continuationSeparator" w:id="0">
    <w:p w:rsidR="005F5B48" w:rsidRDefault="005F5B48" w:rsidP="00A73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8D" w:rsidRDefault="005D798D" w:rsidP="004129F9">
    <w:pPr>
      <w:pStyle w:val="Header"/>
      <w:jc w:val="center"/>
    </w:pPr>
    <w:r>
      <w:rPr>
        <w:noProof/>
        <w:lang w:val="en-CA" w:eastAsia="en-CA"/>
      </w:rPr>
      <w:drawing>
        <wp:anchor distT="0" distB="0" distL="114300" distR="114300" simplePos="0" relativeHeight="251657728" behindDoc="0" locked="0" layoutInCell="1" allowOverlap="1">
          <wp:simplePos x="0" y="0"/>
          <wp:positionH relativeFrom="column">
            <wp:posOffset>1814830</wp:posOffset>
          </wp:positionH>
          <wp:positionV relativeFrom="paragraph">
            <wp:posOffset>-360045</wp:posOffset>
          </wp:positionV>
          <wp:extent cx="2159635" cy="86042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59635" cy="860425"/>
                  </a:xfrm>
                  <a:prstGeom prst="rect">
                    <a:avLst/>
                  </a:prstGeom>
                  <a:noFill/>
                </pic:spPr>
              </pic:pic>
            </a:graphicData>
          </a:graphic>
        </wp:anchor>
      </w:drawing>
    </w:r>
  </w:p>
  <w:p w:rsidR="005D798D" w:rsidRDefault="005D798D" w:rsidP="004129F9">
    <w:pPr>
      <w:pStyle w:val="Header"/>
      <w:jc w:val="center"/>
    </w:pPr>
  </w:p>
  <w:p w:rsidR="005D798D" w:rsidRDefault="005D7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05F"/>
    <w:multiLevelType w:val="hybridMultilevel"/>
    <w:tmpl w:val="4B766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571BC"/>
    <w:rsid w:val="00003539"/>
    <w:rsid w:val="000064F7"/>
    <w:rsid w:val="00010C67"/>
    <w:rsid w:val="0006350F"/>
    <w:rsid w:val="00063B7F"/>
    <w:rsid w:val="00065431"/>
    <w:rsid w:val="000766CF"/>
    <w:rsid w:val="000E0B73"/>
    <w:rsid w:val="000F76B1"/>
    <w:rsid w:val="0011617A"/>
    <w:rsid w:val="00120864"/>
    <w:rsid w:val="00172595"/>
    <w:rsid w:val="00191ABB"/>
    <w:rsid w:val="001A466D"/>
    <w:rsid w:val="001C0A14"/>
    <w:rsid w:val="001C25A0"/>
    <w:rsid w:val="001E6821"/>
    <w:rsid w:val="001F1C6E"/>
    <w:rsid w:val="0024013A"/>
    <w:rsid w:val="00254D98"/>
    <w:rsid w:val="00262F43"/>
    <w:rsid w:val="0027079C"/>
    <w:rsid w:val="00283C5E"/>
    <w:rsid w:val="00284311"/>
    <w:rsid w:val="00293F4B"/>
    <w:rsid w:val="002C71CE"/>
    <w:rsid w:val="002D2FE4"/>
    <w:rsid w:val="002D4FA3"/>
    <w:rsid w:val="002E5153"/>
    <w:rsid w:val="00303986"/>
    <w:rsid w:val="00343BB8"/>
    <w:rsid w:val="00345CD7"/>
    <w:rsid w:val="003508CE"/>
    <w:rsid w:val="0035222E"/>
    <w:rsid w:val="00362B36"/>
    <w:rsid w:val="00363583"/>
    <w:rsid w:val="003757CE"/>
    <w:rsid w:val="00383101"/>
    <w:rsid w:val="00386A93"/>
    <w:rsid w:val="00391A11"/>
    <w:rsid w:val="003A151E"/>
    <w:rsid w:val="003A3B88"/>
    <w:rsid w:val="003B58AA"/>
    <w:rsid w:val="003C317E"/>
    <w:rsid w:val="003E5E55"/>
    <w:rsid w:val="003F55CB"/>
    <w:rsid w:val="003F6766"/>
    <w:rsid w:val="0040669B"/>
    <w:rsid w:val="004129F9"/>
    <w:rsid w:val="0042522F"/>
    <w:rsid w:val="00425805"/>
    <w:rsid w:val="004B3F3A"/>
    <w:rsid w:val="004D04B8"/>
    <w:rsid w:val="004D2228"/>
    <w:rsid w:val="00504782"/>
    <w:rsid w:val="00505D69"/>
    <w:rsid w:val="00533D5A"/>
    <w:rsid w:val="005359AA"/>
    <w:rsid w:val="00553D5E"/>
    <w:rsid w:val="00554AE7"/>
    <w:rsid w:val="0055640F"/>
    <w:rsid w:val="00571C25"/>
    <w:rsid w:val="005723DF"/>
    <w:rsid w:val="00583431"/>
    <w:rsid w:val="00584E39"/>
    <w:rsid w:val="005B35F8"/>
    <w:rsid w:val="005C301B"/>
    <w:rsid w:val="005D798D"/>
    <w:rsid w:val="005E34DF"/>
    <w:rsid w:val="005F5B48"/>
    <w:rsid w:val="00603991"/>
    <w:rsid w:val="00682032"/>
    <w:rsid w:val="00693811"/>
    <w:rsid w:val="0069638D"/>
    <w:rsid w:val="006A5C19"/>
    <w:rsid w:val="006A7A15"/>
    <w:rsid w:val="006B4CC4"/>
    <w:rsid w:val="006B5441"/>
    <w:rsid w:val="006B7316"/>
    <w:rsid w:val="00720B3D"/>
    <w:rsid w:val="007447F9"/>
    <w:rsid w:val="00745257"/>
    <w:rsid w:val="00746CE0"/>
    <w:rsid w:val="007470AF"/>
    <w:rsid w:val="00760FED"/>
    <w:rsid w:val="0076511E"/>
    <w:rsid w:val="00771E5E"/>
    <w:rsid w:val="00777C29"/>
    <w:rsid w:val="00785B0F"/>
    <w:rsid w:val="007C4C77"/>
    <w:rsid w:val="007D764C"/>
    <w:rsid w:val="007E303A"/>
    <w:rsid w:val="007F4744"/>
    <w:rsid w:val="00833FF5"/>
    <w:rsid w:val="00842174"/>
    <w:rsid w:val="00842F34"/>
    <w:rsid w:val="00847752"/>
    <w:rsid w:val="008505BE"/>
    <w:rsid w:val="00851D9F"/>
    <w:rsid w:val="00854998"/>
    <w:rsid w:val="00856730"/>
    <w:rsid w:val="0086472D"/>
    <w:rsid w:val="008723A9"/>
    <w:rsid w:val="00872AC3"/>
    <w:rsid w:val="00887764"/>
    <w:rsid w:val="008C7D89"/>
    <w:rsid w:val="008E5574"/>
    <w:rsid w:val="008F34D4"/>
    <w:rsid w:val="008F3674"/>
    <w:rsid w:val="008F3E5F"/>
    <w:rsid w:val="00906C98"/>
    <w:rsid w:val="0090767D"/>
    <w:rsid w:val="00927208"/>
    <w:rsid w:val="00927667"/>
    <w:rsid w:val="00934BFA"/>
    <w:rsid w:val="0094528D"/>
    <w:rsid w:val="00953B80"/>
    <w:rsid w:val="00962C76"/>
    <w:rsid w:val="009805BC"/>
    <w:rsid w:val="00991783"/>
    <w:rsid w:val="009A0493"/>
    <w:rsid w:val="009D0E7A"/>
    <w:rsid w:val="009D1665"/>
    <w:rsid w:val="009E2CDD"/>
    <w:rsid w:val="009E432C"/>
    <w:rsid w:val="00A22FE6"/>
    <w:rsid w:val="00A26B5A"/>
    <w:rsid w:val="00A30CC7"/>
    <w:rsid w:val="00A33D41"/>
    <w:rsid w:val="00A349FE"/>
    <w:rsid w:val="00A52CD9"/>
    <w:rsid w:val="00A571BC"/>
    <w:rsid w:val="00A73197"/>
    <w:rsid w:val="00A8498A"/>
    <w:rsid w:val="00A84FF4"/>
    <w:rsid w:val="00A85E69"/>
    <w:rsid w:val="00AB2AFE"/>
    <w:rsid w:val="00AB5562"/>
    <w:rsid w:val="00AF4C7F"/>
    <w:rsid w:val="00B135AC"/>
    <w:rsid w:val="00B60E62"/>
    <w:rsid w:val="00B62BC5"/>
    <w:rsid w:val="00B77735"/>
    <w:rsid w:val="00B903E1"/>
    <w:rsid w:val="00B9140E"/>
    <w:rsid w:val="00BA47E6"/>
    <w:rsid w:val="00BB5215"/>
    <w:rsid w:val="00BB5716"/>
    <w:rsid w:val="00BB6634"/>
    <w:rsid w:val="00BC2046"/>
    <w:rsid w:val="00BC269F"/>
    <w:rsid w:val="00BC4153"/>
    <w:rsid w:val="00BD2917"/>
    <w:rsid w:val="00BE6044"/>
    <w:rsid w:val="00C048A4"/>
    <w:rsid w:val="00C32BCB"/>
    <w:rsid w:val="00C345EC"/>
    <w:rsid w:val="00C36479"/>
    <w:rsid w:val="00C36CF5"/>
    <w:rsid w:val="00C53596"/>
    <w:rsid w:val="00C72259"/>
    <w:rsid w:val="00C97F63"/>
    <w:rsid w:val="00CC7E7D"/>
    <w:rsid w:val="00CF1F7B"/>
    <w:rsid w:val="00CF6127"/>
    <w:rsid w:val="00D12CBC"/>
    <w:rsid w:val="00D3000A"/>
    <w:rsid w:val="00D5106D"/>
    <w:rsid w:val="00D53380"/>
    <w:rsid w:val="00D54D34"/>
    <w:rsid w:val="00D55699"/>
    <w:rsid w:val="00D667B1"/>
    <w:rsid w:val="00D7365E"/>
    <w:rsid w:val="00D86BF0"/>
    <w:rsid w:val="00DB0F75"/>
    <w:rsid w:val="00DB3C68"/>
    <w:rsid w:val="00DB4700"/>
    <w:rsid w:val="00DF02E3"/>
    <w:rsid w:val="00DF12F1"/>
    <w:rsid w:val="00E10A51"/>
    <w:rsid w:val="00E13060"/>
    <w:rsid w:val="00E40AE5"/>
    <w:rsid w:val="00E4312F"/>
    <w:rsid w:val="00E53F7C"/>
    <w:rsid w:val="00E66FF6"/>
    <w:rsid w:val="00E8425B"/>
    <w:rsid w:val="00E8706D"/>
    <w:rsid w:val="00E944C0"/>
    <w:rsid w:val="00E95CE4"/>
    <w:rsid w:val="00EC6781"/>
    <w:rsid w:val="00EE5736"/>
    <w:rsid w:val="00EE5ADF"/>
    <w:rsid w:val="00EF2AB2"/>
    <w:rsid w:val="00F012C4"/>
    <w:rsid w:val="00F26ED0"/>
    <w:rsid w:val="00F42333"/>
    <w:rsid w:val="00F42D4C"/>
    <w:rsid w:val="00F55502"/>
    <w:rsid w:val="00F63865"/>
    <w:rsid w:val="00F6556B"/>
    <w:rsid w:val="00FA69B9"/>
    <w:rsid w:val="00FB27C6"/>
    <w:rsid w:val="00FC6879"/>
    <w:rsid w:val="00FE0247"/>
    <w:rsid w:val="00FF64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B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1BC"/>
    <w:pPr>
      <w:tabs>
        <w:tab w:val="center" w:pos="4680"/>
        <w:tab w:val="right" w:pos="9360"/>
      </w:tabs>
    </w:pPr>
  </w:style>
  <w:style w:type="character" w:customStyle="1" w:styleId="HeaderChar">
    <w:name w:val="Header Char"/>
    <w:link w:val="Header"/>
    <w:uiPriority w:val="99"/>
    <w:rsid w:val="00A57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F75"/>
    <w:rPr>
      <w:rFonts w:ascii="Tahoma" w:hAnsi="Tahoma"/>
      <w:sz w:val="16"/>
      <w:szCs w:val="16"/>
    </w:rPr>
  </w:style>
  <w:style w:type="character" w:customStyle="1" w:styleId="BalloonTextChar">
    <w:name w:val="Balloon Text Char"/>
    <w:link w:val="BalloonText"/>
    <w:uiPriority w:val="99"/>
    <w:semiHidden/>
    <w:rsid w:val="00DB0F75"/>
    <w:rPr>
      <w:rFonts w:ascii="Tahoma" w:eastAsia="Times New Roman" w:hAnsi="Tahoma" w:cs="Tahoma"/>
      <w:sz w:val="16"/>
      <w:szCs w:val="16"/>
    </w:rPr>
  </w:style>
  <w:style w:type="character" w:styleId="Hyperlink">
    <w:name w:val="Hyperlink"/>
    <w:semiHidden/>
    <w:rsid w:val="006B7316"/>
    <w:rPr>
      <w:color w:val="0000FF"/>
      <w:u w:val="single"/>
    </w:rPr>
  </w:style>
  <w:style w:type="paragraph" w:styleId="NormalWeb">
    <w:name w:val="Normal (Web)"/>
    <w:basedOn w:val="Normal"/>
    <w:uiPriority w:val="99"/>
    <w:unhideWhenUsed/>
    <w:rsid w:val="006B7316"/>
    <w:pPr>
      <w:spacing w:before="100" w:beforeAutospacing="1" w:after="100" w:afterAutospacing="1"/>
    </w:pPr>
  </w:style>
  <w:style w:type="character" w:customStyle="1" w:styleId="Fillin">
    <w:name w:val="Fillin"/>
    <w:rsid w:val="00745257"/>
    <w:rPr>
      <w:rFonts w:ascii="Century Gothic" w:hAnsi="Century Gothic" w:cs="Century Gothic"/>
      <w:b/>
      <w:bCs/>
      <w:color w:val="800000"/>
      <w:sz w:val="20"/>
      <w:szCs w:val="20"/>
    </w:rPr>
  </w:style>
  <w:style w:type="character" w:styleId="CommentReference">
    <w:name w:val="annotation reference"/>
    <w:uiPriority w:val="99"/>
    <w:semiHidden/>
    <w:unhideWhenUsed/>
    <w:rsid w:val="00887764"/>
    <w:rPr>
      <w:sz w:val="16"/>
      <w:szCs w:val="16"/>
    </w:rPr>
  </w:style>
  <w:style w:type="paragraph" w:styleId="CommentText">
    <w:name w:val="annotation text"/>
    <w:basedOn w:val="Normal"/>
    <w:link w:val="CommentTextChar"/>
    <w:uiPriority w:val="99"/>
    <w:semiHidden/>
    <w:unhideWhenUsed/>
    <w:rsid w:val="00887764"/>
    <w:rPr>
      <w:sz w:val="20"/>
      <w:szCs w:val="20"/>
    </w:rPr>
  </w:style>
  <w:style w:type="character" w:customStyle="1" w:styleId="CommentTextChar">
    <w:name w:val="Comment Text Char"/>
    <w:link w:val="CommentText"/>
    <w:uiPriority w:val="99"/>
    <w:semiHidden/>
    <w:rsid w:val="0088776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87764"/>
    <w:rPr>
      <w:b/>
      <w:bCs/>
    </w:rPr>
  </w:style>
  <w:style w:type="character" w:customStyle="1" w:styleId="CommentSubjectChar">
    <w:name w:val="Comment Subject Char"/>
    <w:link w:val="CommentSubject"/>
    <w:uiPriority w:val="99"/>
    <w:semiHidden/>
    <w:rsid w:val="00887764"/>
    <w:rPr>
      <w:rFonts w:ascii="Times New Roman" w:eastAsia="Times New Roman" w:hAnsi="Times New Roman"/>
      <w:b/>
      <w:bCs/>
      <w:lang w:val="en-US" w:eastAsia="en-US"/>
    </w:rPr>
  </w:style>
  <w:style w:type="paragraph" w:styleId="Footer">
    <w:name w:val="footer"/>
    <w:basedOn w:val="Normal"/>
    <w:link w:val="FooterChar"/>
    <w:uiPriority w:val="99"/>
    <w:unhideWhenUsed/>
    <w:rsid w:val="00D53380"/>
    <w:pPr>
      <w:tabs>
        <w:tab w:val="center" w:pos="4680"/>
        <w:tab w:val="right" w:pos="9360"/>
      </w:tabs>
    </w:pPr>
  </w:style>
  <w:style w:type="character" w:customStyle="1" w:styleId="FooterChar">
    <w:name w:val="Footer Char"/>
    <w:basedOn w:val="DefaultParagraphFont"/>
    <w:link w:val="Footer"/>
    <w:uiPriority w:val="99"/>
    <w:rsid w:val="00D53380"/>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4439582">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sChild>
        <w:div w:id="1278372845">
          <w:marLeft w:val="0"/>
          <w:marRight w:val="0"/>
          <w:marTop w:val="0"/>
          <w:marBottom w:val="0"/>
          <w:divBdr>
            <w:top w:val="none" w:sz="0" w:space="0" w:color="auto"/>
            <w:left w:val="none" w:sz="0" w:space="0" w:color="auto"/>
            <w:bottom w:val="none" w:sz="0" w:space="0" w:color="auto"/>
            <w:right w:val="none" w:sz="0" w:space="0" w:color="auto"/>
          </w:divBdr>
          <w:divsChild>
            <w:div w:id="385763388">
              <w:marLeft w:val="-225"/>
              <w:marRight w:val="-225"/>
              <w:marTop w:val="0"/>
              <w:marBottom w:val="0"/>
              <w:divBdr>
                <w:top w:val="none" w:sz="0" w:space="0" w:color="auto"/>
                <w:left w:val="none" w:sz="0" w:space="0" w:color="auto"/>
                <w:bottom w:val="none" w:sz="0" w:space="0" w:color="auto"/>
                <w:right w:val="none" w:sz="0" w:space="0" w:color="auto"/>
              </w:divBdr>
              <w:divsChild>
                <w:div w:id="9759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5555">
      <w:bodyDiv w:val="1"/>
      <w:marLeft w:val="0"/>
      <w:marRight w:val="0"/>
      <w:marTop w:val="0"/>
      <w:marBottom w:val="0"/>
      <w:divBdr>
        <w:top w:val="none" w:sz="0" w:space="0" w:color="auto"/>
        <w:left w:val="none" w:sz="0" w:space="0" w:color="auto"/>
        <w:bottom w:val="none" w:sz="0" w:space="0" w:color="auto"/>
        <w:right w:val="none" w:sz="0" w:space="0" w:color="auto"/>
      </w:divBdr>
      <w:divsChild>
        <w:div w:id="273368930">
          <w:marLeft w:val="0"/>
          <w:marRight w:val="0"/>
          <w:marTop w:val="0"/>
          <w:marBottom w:val="0"/>
          <w:divBdr>
            <w:top w:val="none" w:sz="0" w:space="0" w:color="auto"/>
            <w:left w:val="none" w:sz="0" w:space="0" w:color="auto"/>
            <w:bottom w:val="none" w:sz="0" w:space="0" w:color="auto"/>
            <w:right w:val="none" w:sz="0" w:space="0" w:color="auto"/>
          </w:divBdr>
          <w:divsChild>
            <w:div w:id="1531459051">
              <w:marLeft w:val="-225"/>
              <w:marRight w:val="-225"/>
              <w:marTop w:val="0"/>
              <w:marBottom w:val="0"/>
              <w:divBdr>
                <w:top w:val="none" w:sz="0" w:space="0" w:color="auto"/>
                <w:left w:val="none" w:sz="0" w:space="0" w:color="auto"/>
                <w:bottom w:val="none" w:sz="0" w:space="0" w:color="auto"/>
                <w:right w:val="none" w:sz="0" w:space="0" w:color="auto"/>
              </w:divBdr>
              <w:divsChild>
                <w:div w:id="8398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07272">
      <w:bodyDiv w:val="1"/>
      <w:marLeft w:val="0"/>
      <w:marRight w:val="0"/>
      <w:marTop w:val="0"/>
      <w:marBottom w:val="0"/>
      <w:divBdr>
        <w:top w:val="none" w:sz="0" w:space="0" w:color="auto"/>
        <w:left w:val="none" w:sz="0" w:space="0" w:color="auto"/>
        <w:bottom w:val="none" w:sz="0" w:space="0" w:color="auto"/>
        <w:right w:val="none" w:sz="0" w:space="0" w:color="auto"/>
      </w:divBdr>
    </w:div>
    <w:div w:id="825510425">
      <w:bodyDiv w:val="1"/>
      <w:marLeft w:val="0"/>
      <w:marRight w:val="0"/>
      <w:marTop w:val="0"/>
      <w:marBottom w:val="0"/>
      <w:divBdr>
        <w:top w:val="none" w:sz="0" w:space="0" w:color="auto"/>
        <w:left w:val="none" w:sz="0" w:space="0" w:color="auto"/>
        <w:bottom w:val="none" w:sz="0" w:space="0" w:color="auto"/>
        <w:right w:val="none" w:sz="0" w:space="0" w:color="auto"/>
      </w:divBdr>
      <w:divsChild>
        <w:div w:id="1839730567">
          <w:marLeft w:val="0"/>
          <w:marRight w:val="0"/>
          <w:marTop w:val="0"/>
          <w:marBottom w:val="0"/>
          <w:divBdr>
            <w:top w:val="none" w:sz="0" w:space="0" w:color="auto"/>
            <w:left w:val="none" w:sz="0" w:space="0" w:color="auto"/>
            <w:bottom w:val="none" w:sz="0" w:space="0" w:color="auto"/>
            <w:right w:val="none" w:sz="0" w:space="0" w:color="auto"/>
          </w:divBdr>
          <w:divsChild>
            <w:div w:id="375934214">
              <w:marLeft w:val="-225"/>
              <w:marRight w:val="-225"/>
              <w:marTop w:val="0"/>
              <w:marBottom w:val="0"/>
              <w:divBdr>
                <w:top w:val="none" w:sz="0" w:space="0" w:color="auto"/>
                <w:left w:val="none" w:sz="0" w:space="0" w:color="auto"/>
                <w:bottom w:val="none" w:sz="0" w:space="0" w:color="auto"/>
                <w:right w:val="none" w:sz="0" w:space="0" w:color="auto"/>
              </w:divBdr>
              <w:divsChild>
                <w:div w:id="16325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026">
      <w:bodyDiv w:val="1"/>
      <w:marLeft w:val="0"/>
      <w:marRight w:val="0"/>
      <w:marTop w:val="0"/>
      <w:marBottom w:val="0"/>
      <w:divBdr>
        <w:top w:val="none" w:sz="0" w:space="0" w:color="auto"/>
        <w:left w:val="none" w:sz="0" w:space="0" w:color="auto"/>
        <w:bottom w:val="none" w:sz="0" w:space="0" w:color="auto"/>
        <w:right w:val="none" w:sz="0" w:space="0" w:color="auto"/>
      </w:divBdr>
    </w:div>
    <w:div w:id="1052537747">
      <w:bodyDiv w:val="1"/>
      <w:marLeft w:val="0"/>
      <w:marRight w:val="0"/>
      <w:marTop w:val="0"/>
      <w:marBottom w:val="0"/>
      <w:divBdr>
        <w:top w:val="none" w:sz="0" w:space="0" w:color="auto"/>
        <w:left w:val="none" w:sz="0" w:space="0" w:color="auto"/>
        <w:bottom w:val="none" w:sz="0" w:space="0" w:color="auto"/>
        <w:right w:val="none" w:sz="0" w:space="0" w:color="auto"/>
      </w:divBdr>
      <w:divsChild>
        <w:div w:id="1058091403">
          <w:marLeft w:val="0"/>
          <w:marRight w:val="0"/>
          <w:marTop w:val="0"/>
          <w:marBottom w:val="0"/>
          <w:divBdr>
            <w:top w:val="none" w:sz="0" w:space="0" w:color="auto"/>
            <w:left w:val="none" w:sz="0" w:space="0" w:color="auto"/>
            <w:bottom w:val="none" w:sz="0" w:space="0" w:color="auto"/>
            <w:right w:val="none" w:sz="0" w:space="0" w:color="auto"/>
          </w:divBdr>
          <w:divsChild>
            <w:div w:id="1869097041">
              <w:marLeft w:val="-225"/>
              <w:marRight w:val="-225"/>
              <w:marTop w:val="0"/>
              <w:marBottom w:val="0"/>
              <w:divBdr>
                <w:top w:val="none" w:sz="0" w:space="0" w:color="auto"/>
                <w:left w:val="none" w:sz="0" w:space="0" w:color="auto"/>
                <w:bottom w:val="none" w:sz="0" w:space="0" w:color="auto"/>
                <w:right w:val="none" w:sz="0" w:space="0" w:color="auto"/>
              </w:divBdr>
              <w:divsChild>
                <w:div w:id="33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4257">
      <w:bodyDiv w:val="1"/>
      <w:marLeft w:val="0"/>
      <w:marRight w:val="0"/>
      <w:marTop w:val="0"/>
      <w:marBottom w:val="0"/>
      <w:divBdr>
        <w:top w:val="none" w:sz="0" w:space="0" w:color="auto"/>
        <w:left w:val="none" w:sz="0" w:space="0" w:color="auto"/>
        <w:bottom w:val="none" w:sz="0" w:space="0" w:color="auto"/>
        <w:right w:val="none" w:sz="0" w:space="0" w:color="auto"/>
      </w:divBdr>
      <w:divsChild>
        <w:div w:id="2123105776">
          <w:marLeft w:val="0"/>
          <w:marRight w:val="0"/>
          <w:marTop w:val="0"/>
          <w:marBottom w:val="0"/>
          <w:divBdr>
            <w:top w:val="none" w:sz="0" w:space="0" w:color="auto"/>
            <w:left w:val="none" w:sz="0" w:space="0" w:color="auto"/>
            <w:bottom w:val="none" w:sz="0" w:space="0" w:color="auto"/>
            <w:right w:val="none" w:sz="0" w:space="0" w:color="auto"/>
          </w:divBdr>
          <w:divsChild>
            <w:div w:id="1668485321">
              <w:marLeft w:val="-225"/>
              <w:marRight w:val="-225"/>
              <w:marTop w:val="0"/>
              <w:marBottom w:val="0"/>
              <w:divBdr>
                <w:top w:val="none" w:sz="0" w:space="0" w:color="auto"/>
                <w:left w:val="none" w:sz="0" w:space="0" w:color="auto"/>
                <w:bottom w:val="none" w:sz="0" w:space="0" w:color="auto"/>
                <w:right w:val="none" w:sz="0" w:space="0" w:color="auto"/>
              </w:divBdr>
              <w:divsChild>
                <w:div w:id="854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73493">
      <w:bodyDiv w:val="1"/>
      <w:marLeft w:val="0"/>
      <w:marRight w:val="0"/>
      <w:marTop w:val="0"/>
      <w:marBottom w:val="0"/>
      <w:divBdr>
        <w:top w:val="none" w:sz="0" w:space="0" w:color="auto"/>
        <w:left w:val="none" w:sz="0" w:space="0" w:color="auto"/>
        <w:bottom w:val="none" w:sz="0" w:space="0" w:color="auto"/>
        <w:right w:val="none" w:sz="0" w:space="0" w:color="auto"/>
      </w:divBdr>
      <w:divsChild>
        <w:div w:id="903642950">
          <w:marLeft w:val="0"/>
          <w:marRight w:val="0"/>
          <w:marTop w:val="0"/>
          <w:marBottom w:val="0"/>
          <w:divBdr>
            <w:top w:val="none" w:sz="0" w:space="0" w:color="auto"/>
            <w:left w:val="none" w:sz="0" w:space="0" w:color="auto"/>
            <w:bottom w:val="none" w:sz="0" w:space="0" w:color="auto"/>
            <w:right w:val="none" w:sz="0" w:space="0" w:color="auto"/>
          </w:divBdr>
          <w:divsChild>
            <w:div w:id="229652862">
              <w:marLeft w:val="-225"/>
              <w:marRight w:val="-225"/>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9702">
      <w:bodyDiv w:val="1"/>
      <w:marLeft w:val="0"/>
      <w:marRight w:val="0"/>
      <w:marTop w:val="0"/>
      <w:marBottom w:val="0"/>
      <w:divBdr>
        <w:top w:val="none" w:sz="0" w:space="0" w:color="auto"/>
        <w:left w:val="none" w:sz="0" w:space="0" w:color="auto"/>
        <w:bottom w:val="none" w:sz="0" w:space="0" w:color="auto"/>
        <w:right w:val="none" w:sz="0" w:space="0" w:color="auto"/>
      </w:divBdr>
    </w:div>
    <w:div w:id="1545172922">
      <w:bodyDiv w:val="1"/>
      <w:marLeft w:val="0"/>
      <w:marRight w:val="0"/>
      <w:marTop w:val="0"/>
      <w:marBottom w:val="0"/>
      <w:divBdr>
        <w:top w:val="none" w:sz="0" w:space="0" w:color="auto"/>
        <w:left w:val="none" w:sz="0" w:space="0" w:color="auto"/>
        <w:bottom w:val="none" w:sz="0" w:space="0" w:color="auto"/>
        <w:right w:val="none" w:sz="0" w:space="0" w:color="auto"/>
      </w:divBdr>
      <w:divsChild>
        <w:div w:id="577834774">
          <w:marLeft w:val="0"/>
          <w:marRight w:val="0"/>
          <w:marTop w:val="0"/>
          <w:marBottom w:val="0"/>
          <w:divBdr>
            <w:top w:val="none" w:sz="0" w:space="0" w:color="auto"/>
            <w:left w:val="none" w:sz="0" w:space="0" w:color="auto"/>
            <w:bottom w:val="none" w:sz="0" w:space="0" w:color="auto"/>
            <w:right w:val="none" w:sz="0" w:space="0" w:color="auto"/>
          </w:divBdr>
          <w:divsChild>
            <w:div w:id="1250891525">
              <w:marLeft w:val="-225"/>
              <w:marRight w:val="-225"/>
              <w:marTop w:val="0"/>
              <w:marBottom w:val="0"/>
              <w:divBdr>
                <w:top w:val="none" w:sz="0" w:space="0" w:color="auto"/>
                <w:left w:val="none" w:sz="0" w:space="0" w:color="auto"/>
                <w:bottom w:val="none" w:sz="0" w:space="0" w:color="auto"/>
                <w:right w:val="none" w:sz="0" w:space="0" w:color="auto"/>
              </w:divBdr>
              <w:divsChild>
                <w:div w:id="703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7015">
      <w:bodyDiv w:val="1"/>
      <w:marLeft w:val="0"/>
      <w:marRight w:val="0"/>
      <w:marTop w:val="0"/>
      <w:marBottom w:val="0"/>
      <w:divBdr>
        <w:top w:val="none" w:sz="0" w:space="0" w:color="auto"/>
        <w:left w:val="none" w:sz="0" w:space="0" w:color="auto"/>
        <w:bottom w:val="none" w:sz="0" w:space="0" w:color="auto"/>
        <w:right w:val="none" w:sz="0" w:space="0" w:color="auto"/>
      </w:divBdr>
      <w:divsChild>
        <w:div w:id="91753115">
          <w:marLeft w:val="0"/>
          <w:marRight w:val="0"/>
          <w:marTop w:val="0"/>
          <w:marBottom w:val="0"/>
          <w:divBdr>
            <w:top w:val="none" w:sz="0" w:space="0" w:color="auto"/>
            <w:left w:val="none" w:sz="0" w:space="0" w:color="auto"/>
            <w:bottom w:val="none" w:sz="0" w:space="0" w:color="auto"/>
            <w:right w:val="none" w:sz="0" w:space="0" w:color="auto"/>
          </w:divBdr>
          <w:divsChild>
            <w:div w:id="515119513">
              <w:marLeft w:val="-225"/>
              <w:marRight w:val="-225"/>
              <w:marTop w:val="0"/>
              <w:marBottom w:val="0"/>
              <w:divBdr>
                <w:top w:val="none" w:sz="0" w:space="0" w:color="auto"/>
                <w:left w:val="none" w:sz="0" w:space="0" w:color="auto"/>
                <w:bottom w:val="none" w:sz="0" w:space="0" w:color="auto"/>
                <w:right w:val="none" w:sz="0" w:space="0" w:color="auto"/>
              </w:divBdr>
              <w:divsChild>
                <w:div w:id="4270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4A6DE-0261-4F73-BAE3-8B1E8BF1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Trusler</dc:creator>
  <cp:lastModifiedBy>Book Keeper</cp:lastModifiedBy>
  <cp:revision>2</cp:revision>
  <cp:lastPrinted>2016-05-13T02:10:00Z</cp:lastPrinted>
  <dcterms:created xsi:type="dcterms:W3CDTF">2017-04-18T18:23:00Z</dcterms:created>
  <dcterms:modified xsi:type="dcterms:W3CDTF">2017-04-18T18:23:00Z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b08a6f1c-f980-4ca6-990c-909349651b51</vt:lpwstr>
  </property>
</Properties>
</file>