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spacing w:before="0"/>
        <w:rPr>
          <w:sz w:val="28"/>
          <w:lang w:val="en-CA"/>
        </w:rPr>
      </w:pPr>
      <w:r>
        <w:rPr>
          <w:sz w:val="28"/>
          <w:lang w:val="en-CA"/>
        </w:rPr>
        <w:t>FORM 9</w:t>
      </w:r>
    </w:p>
    <w:p>
      <w:pPr>
        <w:pStyle w:val="Title"/>
        <w:spacing w:before="0" w:after="0"/>
        <w:rPr>
          <w:sz w:val="28"/>
          <w:u w:val="single"/>
          <w:lang w:val="en-CA"/>
        </w:rPr>
      </w:pPr>
      <w:r>
        <w:rPr>
          <w:sz w:val="28"/>
          <w:u w:val="single"/>
          <w:lang w:val="en-CA"/>
        </w:rPr>
        <w:t xml:space="preserve">NOTICE OF ISSUANCE OR PROPOSED ISSUANCE OF LISTED SECURITIES </w:t>
      </w:r>
    </w:p>
    <w:p>
      <w:pPr>
        <w:pStyle w:val="Title"/>
        <w:spacing w:before="0" w:after="0"/>
        <w:rPr>
          <w:sz w:val="28"/>
          <w:u w:val="single"/>
          <w:lang w:val="en-CA"/>
        </w:rPr>
      </w:pPr>
      <w:r>
        <w:rPr>
          <w:sz w:val="28"/>
          <w:u w:val="single"/>
          <w:lang w:val="en-CA"/>
        </w:rPr>
        <w:t>(or securities convertible or exchangeable into listed securities)</w:t>
      </w:r>
    </w:p>
    <w:p>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27"/>
        <w:gridCol w:w="3023"/>
      </w:tblGrid>
      <w:tr>
        <w:tc>
          <w:tcPr>
            <w:tcW w:w="6487" w:type="dxa"/>
          </w:tcPr>
          <w:p>
            <w:pPr>
              <w:pStyle w:val="BodyText"/>
              <w:rPr>
                <w:rFonts w:ascii="Arial" w:hAnsi="Arial"/>
                <w:lang w:val="en-CA"/>
              </w:rPr>
            </w:pPr>
            <w:r>
              <w:rPr>
                <w:rFonts w:ascii="Arial" w:hAnsi="Arial"/>
                <w:lang w:val="en-CA"/>
              </w:rPr>
              <w:t xml:space="preserve">Verano Holdings Corp. (the “Issuer”).  </w:t>
            </w:r>
          </w:p>
        </w:tc>
        <w:tc>
          <w:tcPr>
            <w:tcW w:w="3089" w:type="dxa"/>
          </w:tcPr>
          <w:p>
            <w:pPr>
              <w:pStyle w:val="BodyText"/>
              <w:rPr>
                <w:rFonts w:ascii="Arial" w:hAnsi="Arial"/>
                <w:lang w:val="en-CA"/>
              </w:rPr>
            </w:pPr>
            <w:proofErr w:type="spellStart"/>
            <w:r>
              <w:rPr>
                <w:rFonts w:ascii="Arial" w:hAnsi="Arial"/>
                <w:lang w:val="en-CA"/>
              </w:rPr>
              <w:t>VRNO</w:t>
            </w:r>
            <w:proofErr w:type="spellEnd"/>
          </w:p>
        </w:tc>
      </w:tr>
    </w:tbl>
    <w:p>
      <w:pPr>
        <w:pStyle w:val="BodyText"/>
        <w:spacing w:after="240"/>
        <w:rPr>
          <w:rFonts w:ascii="Arial" w:hAnsi="Arial"/>
          <w:sz w:val="32"/>
          <w:lang w:val="en-CA"/>
        </w:rPr>
      </w:pPr>
      <w:r>
        <w:rPr>
          <w:rFonts w:ascii="Arial" w:hAnsi="Arial"/>
          <w:lang w:val="en-CA"/>
        </w:rPr>
        <w:t xml:space="preserve">Date: </w:t>
      </w:r>
      <w:r>
        <w:rPr>
          <w:rFonts w:ascii="Arial" w:hAnsi="Arial"/>
          <w:i/>
          <w:iCs/>
          <w:lang w:val="en-CA"/>
        </w:rPr>
        <w:t>February 1, 2022</w:t>
      </w:r>
      <w:r>
        <w:rPr>
          <w:rFonts w:ascii="Arial" w:hAnsi="Arial"/>
          <w:lang w:val="en-CA"/>
        </w:rPr>
        <w:t xml:space="preserve">. Is this an updating or amending </w:t>
      </w:r>
      <w:bookmarkStart w:id="0" w:name="_9kR3WTr266457VQ3yif"/>
      <w:r>
        <w:rPr>
          <w:rFonts w:ascii="Arial" w:hAnsi="Arial"/>
          <w:lang w:val="en-CA"/>
        </w:rPr>
        <w:t>Notice</w:t>
      </w:r>
      <w:bookmarkEnd w:id="0"/>
      <w:r>
        <w:rPr>
          <w:rFonts w:ascii="Arial" w:hAnsi="Arial"/>
          <w:lang w:val="en-CA"/>
        </w:rPr>
        <w:t>:</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t>X No</w:t>
      </w:r>
      <w:r>
        <w:rPr>
          <w:rFonts w:ascii="Arial" w:hAnsi="Arial"/>
          <w:sz w:val="32"/>
          <w:lang w:val="en-CA"/>
        </w:rPr>
        <w:tab/>
      </w:r>
    </w:p>
    <w:p>
      <w:pPr>
        <w:pStyle w:val="BodyText"/>
        <w:tabs>
          <w:tab w:val="left" w:pos="9180"/>
        </w:tabs>
        <w:spacing w:before="0" w:after="120"/>
        <w:rPr>
          <w:rFonts w:ascii="Arial" w:hAnsi="Arial"/>
          <w:lang w:val="en-CA"/>
        </w:rPr>
      </w:pPr>
      <w:r>
        <w:rPr>
          <w:rFonts w:ascii="Arial" w:hAnsi="Arial"/>
          <w:lang w:val="en-CA"/>
        </w:rPr>
        <w:t xml:space="preserve">If yes provide date(s) of prior </w:t>
      </w:r>
      <w:bookmarkStart w:id="1" w:name="_9kMHG5YVt488679XS50kh"/>
      <w:r>
        <w:rPr>
          <w:rFonts w:ascii="Arial" w:hAnsi="Arial"/>
          <w:lang w:val="en-CA"/>
        </w:rPr>
        <w:t>Notices</w:t>
      </w:r>
      <w:bookmarkEnd w:id="1"/>
      <w:r>
        <w:rPr>
          <w:rFonts w:ascii="Arial" w:hAnsi="Arial"/>
          <w:lang w:val="en-CA"/>
        </w:rPr>
        <w:t xml:space="preserve">:  </w:t>
      </w:r>
      <w:r>
        <w:rPr>
          <w:rFonts w:ascii="Arial" w:hAnsi="Arial"/>
          <w:i/>
          <w:iCs/>
          <w:lang w:val="en-CA"/>
        </w:rPr>
        <w:t>N/A</w:t>
      </w:r>
      <w:r>
        <w:rPr>
          <w:rFonts w:ascii="Arial" w:hAnsi="Arial"/>
          <w:lang w:val="en-CA"/>
        </w:rPr>
        <w:t>.</w:t>
      </w:r>
    </w:p>
    <w:p>
      <w:pPr>
        <w:pStyle w:val="BodyText"/>
        <w:tabs>
          <w:tab w:val="left" w:pos="9180"/>
        </w:tabs>
        <w:spacing w:before="0" w:after="120"/>
        <w:rPr>
          <w:rFonts w:ascii="Arial" w:hAnsi="Arial"/>
          <w:lang w:val="en-CA"/>
        </w:rPr>
      </w:pPr>
      <w:bookmarkStart w:id="2" w:name="_9kMHG5YVt9ID6AFbZBABuptp0zfYp6MBEF1CNBg"/>
      <w:r>
        <w:rPr>
          <w:rFonts w:ascii="Arial" w:hAnsi="Arial"/>
          <w:lang w:val="en-CA"/>
        </w:rPr>
        <w:t>Issued and Outstanding Securities of Issuer Prior to</w:t>
      </w:r>
      <w:bookmarkEnd w:id="2"/>
      <w:r>
        <w:rPr>
          <w:rFonts w:ascii="Arial" w:hAnsi="Arial"/>
          <w:lang w:val="en-CA"/>
        </w:rPr>
        <w:t xml:space="preserve"> Issuance:  </w:t>
      </w:r>
    </w:p>
    <w:p>
      <w:pPr>
        <w:pStyle w:val="BodyText"/>
        <w:tabs>
          <w:tab w:val="left" w:pos="9180"/>
        </w:tabs>
        <w:spacing w:after="120"/>
        <w:rPr>
          <w:rFonts w:ascii="Arial" w:hAnsi="Arial"/>
          <w:i/>
          <w:iCs/>
          <w:lang w:val="en-CA"/>
        </w:rPr>
      </w:pPr>
      <w:r>
        <w:rPr>
          <w:rFonts w:ascii="Arial" w:hAnsi="Arial"/>
          <w:i/>
          <w:iCs/>
          <w:lang w:val="en-US"/>
        </w:rPr>
        <w:t>301,129,238.3038</w:t>
      </w:r>
      <w:r>
        <w:rPr>
          <w:rFonts w:ascii="Arial" w:hAnsi="Arial"/>
          <w:i/>
          <w:iCs/>
          <w:lang w:val="en-CA"/>
        </w:rPr>
        <w:t xml:space="preserve"> </w:t>
      </w:r>
      <w:bookmarkStart w:id="3" w:name="_9kR3WTr266458LChp8R"/>
      <w:r>
        <w:rPr>
          <w:rFonts w:ascii="Arial" w:hAnsi="Arial"/>
          <w:i/>
          <w:iCs/>
          <w:lang w:val="en-CA"/>
        </w:rPr>
        <w:t>Class A</w:t>
      </w:r>
      <w:bookmarkEnd w:id="3"/>
      <w:r>
        <w:rPr>
          <w:rFonts w:ascii="Arial" w:hAnsi="Arial"/>
          <w:i/>
          <w:iCs/>
          <w:lang w:val="en-CA"/>
        </w:rPr>
        <w:t xml:space="preserve"> subordinate voting shares in the capital of the Issuer (the “</w:t>
      </w:r>
      <w:r>
        <w:rPr>
          <w:rFonts w:ascii="Arial" w:hAnsi="Arial"/>
          <w:b/>
          <w:bCs/>
          <w:i/>
          <w:iCs/>
          <w:lang w:val="en-CA"/>
        </w:rPr>
        <w:t>Subordinate Voting Shares</w:t>
      </w:r>
      <w:r>
        <w:rPr>
          <w:rFonts w:ascii="Arial" w:hAnsi="Arial"/>
          <w:i/>
          <w:iCs/>
          <w:lang w:val="en-CA"/>
        </w:rPr>
        <w:t xml:space="preserve">”) and </w:t>
      </w:r>
      <w:r>
        <w:rPr>
          <w:rFonts w:ascii="Arial" w:hAnsi="Arial"/>
          <w:i/>
          <w:iCs/>
          <w:lang w:val="en-US"/>
        </w:rPr>
        <w:t>245,658.5910</w:t>
      </w:r>
      <w:r>
        <w:rPr>
          <w:rFonts w:ascii="Arial" w:hAnsi="Arial"/>
          <w:i/>
          <w:iCs/>
          <w:lang w:val="en-CA"/>
        </w:rPr>
        <w:t xml:space="preserve"> Class B proportionate voting shares in the capital of the Issuer (the “</w:t>
      </w:r>
      <w:r>
        <w:rPr>
          <w:rFonts w:ascii="Arial" w:hAnsi="Arial"/>
          <w:b/>
          <w:bCs/>
          <w:i/>
          <w:iCs/>
          <w:lang w:val="en-CA"/>
        </w:rPr>
        <w:t>Proportionate Voting Shares</w:t>
      </w:r>
      <w:r>
        <w:rPr>
          <w:rFonts w:ascii="Arial" w:hAnsi="Arial"/>
          <w:i/>
          <w:iCs/>
          <w:lang w:val="en-CA"/>
        </w:rPr>
        <w:t>”).</w:t>
      </w:r>
      <w:r>
        <w:t xml:space="preserve"> </w:t>
      </w:r>
    </w:p>
    <w:p>
      <w:pPr>
        <w:pStyle w:val="BodyText"/>
        <w:tabs>
          <w:tab w:val="left" w:pos="9180"/>
        </w:tabs>
        <w:spacing w:before="0" w:after="120"/>
        <w:rPr>
          <w:rFonts w:ascii="Arial" w:hAnsi="Arial"/>
          <w:lang w:val="en-CA"/>
        </w:rPr>
      </w:pPr>
    </w:p>
    <w:p>
      <w:pPr>
        <w:pStyle w:val="BodyText"/>
        <w:tabs>
          <w:tab w:val="left" w:pos="9180"/>
        </w:tabs>
        <w:spacing w:before="0" w:after="120"/>
        <w:rPr>
          <w:rFonts w:ascii="Arial" w:hAnsi="Arial"/>
          <w:b/>
          <w:lang w:val="en-CA"/>
        </w:rPr>
      </w:pPr>
      <w:r>
        <w:rPr>
          <w:rFonts w:ascii="Arial" w:hAnsi="Arial"/>
          <w:b/>
          <w:lang w:val="en-CA"/>
        </w:rPr>
        <w:t>Pricing</w:t>
      </w:r>
    </w:p>
    <w:p>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Pr>
          <w:rFonts w:ascii="Arial" w:hAnsi="Arial"/>
          <w:i/>
          <w:iCs/>
          <w:lang w:val="en-CA"/>
        </w:rPr>
        <w:t>February 1, 2022</w:t>
      </w:r>
    </w:p>
    <w:p>
      <w:pPr>
        <w:pStyle w:val="BodyText"/>
        <w:tabs>
          <w:tab w:val="left" w:pos="9180"/>
        </w:tabs>
        <w:spacing w:before="0" w:after="120"/>
        <w:rPr>
          <w:rFonts w:ascii="Arial" w:hAnsi="Arial"/>
          <w:i/>
          <w:iCs/>
          <w:lang w:val="en-CA"/>
        </w:rPr>
      </w:pPr>
      <w:r>
        <w:rPr>
          <w:rFonts w:ascii="Arial" w:hAnsi="Arial"/>
          <w:lang w:val="en-CA"/>
        </w:rPr>
        <w:t xml:space="preserve">Date of confidential request for price protection: </w:t>
      </w:r>
      <w:r>
        <w:rPr>
          <w:rFonts w:ascii="Arial" w:hAnsi="Arial"/>
          <w:i/>
          <w:iCs/>
          <w:lang w:val="en-CA"/>
        </w:rPr>
        <w:t>N/A.</w:t>
      </w:r>
    </w:p>
    <w:p>
      <w:pPr>
        <w:pStyle w:val="BodyText"/>
        <w:tabs>
          <w:tab w:val="left" w:pos="9180"/>
        </w:tabs>
        <w:spacing w:before="0" w:after="120"/>
        <w:rPr>
          <w:rFonts w:ascii="Arial" w:hAnsi="Arial"/>
          <w:lang w:val="en-CA"/>
        </w:rPr>
      </w:pPr>
      <w:r>
        <w:rPr>
          <w:rFonts w:ascii="Arial" w:hAnsi="Arial"/>
          <w:lang w:val="en-CA"/>
        </w:rPr>
        <w:t xml:space="preserve">Closing </w:t>
      </w:r>
      <w:bookmarkStart w:id="4" w:name="_9kR3WTr26645AXBnymwib1nkx7XF7xl7tuw1CB"/>
      <w:r>
        <w:rPr>
          <w:rFonts w:ascii="Arial" w:hAnsi="Arial"/>
          <w:lang w:val="en-CA"/>
        </w:rPr>
        <w:t>Market Price on Day Preceding</w:t>
      </w:r>
      <w:bookmarkEnd w:id="4"/>
      <w:r>
        <w:rPr>
          <w:rFonts w:ascii="Arial" w:hAnsi="Arial"/>
          <w:lang w:val="en-CA"/>
        </w:rPr>
        <w:t xml:space="preserve"> the news release: </w:t>
      </w:r>
      <w:r>
        <w:rPr>
          <w:rFonts w:ascii="Arial" w:hAnsi="Arial"/>
          <w:i/>
          <w:iCs/>
          <w:lang w:val="en-CA"/>
        </w:rPr>
        <w:t>$13.40.</w:t>
      </w:r>
    </w:p>
    <w:p>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i/>
          <w:iCs/>
          <w:lang w:val="en-CA"/>
        </w:rPr>
        <w:t>N/A</w:t>
      </w:r>
      <w:r>
        <w:rPr>
          <w:rFonts w:ascii="Arial" w:hAnsi="Arial"/>
          <w:lang w:val="en-CA"/>
        </w:rPr>
        <w:t>.</w:t>
      </w:r>
    </w:p>
    <w:p>
      <w:pPr>
        <w:pStyle w:val="BodyText"/>
        <w:tabs>
          <w:tab w:val="left" w:pos="9180"/>
        </w:tabs>
        <w:spacing w:before="0" w:after="120"/>
        <w:rPr>
          <w:rFonts w:ascii="Arial" w:hAnsi="Arial"/>
          <w:lang w:val="en-CA"/>
        </w:rPr>
      </w:pPr>
    </w:p>
    <w:p>
      <w:pPr>
        <w:pStyle w:val="BodyText"/>
        <w:tabs>
          <w:tab w:val="left" w:pos="9180"/>
        </w:tabs>
        <w:spacing w:before="0" w:after="120"/>
        <w:rPr>
          <w:rFonts w:ascii="Arial" w:hAnsi="Arial"/>
          <w:b/>
          <w:lang w:val="en-CA"/>
        </w:rPr>
      </w:pPr>
      <w:r>
        <w:rPr>
          <w:rFonts w:ascii="Arial" w:hAnsi="Arial"/>
          <w:b/>
          <w:lang w:val="en-CA"/>
        </w:rPr>
        <w:t>Closing</w:t>
      </w:r>
    </w:p>
    <w:p>
      <w:pPr>
        <w:pStyle w:val="BodyText"/>
        <w:tabs>
          <w:tab w:val="left" w:pos="9180"/>
        </w:tabs>
        <w:spacing w:before="0" w:after="120"/>
        <w:rPr>
          <w:rFonts w:ascii="Arial" w:hAnsi="Arial"/>
          <w:lang w:val="en-CA"/>
        </w:rPr>
      </w:pPr>
      <w:r>
        <w:rPr>
          <w:rFonts w:ascii="Arial" w:hAnsi="Arial"/>
          <w:lang w:val="en-CA"/>
        </w:rPr>
        <w:t xml:space="preserve">Number of securities to be issued: </w:t>
      </w:r>
    </w:p>
    <w:p>
      <w:pPr>
        <w:pStyle w:val="BodyText"/>
        <w:tabs>
          <w:tab w:val="left" w:pos="9180"/>
        </w:tabs>
        <w:spacing w:before="0" w:after="120"/>
        <w:jc w:val="both"/>
        <w:rPr>
          <w:rFonts w:ascii="Arial" w:hAnsi="Arial" w:cs="Arial"/>
          <w:i/>
          <w:lang w:val="en-CA"/>
        </w:rPr>
      </w:pPr>
      <w:r>
        <w:rPr>
          <w:rFonts w:ascii="Arial" w:hAnsi="Arial" w:cs="Arial"/>
          <w:i/>
          <w:lang w:val="en-CA"/>
        </w:rPr>
        <w:t xml:space="preserve">Approximately 36,554,484 Subordinate Voting Shares. </w:t>
      </w:r>
    </w:p>
    <w:p>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p>
    <w:p>
      <w:pPr>
        <w:pStyle w:val="BodyText"/>
        <w:tabs>
          <w:tab w:val="left" w:pos="9180"/>
        </w:tabs>
        <w:spacing w:before="0" w:after="120"/>
        <w:jc w:val="both"/>
        <w:rPr>
          <w:rFonts w:ascii="Arial" w:hAnsi="Arial"/>
          <w:i/>
          <w:iCs/>
          <w:lang w:val="en-CA"/>
        </w:rPr>
      </w:pPr>
      <w:r>
        <w:rPr>
          <w:rFonts w:ascii="Arial" w:hAnsi="Arial"/>
          <w:i/>
          <w:iCs/>
          <w:lang w:val="en-CA"/>
        </w:rPr>
        <w:t xml:space="preserve">Following the issuance, approximately 337,683,722.3038 Subordinate Voting Shares and </w:t>
      </w:r>
      <w:r>
        <w:rPr>
          <w:rFonts w:ascii="Arial" w:hAnsi="Arial"/>
          <w:i/>
          <w:iCs/>
          <w:lang w:val="en-US"/>
        </w:rPr>
        <w:t>245,658.5910</w:t>
      </w:r>
      <w:r>
        <w:rPr>
          <w:rFonts w:ascii="Arial" w:hAnsi="Arial"/>
          <w:i/>
          <w:iCs/>
          <w:lang w:val="en-CA"/>
        </w:rPr>
        <w:t xml:space="preserve"> Proportionate Voting Shares will be issued and outstanding.</w:t>
      </w:r>
    </w:p>
    <w:p>
      <w:pPr>
        <w:rPr>
          <w:rFonts w:ascii="Arial" w:hAnsi="Arial"/>
          <w:b/>
          <w:sz w:val="24"/>
          <w:lang w:val="en-CA"/>
        </w:rPr>
      </w:pPr>
      <w:r>
        <w:rPr>
          <w:rFonts w:ascii="Arial" w:hAnsi="Arial"/>
          <w:b/>
          <w:lang w:val="en-CA"/>
        </w:rPr>
        <w:br w:type="page"/>
      </w:r>
    </w:p>
    <w:p>
      <w:pPr>
        <w:pStyle w:val="BodyText"/>
        <w:tabs>
          <w:tab w:val="left" w:pos="9180"/>
        </w:tabs>
        <w:spacing w:before="0" w:after="120"/>
        <w:rPr>
          <w:rFonts w:ascii="Arial" w:hAnsi="Arial"/>
          <w:b/>
          <w:lang w:val="en-CA"/>
        </w:rPr>
      </w:pPr>
      <w:r>
        <w:rPr>
          <w:rFonts w:ascii="Arial" w:hAnsi="Arial"/>
          <w:b/>
          <w:lang w:val="en-CA"/>
        </w:rPr>
        <w:lastRenderedPageBreak/>
        <w:t>Instructions:</w:t>
      </w:r>
    </w:p>
    <w:p>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pPr>
        <w:pStyle w:val="BodyText"/>
        <w:numPr>
          <w:ilvl w:val="0"/>
          <w:numId w:val="18"/>
        </w:numPr>
        <w:tabs>
          <w:tab w:val="left" w:pos="9180"/>
        </w:tabs>
        <w:spacing w:before="0" w:after="120"/>
        <w:ind w:left="426"/>
        <w:rPr>
          <w:rFonts w:ascii="Arial" w:hAnsi="Arial"/>
          <w:lang w:val="en-CA"/>
        </w:rPr>
      </w:pPr>
      <w:r>
        <w:rPr>
          <w:rFonts w:ascii="Arial" w:hAnsi="Arial"/>
          <w:lang w:val="en-CA"/>
        </w:rPr>
        <w:t xml:space="preserve">Complete Table 1A – </w:t>
      </w:r>
      <w:bookmarkStart w:id="5" w:name="_9kR3WTr266469bb2vkqF"/>
      <w:r>
        <w:rPr>
          <w:rFonts w:ascii="Arial" w:hAnsi="Arial"/>
          <w:lang w:val="en-CA"/>
        </w:rPr>
        <w:t>Summary</w:t>
      </w:r>
      <w:bookmarkEnd w:id="5"/>
      <w:r>
        <w:rPr>
          <w:rFonts w:ascii="Arial" w:hAnsi="Arial"/>
          <w:lang w:val="en-CA"/>
        </w:rPr>
        <w:t xml:space="preserve"> for all purchasers, excluding those identified in Item 8.</w:t>
      </w:r>
    </w:p>
    <w:p>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pPr>
        <w:pStyle w:val="BodyText"/>
        <w:numPr>
          <w:ilvl w:val="0"/>
          <w:numId w:val="18"/>
        </w:numPr>
        <w:tabs>
          <w:tab w:val="left" w:pos="9180"/>
        </w:tabs>
        <w:spacing w:before="0" w:after="120"/>
        <w:ind w:left="426"/>
        <w:rPr>
          <w:rFonts w:ascii="Arial" w:hAnsi="Arial"/>
          <w:lang w:val="en-CA"/>
        </w:rPr>
      </w:pPr>
      <w:r>
        <w:rPr>
          <w:rFonts w:ascii="Arial" w:hAnsi="Arial"/>
          <w:lang w:val="en-CA"/>
        </w:rPr>
        <w:t xml:space="preserve">An issuance of non-convertible debt does not have to be reported unless it is a significant transaction as defined in </w:t>
      </w:r>
      <w:bookmarkStart w:id="6" w:name="_9kR3WTr26646AZSvqizV"/>
      <w:r>
        <w:rPr>
          <w:rFonts w:ascii="Arial" w:hAnsi="Arial"/>
          <w:lang w:val="en-CA"/>
        </w:rPr>
        <w:t>Policy 7</w:t>
      </w:r>
      <w:bookmarkEnd w:id="6"/>
      <w:r>
        <w:rPr>
          <w:rFonts w:ascii="Arial" w:hAnsi="Arial"/>
          <w:lang w:val="en-CA"/>
        </w:rPr>
        <w:t xml:space="preserve">, in which case it is to be reported on </w:t>
      </w:r>
      <w:bookmarkStart w:id="7" w:name="_9kR3WTr26646BQI10BD"/>
      <w:r>
        <w:rPr>
          <w:rFonts w:ascii="Arial" w:hAnsi="Arial"/>
          <w:lang w:val="en-CA"/>
        </w:rPr>
        <w:t>Form 10</w:t>
      </w:r>
      <w:bookmarkEnd w:id="7"/>
      <w:r>
        <w:rPr>
          <w:rFonts w:ascii="Arial" w:hAnsi="Arial"/>
          <w:lang w:val="en-CA"/>
        </w:rPr>
        <w:t xml:space="preserve"> – </w:t>
      </w:r>
      <w:bookmarkStart w:id="8" w:name="_9kR3WTr26646CZQ3yifsuWd989D4qgp30J7sCJF"/>
      <w:r>
        <w:rPr>
          <w:rFonts w:ascii="Arial" w:hAnsi="Arial"/>
          <w:lang w:val="en-CA"/>
        </w:rPr>
        <w:t>Notice of Proposed Transaction</w:t>
      </w:r>
      <w:bookmarkEnd w:id="8"/>
    </w:p>
    <w:p>
      <w:pPr>
        <w:pStyle w:val="BodyText"/>
        <w:numPr>
          <w:ilvl w:val="0"/>
          <w:numId w:val="18"/>
        </w:numPr>
        <w:tabs>
          <w:tab w:val="left" w:pos="9180"/>
        </w:tabs>
        <w:spacing w:before="0" w:after="120"/>
        <w:ind w:left="426"/>
        <w:rPr>
          <w:rFonts w:ascii="Arial" w:hAnsi="Arial"/>
          <w:b/>
          <w:lang w:val="en-CA"/>
        </w:rPr>
      </w:pPr>
      <w:r>
        <w:rPr>
          <w:rFonts w:ascii="Arial" w:hAnsi="Arial"/>
          <w:lang w:val="en-CA"/>
        </w:rPr>
        <w:t xml:space="preserve">Post the completed Form 9 to the CSE website in accordance with </w:t>
      </w:r>
      <w:bookmarkStart w:id="9" w:name="_9kR3WTr26646DcSvqizU"/>
      <w:r>
        <w:rPr>
          <w:rFonts w:ascii="Arial" w:hAnsi="Arial"/>
          <w:i/>
          <w:lang w:val="en-CA"/>
        </w:rPr>
        <w:t>Policy 6</w:t>
      </w:r>
      <w:bookmarkEnd w:id="9"/>
      <w:r>
        <w:rPr>
          <w:rFonts w:ascii="Arial" w:hAnsi="Arial"/>
          <w:i/>
          <w:lang w:val="en-CA"/>
        </w:rPr>
        <w:t xml:space="preserve"> – </w:t>
      </w:r>
      <w:bookmarkStart w:id="10" w:name="_9kR3WTr26646ERAw88yjwF406B"/>
      <w:r>
        <w:rPr>
          <w:rFonts w:ascii="Arial" w:hAnsi="Arial"/>
          <w:i/>
          <w:lang w:val="en-CA"/>
        </w:rPr>
        <w:t>Distributions</w:t>
      </w:r>
      <w:bookmarkEnd w:id="10"/>
      <w:r>
        <w:rPr>
          <w:rFonts w:ascii="Arial" w:hAnsi="Arial"/>
          <w:i/>
          <w:lang w:val="en-CA"/>
        </w:rPr>
        <w:t>.</w:t>
      </w:r>
      <w:r>
        <w:rPr>
          <w:rFonts w:ascii="Arial" w:hAnsi="Arial"/>
          <w:lang w:val="en-CA"/>
        </w:rPr>
        <w:t xml:space="preserve">  In addition, the completed form must be delivered to </w:t>
      </w:r>
      <w:hyperlink r:id="rId8" w:history="1">
        <w:r>
          <w:rPr>
            <w:rStyle w:val="Hyperlink"/>
            <w:rFonts w:ascii="Arial" w:hAnsi="Arial"/>
            <w:lang w:val="en-CA"/>
          </w:rPr>
          <w:t>listings@thecse.com</w:t>
        </w:r>
      </w:hyperlink>
      <w:r>
        <w:rPr>
          <w:rFonts w:ascii="Arial" w:hAnsi="Arial"/>
          <w:lang w:val="en-CA"/>
        </w:rPr>
        <w:t xml:space="preserve"> with an appendix that includes the information in Table 1B for ALL </w:t>
      </w:r>
      <w:proofErr w:type="spellStart"/>
      <w:r>
        <w:rPr>
          <w:rFonts w:ascii="Arial" w:hAnsi="Arial"/>
          <w:lang w:val="en-CA"/>
        </w:rPr>
        <w:t>placees</w:t>
      </w:r>
      <w:proofErr w:type="spellEnd"/>
      <w:r>
        <w:rPr>
          <w:rFonts w:ascii="Arial" w:hAnsi="Arial"/>
          <w:lang w:val="en-CA"/>
        </w:rPr>
        <w:t>.</w:t>
      </w:r>
      <w:r>
        <w:rPr>
          <w:rFonts w:ascii="Arial" w:hAnsi="Arial"/>
          <w:b/>
          <w:lang w:val="en-CA"/>
        </w:rPr>
        <w:br w:type="page"/>
      </w:r>
    </w:p>
    <w:p>
      <w:pPr>
        <w:pStyle w:val="BodyText"/>
        <w:tabs>
          <w:tab w:val="left" w:pos="1080"/>
          <w:tab w:val="left" w:pos="4230"/>
        </w:tabs>
        <w:rPr>
          <w:rFonts w:ascii="Arial" w:hAnsi="Arial"/>
          <w:color w:val="000000"/>
        </w:rPr>
      </w:pPr>
      <w:r>
        <w:rPr>
          <w:rFonts w:ascii="Arial" w:hAnsi="Arial"/>
          <w:b/>
          <w:color w:val="000000"/>
        </w:rPr>
        <w:lastRenderedPageBreak/>
        <w:t>Part 2.</w:t>
      </w:r>
      <w:r>
        <w:rPr>
          <w:rFonts w:ascii="Arial" w:hAnsi="Arial"/>
          <w:b/>
          <w:color w:val="000000"/>
        </w:rPr>
        <w:tab/>
        <w:t>Acquisition</w:t>
      </w:r>
    </w:p>
    <w:p>
      <w:pPr>
        <w:pStyle w:val="List"/>
        <w:tabs>
          <w:tab w:val="left" w:pos="9180"/>
        </w:tabs>
        <w:spacing w:before="0"/>
        <w:ind w:left="0" w:firstLine="0"/>
        <w:jc w:val="both"/>
        <w:rPr>
          <w:rFonts w:ascii="Arial" w:hAnsi="Arial"/>
          <w:color w:val="000000"/>
        </w:rPr>
      </w:pPr>
    </w:p>
    <w:p>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pPr>
        <w:pStyle w:val="List"/>
        <w:tabs>
          <w:tab w:val="left" w:pos="9180"/>
        </w:tabs>
        <w:spacing w:before="0"/>
        <w:ind w:firstLine="0"/>
        <w:jc w:val="both"/>
        <w:rPr>
          <w:rFonts w:ascii="Arial" w:hAnsi="Arial" w:cs="Arial"/>
          <w:i/>
          <w:iCs/>
        </w:rPr>
      </w:pPr>
    </w:p>
    <w:p>
      <w:pPr>
        <w:pStyle w:val="List"/>
        <w:tabs>
          <w:tab w:val="left" w:pos="9180"/>
        </w:tabs>
        <w:spacing w:before="0"/>
        <w:jc w:val="both"/>
        <w:rPr>
          <w:rFonts w:ascii="Arial" w:hAnsi="Arial" w:cs="Arial"/>
          <w:i/>
          <w:iCs/>
          <w:lang w:val="en-CA"/>
        </w:rPr>
      </w:pPr>
      <w:r>
        <w:rPr>
          <w:rFonts w:ascii="Arial" w:hAnsi="Arial" w:cs="Arial"/>
          <w:i/>
          <w:iCs/>
        </w:rPr>
        <w:tab/>
        <w:t>The Issuer entered into an arrangement agreement (the “</w:t>
      </w:r>
      <w:r>
        <w:rPr>
          <w:rFonts w:ascii="Arial" w:hAnsi="Arial" w:cs="Arial"/>
          <w:b/>
          <w:bCs/>
          <w:i/>
          <w:iCs/>
        </w:rPr>
        <w:t>Arrangement Agreement</w:t>
      </w:r>
      <w:r>
        <w:rPr>
          <w:rFonts w:ascii="Arial" w:hAnsi="Arial" w:cs="Arial"/>
          <w:i/>
          <w:iCs/>
        </w:rPr>
        <w:t>”), dated January 31, 2021, with Goodness Growth Holdings, Inc. (“</w:t>
      </w:r>
      <w:r>
        <w:rPr>
          <w:rFonts w:ascii="Arial" w:hAnsi="Arial" w:cs="Arial"/>
          <w:b/>
          <w:bCs/>
          <w:i/>
          <w:iCs/>
        </w:rPr>
        <w:t>Goodness</w:t>
      </w:r>
      <w:r>
        <w:rPr>
          <w:rFonts w:ascii="Arial" w:hAnsi="Arial" w:cs="Arial"/>
          <w:i/>
          <w:iCs/>
        </w:rPr>
        <w:t xml:space="preserve">”), pursuant to which the Issuer </w:t>
      </w:r>
      <w:r>
        <w:rPr>
          <w:rFonts w:ascii="Arial" w:hAnsi="Arial" w:cs="Arial"/>
          <w:i/>
          <w:iCs/>
          <w:lang w:val="en-CA"/>
        </w:rPr>
        <w:t>will acquire all of the issued and outstanding subordinate voting shares, multiple voting shares and super voting shares of Goodness (the "</w:t>
      </w:r>
      <w:r>
        <w:rPr>
          <w:rFonts w:ascii="Arial" w:hAnsi="Arial" w:cs="Arial"/>
          <w:b/>
          <w:bCs/>
          <w:i/>
          <w:iCs/>
          <w:lang w:val="en-CA"/>
        </w:rPr>
        <w:t>Goodness Shares</w:t>
      </w:r>
      <w:r>
        <w:rPr>
          <w:rFonts w:ascii="Arial" w:hAnsi="Arial" w:cs="Arial"/>
          <w:i/>
          <w:iCs/>
          <w:lang w:val="en-CA"/>
        </w:rPr>
        <w:t>"), with each Goodness shareholder expected to receive 0.22652 of a Subordinate Voting Share for each subordinate voting share (on an as-converted to subordinate voting share basis) of Goodness (the “</w:t>
      </w:r>
      <w:r>
        <w:rPr>
          <w:rFonts w:ascii="Arial" w:hAnsi="Arial" w:cs="Arial"/>
          <w:b/>
          <w:bCs/>
          <w:i/>
          <w:iCs/>
          <w:lang w:val="en-CA"/>
        </w:rPr>
        <w:t>Acquisition</w:t>
      </w:r>
      <w:r>
        <w:rPr>
          <w:rFonts w:ascii="Arial" w:hAnsi="Arial" w:cs="Arial"/>
          <w:i/>
          <w:iCs/>
          <w:lang w:val="en-CA"/>
        </w:rPr>
        <w:t>”). The Acquisition will be effected by way of a plan of arrangement under the Business Corporations Act (British Columbia).</w:t>
      </w:r>
    </w:p>
    <w:p>
      <w:pPr>
        <w:pStyle w:val="List"/>
        <w:tabs>
          <w:tab w:val="left" w:pos="9180"/>
        </w:tabs>
        <w:spacing w:before="0"/>
        <w:jc w:val="both"/>
        <w:rPr>
          <w:rFonts w:ascii="Arial" w:hAnsi="Arial" w:cs="Arial"/>
          <w:i/>
          <w:iCs/>
          <w:lang w:val="en-CA"/>
        </w:rPr>
      </w:pPr>
    </w:p>
    <w:p>
      <w:pPr>
        <w:pStyle w:val="List"/>
        <w:tabs>
          <w:tab w:val="left" w:pos="9180"/>
        </w:tabs>
        <w:spacing w:before="0"/>
        <w:jc w:val="both"/>
        <w:rPr>
          <w:rFonts w:ascii="Arial" w:hAnsi="Arial" w:cs="Arial"/>
          <w:i/>
          <w:iCs/>
          <w:lang w:val="en-CA"/>
        </w:rPr>
      </w:pPr>
      <w:r>
        <w:rPr>
          <w:rFonts w:ascii="Arial" w:hAnsi="Arial" w:cs="Arial"/>
          <w:i/>
          <w:iCs/>
          <w:lang w:val="en-CA"/>
        </w:rPr>
        <w:tab/>
        <w:t>The parties to the Arrangement Agreement are arms-length. The Arrangement Agreement provides for customary provisions, including covenants in respect of non-solicitation of alternative transactions, a right to match superior proposals, US$14.875 million reciprocal termination fees under certain circumstances and reciprocal expense reimbursement provisions in certain circumstances.</w:t>
      </w:r>
    </w:p>
    <w:p>
      <w:pPr>
        <w:pStyle w:val="List"/>
        <w:tabs>
          <w:tab w:val="left" w:pos="9180"/>
        </w:tabs>
        <w:spacing w:before="0"/>
        <w:jc w:val="both"/>
        <w:rPr>
          <w:rFonts w:ascii="Arial" w:hAnsi="Arial" w:cs="Arial"/>
          <w:i/>
          <w:iCs/>
          <w:lang w:val="en-CA"/>
        </w:rPr>
      </w:pPr>
    </w:p>
    <w:p>
      <w:pPr>
        <w:pStyle w:val="List"/>
        <w:tabs>
          <w:tab w:val="left" w:pos="9180"/>
        </w:tabs>
        <w:spacing w:before="0"/>
        <w:jc w:val="both"/>
        <w:rPr>
          <w:rFonts w:ascii="Arial" w:hAnsi="Arial" w:cs="Arial"/>
          <w:i/>
          <w:iCs/>
          <w:lang w:val="en-CA"/>
        </w:rPr>
      </w:pPr>
      <w:r>
        <w:rPr>
          <w:rFonts w:ascii="Arial" w:hAnsi="Arial" w:cs="Arial"/>
          <w:i/>
          <w:iCs/>
          <w:lang w:val="en-CA"/>
        </w:rPr>
        <w:tab/>
        <w:t>As a result of the Acquisition, the Issuer will acquire, among others, (</w:t>
      </w:r>
      <w:proofErr w:type="spellStart"/>
      <w:r>
        <w:rPr>
          <w:rFonts w:ascii="Arial" w:hAnsi="Arial" w:cs="Arial"/>
          <w:i/>
          <w:iCs/>
          <w:lang w:val="en-CA"/>
        </w:rPr>
        <w:t>i</w:t>
      </w:r>
      <w:proofErr w:type="spellEnd"/>
      <w:r>
        <w:rPr>
          <w:rFonts w:ascii="Arial" w:hAnsi="Arial" w:cs="Arial"/>
          <w:i/>
          <w:iCs/>
          <w:lang w:val="en-CA"/>
        </w:rPr>
        <w:t>) a vertically integrated license in New York, which includes one cultivation license, four active dispensaries, and four additional dispensaries planned in high-traffic location; (ii) a vertically-integrated license in Minnesota which includes one cultivation license and eight active dispensaries; (iii) a cultivation facility and four medical dispensaries in New Mexico; and (iv) an 18-acre outdoor cultivation facility in Arizona.</w:t>
      </w:r>
    </w:p>
    <w:p>
      <w:pPr>
        <w:pStyle w:val="List"/>
        <w:tabs>
          <w:tab w:val="left" w:pos="9180"/>
        </w:tabs>
        <w:spacing w:before="0"/>
        <w:jc w:val="both"/>
        <w:rPr>
          <w:rFonts w:ascii="Arial" w:hAnsi="Arial" w:cs="Arial"/>
          <w:i/>
          <w:iCs/>
          <w:lang w:val="en-CA"/>
        </w:rPr>
      </w:pPr>
    </w:p>
    <w:p>
      <w:pPr>
        <w:pStyle w:val="List"/>
        <w:tabs>
          <w:tab w:val="left" w:pos="9180"/>
        </w:tabs>
        <w:spacing w:before="0"/>
        <w:ind w:firstLine="0"/>
        <w:jc w:val="both"/>
        <w:rPr>
          <w:rFonts w:ascii="Arial" w:hAnsi="Arial" w:cs="Arial"/>
          <w:i/>
          <w:iCs/>
          <w:lang w:val="en-CA"/>
        </w:rPr>
      </w:pPr>
      <w:r>
        <w:rPr>
          <w:rFonts w:ascii="Arial" w:hAnsi="Arial" w:cs="Arial"/>
          <w:i/>
          <w:iCs/>
        </w:rPr>
        <w:t>Additional details of the Acquisition will be described in the management information circular and proxy statement (the “</w:t>
      </w:r>
      <w:r>
        <w:rPr>
          <w:rFonts w:ascii="Arial" w:hAnsi="Arial" w:cs="Arial"/>
          <w:b/>
          <w:bCs/>
          <w:i/>
          <w:iCs/>
        </w:rPr>
        <w:t>Circular</w:t>
      </w:r>
      <w:r>
        <w:rPr>
          <w:rFonts w:ascii="Arial" w:hAnsi="Arial" w:cs="Arial"/>
          <w:i/>
          <w:iCs/>
        </w:rPr>
        <w:t>”) that will be mailed to Goodness shareholders in connection with a special meeting of Goodness shareholders (the “</w:t>
      </w:r>
      <w:r>
        <w:rPr>
          <w:rFonts w:ascii="Arial" w:hAnsi="Arial" w:cs="Arial"/>
          <w:b/>
          <w:bCs/>
          <w:i/>
          <w:iCs/>
        </w:rPr>
        <w:t>Meeting</w:t>
      </w:r>
      <w:r>
        <w:rPr>
          <w:rFonts w:ascii="Arial" w:hAnsi="Arial" w:cs="Arial"/>
          <w:i/>
          <w:iCs/>
        </w:rPr>
        <w:t>”) to approve the Acquisition.</w:t>
      </w:r>
    </w:p>
    <w:p>
      <w:pPr>
        <w:pStyle w:val="List"/>
        <w:tabs>
          <w:tab w:val="left" w:pos="9180"/>
        </w:tabs>
        <w:spacing w:before="0"/>
        <w:ind w:firstLine="0"/>
        <w:jc w:val="both"/>
        <w:rPr>
          <w:rFonts w:ascii="Arial" w:hAnsi="Arial" w:cs="Arial"/>
          <w:i/>
          <w:iCs/>
          <w:lang w:val="en-CA"/>
        </w:rPr>
      </w:pPr>
    </w:p>
    <w:p>
      <w:pPr>
        <w:pStyle w:val="List"/>
        <w:tabs>
          <w:tab w:val="left" w:pos="9180"/>
        </w:tabs>
        <w:spacing w:before="0"/>
        <w:ind w:firstLine="0"/>
        <w:jc w:val="both"/>
        <w:rPr>
          <w:rFonts w:ascii="Arial" w:hAnsi="Arial" w:cs="Arial"/>
          <w:i/>
          <w:iCs/>
          <w:lang w:val="en-CA"/>
        </w:rPr>
      </w:pPr>
      <w:r>
        <w:rPr>
          <w:rFonts w:ascii="Arial" w:hAnsi="Arial" w:cs="Arial"/>
          <w:i/>
          <w:iCs/>
          <w:lang w:val="en-CA"/>
        </w:rPr>
        <w:t>The Acquisition is subject to, among other things, the approvals of the Supreme Court of British Columbia, the approval of two-thirds of the votes cast by Goodness shareholders at the Meeting, receipt of U.S. regulatory approvals, including pursuant to the Hart–Scott–</w:t>
      </w:r>
      <w:proofErr w:type="spellStart"/>
      <w:r>
        <w:rPr>
          <w:rFonts w:ascii="Arial" w:hAnsi="Arial" w:cs="Arial"/>
          <w:i/>
          <w:iCs/>
          <w:lang w:val="en-CA"/>
        </w:rPr>
        <w:t>Rodino</w:t>
      </w:r>
      <w:proofErr w:type="spellEnd"/>
      <w:r>
        <w:rPr>
          <w:rFonts w:ascii="Arial" w:hAnsi="Arial" w:cs="Arial"/>
          <w:i/>
          <w:iCs/>
          <w:lang w:val="en-CA"/>
        </w:rPr>
        <w:t xml:space="preserve"> Antitrust Improvements Act and New York State regulatory requirements, and other customary conditions of closing. Additional details of the Transaction will be provided in the Circular.</w:t>
      </w:r>
    </w:p>
    <w:p>
      <w:pPr>
        <w:pStyle w:val="List"/>
        <w:tabs>
          <w:tab w:val="left" w:pos="9180"/>
        </w:tabs>
        <w:spacing w:before="0"/>
        <w:ind w:left="0" w:firstLine="0"/>
        <w:jc w:val="both"/>
        <w:rPr>
          <w:rFonts w:ascii="Arial" w:hAnsi="Arial" w:cs="Arial"/>
          <w:i/>
          <w:iCs/>
          <w:color w:val="000000"/>
        </w:rPr>
      </w:pPr>
    </w:p>
    <w:p>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lastRenderedPageBreak/>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 The disclosure should be sufficiently complete to enable a reader to appreciate the significance of the acquisition without reference to any other material:</w:t>
      </w:r>
    </w:p>
    <w:p>
      <w:pPr>
        <w:pStyle w:val="List"/>
        <w:tabs>
          <w:tab w:val="left" w:pos="9180"/>
        </w:tabs>
        <w:spacing w:before="0"/>
        <w:ind w:firstLine="0"/>
        <w:jc w:val="both"/>
        <w:rPr>
          <w:rFonts w:ascii="Arial" w:hAnsi="Arial"/>
          <w:color w:val="000000"/>
        </w:rPr>
      </w:pPr>
    </w:p>
    <w:p>
      <w:pPr>
        <w:pStyle w:val="List"/>
        <w:tabs>
          <w:tab w:val="left" w:pos="9180"/>
        </w:tabs>
        <w:spacing w:before="0"/>
        <w:ind w:firstLine="0"/>
        <w:jc w:val="both"/>
        <w:rPr>
          <w:rFonts w:ascii="Arial" w:hAnsi="Arial"/>
          <w:i/>
          <w:iCs/>
          <w:color w:val="000000"/>
        </w:rPr>
      </w:pPr>
      <w:r>
        <w:rPr>
          <w:rFonts w:ascii="Arial" w:hAnsi="Arial"/>
          <w:i/>
          <w:iCs/>
          <w:color w:val="000000"/>
        </w:rPr>
        <w:t>See response to Item 1 above.</w:t>
      </w:r>
    </w:p>
    <w:p>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
    <w:p>
      <w:pPr>
        <w:pStyle w:val="List"/>
        <w:tabs>
          <w:tab w:val="left" w:pos="9180"/>
        </w:tabs>
        <w:ind w:left="2160" w:firstLine="0"/>
        <w:jc w:val="both"/>
        <w:rPr>
          <w:rFonts w:ascii="Arial" w:hAnsi="Arial"/>
          <w:i/>
          <w:iCs/>
          <w:color w:val="000000"/>
        </w:rPr>
      </w:pPr>
      <w:r>
        <w:rPr>
          <w:rFonts w:ascii="Arial" w:hAnsi="Arial"/>
          <w:i/>
          <w:iCs/>
          <w:color w:val="000000"/>
        </w:rPr>
        <w:t xml:space="preserve">Pursuant to the Amalgamation Agreement, </w:t>
      </w:r>
      <w:r>
        <w:rPr>
          <w:rFonts w:ascii="Arial" w:hAnsi="Arial" w:cs="Arial"/>
          <w:i/>
          <w:iCs/>
          <w:lang w:val="en-CA"/>
        </w:rPr>
        <w:t>each Goodness shareholder is expected to receive 0.22652 of a Subordinate Voting Share for each share of Goodness, resulting in a transaction valued at approximately US$</w:t>
      </w:r>
      <w:r>
        <w:rPr>
          <w:rFonts w:ascii="Arial" w:hAnsi="Arial" w:cs="Arial"/>
          <w:i/>
          <w:lang w:val="en-CA"/>
        </w:rPr>
        <w:t>413</w:t>
      </w:r>
      <w:r>
        <w:rPr>
          <w:rFonts w:ascii="Arial" w:hAnsi="Arial" w:cs="Arial"/>
          <w:i/>
          <w:iCs/>
          <w:lang w:val="en-CA"/>
        </w:rPr>
        <w:t xml:space="preserve"> million.</w:t>
      </w:r>
    </w:p>
    <w:p>
      <w:pPr>
        <w:pStyle w:val="List"/>
        <w:numPr>
          <w:ilvl w:val="0"/>
          <w:numId w:val="13"/>
        </w:numPr>
        <w:tabs>
          <w:tab w:val="left" w:pos="2160"/>
          <w:tab w:val="left" w:pos="9180"/>
        </w:tabs>
        <w:rPr>
          <w:rFonts w:ascii="Arial" w:hAnsi="Arial"/>
          <w:color w:val="000000"/>
        </w:rPr>
      </w:pPr>
      <w:r>
        <w:rPr>
          <w:rFonts w:ascii="Arial" w:hAnsi="Arial"/>
          <w:color w:val="000000"/>
        </w:rPr>
        <w:t>Cash: N/A</w:t>
      </w:r>
      <w:r>
        <w:rPr>
          <w:rFonts w:ascii="Arial" w:hAnsi="Arial" w:cs="Arial"/>
          <w:i/>
          <w:iCs/>
          <w:color w:val="000000"/>
        </w:rPr>
        <w:t>.</w:t>
      </w:r>
    </w:p>
    <w:p>
      <w:pPr>
        <w:pStyle w:val="List"/>
        <w:numPr>
          <w:ilvl w:val="0"/>
          <w:numId w:val="13"/>
        </w:numPr>
        <w:tabs>
          <w:tab w:val="left" w:pos="2160"/>
          <w:tab w:val="left" w:pos="9180"/>
        </w:tabs>
        <w:rPr>
          <w:rFonts w:ascii="Arial" w:hAnsi="Arial"/>
          <w:color w:val="000000"/>
        </w:rPr>
      </w:pPr>
      <w:bookmarkStart w:id="11" w:name="_9kMHG5YVt48868HjNevB03K"/>
      <w:r>
        <w:rPr>
          <w:rFonts w:ascii="Arial" w:hAnsi="Arial"/>
          <w:color w:val="000000"/>
        </w:rPr>
        <w:t>Securities</w:t>
      </w:r>
      <w:bookmarkEnd w:id="11"/>
      <w:r>
        <w:rPr>
          <w:rFonts w:ascii="Arial" w:hAnsi="Arial"/>
          <w:color w:val="000000"/>
        </w:rPr>
        <w:t xml:space="preserve"> (including options, warrants etc.) and dollar value: </w:t>
      </w:r>
    </w:p>
    <w:p>
      <w:pPr>
        <w:pStyle w:val="BodyText"/>
        <w:tabs>
          <w:tab w:val="left" w:pos="9180"/>
        </w:tabs>
        <w:spacing w:before="0"/>
        <w:rPr>
          <w:rFonts w:ascii="Arial" w:hAnsi="Arial"/>
          <w:lang w:val="en-CA"/>
        </w:rPr>
      </w:pPr>
    </w:p>
    <w:p>
      <w:pPr>
        <w:pStyle w:val="BodyText"/>
        <w:tabs>
          <w:tab w:val="left" w:pos="9180"/>
        </w:tabs>
        <w:spacing w:before="0" w:after="120"/>
        <w:ind w:left="2160"/>
        <w:jc w:val="both"/>
        <w:rPr>
          <w:rFonts w:ascii="Arial" w:hAnsi="Arial" w:cs="Arial"/>
          <w:i/>
          <w:lang w:val="en-CA"/>
        </w:rPr>
      </w:pPr>
      <w:r>
        <w:rPr>
          <w:rFonts w:ascii="Arial" w:hAnsi="Arial" w:cs="Arial"/>
          <w:i/>
          <w:lang w:val="en-CA"/>
        </w:rPr>
        <w:t>Approximately 36,554,484 Subordinate Voting Shares and at a price of $13.40 per Subordinate Voting Share, having an aggregate value of approximately CAD$489.83 million</w:t>
      </w:r>
      <w:r>
        <w:rPr>
          <w:rFonts w:ascii="Arial" w:hAnsi="Arial" w:cs="Arial"/>
          <w:i/>
        </w:rPr>
        <w:t xml:space="preserve">. </w:t>
      </w:r>
    </w:p>
    <w:p>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i/>
          <w:iCs/>
          <w:color w:val="000000"/>
        </w:rPr>
        <w:t>N/A.</w:t>
      </w:r>
      <w:r>
        <w:rPr>
          <w:rFonts w:ascii="Arial" w:hAnsi="Arial"/>
          <w:color w:val="000000"/>
        </w:rPr>
        <w:t xml:space="preserve"> </w:t>
      </w:r>
    </w:p>
    <w:p>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i/>
          <w:iCs/>
          <w:color w:val="000000"/>
        </w:rPr>
        <w:t>N/A.</w:t>
      </w:r>
    </w:p>
    <w:p>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i/>
          <w:iCs/>
          <w:color w:val="000000"/>
        </w:rPr>
        <w:t>N/A.</w:t>
      </w:r>
    </w:p>
    <w:p>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i/>
          <w:iCs/>
          <w:color w:val="000000"/>
        </w:rPr>
        <w:t>N/A.</w:t>
      </w:r>
    </w:p>
    <w:p>
      <w:pPr>
        <w:pStyle w:val="List"/>
        <w:tabs>
          <w:tab w:val="left" w:pos="9180"/>
        </w:tabs>
        <w:rPr>
          <w:rFonts w:ascii="Arial" w:hAnsi="Arial"/>
          <w:color w:val="000000"/>
        </w:rPr>
      </w:pPr>
      <w:r>
        <w:rPr>
          <w:rFonts w:ascii="Arial" w:hAnsi="Arial"/>
          <w:color w:val="000000"/>
        </w:rPr>
        <w:t xml:space="preserve">4. </w:t>
      </w:r>
      <w:r>
        <w:rPr>
          <w:rFonts w:ascii="Arial" w:hAnsi="Arial"/>
          <w:color w:val="000000"/>
        </w:rPr>
        <w:tab/>
        <w:t xml:space="preserve">State how the purchase or sale price was determined (e.g. arm’s-length negotiation, independent committee of the </w:t>
      </w:r>
      <w:bookmarkStart w:id="12" w:name="_9kR3WTr26647EOEkos"/>
      <w:r>
        <w:rPr>
          <w:rFonts w:ascii="Arial" w:hAnsi="Arial"/>
          <w:color w:val="000000"/>
        </w:rPr>
        <w:t>Board</w:t>
      </w:r>
      <w:bookmarkEnd w:id="12"/>
      <w:r>
        <w:rPr>
          <w:rFonts w:ascii="Arial" w:hAnsi="Arial"/>
          <w:color w:val="000000"/>
        </w:rPr>
        <w:t>, third party valuation etc).</w:t>
      </w:r>
    </w:p>
    <w:p>
      <w:pPr>
        <w:pStyle w:val="List"/>
        <w:tabs>
          <w:tab w:val="left" w:pos="9180"/>
        </w:tabs>
        <w:ind w:firstLine="0"/>
        <w:rPr>
          <w:rFonts w:ascii="Arial" w:hAnsi="Arial"/>
          <w:color w:val="000000"/>
          <w:u w:val="single"/>
        </w:rPr>
      </w:pPr>
      <w:r>
        <w:rPr>
          <w:rFonts w:ascii="Arial" w:hAnsi="Arial"/>
          <w:i/>
          <w:iCs/>
          <w:color w:val="000000"/>
        </w:rPr>
        <w:t>The purchase price was determined by arm’s length negotiation and due diligence.</w:t>
      </w:r>
      <w:r>
        <w:rPr>
          <w:rFonts w:ascii="Arial" w:hAnsi="Arial"/>
          <w:color w:val="000000"/>
        </w:rPr>
        <w:t xml:space="preserve"> </w:t>
      </w:r>
    </w:p>
    <w:p>
      <w:pPr>
        <w:pStyle w:val="List"/>
        <w:tabs>
          <w:tab w:val="left" w:pos="9180"/>
        </w:tabs>
        <w:rPr>
          <w:rFonts w:ascii="Arial" w:hAnsi="Arial"/>
          <w:color w:val="000000"/>
        </w:rPr>
      </w:pPr>
      <w:r>
        <w:rPr>
          <w:rFonts w:ascii="Arial" w:hAnsi="Arial"/>
          <w:color w:val="000000"/>
        </w:rPr>
        <w:t xml:space="preserve">5. </w:t>
      </w:r>
      <w:r>
        <w:rPr>
          <w:rFonts w:ascii="Arial" w:hAnsi="Arial"/>
          <w:color w:val="000000"/>
        </w:rPr>
        <w:tab/>
        <w:t xml:space="preserve">Provide details of any appraisal or valuation of the subject of the acquisition known to management of the Issuer: </w:t>
      </w:r>
      <w:r>
        <w:rPr>
          <w:rFonts w:ascii="Arial" w:hAnsi="Arial"/>
          <w:i/>
          <w:iCs/>
          <w:color w:val="000000"/>
        </w:rPr>
        <w:t>N/A.</w:t>
      </w:r>
    </w:p>
    <w:p>
      <w:pPr>
        <w:pStyle w:val="List"/>
        <w:tabs>
          <w:tab w:val="left" w:pos="9180"/>
        </w:tabs>
        <w:rPr>
          <w:rFonts w:ascii="Arial" w:hAnsi="Arial"/>
          <w:color w:val="000000"/>
        </w:rPr>
      </w:pPr>
      <w:r>
        <w:rPr>
          <w:rFonts w:ascii="Arial" w:hAnsi="Arial"/>
          <w:color w:val="000000"/>
        </w:rPr>
        <w:t xml:space="preserve">6. </w:t>
      </w:r>
      <w:r>
        <w:rPr>
          <w:rFonts w:ascii="Arial" w:hAnsi="Arial"/>
          <w:color w:val="000000"/>
        </w:rPr>
        <w:tab/>
        <w:t>The names of parties receiving securities of the Issuer pursuant to the acquisition and the number of securities to be issued are described as follows:</w:t>
      </w:r>
      <w:r>
        <w:rPr>
          <w:rFonts w:ascii="Arial" w:hAnsi="Arial"/>
          <w:color w:val="000000"/>
        </w:rPr>
        <w:br/>
      </w:r>
    </w:p>
    <w:tbl>
      <w:tblPr>
        <w:tblW w:w="9805"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14"/>
        <w:gridCol w:w="1646"/>
        <w:gridCol w:w="1260"/>
        <w:gridCol w:w="1317"/>
        <w:gridCol w:w="1350"/>
        <w:gridCol w:w="1440"/>
        <w:gridCol w:w="1378"/>
      </w:tblGrid>
      <w:tr>
        <w:trPr>
          <w:trHeight w:val="1101"/>
        </w:trPr>
        <w:tc>
          <w:tcPr>
            <w:tcW w:w="1414"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 xml:space="preserve">Name of </w:t>
            </w:r>
            <w:bookmarkStart w:id="13" w:name="_9kR3WTr26647FdEn7F"/>
            <w:r>
              <w:rPr>
                <w:rFonts w:ascii="Arial" w:hAnsi="Arial"/>
                <w:b/>
                <w:sz w:val="20"/>
                <w:lang w:val="en-CA"/>
              </w:rPr>
              <w:t>Party</w:t>
            </w:r>
            <w:bookmarkEnd w:id="13"/>
            <w:r>
              <w:rPr>
                <w:rFonts w:ascii="Arial" w:hAnsi="Arial"/>
                <w:b/>
                <w:sz w:val="20"/>
                <w:lang w:val="en-CA"/>
              </w:rPr>
              <w:t xml:space="preserve"> (If not an individual, name all insiders of the </w:t>
            </w:r>
            <w:bookmarkStart w:id="14" w:name="_9kMHG5YVt48869HfGp9H"/>
            <w:r>
              <w:rPr>
                <w:rFonts w:ascii="Arial" w:hAnsi="Arial"/>
                <w:b/>
                <w:sz w:val="20"/>
                <w:lang w:val="en-CA"/>
              </w:rPr>
              <w:t>Party</w:t>
            </w:r>
            <w:bookmarkEnd w:id="14"/>
            <w:r>
              <w:rPr>
                <w:rFonts w:ascii="Arial" w:hAnsi="Arial"/>
                <w:b/>
                <w:sz w:val="20"/>
                <w:lang w:val="en-CA"/>
              </w:rPr>
              <w:t>)</w:t>
            </w:r>
          </w:p>
        </w:tc>
        <w:tc>
          <w:tcPr>
            <w:tcW w:w="1646"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 xml:space="preserve">Dollar value per </w:t>
            </w:r>
            <w:bookmarkStart w:id="15" w:name="_9kMIH5YVt48868HjNevB03K"/>
            <w:r>
              <w:rPr>
                <w:rFonts w:ascii="Arial" w:hAnsi="Arial"/>
                <w:b/>
                <w:sz w:val="20"/>
                <w:lang w:val="en-CA"/>
              </w:rPr>
              <w:t>Security</w:t>
            </w:r>
            <w:bookmarkEnd w:id="15"/>
            <w:r>
              <w:rPr>
                <w:rFonts w:ascii="Arial" w:hAnsi="Arial"/>
                <w:b/>
                <w:sz w:val="20"/>
                <w:lang w:val="en-CA"/>
              </w:rPr>
              <w:t xml:space="preserve"> (</w:t>
            </w:r>
            <w:proofErr w:type="spellStart"/>
            <w:r>
              <w:rPr>
                <w:rFonts w:ascii="Arial" w:hAnsi="Arial"/>
                <w:b/>
                <w:sz w:val="20"/>
                <w:lang w:val="en-CA"/>
              </w:rPr>
              <w:t>CDN</w:t>
            </w:r>
            <w:proofErr w:type="spellEnd"/>
            <w:r>
              <w:rPr>
                <w:rFonts w:ascii="Arial" w:hAnsi="Arial"/>
                <w:b/>
                <w:sz w:val="20"/>
                <w:lang w:val="en-CA"/>
              </w:rPr>
              <w:t>$)</w:t>
            </w:r>
          </w:p>
        </w:tc>
        <w:tc>
          <w:tcPr>
            <w:tcW w:w="1317"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35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440" w:type="dxa"/>
          </w:tcPr>
          <w:p>
            <w:pPr>
              <w:pStyle w:val="BodyText"/>
              <w:keepNext/>
              <w:keepLines/>
              <w:spacing w:before="0" w:line="280" w:lineRule="exact"/>
              <w:jc w:val="center"/>
              <w:rPr>
                <w:rFonts w:ascii="Arial" w:hAnsi="Arial"/>
                <w:b/>
                <w:sz w:val="20"/>
              </w:rPr>
            </w:pPr>
          </w:p>
          <w:p>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378" w:type="dxa"/>
          </w:tcPr>
          <w:p>
            <w:pPr>
              <w:pStyle w:val="BodyText"/>
              <w:keepNext/>
              <w:keepLines/>
              <w:spacing w:before="0" w:line="280" w:lineRule="exact"/>
              <w:jc w:val="center"/>
              <w:rPr>
                <w:rFonts w:ascii="Arial" w:hAnsi="Arial"/>
                <w:b/>
                <w:color w:val="000000"/>
                <w:sz w:val="20"/>
                <w:lang w:val="en-CA"/>
              </w:rPr>
            </w:pPr>
          </w:p>
          <w:p>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trPr>
          <w:trHeight w:hRule="exact" w:val="1252"/>
        </w:trPr>
        <w:tc>
          <w:tcPr>
            <w:tcW w:w="1414" w:type="dxa"/>
          </w:tcPr>
          <w:p>
            <w:pPr>
              <w:pStyle w:val="BodyText"/>
              <w:keepNext/>
              <w:keepLines/>
              <w:rPr>
                <w:rFonts w:ascii="Arial" w:hAnsi="Arial"/>
                <w:sz w:val="20"/>
                <w:lang w:val="en-CA"/>
              </w:rPr>
            </w:pPr>
            <w:r>
              <w:rPr>
                <w:rFonts w:ascii="Arial" w:hAnsi="Arial"/>
                <w:sz w:val="20"/>
                <w:lang w:val="en-CA"/>
              </w:rPr>
              <w:t xml:space="preserve">Goodness Shareholders </w:t>
            </w:r>
          </w:p>
        </w:tc>
        <w:tc>
          <w:tcPr>
            <w:tcW w:w="1646" w:type="dxa"/>
          </w:tcPr>
          <w:p>
            <w:pPr>
              <w:pStyle w:val="BodyText"/>
              <w:keepNext/>
              <w:keepLines/>
              <w:spacing w:before="0"/>
              <w:contextualSpacing/>
              <w:rPr>
                <w:rFonts w:ascii="Arial" w:hAnsi="Arial"/>
                <w:iCs/>
                <w:sz w:val="20"/>
                <w:lang w:val="en-CA"/>
              </w:rPr>
            </w:pPr>
          </w:p>
          <w:p>
            <w:pPr>
              <w:pStyle w:val="BodyText"/>
              <w:keepNext/>
              <w:keepLines/>
              <w:spacing w:before="0"/>
              <w:contextualSpacing/>
              <w:rPr>
                <w:rFonts w:ascii="Arial" w:hAnsi="Arial"/>
                <w:sz w:val="20"/>
                <w:lang w:val="en-CA"/>
              </w:rPr>
            </w:pPr>
            <w:r>
              <w:rPr>
                <w:rFonts w:ascii="Arial" w:hAnsi="Arial"/>
                <w:iCs/>
                <w:sz w:val="20"/>
                <w:lang w:val="en-CA"/>
              </w:rPr>
              <w:t>Approx. 36,554,484 Subordinate Voting Shares</w:t>
            </w:r>
          </w:p>
          <w:p>
            <w:pPr>
              <w:pStyle w:val="BodyText"/>
              <w:keepNext/>
              <w:keepLines/>
              <w:spacing w:before="0"/>
              <w:contextualSpacing/>
              <w:rPr>
                <w:rFonts w:ascii="Arial" w:hAnsi="Arial"/>
                <w:sz w:val="20"/>
                <w:lang w:val="en-CA"/>
              </w:rPr>
            </w:pPr>
          </w:p>
        </w:tc>
        <w:tc>
          <w:tcPr>
            <w:tcW w:w="1260" w:type="dxa"/>
          </w:tcPr>
          <w:p>
            <w:pPr>
              <w:pStyle w:val="BodyText"/>
              <w:keepNext/>
              <w:keepLines/>
              <w:rPr>
                <w:rFonts w:ascii="Arial" w:hAnsi="Arial"/>
                <w:sz w:val="20"/>
                <w:lang w:val="en-CA"/>
              </w:rPr>
            </w:pPr>
            <w:r>
              <w:rPr>
                <w:rFonts w:ascii="Arial" w:hAnsi="Arial"/>
                <w:sz w:val="20"/>
                <w:lang w:val="en-CA"/>
              </w:rPr>
              <w:t>Approx. $</w:t>
            </w:r>
            <w:r>
              <w:rPr>
                <w:rFonts w:ascii="Arial" w:hAnsi="Arial"/>
                <w:iCs/>
                <w:sz w:val="20"/>
                <w:lang w:val="en-CA"/>
              </w:rPr>
              <w:t>13.40</w:t>
            </w:r>
          </w:p>
        </w:tc>
        <w:tc>
          <w:tcPr>
            <w:tcW w:w="1317" w:type="dxa"/>
          </w:tcPr>
          <w:p>
            <w:pPr>
              <w:pStyle w:val="BodyText"/>
              <w:keepNext/>
              <w:keepLines/>
              <w:rPr>
                <w:rFonts w:ascii="Arial" w:hAnsi="Arial"/>
                <w:sz w:val="20"/>
                <w:lang w:val="en-CA"/>
              </w:rPr>
            </w:pPr>
            <w:r>
              <w:rPr>
                <w:rFonts w:ascii="Arial" w:hAnsi="Arial"/>
                <w:sz w:val="20"/>
                <w:lang w:val="en-CA"/>
              </w:rPr>
              <w:t>N/A</w:t>
            </w:r>
          </w:p>
        </w:tc>
        <w:tc>
          <w:tcPr>
            <w:tcW w:w="1350" w:type="dxa"/>
          </w:tcPr>
          <w:p>
            <w:pPr>
              <w:pStyle w:val="BodyText"/>
              <w:keepNext/>
              <w:keepLines/>
              <w:rPr>
                <w:rFonts w:ascii="Arial" w:hAnsi="Arial"/>
                <w:sz w:val="20"/>
                <w:lang w:val="en-CA"/>
              </w:rPr>
            </w:pPr>
            <w:r>
              <w:rPr>
                <w:rFonts w:ascii="Arial" w:hAnsi="Arial"/>
                <w:sz w:val="20"/>
                <w:lang w:val="en-CA"/>
              </w:rPr>
              <w:t>Section 2.11 of NI 45-106</w:t>
            </w:r>
          </w:p>
        </w:tc>
        <w:tc>
          <w:tcPr>
            <w:tcW w:w="1440" w:type="dxa"/>
          </w:tcPr>
          <w:p>
            <w:pPr>
              <w:pStyle w:val="BodyText"/>
              <w:keepNext/>
              <w:keepLines/>
              <w:rPr>
                <w:rFonts w:ascii="Arial" w:hAnsi="Arial"/>
                <w:sz w:val="20"/>
                <w:lang w:val="en-CA"/>
              </w:rPr>
            </w:pPr>
            <w:r>
              <w:rPr>
                <w:rFonts w:ascii="Arial" w:hAnsi="Arial"/>
                <w:sz w:val="20"/>
                <w:lang w:val="en-CA"/>
              </w:rPr>
              <w:t>N/A</w:t>
            </w:r>
          </w:p>
        </w:tc>
        <w:tc>
          <w:tcPr>
            <w:tcW w:w="1378" w:type="dxa"/>
          </w:tcPr>
          <w:p>
            <w:pPr>
              <w:pStyle w:val="BodyText"/>
              <w:keepNext/>
              <w:keepLines/>
              <w:rPr>
                <w:rFonts w:ascii="Arial" w:hAnsi="Arial"/>
                <w:sz w:val="20"/>
                <w:lang w:val="en-CA"/>
              </w:rPr>
            </w:pPr>
            <w:r>
              <w:rPr>
                <w:rFonts w:ascii="Arial" w:hAnsi="Arial"/>
                <w:sz w:val="20"/>
                <w:lang w:val="en-CA"/>
              </w:rPr>
              <w:t>N/A</w:t>
            </w:r>
          </w:p>
        </w:tc>
      </w:tr>
    </w:tbl>
    <w:p>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pPr>
        <w:pStyle w:val="List"/>
        <w:tabs>
          <w:tab w:val="left" w:pos="9180"/>
        </w:tabs>
        <w:jc w:val="both"/>
        <w:rPr>
          <w:rFonts w:ascii="Arial" w:hAnsi="Arial"/>
        </w:rPr>
      </w:pPr>
      <w:r>
        <w:rPr>
          <w:rFonts w:ascii="Arial" w:hAnsi="Arial"/>
          <w:color w:val="000000"/>
        </w:rPr>
        <w:t xml:space="preserve">7. </w:t>
      </w:r>
      <w:r>
        <w:rPr>
          <w:rFonts w:ascii="Arial" w:hAnsi="Arial"/>
          <w:color w:val="000000"/>
        </w:rPr>
        <w:tab/>
        <w:t xml:space="preserve">Details of the steps taken by the Issuer to ensure that the vendor has good title to the assets being acquired: </w:t>
      </w:r>
    </w:p>
    <w:p>
      <w:pPr>
        <w:pStyle w:val="List"/>
        <w:tabs>
          <w:tab w:val="left" w:pos="9180"/>
        </w:tabs>
        <w:ind w:firstLine="0"/>
        <w:jc w:val="both"/>
        <w:rPr>
          <w:rFonts w:ascii="Arial" w:hAnsi="Arial"/>
          <w:i/>
          <w:iCs/>
        </w:rPr>
      </w:pPr>
      <w:r>
        <w:rPr>
          <w:rFonts w:ascii="Arial" w:hAnsi="Arial"/>
          <w:i/>
          <w:iCs/>
          <w:color w:val="000000"/>
        </w:rPr>
        <w:t>Issuer performed due diligence of Goodness and the Arrangement Agreement includes customary representations and warranties of Goodness.</w:t>
      </w:r>
    </w:p>
    <w:p>
      <w:pPr>
        <w:pStyle w:val="List"/>
        <w:tabs>
          <w:tab w:val="left" w:pos="9180"/>
        </w:tabs>
        <w:jc w:val="both"/>
        <w:rPr>
          <w:rFonts w:ascii="Arial" w:hAnsi="Arial"/>
        </w:rPr>
      </w:pPr>
      <w:r>
        <w:rPr>
          <w:rFonts w:ascii="Arial" w:hAnsi="Arial"/>
        </w:rPr>
        <w:t xml:space="preserve">8. </w:t>
      </w:r>
      <w:r>
        <w:rPr>
          <w:rFonts w:ascii="Arial" w:hAnsi="Arial"/>
        </w:rPr>
        <w:tab/>
        <w:t xml:space="preserve">Provide the following information for any agent’s fee, commission, bonus or finder’s fee, or other compensation paid or to be paid in connection with the acquisition (including warrants, options, etc.): </w:t>
      </w:r>
      <w:r>
        <w:rPr>
          <w:rFonts w:ascii="Arial" w:hAnsi="Arial"/>
          <w:i/>
          <w:iCs/>
        </w:rPr>
        <w:t>N/A</w:t>
      </w:r>
    </w:p>
    <w:p>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and if a corporation, identify persons owning or exercising voting control over 20% or more of the voting shares if known to the Issuer): </w:t>
      </w:r>
      <w:r>
        <w:rPr>
          <w:rFonts w:ascii="Arial" w:hAnsi="Arial"/>
          <w:i/>
          <w:iCs/>
        </w:rPr>
        <w:t>N/A.</w:t>
      </w:r>
    </w:p>
    <w:p>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i/>
          <w:iCs/>
        </w:rPr>
        <w:t>N/A.</w:t>
      </w:r>
    </w:p>
    <w:p>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i/>
          <w:iCs/>
        </w:rPr>
        <w:t>N/A.</w:t>
      </w:r>
    </w:p>
    <w:p>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i/>
          <w:iCs/>
        </w:rPr>
        <w:t>N/A.</w:t>
      </w:r>
    </w:p>
    <w:p>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i/>
          <w:iCs/>
        </w:rPr>
        <w:t>N/A.</w:t>
      </w:r>
    </w:p>
    <w:p>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i/>
          <w:iCs/>
        </w:rPr>
        <w:t>N/A.</w:t>
      </w:r>
    </w:p>
    <w:p>
      <w:pPr>
        <w:pStyle w:val="List"/>
        <w:tabs>
          <w:tab w:val="left" w:pos="9180"/>
        </w:tabs>
        <w:rPr>
          <w:rFonts w:ascii="Arial" w:hAnsi="Arial"/>
          <w:color w:val="000000"/>
          <w:u w:val="single"/>
        </w:rPr>
      </w:pPr>
      <w:r>
        <w:rPr>
          <w:rFonts w:ascii="Arial" w:hAnsi="Arial"/>
          <w:color w:val="000000"/>
        </w:rPr>
        <w:t xml:space="preserve">9. </w:t>
      </w:r>
      <w:r>
        <w:rPr>
          <w:rFonts w:ascii="Arial" w:hAnsi="Arial"/>
          <w:color w:val="000000"/>
        </w:rPr>
        <w:tab/>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i/>
          <w:iCs/>
          <w:color w:val="000000"/>
        </w:rPr>
        <w:t xml:space="preserve">N/A. </w:t>
      </w:r>
    </w:p>
    <w:p>
      <w:pPr>
        <w:pStyle w:val="List"/>
        <w:tabs>
          <w:tab w:val="left" w:pos="9180"/>
        </w:tabs>
        <w:jc w:val="both"/>
        <w:rPr>
          <w:rFonts w:ascii="Arial" w:hAnsi="Arial"/>
          <w:color w:val="000000"/>
        </w:rPr>
      </w:pPr>
      <w:r>
        <w:rPr>
          <w:rFonts w:ascii="Arial" w:hAnsi="Arial"/>
          <w:color w:val="000000"/>
        </w:rPr>
        <w:t xml:space="preserve">10. </w:t>
      </w:r>
      <w:r>
        <w:rPr>
          <w:rFonts w:ascii="Arial" w:hAnsi="Arial"/>
          <w:color w:val="000000"/>
        </w:rPr>
        <w:tab/>
        <w:t xml:space="preserve">If applicable, indicate whether the acquisition is the acquisition of an interest in property contiguous to or otherwise related to any other asset acquired in the last 12 months. </w:t>
      </w:r>
      <w:r>
        <w:rPr>
          <w:rFonts w:ascii="Arial" w:hAnsi="Arial"/>
          <w:i/>
          <w:iCs/>
          <w:color w:val="000000"/>
        </w:rPr>
        <w:t>N/A.</w:t>
      </w:r>
      <w:r>
        <w:rPr>
          <w:rFonts w:ascii="Arial" w:hAnsi="Arial"/>
          <w:color w:val="000000"/>
        </w:rPr>
        <w:t xml:space="preserve"> </w:t>
      </w:r>
    </w:p>
    <w:p>
      <w:pPr>
        <w:pStyle w:val="List"/>
        <w:tabs>
          <w:tab w:val="left" w:pos="1080"/>
        </w:tabs>
        <w:ind w:left="0" w:firstLine="0"/>
        <w:rPr>
          <w:rFonts w:ascii="Arial" w:hAnsi="Arial"/>
        </w:rPr>
      </w:pPr>
      <w:r>
        <w:rPr>
          <w:rFonts w:ascii="Arial" w:hAnsi="Arial"/>
          <w:b/>
        </w:rPr>
        <w:lastRenderedPageBreak/>
        <w:t>Certificate Of Compliance</w:t>
      </w:r>
    </w:p>
    <w:p>
      <w:pPr>
        <w:pStyle w:val="BodyText"/>
        <w:rPr>
          <w:rFonts w:ascii="Arial" w:hAnsi="Arial"/>
        </w:rPr>
      </w:pPr>
      <w:r>
        <w:rPr>
          <w:rFonts w:ascii="Arial" w:hAnsi="Arial"/>
        </w:rPr>
        <w:t>The undersigned hereby certifies that:</w:t>
      </w:r>
    </w:p>
    <w:p>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pPr>
        <w:pStyle w:val="List"/>
        <w:ind w:firstLine="0"/>
        <w:jc w:val="both"/>
        <w:rPr>
          <w:rFonts w:ascii="Arial" w:hAnsi="Arial"/>
        </w:rPr>
      </w:pPr>
    </w:p>
    <w:p>
      <w:pPr>
        <w:pStyle w:val="ListParagraph"/>
        <w:numPr>
          <w:ilvl w:val="0"/>
          <w:numId w:val="7"/>
        </w:numPr>
        <w:rPr>
          <w:rFonts w:ascii="Arial" w:hAnsi="Arial" w:cs="Arial"/>
          <w:sz w:val="24"/>
          <w:szCs w:val="24"/>
        </w:rPr>
      </w:pPr>
      <w:r>
        <w:rPr>
          <w:rFonts w:ascii="Arial" w:hAnsi="Arial" w:cs="Arial"/>
          <w:sz w:val="24"/>
          <w:szCs w:val="24"/>
        </w:rPr>
        <w:t>the Issuer has obtained the express written consent of each applicable individual to:</w:t>
      </w:r>
    </w:p>
    <w:p>
      <w:pPr>
        <w:pStyle w:val="ListParagraph"/>
        <w:rPr>
          <w:rFonts w:ascii="Arial" w:hAnsi="Arial" w:cs="Arial"/>
          <w:sz w:val="24"/>
          <w:szCs w:val="24"/>
        </w:rPr>
      </w:pPr>
    </w:p>
    <w:p>
      <w:pPr>
        <w:pStyle w:val="ListParagraph"/>
        <w:ind w:left="1440" w:hanging="360"/>
        <w:rPr>
          <w:rFonts w:ascii="Arial" w:hAnsi="Arial" w:cs="Arial"/>
          <w:sz w:val="24"/>
          <w:szCs w:val="24"/>
        </w:rPr>
      </w:pPr>
      <w:r>
        <w:rPr>
          <w:rFonts w:ascii="Arial" w:hAnsi="Arial" w:cs="Arial"/>
          <w:sz w:val="24"/>
          <w:szCs w:val="24"/>
        </w:rPr>
        <w:t>(a)</w:t>
      </w:r>
      <w:r>
        <w:rPr>
          <w:rFonts w:ascii="Arial" w:hAnsi="Arial" w:cs="Arial"/>
          <w:sz w:val="24"/>
          <w:szCs w:val="24"/>
        </w:rPr>
        <w:tab/>
        <w:t>the disclosure of their information to the Exchange pursuant to this Form or otherwise pursuant to this filing; and</w:t>
      </w:r>
    </w:p>
    <w:p>
      <w:pPr>
        <w:pStyle w:val="List"/>
        <w:ind w:left="1440" w:hanging="360"/>
        <w:jc w:val="both"/>
        <w:rPr>
          <w:rFonts w:ascii="Arial" w:hAnsi="Arial"/>
        </w:rPr>
      </w:pPr>
      <w:r>
        <w:rPr>
          <w:rFonts w:ascii="Arial" w:hAnsi="Arial" w:cs="Arial"/>
          <w:szCs w:val="24"/>
        </w:rPr>
        <w:t>(b)</w:t>
      </w:r>
      <w:r>
        <w:rPr>
          <w:rFonts w:ascii="Arial" w:hAnsi="Arial" w:cs="Arial"/>
          <w:szCs w:val="24"/>
        </w:rPr>
        <w:tab/>
        <w:t>the collection, use and disclosure of their information by the Exchange in the manner and for the purposes described in Appendix A or as otherwise identified by the Exchange, from time to time</w:t>
      </w:r>
    </w:p>
    <w:p>
      <w:pPr>
        <w:pStyle w:val="List"/>
        <w:numPr>
          <w:ilvl w:val="0"/>
          <w:numId w:val="7"/>
        </w:numPr>
        <w:jc w:val="both"/>
        <w:rPr>
          <w:rFonts w:ascii="Arial" w:hAnsi="Arial"/>
        </w:rPr>
      </w:pPr>
      <w:r>
        <w:rPr>
          <w:rFonts w:ascii="Arial" w:hAnsi="Arial"/>
        </w:rPr>
        <w:t xml:space="preserve">The undersigned hereby certifies to the Exchange that the Issuer is in compliance with the requirements of applicable securities legislation (as such term is defined in </w:t>
      </w:r>
      <w:bookmarkStart w:id="16" w:name="_9kMIH5YVt48869BXEr0w2poXUBIIKG13J"/>
      <w:r>
        <w:rPr>
          <w:rFonts w:ascii="Arial" w:hAnsi="Arial"/>
        </w:rPr>
        <w:t>National Instrument</w:t>
      </w:r>
      <w:bookmarkEnd w:id="16"/>
      <w:r>
        <w:rPr>
          <w:rFonts w:ascii="Arial" w:hAnsi="Arial"/>
        </w:rPr>
        <w:t xml:space="preserve"> 14-101) and all Exchange Requirements (as defined in </w:t>
      </w:r>
      <w:bookmarkStart w:id="17" w:name="_9kR3WTr26648CMtwuVytl2"/>
      <w:r>
        <w:rPr>
          <w:rFonts w:ascii="Arial" w:hAnsi="Arial"/>
        </w:rPr>
        <w:t>CSE Policy</w:t>
      </w:r>
      <w:bookmarkEnd w:id="17"/>
      <w:r>
        <w:rPr>
          <w:rFonts w:ascii="Arial" w:hAnsi="Arial"/>
        </w:rPr>
        <w:t xml:space="preserve"> 1).</w:t>
      </w:r>
    </w:p>
    <w:p>
      <w:pPr>
        <w:pStyle w:val="List"/>
        <w:numPr>
          <w:ilvl w:val="0"/>
          <w:numId w:val="7"/>
        </w:numPr>
        <w:jc w:val="both"/>
        <w:rPr>
          <w:rFonts w:ascii="Arial" w:hAnsi="Arial"/>
        </w:rPr>
      </w:pPr>
      <w:r>
        <w:rPr>
          <w:rFonts w:ascii="Arial" w:hAnsi="Arial"/>
        </w:rPr>
        <w:t xml:space="preserve">All of the information in this Form 9 Notice of Issuance of </w:t>
      </w:r>
      <w:bookmarkStart w:id="18" w:name="_9kMJI5YVt48868HjNevB03K"/>
      <w:r>
        <w:rPr>
          <w:rFonts w:ascii="Arial" w:hAnsi="Arial"/>
        </w:rPr>
        <w:t>Securities</w:t>
      </w:r>
      <w:bookmarkEnd w:id="18"/>
      <w:r>
        <w:rPr>
          <w:rFonts w:ascii="Arial" w:hAnsi="Arial"/>
        </w:rPr>
        <w:t xml:space="preserve"> is true.</w:t>
      </w:r>
    </w:p>
    <w:p>
      <w:pPr>
        <w:pStyle w:val="BodyText"/>
        <w:tabs>
          <w:tab w:val="left" w:pos="4680"/>
          <w:tab w:val="left" w:pos="7200"/>
        </w:tabs>
        <w:spacing w:before="480"/>
        <w:jc w:val="both"/>
        <w:rPr>
          <w:rFonts w:ascii="Arial" w:hAnsi="Arial"/>
        </w:rPr>
      </w:pPr>
      <w:r>
        <w:rPr>
          <w:rFonts w:ascii="Arial" w:hAnsi="Arial"/>
        </w:rPr>
        <w:t>Dated _February 1, 2022.</w:t>
      </w:r>
    </w:p>
    <w:p>
      <w:pPr>
        <w:pStyle w:val="List"/>
        <w:tabs>
          <w:tab w:val="left" w:pos="9180"/>
        </w:tabs>
        <w:ind w:left="5760" w:hanging="5760"/>
        <w:rPr>
          <w:rFonts w:ascii="Arial" w:hAnsi="Arial"/>
        </w:rPr>
      </w:pPr>
      <w:r>
        <w:rPr>
          <w:rFonts w:ascii="Arial" w:hAnsi="Arial"/>
        </w:rPr>
        <w:tab/>
      </w:r>
      <w:r>
        <w:rPr>
          <w:rFonts w:ascii="Arial" w:hAnsi="Arial"/>
          <w:i/>
          <w:iCs/>
          <w:u w:val="single"/>
        </w:rPr>
        <w:t>Darren Weiss</w:t>
      </w:r>
      <w:r>
        <w:rPr>
          <w:rFonts w:ascii="Arial" w:hAnsi="Arial"/>
          <w:u w:val="single"/>
        </w:rPr>
        <w:tab/>
      </w:r>
      <w:r>
        <w:rPr>
          <w:rFonts w:ascii="Arial" w:hAnsi="Arial"/>
          <w:u w:val="single"/>
        </w:rPr>
        <w:br/>
      </w:r>
      <w:r>
        <w:rPr>
          <w:rFonts w:ascii="Arial" w:hAnsi="Arial"/>
        </w:rPr>
        <w:t>Name of Director or Senior Officer</w:t>
      </w:r>
    </w:p>
    <w:p>
      <w:pPr>
        <w:pStyle w:val="List"/>
        <w:tabs>
          <w:tab w:val="left" w:pos="9180"/>
          <w:tab w:val="left" w:pos="9360"/>
        </w:tabs>
        <w:ind w:left="5760" w:hanging="5760"/>
        <w:rPr>
          <w:rFonts w:ascii="Arial" w:hAnsi="Arial"/>
        </w:rPr>
      </w:pPr>
      <w:r>
        <w:rPr>
          <w:rFonts w:ascii="Arial" w:hAnsi="Arial"/>
        </w:rPr>
        <w:tab/>
      </w:r>
      <w:r>
        <w:rPr>
          <w:rFonts w:ascii="Arial" w:hAnsi="Arial"/>
          <w:i/>
          <w:iCs/>
          <w:u w:val="single"/>
        </w:rPr>
        <w:t>(signed) "Darren Weiss"</w:t>
      </w:r>
      <w:r>
        <w:rPr>
          <w:rFonts w:ascii="Arial" w:hAnsi="Arial"/>
          <w:u w:val="single"/>
        </w:rPr>
        <w:tab/>
      </w:r>
      <w:r>
        <w:rPr>
          <w:rFonts w:ascii="Arial" w:hAnsi="Arial"/>
        </w:rPr>
        <w:br/>
        <w:t>Signature</w:t>
      </w:r>
    </w:p>
    <w:p>
      <w:pPr>
        <w:pStyle w:val="List"/>
        <w:tabs>
          <w:tab w:val="left" w:pos="9180"/>
          <w:tab w:val="left" w:pos="9360"/>
        </w:tabs>
        <w:ind w:left="5760" w:hanging="5760"/>
        <w:rPr>
          <w:rFonts w:ascii="Arial" w:hAnsi="Arial"/>
        </w:rPr>
      </w:pPr>
      <w:r>
        <w:rPr>
          <w:rFonts w:ascii="Arial" w:hAnsi="Arial"/>
        </w:rPr>
        <w:tab/>
      </w:r>
      <w:r>
        <w:rPr>
          <w:rFonts w:ascii="Arial" w:hAnsi="Arial"/>
          <w:u w:val="single"/>
        </w:rPr>
        <w:t>Chief Legal Officer and General Counsel</w:t>
      </w:r>
      <w:r>
        <w:rPr>
          <w:rFonts w:ascii="Arial" w:hAnsi="Arial"/>
          <w:u w:val="single"/>
        </w:rPr>
        <w:tab/>
      </w:r>
      <w:r>
        <w:rPr>
          <w:rFonts w:ascii="Arial" w:hAnsi="Arial"/>
        </w:rPr>
        <w:br/>
        <w:t>Official Capacity</w:t>
      </w:r>
    </w:p>
    <w:p>
      <w:pPr>
        <w:pStyle w:val="List"/>
        <w:tabs>
          <w:tab w:val="left" w:pos="9180"/>
          <w:tab w:val="left" w:pos="9360"/>
        </w:tabs>
        <w:ind w:left="5760" w:hanging="5760"/>
        <w:rPr>
          <w:rFonts w:ascii="Arial" w:hAnsi="Arial"/>
        </w:rPr>
      </w:pPr>
      <w:r>
        <w:rPr>
          <w:rFonts w:ascii="Arial" w:hAnsi="Arial"/>
        </w:rPr>
        <w:br w:type="page"/>
      </w:r>
    </w:p>
    <w:p>
      <w:pPr>
        <w:spacing w:before="120"/>
        <w:ind w:left="720"/>
        <w:jc w:val="center"/>
        <w:rPr>
          <w:rFonts w:ascii="Arial" w:eastAsia="Calibri" w:hAnsi="Arial" w:cs="Arial"/>
          <w:b/>
          <w:sz w:val="24"/>
          <w:szCs w:val="24"/>
        </w:rPr>
      </w:pPr>
    </w:p>
    <w:p>
      <w:pPr>
        <w:spacing w:before="120"/>
        <w:ind w:left="720"/>
        <w:jc w:val="center"/>
        <w:rPr>
          <w:rFonts w:ascii="Arial" w:eastAsia="Calibri" w:hAnsi="Arial" w:cs="Arial"/>
          <w:b/>
          <w:sz w:val="24"/>
          <w:szCs w:val="24"/>
        </w:rPr>
      </w:pPr>
      <w:r>
        <w:rPr>
          <w:rFonts w:ascii="Arial" w:eastAsia="Calibri" w:hAnsi="Arial" w:cs="Arial"/>
          <w:b/>
          <w:sz w:val="24"/>
          <w:szCs w:val="24"/>
        </w:rPr>
        <w:t>Appendix A</w:t>
      </w:r>
    </w:p>
    <w:p>
      <w:pPr>
        <w:spacing w:before="120"/>
        <w:ind w:left="720"/>
        <w:jc w:val="center"/>
        <w:rPr>
          <w:rFonts w:ascii="Arial" w:eastAsia="Calibri" w:hAnsi="Arial" w:cs="Arial"/>
          <w:b/>
          <w:sz w:val="24"/>
          <w:szCs w:val="24"/>
        </w:rPr>
      </w:pPr>
      <w:r>
        <w:rPr>
          <w:rFonts w:ascii="Arial" w:eastAsia="Calibri" w:hAnsi="Arial" w:cs="Arial"/>
          <w:b/>
          <w:sz w:val="24"/>
          <w:szCs w:val="24"/>
        </w:rPr>
        <w:t>PERSONAL INFORMATION COLLECTION POLICY REGARDING FORM 9</w:t>
      </w:r>
    </w:p>
    <w:p>
      <w:pPr>
        <w:spacing w:before="120"/>
        <w:ind w:left="720"/>
        <w:jc w:val="both"/>
        <w:rPr>
          <w:rFonts w:ascii="Arial" w:eastAsia="Calibri" w:hAnsi="Arial" w:cs="Arial"/>
          <w:sz w:val="24"/>
          <w:szCs w:val="24"/>
        </w:rPr>
      </w:pPr>
      <w:r>
        <w:rPr>
          <w:rFonts w:ascii="Arial" w:eastAsia="Calibri" w:hAnsi="Arial" w:cs="Arial"/>
          <w:sz w:val="24"/>
          <w:szCs w:val="24"/>
        </w:rPr>
        <w:t xml:space="preserve">The </w:t>
      </w:r>
      <w:bookmarkStart w:id="19" w:name="_9kMHG5YVt48867DQ3lmdmkqjVm3J8BCy9kkF0z6"/>
      <w:r>
        <w:rPr>
          <w:rFonts w:ascii="Arial" w:eastAsia="Calibri" w:hAnsi="Arial" w:cs="Arial"/>
          <w:sz w:val="24"/>
          <w:szCs w:val="24"/>
        </w:rPr>
        <w:t>Canadian Securities Exchange</w:t>
      </w:r>
      <w:bookmarkEnd w:id="19"/>
      <w:r>
        <w:rPr>
          <w:rFonts w:ascii="Arial" w:eastAsia="Calibri" w:hAnsi="Arial" w:cs="Arial"/>
          <w:sz w:val="24"/>
          <w:szCs w:val="24"/>
        </w:rPr>
        <w:t xml:space="preserve"> and its subsidiaries, affiliates, regulators and agents (collectively, “CSE or the “Exchange”) collect and use the information (which may include personal or other information) which has been provided in Form 9 for the following purposes:</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individual is suitable to be associated with a Listed Issuer;</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issuer is suitable for listing;</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conduct enforcement proceedings; </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ensure compliance with Exchange Requirements and applicable securities legislation; and</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fulfil the Exchange’s obligation to regulate its marketplace.</w:t>
      </w:r>
    </w:p>
    <w:p>
      <w:pPr>
        <w:spacing w:before="120"/>
        <w:ind w:left="720"/>
        <w:jc w:val="both"/>
        <w:rPr>
          <w:rFonts w:ascii="Arial" w:eastAsia="Calibri" w:hAnsi="Arial" w:cs="Arial"/>
          <w:sz w:val="24"/>
          <w:szCs w:val="24"/>
        </w:rPr>
      </w:pPr>
      <w:r>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pPr>
        <w:spacing w:before="120"/>
        <w:ind w:left="720"/>
        <w:jc w:val="both"/>
        <w:rPr>
          <w:rFonts w:ascii="Arial" w:eastAsia="Calibri" w:hAnsi="Arial" w:cs="Arial"/>
          <w:sz w:val="24"/>
          <w:szCs w:val="24"/>
        </w:rPr>
      </w:pPr>
      <w:r>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pPr>
        <w:spacing w:before="120"/>
        <w:ind w:left="720"/>
        <w:jc w:val="both"/>
        <w:rPr>
          <w:rFonts w:ascii="Arial" w:eastAsia="Calibri" w:hAnsi="Arial" w:cs="Arial"/>
          <w:sz w:val="24"/>
          <w:szCs w:val="24"/>
        </w:rPr>
      </w:pPr>
      <w:r>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pPr>
        <w:spacing w:before="120"/>
        <w:ind w:left="720"/>
        <w:jc w:val="both"/>
        <w:rPr>
          <w:rFonts w:ascii="Arial" w:eastAsia="Calibri" w:hAnsi="Arial" w:cs="Arial"/>
          <w:sz w:val="24"/>
          <w:szCs w:val="24"/>
        </w:rPr>
      </w:pPr>
      <w:r>
        <w:rPr>
          <w:rFonts w:ascii="Arial" w:eastAsia="Calibri" w:hAnsi="Arial" w:cs="Arial"/>
          <w:sz w:val="24"/>
          <w:szCs w:val="24"/>
        </w:rPr>
        <w:t>Information about you that is retained by the Exchange and that you have identified as inaccurate or obsolete will be corrected or removed.</w:t>
      </w:r>
    </w:p>
    <w:p>
      <w:pPr>
        <w:spacing w:before="120"/>
        <w:ind w:left="720"/>
        <w:jc w:val="both"/>
      </w:pPr>
      <w:r>
        <w:rPr>
          <w:rFonts w:ascii="Arial" w:eastAsia="Calibri" w:hAnsi="Arial" w:cs="Arial"/>
          <w:sz w:val="24"/>
          <w:szCs w:val="24"/>
        </w:rPr>
        <w:t xml:space="preserve">If you wish to consult your file or have any questions about this policy or our practices, please write the Chief Privacy Officer, </w:t>
      </w:r>
      <w:bookmarkStart w:id="20" w:name="_9kMIH5YVt48867DQ3lmdmkqjVm3J8BCy9kkF0z6"/>
      <w:r>
        <w:rPr>
          <w:rFonts w:ascii="Arial" w:eastAsia="Calibri" w:hAnsi="Arial" w:cs="Arial"/>
          <w:sz w:val="24"/>
          <w:szCs w:val="24"/>
        </w:rPr>
        <w:t>Canadian Securities Exchange</w:t>
      </w:r>
      <w:bookmarkEnd w:id="20"/>
      <w:r>
        <w:rPr>
          <w:rFonts w:ascii="Arial" w:eastAsia="Calibri" w:hAnsi="Arial" w:cs="Arial"/>
          <w:sz w:val="24"/>
          <w:szCs w:val="24"/>
        </w:rPr>
        <w:t>, 220 Bay Street – 9th Floor, Toronto, ON, M5J 2W4.</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75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DocID"/>
    </w:pPr>
    <w:r>
      <w:t>315663.00006/111458312.4</w:t>
    </w:r>
  </w:p>
  <w:p>
    <w:pPr>
      <w:pStyle w:val="DocID"/>
    </w:pPr>
    <w:fldSimple w:instr=" DOCPROPERTY DOCXDOCID DMS=InterwovenIManage Format=&lt;&lt;CLT&gt;&gt;.&lt;&lt;MTR&gt;&gt;/&lt;&lt;NUM&gt;&gt;.&lt;&lt;VER&gt;&gt; PRESERVELOCATION \* MERGEFORMAT ">
      <w:r>
        <w:t>315663.00006/111546553.11</w:t>
      </w:r>
    </w:fldSimple>
  </w:p>
  <w:bookmarkStart w:id="21" w:name="_iDocIDFieldbf5f08b9-1fbd-42be-928b-1afb"/>
  <w:p>
    <w:pPr>
      <w:pStyle w:val="DocID"/>
    </w:pPr>
    <w:r>
      <w:fldChar w:fldCharType="begin"/>
    </w:r>
    <w:r>
      <w:instrText xml:space="preserve">  DOCPROPERTY "CUS_DocIDChunk0" </w:instrText>
    </w:r>
    <w:r>
      <w:fldChar w:fldCharType="separate"/>
    </w:r>
    <w:r>
      <w:rPr>
        <w:noProof/>
      </w:rPr>
      <w:t>60844243\V-5</w:t>
    </w:r>
    <w:r>
      <w:fldChar w:fldCharType="end"/>
    </w:r>
    <w:bookmarkEnd w:id="2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Pr>
        <w:rFonts w:ascii="Arial" w:hAnsi="Arial" w:cs="Arial"/>
        <w:b/>
      </w:rPr>
      <w:t>FORM 9 – NOTICE OF ISSUANCE OR PROPOSED ISSUANCE OF</w:t>
    </w:r>
  </w:p>
  <w:p>
    <w:pPr>
      <w:tabs>
        <w:tab w:val="center" w:pos="4674"/>
        <w:tab w:val="left" w:pos="8460"/>
      </w:tabs>
      <w:jc w:val="center"/>
      <w:rPr>
        <w:rStyle w:val="PageNumber"/>
        <w:rFonts w:ascii="Arial" w:hAnsi="Arial" w:cs="Arial"/>
        <w:b/>
      </w:rPr>
    </w:pPr>
    <w:r>
      <w:rPr>
        <w:rFonts w:ascii="Arial" w:hAnsi="Arial" w:cs="Arial"/>
        <w:b/>
      </w:rPr>
      <w:t>LISTED SECURITIES</w:t>
    </w:r>
  </w:p>
  <w:p>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pPr>
      <w:pStyle w:val="Footer"/>
      <w:jc w:val="center"/>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sz w:val="16"/>
        <w:szCs w:val="16"/>
      </w:rPr>
      <w:t>1</w:t>
    </w:r>
    <w:r>
      <w:rPr>
        <w:rStyle w:val="PageNumber"/>
        <w:rFonts w:ascii="Arial" w:hAnsi="Arial" w:cs="Arial"/>
        <w:sz w:val="16"/>
        <w:szCs w:val="16"/>
      </w:rPr>
      <w:fldChar w:fldCharType="end"/>
    </w:r>
  </w:p>
  <w:bookmarkStart w:id="22" w:name="_iDocIDField0045b811-5f35-4cf6-b5de-8827"/>
  <w:p>
    <w:pPr>
      <w:pStyle w:val="DocID"/>
    </w:pPr>
    <w:r>
      <w:fldChar w:fldCharType="begin"/>
    </w:r>
    <w:r>
      <w:instrText xml:space="preserve">  DOCPROPERTY "CUS_DocIDChunk0" </w:instrText>
    </w:r>
    <w:r>
      <w:fldChar w:fldCharType="separate"/>
    </w:r>
    <w:r>
      <w:rPr>
        <w:noProof/>
      </w:rPr>
      <w:t>60844243\V-5</w:t>
    </w:r>
    <w:r>
      <w:fldChar w:fldCharType="end"/>
    </w:r>
    <w:bookmarkEnd w:id="2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w:t>3214.001\0180</w:t>
    </w:r>
  </w:p>
  <w:p>
    <w:pPr>
      <w:pStyle w:val="DocID"/>
    </w:pPr>
    <w:r>
      <w:t>315663.00006/111458312.4</w:t>
    </w:r>
  </w:p>
  <w:p>
    <w:pPr>
      <w:pStyle w:val="DocID"/>
    </w:pPr>
    <w:fldSimple w:instr=" DOCPROPERTY DOCXDOCID DMS=InterwovenIManage Format=&lt;&lt;CLT&gt;&gt;.&lt;&lt;MTR&gt;&gt;/&lt;&lt;NUM&gt;&gt;.&lt;&lt;VER&gt;&gt; PRESERVELOCATION \* MERGEFORMAT ">
      <w:r>
        <w:t>315663.00006/111546553.11</w:t>
      </w:r>
    </w:fldSimple>
  </w:p>
  <w:bookmarkStart w:id="23" w:name="_iDocIDField096273ab-72f5-4f7a-b528-66d4"/>
  <w:p>
    <w:pPr>
      <w:pStyle w:val="DocID"/>
    </w:pPr>
    <w:r>
      <w:fldChar w:fldCharType="begin"/>
    </w:r>
    <w:r>
      <w:instrText xml:space="preserve">  DOCPROPERTY "CUS_DocIDChunk0" </w:instrText>
    </w:r>
    <w:r>
      <w:fldChar w:fldCharType="separate"/>
    </w:r>
    <w:r>
      <w:rPr>
        <w:noProof/>
      </w:rPr>
      <w:t>60844243\V-5</w:t>
    </w:r>
    <w:r>
      <w:fldChar w:fldCharType="end"/>
    </w:r>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2991D01"/>
    <w:multiLevelType w:val="multilevel"/>
    <w:tmpl w:val="D4649FF2"/>
    <w:name w:val="zzmpArticle||Article 1, 1.1|2|3|1|4|2|33||1|2|1||1|2|4||1|2|32||1|2|32||1|2|32||mpNA||mpNA||mpNA||"/>
    <w:lvl w:ilvl="0">
      <w:start w:val="1"/>
      <w:numFmt w:val="upperRoman"/>
      <w:pStyle w:val="ArticleL1"/>
      <w:suff w:val="nothing"/>
      <w:lvlText w:val="Article %1."/>
      <w:lvlJc w:val="left"/>
      <w:pPr>
        <w:tabs>
          <w:tab w:val="num" w:pos="720"/>
        </w:tabs>
        <w:ind w:left="0" w:firstLine="0"/>
      </w:pPr>
      <w:rPr>
        <w:rFonts w:ascii="Times New Roman" w:hAnsi="Times New Roman" w:cs="Times New Roman"/>
        <w:b/>
        <w:i w:val="0"/>
        <w:caps/>
        <w:smallCaps w:val="0"/>
        <w:strike w:val="0"/>
        <w:dstrike w:val="0"/>
        <w:sz w:val="24"/>
        <w:u w:val="none"/>
        <w:effect w:val="none"/>
      </w:rPr>
    </w:lvl>
    <w:lvl w:ilvl="1">
      <w:start w:val="1"/>
      <w:numFmt w:val="decimal"/>
      <w:pStyle w:val="ArticleL2"/>
      <w:isLgl/>
      <w:lvlText w:val="%1.%2."/>
      <w:lvlJc w:val="left"/>
      <w:pPr>
        <w:tabs>
          <w:tab w:val="num" w:pos="1440"/>
        </w:tabs>
        <w:ind w:left="0" w:firstLine="720"/>
      </w:pPr>
      <w:rPr>
        <w:rFonts w:ascii="Times New Roman" w:hAnsi="Times New Roman" w:cs="Times New Roman"/>
        <w:b/>
        <w:i w:val="0"/>
        <w:caps w:val="0"/>
        <w:strike w:val="0"/>
        <w:dstrike w:val="0"/>
        <w:sz w:val="24"/>
        <w:u w:val="none"/>
        <w:effect w:val="none"/>
      </w:rPr>
    </w:lvl>
    <w:lvl w:ilvl="2">
      <w:start w:val="1"/>
      <w:numFmt w:val="lowerLetter"/>
      <w:lvlText w:val="(%3)"/>
      <w:lvlJc w:val="left"/>
      <w:pPr>
        <w:tabs>
          <w:tab w:val="num" w:pos="2160"/>
        </w:tabs>
        <w:ind w:left="720" w:firstLine="720"/>
      </w:pPr>
      <w:rPr>
        <w:rFonts w:ascii="Times New Roman" w:hAnsi="Times New Roman" w:cs="Times New Roman"/>
        <w:b w:val="0"/>
        <w:i w:val="0"/>
        <w:caps w:val="0"/>
        <w:strike w:val="0"/>
        <w:dstrike w:val="0"/>
        <w:sz w:val="24"/>
        <w:u w:val="none"/>
        <w:effect w:val="none"/>
      </w:rPr>
    </w:lvl>
    <w:lvl w:ilvl="3">
      <w:start w:val="1"/>
      <w:numFmt w:val="lowerRoman"/>
      <w:lvlText w:val="(%4)"/>
      <w:lvlJc w:val="left"/>
      <w:pPr>
        <w:tabs>
          <w:tab w:val="num" w:pos="2520"/>
        </w:tabs>
        <w:ind w:left="1080" w:firstLine="720"/>
      </w:pPr>
      <w:rPr>
        <w:rFonts w:ascii="Times New Roman" w:hAnsi="Times New Roman" w:cs="Times New Roman"/>
        <w:b w:val="0"/>
        <w:i w:val="0"/>
        <w:caps w:val="0"/>
        <w:strike w:val="0"/>
        <w:dstrike w:val="0"/>
        <w:sz w:val="24"/>
        <w:u w:val="none"/>
        <w:effect w:val="none"/>
      </w:rPr>
    </w:lvl>
    <w:lvl w:ilvl="4">
      <w:start w:val="1"/>
      <w:numFmt w:val="upperLetter"/>
      <w:lvlText w:val="%5."/>
      <w:lvlJc w:val="left"/>
      <w:pPr>
        <w:tabs>
          <w:tab w:val="num" w:pos="3600"/>
        </w:tabs>
        <w:ind w:left="2160" w:firstLine="720"/>
      </w:pPr>
      <w:rPr>
        <w:rFonts w:ascii="Times New Roman" w:hAnsi="Times New Roman" w:cs="Times New Roman"/>
        <w:b w:val="0"/>
        <w:i w:val="0"/>
        <w:caps w:val="0"/>
        <w:strike w:val="0"/>
        <w:dstrike w:val="0"/>
        <w:sz w:val="24"/>
        <w:u w:val="none"/>
        <w:effect w:val="none"/>
      </w:rPr>
    </w:lvl>
    <w:lvl w:ilvl="5">
      <w:start w:val="1"/>
      <w:numFmt w:val="decimal"/>
      <w:lvlText w:val="%6."/>
      <w:lvlJc w:val="left"/>
      <w:pPr>
        <w:tabs>
          <w:tab w:val="num" w:pos="1080"/>
        </w:tabs>
        <w:ind w:left="1080" w:hanging="360"/>
      </w:pPr>
      <w:rPr>
        <w:rFonts w:ascii="Times New Roman" w:hAnsi="Times New Roman" w:cs="Times New Roman"/>
        <w:b w:val="0"/>
        <w:i w:val="0"/>
        <w:caps w:val="0"/>
        <w:strike w:val="0"/>
        <w:dstrike w:val="0"/>
        <w:color w:val="auto"/>
        <w:sz w:val="24"/>
        <w:u w:val="none"/>
        <w:effect w:val="none"/>
      </w:rPr>
    </w:lvl>
    <w:lvl w:ilvl="6">
      <w:start w:val="1"/>
      <w:numFmt w:val="none"/>
      <w:suff w:val="nothing"/>
      <w:lvlText w:val=""/>
      <w:lvlJc w:val="left"/>
      <w:pPr>
        <w:tabs>
          <w:tab w:val="num" w:pos="720"/>
        </w:tabs>
        <w:ind w:left="0" w:firstLine="0"/>
      </w:pPr>
      <w:rPr>
        <w:rFonts w:ascii="Times New Roman" w:hAnsi="Times New Roman" w:cs="Times New Roman"/>
        <w:b w:val="0"/>
        <w:i w:val="0"/>
        <w:caps w:val="0"/>
        <w:strike w:val="0"/>
        <w:dstrike w:val="0"/>
        <w:color w:val="auto"/>
        <w:sz w:val="24"/>
        <w:u w:val="none"/>
        <w:effect w:val="none"/>
      </w:rPr>
    </w:lvl>
    <w:lvl w:ilvl="7">
      <w:start w:val="1"/>
      <w:numFmt w:val="none"/>
      <w:suff w:val="nothing"/>
      <w:lvlText w:val=""/>
      <w:lvlJc w:val="left"/>
      <w:pPr>
        <w:tabs>
          <w:tab w:val="num" w:pos="720"/>
        </w:tabs>
        <w:ind w:left="0" w:firstLine="0"/>
      </w:pPr>
      <w:rPr>
        <w:rFonts w:ascii="Times New Roman" w:hAnsi="Times New Roman" w:cs="Times New Roman"/>
        <w:b w:val="0"/>
        <w:i w:val="0"/>
        <w:caps w:val="0"/>
        <w:strike w:val="0"/>
        <w:dstrike w:val="0"/>
        <w:color w:val="auto"/>
        <w:sz w:val="24"/>
        <w:u w:val="none"/>
        <w:effect w:val="none"/>
      </w:rPr>
    </w:lvl>
    <w:lvl w:ilvl="8">
      <w:start w:val="1"/>
      <w:numFmt w:val="none"/>
      <w:suff w:val="nothing"/>
      <w:lvlText w:val=""/>
      <w:lvlJc w:val="left"/>
      <w:pPr>
        <w:tabs>
          <w:tab w:val="num" w:pos="720"/>
        </w:tabs>
        <w:ind w:left="0" w:firstLine="0"/>
      </w:pPr>
      <w:rPr>
        <w:rFonts w:ascii="Times New Roman" w:hAnsi="Times New Roman" w:cs="Times New Roman"/>
        <w:b w:val="0"/>
        <w:i w:val="0"/>
        <w:caps w:val="0"/>
        <w:strike w:val="0"/>
        <w:dstrike w:val="0"/>
        <w:color w:val="auto"/>
        <w:sz w:val="24"/>
        <w:u w:val="none"/>
        <w:effect w:val="none"/>
      </w:r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8"/>
  </w:num>
  <w:num w:numId="13">
    <w:abstractNumId w:val="4"/>
  </w:num>
  <w:num w:numId="14">
    <w:abstractNumId w:val="9"/>
  </w:num>
  <w:num w:numId="15">
    <w:abstractNumId w:val="1"/>
  </w:num>
  <w:num w:numId="16">
    <w:abstractNumId w:val="16"/>
  </w:num>
  <w:num w:numId="17">
    <w:abstractNumId w:val="7"/>
  </w:num>
  <w:num w:numId="18">
    <w:abstractNumId w:val="17"/>
  </w:num>
  <w:num w:numId="19">
    <w:abstractNumId w:val="11"/>
    <w:lvlOverride w:ilvl="0">
      <w:startOverride w:val="2"/>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49-1597-3369, v. 1"/>
    <w:docVar w:name="ndGeneratedStampLocation" w:val="EachPage"/>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FE3303B8-A800-4DDB-A30E-1DFFD7B0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link w:val="ListChar"/>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ocID">
    <w:name w:val="DocID"/>
    <w:basedOn w:val="Normal"/>
    <w:link w:val="DocIDChar"/>
    <w:pPr>
      <w:tabs>
        <w:tab w:val="center" w:pos="4522"/>
        <w:tab w:val="right" w:pos="9029"/>
      </w:tabs>
    </w:pPr>
    <w:rPr>
      <w:rFonts w:eastAsia="Calibri"/>
      <w:sz w:val="16"/>
      <w:szCs w:val="22"/>
      <w:lang w:val="en-CA"/>
    </w:rPr>
  </w:style>
  <w:style w:type="character" w:customStyle="1" w:styleId="DocIDChar">
    <w:name w:val="DocID Char"/>
    <w:basedOn w:val="DefaultParagraphFont"/>
    <w:link w:val="DocID"/>
    <w:rPr>
      <w:rFonts w:eastAsia="Calibri"/>
      <w:sz w:val="16"/>
      <w:szCs w:val="22"/>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BodyTextChar">
    <w:name w:val="Body Text Char"/>
    <w:basedOn w:val="DefaultParagraphFont"/>
    <w:link w:val="BodyText"/>
    <w:rPr>
      <w:sz w:val="24"/>
      <w:lang w:val="en-GB"/>
    </w:rPr>
  </w:style>
  <w:style w:type="paragraph" w:styleId="Revision">
    <w:name w:val="Revision"/>
    <w:hidden/>
    <w:uiPriority w:val="99"/>
    <w:semiHidden/>
  </w:style>
  <w:style w:type="character" w:customStyle="1" w:styleId="FootnoteTextChar">
    <w:name w:val="Footnote Text Char"/>
    <w:basedOn w:val="DefaultParagraphFont"/>
    <w:link w:val="FootnoteText"/>
    <w:semiHidden/>
  </w:style>
  <w:style w:type="character" w:customStyle="1" w:styleId="ListChar">
    <w:name w:val="List Char"/>
    <w:basedOn w:val="BodyTextChar"/>
    <w:link w:val="List"/>
    <w:rPr>
      <w:sz w:val="24"/>
      <w:lang w:val="en-GB"/>
    </w:rPr>
  </w:style>
  <w:style w:type="paragraph" w:customStyle="1" w:styleId="ArticleL2">
    <w:name w:val="Article_L2"/>
    <w:basedOn w:val="ArticleL1"/>
    <w:pPr>
      <w:keepNext w:val="0"/>
      <w:keepLines w:val="0"/>
      <w:numPr>
        <w:ilvl w:val="1"/>
      </w:numPr>
      <w:spacing w:before="0"/>
      <w:jc w:val="both"/>
      <w:outlineLvl w:val="1"/>
    </w:pPr>
    <w:rPr>
      <w:b w:val="0"/>
    </w:rPr>
  </w:style>
  <w:style w:type="paragraph" w:customStyle="1" w:styleId="ArticleL1">
    <w:name w:val="Article_L1"/>
    <w:basedOn w:val="Normal"/>
    <w:next w:val="ArticleL2"/>
    <w:pPr>
      <w:keepNext/>
      <w:keepLines/>
      <w:numPr>
        <w:numId w:val="20"/>
      </w:numPr>
      <w:spacing w:before="120" w:after="240"/>
      <w:jc w:val="center"/>
      <w:outlineLvl w:val="0"/>
    </w:pPr>
    <w:rPr>
      <w:b/>
      <w:sz w:val="24"/>
      <w:szCs w:val="22"/>
    </w:rPr>
  </w:style>
  <w:style w:type="character" w:customStyle="1" w:styleId="ArticleL3Char">
    <w:name w:val="Article_L3 Char"/>
    <w:basedOn w:val="DefaultParagraphFont"/>
    <w:link w:val="ArticleL3"/>
    <w:locked/>
    <w:rPr>
      <w:sz w:val="24"/>
    </w:rPr>
  </w:style>
  <w:style w:type="paragraph" w:customStyle="1" w:styleId="ArticleL3">
    <w:name w:val="Article_L3"/>
    <w:basedOn w:val="ArticleL2"/>
    <w:link w:val="ArticleL3Char"/>
    <w:pPr>
      <w:numPr>
        <w:ilvl w:val="0"/>
        <w:numId w:val="0"/>
      </w:numPr>
      <w:ind w:firstLine="720"/>
      <w:outlineLvl w:val="2"/>
    </w:pPr>
    <w:rPr>
      <w:szCs w:val="20"/>
    </w:rPr>
  </w:style>
  <w:style w:type="character" w:customStyle="1" w:styleId="Prompt">
    <w:name w:val="Prompt"/>
    <w:basedOn w:val="DefaultParagraphFont"/>
    <w:rPr>
      <w:rFonts w:ascii="Arial" w:hAnsi="Arial"/>
      <w:i/>
      <w:iCs/>
      <w:color w:val="0000F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59812">
      <w:bodyDiv w:val="1"/>
      <w:marLeft w:val="0"/>
      <w:marRight w:val="0"/>
      <w:marTop w:val="0"/>
      <w:marBottom w:val="0"/>
      <w:divBdr>
        <w:top w:val="none" w:sz="0" w:space="0" w:color="auto"/>
        <w:left w:val="none" w:sz="0" w:space="0" w:color="auto"/>
        <w:bottom w:val="none" w:sz="0" w:space="0" w:color="auto"/>
        <w:right w:val="none" w:sz="0" w:space="0" w:color="auto"/>
      </w:divBdr>
    </w:div>
    <w:div w:id="155269238">
      <w:bodyDiv w:val="1"/>
      <w:marLeft w:val="0"/>
      <w:marRight w:val="0"/>
      <w:marTop w:val="0"/>
      <w:marBottom w:val="0"/>
      <w:divBdr>
        <w:top w:val="none" w:sz="0" w:space="0" w:color="auto"/>
        <w:left w:val="none" w:sz="0" w:space="0" w:color="auto"/>
        <w:bottom w:val="none" w:sz="0" w:space="0" w:color="auto"/>
        <w:right w:val="none" w:sz="0" w:space="0" w:color="auto"/>
      </w:divBdr>
    </w:div>
    <w:div w:id="342977518">
      <w:bodyDiv w:val="1"/>
      <w:marLeft w:val="0"/>
      <w:marRight w:val="0"/>
      <w:marTop w:val="0"/>
      <w:marBottom w:val="0"/>
      <w:divBdr>
        <w:top w:val="none" w:sz="0" w:space="0" w:color="auto"/>
        <w:left w:val="none" w:sz="0" w:space="0" w:color="auto"/>
        <w:bottom w:val="none" w:sz="0" w:space="0" w:color="auto"/>
        <w:right w:val="none" w:sz="0" w:space="0" w:color="auto"/>
      </w:divBdr>
    </w:div>
    <w:div w:id="409548156">
      <w:bodyDiv w:val="1"/>
      <w:marLeft w:val="0"/>
      <w:marRight w:val="0"/>
      <w:marTop w:val="0"/>
      <w:marBottom w:val="0"/>
      <w:divBdr>
        <w:top w:val="none" w:sz="0" w:space="0" w:color="auto"/>
        <w:left w:val="none" w:sz="0" w:space="0" w:color="auto"/>
        <w:bottom w:val="none" w:sz="0" w:space="0" w:color="auto"/>
        <w:right w:val="none" w:sz="0" w:space="0" w:color="auto"/>
      </w:divBdr>
    </w:div>
    <w:div w:id="498812032">
      <w:bodyDiv w:val="1"/>
      <w:marLeft w:val="0"/>
      <w:marRight w:val="0"/>
      <w:marTop w:val="0"/>
      <w:marBottom w:val="0"/>
      <w:divBdr>
        <w:top w:val="none" w:sz="0" w:space="0" w:color="auto"/>
        <w:left w:val="none" w:sz="0" w:space="0" w:color="auto"/>
        <w:bottom w:val="none" w:sz="0" w:space="0" w:color="auto"/>
        <w:right w:val="none" w:sz="0" w:space="0" w:color="auto"/>
      </w:divBdr>
    </w:div>
    <w:div w:id="561332633">
      <w:bodyDiv w:val="1"/>
      <w:marLeft w:val="0"/>
      <w:marRight w:val="0"/>
      <w:marTop w:val="0"/>
      <w:marBottom w:val="0"/>
      <w:divBdr>
        <w:top w:val="none" w:sz="0" w:space="0" w:color="auto"/>
        <w:left w:val="none" w:sz="0" w:space="0" w:color="auto"/>
        <w:bottom w:val="none" w:sz="0" w:space="0" w:color="auto"/>
        <w:right w:val="none" w:sz="0" w:space="0" w:color="auto"/>
      </w:divBdr>
    </w:div>
    <w:div w:id="564493208">
      <w:bodyDiv w:val="1"/>
      <w:marLeft w:val="0"/>
      <w:marRight w:val="0"/>
      <w:marTop w:val="0"/>
      <w:marBottom w:val="0"/>
      <w:divBdr>
        <w:top w:val="none" w:sz="0" w:space="0" w:color="auto"/>
        <w:left w:val="none" w:sz="0" w:space="0" w:color="auto"/>
        <w:bottom w:val="none" w:sz="0" w:space="0" w:color="auto"/>
        <w:right w:val="none" w:sz="0" w:space="0" w:color="auto"/>
      </w:divBdr>
    </w:div>
    <w:div w:id="594439566">
      <w:bodyDiv w:val="1"/>
      <w:marLeft w:val="0"/>
      <w:marRight w:val="0"/>
      <w:marTop w:val="0"/>
      <w:marBottom w:val="0"/>
      <w:divBdr>
        <w:top w:val="none" w:sz="0" w:space="0" w:color="auto"/>
        <w:left w:val="none" w:sz="0" w:space="0" w:color="auto"/>
        <w:bottom w:val="none" w:sz="0" w:space="0" w:color="auto"/>
        <w:right w:val="none" w:sz="0" w:space="0" w:color="auto"/>
      </w:divBdr>
    </w:div>
    <w:div w:id="1159543227">
      <w:bodyDiv w:val="1"/>
      <w:marLeft w:val="0"/>
      <w:marRight w:val="0"/>
      <w:marTop w:val="0"/>
      <w:marBottom w:val="0"/>
      <w:divBdr>
        <w:top w:val="none" w:sz="0" w:space="0" w:color="auto"/>
        <w:left w:val="none" w:sz="0" w:space="0" w:color="auto"/>
        <w:bottom w:val="none" w:sz="0" w:space="0" w:color="auto"/>
        <w:right w:val="none" w:sz="0" w:space="0" w:color="auto"/>
      </w:divBdr>
    </w:div>
    <w:div w:id="1217931714">
      <w:bodyDiv w:val="1"/>
      <w:marLeft w:val="0"/>
      <w:marRight w:val="0"/>
      <w:marTop w:val="0"/>
      <w:marBottom w:val="0"/>
      <w:divBdr>
        <w:top w:val="none" w:sz="0" w:space="0" w:color="auto"/>
        <w:left w:val="none" w:sz="0" w:space="0" w:color="auto"/>
        <w:bottom w:val="none" w:sz="0" w:space="0" w:color="auto"/>
        <w:right w:val="none" w:sz="0" w:space="0" w:color="auto"/>
      </w:divBdr>
    </w:div>
    <w:div w:id="1233851804">
      <w:bodyDiv w:val="1"/>
      <w:marLeft w:val="0"/>
      <w:marRight w:val="0"/>
      <w:marTop w:val="0"/>
      <w:marBottom w:val="0"/>
      <w:divBdr>
        <w:top w:val="none" w:sz="0" w:space="0" w:color="auto"/>
        <w:left w:val="none" w:sz="0" w:space="0" w:color="auto"/>
        <w:bottom w:val="none" w:sz="0" w:space="0" w:color="auto"/>
        <w:right w:val="none" w:sz="0" w:space="0" w:color="auto"/>
      </w:divBdr>
    </w:div>
    <w:div w:id="1316950463">
      <w:bodyDiv w:val="1"/>
      <w:marLeft w:val="0"/>
      <w:marRight w:val="0"/>
      <w:marTop w:val="0"/>
      <w:marBottom w:val="0"/>
      <w:divBdr>
        <w:top w:val="none" w:sz="0" w:space="0" w:color="auto"/>
        <w:left w:val="none" w:sz="0" w:space="0" w:color="auto"/>
        <w:bottom w:val="none" w:sz="0" w:space="0" w:color="auto"/>
        <w:right w:val="none" w:sz="0" w:space="0" w:color="auto"/>
      </w:divBdr>
    </w:div>
    <w:div w:id="1418669720">
      <w:bodyDiv w:val="1"/>
      <w:marLeft w:val="0"/>
      <w:marRight w:val="0"/>
      <w:marTop w:val="0"/>
      <w:marBottom w:val="0"/>
      <w:divBdr>
        <w:top w:val="none" w:sz="0" w:space="0" w:color="auto"/>
        <w:left w:val="none" w:sz="0" w:space="0" w:color="auto"/>
        <w:bottom w:val="none" w:sz="0" w:space="0" w:color="auto"/>
        <w:right w:val="none" w:sz="0" w:space="0" w:color="auto"/>
      </w:divBdr>
    </w:div>
    <w:div w:id="1445687420">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526403717">
      <w:bodyDiv w:val="1"/>
      <w:marLeft w:val="0"/>
      <w:marRight w:val="0"/>
      <w:marTop w:val="0"/>
      <w:marBottom w:val="0"/>
      <w:divBdr>
        <w:top w:val="none" w:sz="0" w:space="0" w:color="auto"/>
        <w:left w:val="none" w:sz="0" w:space="0" w:color="auto"/>
        <w:bottom w:val="none" w:sz="0" w:space="0" w:color="auto"/>
        <w:right w:val="none" w:sz="0" w:space="0" w:color="auto"/>
      </w:divBdr>
    </w:div>
    <w:div w:id="1531140380">
      <w:bodyDiv w:val="1"/>
      <w:marLeft w:val="0"/>
      <w:marRight w:val="0"/>
      <w:marTop w:val="0"/>
      <w:marBottom w:val="0"/>
      <w:divBdr>
        <w:top w:val="none" w:sz="0" w:space="0" w:color="auto"/>
        <w:left w:val="none" w:sz="0" w:space="0" w:color="auto"/>
        <w:bottom w:val="none" w:sz="0" w:space="0" w:color="auto"/>
        <w:right w:val="none" w:sz="0" w:space="0" w:color="auto"/>
      </w:divBdr>
    </w:div>
    <w:div w:id="1533684807">
      <w:bodyDiv w:val="1"/>
      <w:marLeft w:val="0"/>
      <w:marRight w:val="0"/>
      <w:marTop w:val="0"/>
      <w:marBottom w:val="0"/>
      <w:divBdr>
        <w:top w:val="none" w:sz="0" w:space="0" w:color="auto"/>
        <w:left w:val="none" w:sz="0" w:space="0" w:color="auto"/>
        <w:bottom w:val="none" w:sz="0" w:space="0" w:color="auto"/>
        <w:right w:val="none" w:sz="0" w:space="0" w:color="auto"/>
      </w:divBdr>
    </w:div>
    <w:div w:id="1648587458">
      <w:bodyDiv w:val="1"/>
      <w:marLeft w:val="0"/>
      <w:marRight w:val="0"/>
      <w:marTop w:val="0"/>
      <w:marBottom w:val="0"/>
      <w:divBdr>
        <w:top w:val="none" w:sz="0" w:space="0" w:color="auto"/>
        <w:left w:val="none" w:sz="0" w:space="0" w:color="auto"/>
        <w:bottom w:val="none" w:sz="0" w:space="0" w:color="auto"/>
        <w:right w:val="none" w:sz="0" w:space="0" w:color="auto"/>
      </w:divBdr>
    </w:div>
    <w:div w:id="1650134513">
      <w:bodyDiv w:val="1"/>
      <w:marLeft w:val="0"/>
      <w:marRight w:val="0"/>
      <w:marTop w:val="0"/>
      <w:marBottom w:val="0"/>
      <w:divBdr>
        <w:top w:val="none" w:sz="0" w:space="0" w:color="auto"/>
        <w:left w:val="none" w:sz="0" w:space="0" w:color="auto"/>
        <w:bottom w:val="none" w:sz="0" w:space="0" w:color="auto"/>
        <w:right w:val="none" w:sz="0" w:space="0" w:color="auto"/>
      </w:divBdr>
    </w:div>
    <w:div w:id="1716660248">
      <w:bodyDiv w:val="1"/>
      <w:marLeft w:val="0"/>
      <w:marRight w:val="0"/>
      <w:marTop w:val="0"/>
      <w:marBottom w:val="0"/>
      <w:divBdr>
        <w:top w:val="none" w:sz="0" w:space="0" w:color="auto"/>
        <w:left w:val="none" w:sz="0" w:space="0" w:color="auto"/>
        <w:bottom w:val="none" w:sz="0" w:space="0" w:color="auto"/>
        <w:right w:val="none" w:sz="0" w:space="0" w:color="auto"/>
      </w:divBdr>
    </w:div>
    <w:div w:id="1775320114">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 w:id="2016489437">
      <w:bodyDiv w:val="1"/>
      <w:marLeft w:val="0"/>
      <w:marRight w:val="0"/>
      <w:marTop w:val="0"/>
      <w:marBottom w:val="0"/>
      <w:divBdr>
        <w:top w:val="none" w:sz="0" w:space="0" w:color="auto"/>
        <w:left w:val="none" w:sz="0" w:space="0" w:color="auto"/>
        <w:bottom w:val="none" w:sz="0" w:space="0" w:color="auto"/>
        <w:right w:val="none" w:sz="0" w:space="0" w:color="auto"/>
      </w:divBdr>
    </w:div>
    <w:div w:id="21224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listings@thecse.com"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 N A T D O C S ! 6 0 8 4 4 2 4 3 . 5 < / d o c u m e n t i d >  
     < s e n d e r i d > I M R I E M < / s e n d e r i d >  
     < s e n d e r e m a i l > M A T T H E W . I M R I E @ D E N T O N S . C O M < / s e n d e r e m a i l >  
     < l a s t m o d i f i e d > 2 0 2 2 - 0 2 - 0 1 T 0 8 : 4 8 : 0 0 . 0 0 0 0 0 0 0 - 0 5 : 0 0 < / l a s t m o d i f i e d >  
     < d a t a b a s e > N A T D O C S 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D4296-B8DE-4DFB-A15E-2BDAC9FF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1779</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Onyi Ubah</dc:creator>
  <cp:lastModifiedBy>Imrie, Matthew</cp:lastModifiedBy>
  <cp:revision>4</cp:revision>
  <cp:lastPrinted>2022-02-01T05:48:00Z</cp:lastPrinted>
  <dcterms:created xsi:type="dcterms:W3CDTF">2022-02-01T13:42:00Z</dcterms:created>
  <dcterms:modified xsi:type="dcterms:W3CDTF">2022-02-01T13:48:00Z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60844243\V-5</vt:lpwstr>
  </property>
  <property fmtid="{D5CDD505-2E9C-101B-9397-08002B2CF9AE}" pid="3" name="CUS_DocIDChunk0">
    <vt:lpwstr>60844243\V-5</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DOCXDOCID">
    <vt:lpwstr>315663.00006/111546553.11</vt:lpwstr>
  </property>
  <property fmtid="{D5CDD505-2E9C-101B-9397-08002B2CF9AE}" pid="8" name="DocXLocation">
    <vt:lpwstr>Every Page</vt:lpwstr>
  </property>
  <property fmtid="{D5CDD505-2E9C-101B-9397-08002B2CF9AE}" pid="9" name="DocXFormat">
    <vt:lpwstr>FaskenDefault</vt:lpwstr>
  </property>
  <property fmtid="{D5CDD505-2E9C-101B-9397-08002B2CF9AE}" pid="10" name="ndDocumentId">
    <vt:lpwstr>4849-1597-3369</vt:lpwstr>
  </property>
</Properties>
</file>