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452010" w14:textId="27EC882E" w:rsidR="00C479D2" w:rsidRDefault="00DB5C91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116E4" wp14:editId="396CC077">
            <wp:simplePos x="0" y="0"/>
            <wp:positionH relativeFrom="column">
              <wp:posOffset>4682050</wp:posOffset>
            </wp:positionH>
            <wp:positionV relativeFrom="paragraph">
              <wp:posOffset>-795215</wp:posOffset>
            </wp:positionV>
            <wp:extent cx="18288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HEMIST FINAL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6A76" w14:textId="77777777" w:rsidR="00DB5C91" w:rsidRDefault="00DB5C91">
      <w:pPr>
        <w:pStyle w:val="Title"/>
        <w:spacing w:after="0"/>
      </w:pPr>
    </w:p>
    <w:p w14:paraId="1A4428D3" w14:textId="77777777" w:rsidR="00DB5C91" w:rsidRDefault="00DB5C91">
      <w:pPr>
        <w:pStyle w:val="Title"/>
        <w:spacing w:after="0"/>
        <w:rPr>
          <w:caps w:val="0"/>
          <w:lang w:val="en-US"/>
        </w:rPr>
      </w:pPr>
    </w:p>
    <w:p w14:paraId="78B44DC0" w14:textId="2E19E8AD" w:rsidR="00015DD3" w:rsidRPr="00015DD3" w:rsidRDefault="00C736A8" w:rsidP="00015DD3">
      <w:pPr>
        <w:shd w:val="clear" w:color="auto" w:fill="FFFFFF"/>
        <w:spacing w:after="180"/>
        <w:rPr>
          <w:rFonts w:ascii="Abel" w:eastAsia="Abel" w:hAnsi="Abel" w:cs="Abel"/>
          <w:color w:val="767171"/>
          <w:sz w:val="50"/>
          <w:szCs w:val="50"/>
        </w:rPr>
      </w:pPr>
      <w:r>
        <w:rPr>
          <w:rFonts w:ascii="Abel" w:eastAsia="Abel" w:hAnsi="Abel" w:cs="Abel"/>
          <w:color w:val="767171"/>
          <w:sz w:val="50"/>
          <w:szCs w:val="50"/>
        </w:rPr>
        <w:t xml:space="preserve">Alchemist Announces </w:t>
      </w:r>
      <w:r w:rsidR="00796947">
        <w:rPr>
          <w:rFonts w:ascii="Abel" w:eastAsia="Abel" w:hAnsi="Abel" w:cs="Abel"/>
          <w:color w:val="767171"/>
          <w:sz w:val="50"/>
          <w:szCs w:val="50"/>
        </w:rPr>
        <w:t xml:space="preserve">Proposed </w:t>
      </w:r>
      <w:r w:rsidR="00D8240C">
        <w:rPr>
          <w:rFonts w:ascii="Abel" w:eastAsia="Abel" w:hAnsi="Abel" w:cs="Abel"/>
          <w:color w:val="767171"/>
          <w:sz w:val="50"/>
          <w:szCs w:val="50"/>
        </w:rPr>
        <w:t xml:space="preserve">20-1 </w:t>
      </w:r>
      <w:r w:rsidR="00796947">
        <w:rPr>
          <w:rFonts w:ascii="Abel" w:eastAsia="Abel" w:hAnsi="Abel" w:cs="Abel"/>
          <w:color w:val="767171"/>
          <w:sz w:val="50"/>
          <w:szCs w:val="50"/>
        </w:rPr>
        <w:t>Share Consolidation</w:t>
      </w:r>
    </w:p>
    <w:p w14:paraId="48325C76" w14:textId="4C672ADC" w:rsidR="00C62D77" w:rsidRPr="00C62D77" w:rsidRDefault="00C736A8" w:rsidP="00C62D77">
      <w:pPr>
        <w:pStyle w:val="Heading1"/>
        <w:spacing w:before="410"/>
        <w:ind w:left="0" w:right="0"/>
        <w:jc w:val="left"/>
        <w:rPr>
          <w:rFonts w:ascii="Abel" w:hAnsi="Abel"/>
          <w:sz w:val="22"/>
          <w:szCs w:val="22"/>
        </w:rPr>
      </w:pPr>
      <w:r>
        <w:rPr>
          <w:rFonts w:ascii="Abel" w:hAnsi="Abel"/>
          <w:color w:val="6D7275"/>
          <w:sz w:val="22"/>
          <w:szCs w:val="22"/>
        </w:rPr>
        <w:t>November</w:t>
      </w:r>
      <w:r w:rsidR="00874248">
        <w:rPr>
          <w:rFonts w:ascii="Abel" w:hAnsi="Abel"/>
          <w:color w:val="6D7275"/>
          <w:sz w:val="22"/>
          <w:szCs w:val="22"/>
        </w:rPr>
        <w:t xml:space="preserve"> </w:t>
      </w:r>
      <w:r w:rsidR="00BC0CE0">
        <w:rPr>
          <w:rFonts w:ascii="Abel" w:hAnsi="Abel"/>
          <w:color w:val="6D7275"/>
          <w:sz w:val="22"/>
          <w:szCs w:val="22"/>
        </w:rPr>
        <w:t>10</w:t>
      </w:r>
      <w:r w:rsidR="005C2791">
        <w:rPr>
          <w:rFonts w:ascii="Abel" w:hAnsi="Abel"/>
          <w:color w:val="6D7275"/>
          <w:sz w:val="22"/>
          <w:szCs w:val="22"/>
        </w:rPr>
        <w:t>th</w:t>
      </w:r>
      <w:r w:rsidR="00C62D77" w:rsidRPr="00C62D77">
        <w:rPr>
          <w:rFonts w:ascii="Abel" w:hAnsi="Abel"/>
          <w:color w:val="6D7275"/>
          <w:sz w:val="22"/>
          <w:szCs w:val="22"/>
        </w:rPr>
        <w:t>, 2021</w:t>
      </w:r>
    </w:p>
    <w:p w14:paraId="2ADF9A4F" w14:textId="016FE592" w:rsidR="00020535" w:rsidRPr="00085894" w:rsidRDefault="00C62D77" w:rsidP="00C62D77">
      <w:pPr>
        <w:spacing w:before="240" w:after="240" w:line="312" w:lineRule="auto"/>
        <w:jc w:val="both"/>
        <w:rPr>
          <w:rFonts w:ascii="Abel" w:hAnsi="Abel"/>
          <w:color w:val="6D7275"/>
          <w:sz w:val="22"/>
          <w:szCs w:val="22"/>
        </w:rPr>
      </w:pPr>
      <w:r w:rsidRPr="00C62D77">
        <w:rPr>
          <w:rFonts w:ascii="Abel" w:hAnsi="Abel"/>
          <w:color w:val="6D7275"/>
          <w:sz w:val="22"/>
          <w:szCs w:val="22"/>
        </w:rPr>
        <w:t>Vancouver, BC - Alchemist Mining Inc. (CSE: AMS-X) (“</w:t>
      </w:r>
      <w:r w:rsidRPr="00C62D77">
        <w:rPr>
          <w:rFonts w:ascii="Abel" w:hAnsi="Abel"/>
          <w:b/>
          <w:bCs/>
          <w:color w:val="6D7275"/>
          <w:sz w:val="22"/>
          <w:szCs w:val="22"/>
        </w:rPr>
        <w:t>AMS</w:t>
      </w:r>
      <w:r w:rsidRPr="00C62D77">
        <w:rPr>
          <w:rFonts w:ascii="Abel" w:hAnsi="Abel"/>
          <w:color w:val="6D7275"/>
          <w:sz w:val="22"/>
          <w:szCs w:val="22"/>
        </w:rPr>
        <w:t>” or the “</w:t>
      </w:r>
      <w:r w:rsidRPr="00C62D77">
        <w:rPr>
          <w:rFonts w:ascii="Abel" w:hAnsi="Abel"/>
          <w:b/>
          <w:bCs/>
          <w:color w:val="6D7275"/>
          <w:sz w:val="22"/>
          <w:szCs w:val="22"/>
        </w:rPr>
        <w:t>Company</w:t>
      </w:r>
      <w:r w:rsidRPr="00C62D77">
        <w:rPr>
          <w:rFonts w:ascii="Abel" w:hAnsi="Abel"/>
          <w:color w:val="6D7275"/>
          <w:sz w:val="22"/>
          <w:szCs w:val="22"/>
        </w:rPr>
        <w:t>”)</w:t>
      </w:r>
      <w:r w:rsidRPr="00C62D77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announces that its Board of Directors has approved a consolidation </w:t>
      </w:r>
      <w:r w:rsidR="001F04EC">
        <w:rPr>
          <w:rFonts w:ascii="Abel" w:eastAsia="Abel" w:hAnsi="Abel" w:cs="Abel"/>
          <w:color w:val="6D7275"/>
          <w:sz w:val="22"/>
          <w:szCs w:val="22"/>
        </w:rPr>
        <w:t>(the “</w:t>
      </w:r>
      <w:r w:rsidR="001F04EC">
        <w:rPr>
          <w:rFonts w:ascii="Abel" w:eastAsia="Abel" w:hAnsi="Abel" w:cs="Abel"/>
          <w:b/>
          <w:bCs/>
          <w:color w:val="6D7275"/>
          <w:sz w:val="22"/>
          <w:szCs w:val="22"/>
        </w:rPr>
        <w:t>Consolidation</w:t>
      </w:r>
      <w:r w:rsidR="001F04EC">
        <w:rPr>
          <w:rFonts w:ascii="Abel" w:eastAsia="Abel" w:hAnsi="Abel" w:cs="Abel"/>
          <w:color w:val="6D7275"/>
          <w:sz w:val="22"/>
          <w:szCs w:val="22"/>
        </w:rPr>
        <w:t xml:space="preserve">”) 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of the Company’s issued share capital </w:t>
      </w:r>
      <w:proofErr w:type="gramStart"/>
      <w:r w:rsidR="00C736A8" w:rsidRPr="00C736A8">
        <w:rPr>
          <w:rFonts w:ascii="Abel" w:eastAsia="Abel" w:hAnsi="Abel" w:cs="Abel"/>
          <w:color w:val="6D7275"/>
          <w:sz w:val="22"/>
          <w:szCs w:val="22"/>
        </w:rPr>
        <w:t>on the basis of</w:t>
      </w:r>
      <w:proofErr w:type="gramEnd"/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C736A8">
        <w:rPr>
          <w:rFonts w:ascii="Abel" w:eastAsia="Abel" w:hAnsi="Abel" w:cs="Abel"/>
          <w:color w:val="6D7275"/>
          <w:sz w:val="22"/>
          <w:szCs w:val="22"/>
        </w:rPr>
        <w:t>twenty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 (</w:t>
      </w:r>
      <w:r w:rsidR="00C736A8">
        <w:rPr>
          <w:rFonts w:ascii="Abel" w:eastAsia="Abel" w:hAnsi="Abel" w:cs="Abel"/>
          <w:color w:val="6D7275"/>
          <w:sz w:val="22"/>
          <w:szCs w:val="22"/>
        </w:rPr>
        <w:t>20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) common shares for one (1) new share of the Company</w:t>
      </w:r>
      <w:r w:rsidR="001F04EC">
        <w:rPr>
          <w:rFonts w:ascii="Abel" w:eastAsia="Abel" w:hAnsi="Abel" w:cs="Abel"/>
          <w:color w:val="6D7275"/>
          <w:sz w:val="22"/>
          <w:szCs w:val="22"/>
        </w:rPr>
        <w:t xml:space="preserve"> (the “</w:t>
      </w:r>
      <w:r w:rsidR="001F04EC" w:rsidRPr="001F04EC">
        <w:rPr>
          <w:rFonts w:ascii="Abel" w:eastAsia="Abel" w:hAnsi="Abel" w:cs="Abel"/>
          <w:b/>
          <w:bCs/>
          <w:color w:val="6D7275"/>
          <w:sz w:val="22"/>
          <w:szCs w:val="22"/>
        </w:rPr>
        <w:t>Consolidation Ratio</w:t>
      </w:r>
      <w:r w:rsidR="001F04EC">
        <w:rPr>
          <w:rFonts w:ascii="Abel" w:eastAsia="Abel" w:hAnsi="Abel" w:cs="Abel"/>
          <w:color w:val="6D7275"/>
          <w:sz w:val="22"/>
          <w:szCs w:val="22"/>
        </w:rPr>
        <w:t>”)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. The Company currently has </w:t>
      </w:r>
      <w:r w:rsidR="00C736A8">
        <w:rPr>
          <w:rFonts w:ascii="Abel" w:eastAsia="Abel" w:hAnsi="Abel" w:cs="Abel"/>
          <w:color w:val="6D7275"/>
          <w:sz w:val="22"/>
          <w:szCs w:val="22"/>
        </w:rPr>
        <w:t>76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,</w:t>
      </w:r>
      <w:r w:rsidR="00C736A8">
        <w:rPr>
          <w:rFonts w:ascii="Abel" w:eastAsia="Abel" w:hAnsi="Abel" w:cs="Abel"/>
          <w:color w:val="6D7275"/>
          <w:sz w:val="22"/>
          <w:szCs w:val="22"/>
        </w:rPr>
        <w:t>610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,</w:t>
      </w:r>
      <w:r w:rsidR="00C736A8">
        <w:rPr>
          <w:rFonts w:ascii="Abel" w:eastAsia="Abel" w:hAnsi="Abel" w:cs="Abel"/>
          <w:color w:val="6D7275"/>
          <w:sz w:val="22"/>
          <w:szCs w:val="22"/>
        </w:rPr>
        <w:t>714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 common shares outstanding and will have </w:t>
      </w:r>
      <w:r w:rsidR="005F5152">
        <w:rPr>
          <w:rFonts w:ascii="Abel" w:eastAsia="Abel" w:hAnsi="Abel" w:cs="Abel"/>
          <w:color w:val="6D7275"/>
          <w:sz w:val="22"/>
          <w:szCs w:val="22"/>
        </w:rPr>
        <w:t>3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,</w:t>
      </w:r>
      <w:r w:rsidR="005F5152">
        <w:rPr>
          <w:rFonts w:ascii="Abel" w:eastAsia="Abel" w:hAnsi="Abel" w:cs="Abel"/>
          <w:color w:val="6D7275"/>
          <w:sz w:val="22"/>
          <w:szCs w:val="22"/>
        </w:rPr>
        <w:t>830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,</w:t>
      </w:r>
      <w:r w:rsidR="005F5152">
        <w:rPr>
          <w:rFonts w:ascii="Abel" w:eastAsia="Abel" w:hAnsi="Abel" w:cs="Abel"/>
          <w:color w:val="6D7275"/>
          <w:sz w:val="22"/>
          <w:szCs w:val="22"/>
        </w:rPr>
        <w:t>536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 common shares outstanding after completion of the </w:t>
      </w:r>
      <w:r w:rsidR="005F5152">
        <w:rPr>
          <w:rFonts w:ascii="Abel" w:eastAsia="Abel" w:hAnsi="Abel" w:cs="Abel"/>
          <w:color w:val="6D7275"/>
          <w:sz w:val="22"/>
          <w:szCs w:val="22"/>
        </w:rPr>
        <w:t>C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onsolidation, subject to rounding and the elimination of any fractional shares resulting from the </w:t>
      </w:r>
      <w:r w:rsidR="005F5152">
        <w:rPr>
          <w:rFonts w:ascii="Abel" w:eastAsia="Abel" w:hAnsi="Abel" w:cs="Abel"/>
          <w:color w:val="6D7275"/>
          <w:sz w:val="22"/>
          <w:szCs w:val="22"/>
        </w:rPr>
        <w:t>C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onsolidation. The number of outstanding stock options and warrants of the Company will similarly be adjusted by the </w:t>
      </w:r>
      <w:r w:rsidR="001F04EC">
        <w:rPr>
          <w:rFonts w:ascii="Abel" w:eastAsia="Abel" w:hAnsi="Abel" w:cs="Abel"/>
          <w:color w:val="6D7275"/>
          <w:sz w:val="22"/>
          <w:szCs w:val="22"/>
        </w:rPr>
        <w:t>C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onsolidation </w:t>
      </w:r>
      <w:r w:rsidR="001F04EC">
        <w:rPr>
          <w:rFonts w:ascii="Abel" w:eastAsia="Abel" w:hAnsi="Abel" w:cs="Abel"/>
          <w:color w:val="6D7275"/>
          <w:sz w:val="22"/>
          <w:szCs w:val="22"/>
        </w:rPr>
        <w:t>R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 xml:space="preserve">atio, and the exercise prices </w:t>
      </w:r>
      <w:r w:rsidR="001F04EC">
        <w:rPr>
          <w:rFonts w:ascii="Abel" w:eastAsia="Abel" w:hAnsi="Abel" w:cs="Abel"/>
          <w:color w:val="6D7275"/>
          <w:sz w:val="22"/>
          <w:szCs w:val="22"/>
        </w:rPr>
        <w:t xml:space="preserve">will be </w:t>
      </w:r>
      <w:r w:rsidR="00C736A8" w:rsidRPr="00C736A8">
        <w:rPr>
          <w:rFonts w:ascii="Abel" w:eastAsia="Abel" w:hAnsi="Abel" w:cs="Abel"/>
          <w:color w:val="6D7275"/>
          <w:sz w:val="22"/>
          <w:szCs w:val="22"/>
        </w:rPr>
        <w:t>adjusted accordingly.</w:t>
      </w:r>
    </w:p>
    <w:p w14:paraId="77D28A5A" w14:textId="41567C10" w:rsidR="006D4578" w:rsidRDefault="00C736A8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 w:rsidRPr="00C736A8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 xml:space="preserve">The </w:t>
      </w:r>
      <w:r w:rsidR="005F5152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>C</w:t>
      </w:r>
      <w:r w:rsidRPr="00C736A8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>onsolidation is subject to the acceptance of the Canadian Securities Exchange (“</w:t>
      </w:r>
      <w:r w:rsidRPr="005F5152">
        <w:rPr>
          <w:rFonts w:ascii="Abel" w:eastAsia="Abel" w:hAnsi="Abel" w:cs="Abel"/>
          <w:b/>
          <w:bCs/>
          <w:color w:val="808080" w:themeColor="background1" w:themeShade="80"/>
          <w:sz w:val="22"/>
          <w:szCs w:val="22"/>
          <w:bdr w:val="none" w:sz="0" w:space="0" w:color="auto"/>
        </w:rPr>
        <w:t>CSE</w:t>
      </w:r>
      <w:r w:rsidRPr="00C736A8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 xml:space="preserve">”). The Company will also be seeking CSE acceptance to maintain its existing name and trading symbol in conjunction with the </w:t>
      </w:r>
      <w:r w:rsidR="005F5152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>C</w:t>
      </w:r>
      <w:r w:rsidRPr="00C736A8">
        <w:rPr>
          <w:rFonts w:ascii="Abel" w:eastAsia="Abel" w:hAnsi="Abel" w:cs="Abel"/>
          <w:color w:val="808080" w:themeColor="background1" w:themeShade="80"/>
          <w:sz w:val="22"/>
          <w:szCs w:val="22"/>
          <w:bdr w:val="none" w:sz="0" w:space="0" w:color="auto"/>
        </w:rPr>
        <w:t>onsolidation.</w:t>
      </w:r>
    </w:p>
    <w:p w14:paraId="634D916F" w14:textId="77777777" w:rsidR="006D4578" w:rsidRDefault="006D4578" w:rsidP="006D457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</w:p>
    <w:p w14:paraId="298A5215" w14:textId="5A57D1EB" w:rsidR="00202154" w:rsidRDefault="00015DD3" w:rsidP="00FF2EB8">
      <w:pPr>
        <w:spacing w:line="276" w:lineRule="auto"/>
        <w:jc w:val="both"/>
        <w:rPr>
          <w:rFonts w:ascii="Abel" w:eastAsia="Abel" w:hAnsi="Abel" w:cs="Abel"/>
          <w:color w:val="000000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On Behalf of the Board,</w:t>
      </w:r>
    </w:p>
    <w:p w14:paraId="2A5D3839" w14:textId="77777777" w:rsidR="00FF2EB8" w:rsidRDefault="00FF2EB8" w:rsidP="00FF2EB8">
      <w:pPr>
        <w:spacing w:line="276" w:lineRule="auto"/>
        <w:jc w:val="both"/>
        <w:rPr>
          <w:rFonts w:ascii="Abel" w:eastAsia="Abel" w:hAnsi="Abel" w:cs="Abel"/>
          <w:color w:val="000000"/>
          <w:sz w:val="22"/>
          <w:szCs w:val="22"/>
        </w:rPr>
      </w:pPr>
    </w:p>
    <w:p w14:paraId="71B727E0" w14:textId="26F29879" w:rsidR="00C479D2" w:rsidRPr="00015DD3" w:rsidRDefault="00015DD3" w:rsidP="00FF2EB8">
      <w:pPr>
        <w:spacing w:line="276" w:lineRule="auto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Paul Mann, CEO</w:t>
      </w:r>
      <w:r>
        <w:rPr>
          <w:rFonts w:ascii="Abel" w:eastAsia="Abel" w:hAnsi="Abel" w:cs="Abel"/>
          <w:color w:val="6D7275"/>
          <w:sz w:val="22"/>
          <w:szCs w:val="22"/>
        </w:rPr>
        <w:br/>
        <w:t>Alchemist Mining Inc.</w:t>
      </w:r>
    </w:p>
    <w:p w14:paraId="1A81C0A0" w14:textId="77777777" w:rsidR="00C479D2" w:rsidRPr="00015DD3" w:rsidRDefault="001E221C" w:rsidP="00FF2EB8">
      <w:pPr>
        <w:pStyle w:val="Body"/>
        <w:spacing w:line="276" w:lineRule="auto"/>
        <w:rPr>
          <w:rFonts w:ascii="Abel" w:hAnsi="Abel"/>
        </w:rPr>
      </w:pPr>
      <w:r w:rsidRPr="00015DD3">
        <w:rPr>
          <w:rFonts w:ascii="Abel" w:eastAsia="Arial Unicode MS" w:hAnsi="Abel" w:cs="Arial Unicode MS"/>
          <w:lang w:val="en-US"/>
        </w:rPr>
        <w:t>________________</w:t>
      </w:r>
    </w:p>
    <w:p w14:paraId="58B879B9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For further information on this release, please contact:</w:t>
      </w:r>
    </w:p>
    <w:p w14:paraId="3822A079" w14:textId="5DBB13A2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proofErr w:type="spellStart"/>
      <w:r>
        <w:rPr>
          <w:rFonts w:ascii="Abel" w:eastAsia="Abel" w:hAnsi="Abel" w:cs="Abel"/>
          <w:color w:val="6D7275"/>
          <w:sz w:val="22"/>
          <w:szCs w:val="22"/>
        </w:rPr>
        <w:t>Sukh</w:t>
      </w:r>
      <w:proofErr w:type="spellEnd"/>
      <w:r>
        <w:rPr>
          <w:rFonts w:ascii="Abel" w:eastAsia="Abel" w:hAnsi="Abel" w:cs="Abel"/>
          <w:color w:val="6D7275"/>
          <w:sz w:val="22"/>
          <w:szCs w:val="22"/>
        </w:rPr>
        <w:t xml:space="preserve"> Sandhu </w:t>
      </w:r>
      <w:r w:rsidR="00BC0CE0">
        <w:rPr>
          <w:rFonts w:ascii="Abel" w:eastAsia="Abel" w:hAnsi="Abel" w:cs="Abel"/>
          <w:color w:val="6D7275"/>
          <w:sz w:val="22"/>
          <w:szCs w:val="22"/>
        </w:rPr>
        <w:t xml:space="preserve">VP </w:t>
      </w:r>
      <w:r>
        <w:rPr>
          <w:rFonts w:ascii="Abel" w:eastAsia="Abel" w:hAnsi="Abel" w:cs="Abel"/>
          <w:color w:val="6D7275"/>
          <w:sz w:val="22"/>
          <w:szCs w:val="22"/>
        </w:rPr>
        <w:t>Investor Relations</w:t>
      </w:r>
    </w:p>
    <w:p w14:paraId="23731BE0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Investors@alchemistinc.ca</w:t>
      </w:r>
    </w:p>
    <w:p w14:paraId="120112A8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604-601-2093</w:t>
      </w:r>
    </w:p>
    <w:p w14:paraId="16458E00" w14:textId="77777777" w:rsidR="00E2378B" w:rsidRPr="00015DD3" w:rsidRDefault="00E2378B" w:rsidP="00FF2EB8">
      <w:pPr>
        <w:pStyle w:val="Body"/>
        <w:spacing w:line="276" w:lineRule="auto"/>
        <w:rPr>
          <w:rFonts w:ascii="Abel" w:hAnsi="Abel"/>
        </w:rPr>
      </w:pPr>
      <w:r w:rsidRPr="00015DD3">
        <w:rPr>
          <w:rFonts w:ascii="Abel" w:eastAsia="Arial Unicode MS" w:hAnsi="Abel" w:cs="Arial Unicode MS"/>
          <w:lang w:val="en-US"/>
        </w:rPr>
        <w:t>________________</w:t>
      </w:r>
    </w:p>
    <w:p w14:paraId="056563C8" w14:textId="77777777" w:rsidR="00E2378B" w:rsidRPr="00015DD3" w:rsidRDefault="00E2378B" w:rsidP="00E2378B">
      <w:pPr>
        <w:pStyle w:val="Body"/>
        <w:rPr>
          <w:rFonts w:ascii="Abel" w:hAnsi="Abel"/>
        </w:rPr>
      </w:pPr>
    </w:p>
    <w:p w14:paraId="1DB1919A" w14:textId="67F55E03" w:rsidR="00E2378B" w:rsidRPr="006E63B1" w:rsidRDefault="00E2378B" w:rsidP="001F04EC">
      <w:pPr>
        <w:pStyle w:val="Body"/>
        <w:keepNext/>
        <w:keepLines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6E63B1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lastRenderedPageBreak/>
        <w:t xml:space="preserve">About Alchemist </w:t>
      </w:r>
      <w:r w:rsidR="00085894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 xml:space="preserve">Mining </w:t>
      </w:r>
      <w:r w:rsidRPr="006E63B1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Inc.</w:t>
      </w:r>
    </w:p>
    <w:p w14:paraId="402B7F49" w14:textId="1BC0F4C3" w:rsidR="00E2378B" w:rsidRPr="001F04EC" w:rsidRDefault="00E2378B" w:rsidP="001F04EC">
      <w:pPr>
        <w:keepNext/>
        <w:keepLines/>
        <w:spacing w:after="240"/>
        <w:jc w:val="both"/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</w:pPr>
      <w:r w:rsidRPr="006E63B1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 xml:space="preserve">Alchemist’s goal </w:t>
      </w:r>
      <w:r w:rsidRPr="001F04EC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 xml:space="preserve">is to be a global supplier of premium cannabis products. We are primarily focused on building a sustainable portfolio of cultivation, </w:t>
      </w:r>
      <w:proofErr w:type="gramStart"/>
      <w:r w:rsidRPr="001F04EC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>distribution</w:t>
      </w:r>
      <w:proofErr w:type="gramEnd"/>
      <w:r w:rsidRPr="001F04EC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 xml:space="preserve"> and retail business entities, with a goal to create shareholder value.</w:t>
      </w:r>
    </w:p>
    <w:p w14:paraId="5FBEF227" w14:textId="77777777" w:rsidR="00E2378B" w:rsidRPr="001F04EC" w:rsidRDefault="00E2378B" w:rsidP="00FF2EB8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1F04EC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eastAsia="en-CA"/>
        </w:rPr>
        <w:t xml:space="preserve">Neither the </w:t>
      </w:r>
      <w:r w:rsidRPr="001F04EC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Canadian Securities Exchange nor its Market Regulator (as that term is defined in the policies of the Canadian Securities Exchange) </w:t>
      </w:r>
      <w:r w:rsidRPr="001F04EC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eastAsia="en-CA"/>
        </w:rPr>
        <w:t>accepts responsibility for the adequacy or accuracy of this release</w:t>
      </w:r>
      <w:r w:rsidRPr="001F04EC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.</w:t>
      </w:r>
    </w:p>
    <w:p w14:paraId="3B5CABD1" w14:textId="77777777" w:rsidR="00E2378B" w:rsidRPr="001F04EC" w:rsidRDefault="00E2378B" w:rsidP="00E2378B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</w:p>
    <w:p w14:paraId="6D384F1C" w14:textId="77777777" w:rsidR="00E2378B" w:rsidRPr="001F04EC" w:rsidRDefault="00E2378B" w:rsidP="00E2378B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1F04EC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Notice Regarding Forward-Looking Statements</w:t>
      </w:r>
    </w:p>
    <w:p w14:paraId="243FCB60" w14:textId="2D04C0AF" w:rsidR="00E2378B" w:rsidRPr="0052012B" w:rsidRDefault="00E2378B" w:rsidP="00FF2EB8">
      <w:pPr>
        <w:pStyle w:val="Body"/>
        <w:spacing w:line="240" w:lineRule="auto"/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</w:pPr>
      <w:bookmarkStart w:id="0" w:name="_Hlk4927044"/>
      <w:r w:rsidRPr="001F04EC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This press release contains forward-looking statements. The use of any of the words “anticipate”, “continue”, “estimate”, “expect”, “may”, “will”, “project”, “intends”, “should”, “believe” and similar expressions are intended to identify forward-looking statements</w:t>
      </w:r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. Forward-looking statements in this press release include statements regarding the proposed </w:t>
      </w:r>
      <w:r w:rsidR="00EC3FA1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Consolidation</w:t>
      </w:r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. Although the Company believes that the expectations and assumptions on which the forward-looking statements are based are reasonable, undue reliance should not be placed on the forward-looking statements because the Company can give no assurance that they will prove to be correct. Since forward-looking statements address future events and conditions, by their very nature they involve inherent risks and uncertainties, </w:t>
      </w:r>
      <w:proofErr w:type="gramStart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including:</w:t>
      </w:r>
      <w:proofErr w:type="gramEnd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that the</w:t>
      </w:r>
      <w:r w:rsidR="00EC2142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</w:t>
      </w:r>
      <w:r w:rsidR="00EC3FA1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Consolidation</w:t>
      </w:r>
      <w:r w:rsidR="00EC2142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</w:t>
      </w:r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will not complete. Additional risk factors are included in the Company’s Management’s Discussion and Analysis, available under the Company’s profile on www.sedar.com. The forward-looking statements are made as at the date hereof and the Company disclaims any intent or obligation to publicly update any forward-looking statements, where because of new information, future </w:t>
      </w:r>
      <w:proofErr w:type="gramStart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events</w:t>
      </w:r>
      <w:proofErr w:type="gramEnd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or results, or otherwise, except as required by applicable securities laws.</w:t>
      </w:r>
    </w:p>
    <w:bookmarkEnd w:id="0"/>
    <w:p w14:paraId="321F5B2F" w14:textId="283B028C" w:rsidR="00C479D2" w:rsidRPr="00015DD3" w:rsidRDefault="00C479D2" w:rsidP="00E2378B">
      <w:pPr>
        <w:pStyle w:val="Body"/>
        <w:rPr>
          <w:rFonts w:ascii="Abel" w:hAnsi="Abel"/>
          <w:sz w:val="20"/>
          <w:szCs w:val="20"/>
          <w:lang w:val="en-US"/>
        </w:rPr>
      </w:pPr>
    </w:p>
    <w:sectPr w:rsidR="00C479D2" w:rsidRPr="0001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7159" w14:textId="77777777" w:rsidR="000C1379" w:rsidRDefault="000C1379">
      <w:r>
        <w:separator/>
      </w:r>
    </w:p>
  </w:endnote>
  <w:endnote w:type="continuationSeparator" w:id="0">
    <w:p w14:paraId="36D2AD9D" w14:textId="77777777" w:rsidR="000C1379" w:rsidRDefault="000C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Regular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4667" w14:textId="77777777" w:rsidR="00015DD3" w:rsidRDefault="00015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1EF2" w14:textId="77777777" w:rsidR="00015DD3" w:rsidRDefault="0001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374D" w14:textId="77777777" w:rsidR="00015DD3" w:rsidRDefault="0001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9B4B" w14:textId="77777777" w:rsidR="000C1379" w:rsidRDefault="000C1379">
      <w:r>
        <w:separator/>
      </w:r>
    </w:p>
  </w:footnote>
  <w:footnote w:type="continuationSeparator" w:id="0">
    <w:p w14:paraId="121FBCCB" w14:textId="77777777" w:rsidR="000C1379" w:rsidRDefault="000C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7918" w14:textId="77777777" w:rsidR="00DB5C91" w:rsidRDefault="00DB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AE5" w14:textId="75C30BF1" w:rsidR="00C479D2" w:rsidRDefault="00C479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30A1" w14:textId="77777777" w:rsidR="00DB5C91" w:rsidRDefault="00DB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56E"/>
    <w:multiLevelType w:val="hybridMultilevel"/>
    <w:tmpl w:val="0EF2A05E"/>
    <w:lvl w:ilvl="0" w:tplc="B16E7F6E">
      <w:start w:val="1"/>
      <w:numFmt w:val="decimal"/>
      <w:lvlText w:val="%1."/>
      <w:lvlJc w:val="left"/>
      <w:pPr>
        <w:ind w:left="120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7C4B1EE">
      <w:numFmt w:val="bullet"/>
      <w:lvlText w:val="•"/>
      <w:lvlJc w:val="left"/>
      <w:pPr>
        <w:ind w:left="992" w:hanging="721"/>
      </w:pPr>
      <w:rPr>
        <w:rFonts w:hint="default"/>
      </w:rPr>
    </w:lvl>
    <w:lvl w:ilvl="2" w:tplc="AABA1050">
      <w:numFmt w:val="bullet"/>
      <w:lvlText w:val="•"/>
      <w:lvlJc w:val="left"/>
      <w:pPr>
        <w:ind w:left="1864" w:hanging="721"/>
      </w:pPr>
      <w:rPr>
        <w:rFonts w:hint="default"/>
      </w:rPr>
    </w:lvl>
    <w:lvl w:ilvl="3" w:tplc="49909760">
      <w:numFmt w:val="bullet"/>
      <w:lvlText w:val="•"/>
      <w:lvlJc w:val="left"/>
      <w:pPr>
        <w:ind w:left="2736" w:hanging="721"/>
      </w:pPr>
      <w:rPr>
        <w:rFonts w:hint="default"/>
      </w:rPr>
    </w:lvl>
    <w:lvl w:ilvl="4" w:tplc="EAE6F636">
      <w:numFmt w:val="bullet"/>
      <w:lvlText w:val="•"/>
      <w:lvlJc w:val="left"/>
      <w:pPr>
        <w:ind w:left="3608" w:hanging="721"/>
      </w:pPr>
      <w:rPr>
        <w:rFonts w:hint="default"/>
      </w:rPr>
    </w:lvl>
    <w:lvl w:ilvl="5" w:tplc="05DAFEBE">
      <w:numFmt w:val="bullet"/>
      <w:lvlText w:val="•"/>
      <w:lvlJc w:val="left"/>
      <w:pPr>
        <w:ind w:left="4480" w:hanging="721"/>
      </w:pPr>
      <w:rPr>
        <w:rFonts w:hint="default"/>
      </w:rPr>
    </w:lvl>
    <w:lvl w:ilvl="6" w:tplc="4866C3F4">
      <w:numFmt w:val="bullet"/>
      <w:lvlText w:val="•"/>
      <w:lvlJc w:val="left"/>
      <w:pPr>
        <w:ind w:left="5352" w:hanging="721"/>
      </w:pPr>
      <w:rPr>
        <w:rFonts w:hint="default"/>
      </w:rPr>
    </w:lvl>
    <w:lvl w:ilvl="7" w:tplc="DAD0DE18">
      <w:numFmt w:val="bullet"/>
      <w:lvlText w:val="•"/>
      <w:lvlJc w:val="left"/>
      <w:pPr>
        <w:ind w:left="6224" w:hanging="721"/>
      </w:pPr>
      <w:rPr>
        <w:rFonts w:hint="default"/>
      </w:rPr>
    </w:lvl>
    <w:lvl w:ilvl="8" w:tplc="D17E75B8">
      <w:numFmt w:val="bullet"/>
      <w:lvlText w:val="•"/>
      <w:lvlJc w:val="left"/>
      <w:pPr>
        <w:ind w:left="709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D2"/>
    <w:rsid w:val="00015DD3"/>
    <w:rsid w:val="00020535"/>
    <w:rsid w:val="0004564D"/>
    <w:rsid w:val="000841B1"/>
    <w:rsid w:val="00085894"/>
    <w:rsid w:val="000C1379"/>
    <w:rsid w:val="00101752"/>
    <w:rsid w:val="00152D23"/>
    <w:rsid w:val="001E221C"/>
    <w:rsid w:val="001F04EC"/>
    <w:rsid w:val="00202154"/>
    <w:rsid w:val="002111B8"/>
    <w:rsid w:val="002A434D"/>
    <w:rsid w:val="00340809"/>
    <w:rsid w:val="00354550"/>
    <w:rsid w:val="0037491A"/>
    <w:rsid w:val="003C3416"/>
    <w:rsid w:val="003C3E50"/>
    <w:rsid w:val="00455CCA"/>
    <w:rsid w:val="004C41E7"/>
    <w:rsid w:val="004D3DE8"/>
    <w:rsid w:val="005162B7"/>
    <w:rsid w:val="00535AE8"/>
    <w:rsid w:val="005B717B"/>
    <w:rsid w:val="005C2753"/>
    <w:rsid w:val="005C2791"/>
    <w:rsid w:val="005F5152"/>
    <w:rsid w:val="00631B19"/>
    <w:rsid w:val="00686D6A"/>
    <w:rsid w:val="006A1626"/>
    <w:rsid w:val="006C683D"/>
    <w:rsid w:val="006D4578"/>
    <w:rsid w:val="0070134D"/>
    <w:rsid w:val="00721F48"/>
    <w:rsid w:val="00727E57"/>
    <w:rsid w:val="0073331D"/>
    <w:rsid w:val="00796947"/>
    <w:rsid w:val="007B2E29"/>
    <w:rsid w:val="00800F16"/>
    <w:rsid w:val="00800F97"/>
    <w:rsid w:val="00812C1E"/>
    <w:rsid w:val="00874248"/>
    <w:rsid w:val="008A4712"/>
    <w:rsid w:val="008C177A"/>
    <w:rsid w:val="008F1653"/>
    <w:rsid w:val="008F6801"/>
    <w:rsid w:val="00A62025"/>
    <w:rsid w:val="00A63EB0"/>
    <w:rsid w:val="00A70902"/>
    <w:rsid w:val="00AB27E3"/>
    <w:rsid w:val="00AE2D35"/>
    <w:rsid w:val="00B162D4"/>
    <w:rsid w:val="00BC0CE0"/>
    <w:rsid w:val="00C479D2"/>
    <w:rsid w:val="00C5274B"/>
    <w:rsid w:val="00C62D77"/>
    <w:rsid w:val="00C73044"/>
    <w:rsid w:val="00C736A8"/>
    <w:rsid w:val="00CD06E5"/>
    <w:rsid w:val="00D0258B"/>
    <w:rsid w:val="00D74323"/>
    <w:rsid w:val="00D774B9"/>
    <w:rsid w:val="00D8240C"/>
    <w:rsid w:val="00DB5C91"/>
    <w:rsid w:val="00E2378B"/>
    <w:rsid w:val="00E77FF4"/>
    <w:rsid w:val="00EB0D8E"/>
    <w:rsid w:val="00EC2142"/>
    <w:rsid w:val="00EC3FA1"/>
    <w:rsid w:val="00F108D3"/>
    <w:rsid w:val="00FB61D8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2CDD8"/>
  <w15:docId w15:val="{A0F1D205-272C-154A-8EF1-D44890B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62D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1" w:right="106"/>
      <w:jc w:val="both"/>
      <w:outlineLvl w:val="0"/>
    </w:pPr>
    <w:rPr>
      <w:rFonts w:ascii="Arial" w:eastAsia="Arial" w:hAnsi="Arial" w:cs="Arial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uiPriority w:val="10"/>
    <w:qFormat/>
    <w:pPr>
      <w:keepNext/>
      <w:spacing w:after="60"/>
    </w:pPr>
    <w:rPr>
      <w:rFonts w:ascii="Open Sans Regular" w:hAnsi="Open Sans Regular" w:cs="Arial Unicode MS"/>
      <w:caps/>
      <w:color w:val="969FAA"/>
      <w:spacing w:val="50"/>
      <w:sz w:val="50"/>
      <w:szCs w:val="50"/>
    </w:rPr>
  </w:style>
  <w:style w:type="paragraph" w:customStyle="1" w:styleId="Body">
    <w:name w:val="Body"/>
    <w:pPr>
      <w:suppressAutoHyphens/>
      <w:spacing w:line="312" w:lineRule="auto"/>
      <w:jc w:val="both"/>
    </w:pPr>
    <w:rPr>
      <w:rFonts w:ascii="Open Sans Regular" w:eastAsia="Open Sans Regular" w:hAnsi="Open Sans Regular" w:cs="Open Sans Regular"/>
      <w:color w:val="6D7275"/>
      <w:sz w:val="24"/>
      <w:szCs w:val="24"/>
    </w:rPr>
  </w:style>
  <w:style w:type="paragraph" w:styleId="Subtitle">
    <w:name w:val="Subtitle"/>
    <w:next w:val="Body2"/>
    <w:uiPriority w:val="11"/>
    <w:qFormat/>
    <w:pPr>
      <w:spacing w:before="240" w:after="240"/>
    </w:pPr>
    <w:rPr>
      <w:rFonts w:ascii="Abel" w:hAnsi="Abel" w:cs="Arial Unicode MS"/>
      <w:caps/>
      <w:color w:val="969FAA"/>
      <w:spacing w:val="48"/>
      <w:sz w:val="32"/>
      <w:szCs w:val="32"/>
      <w:lang w:val="en-US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91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5C91"/>
  </w:style>
  <w:style w:type="character" w:customStyle="1" w:styleId="DateChar">
    <w:name w:val="Date Char"/>
    <w:basedOn w:val="DefaultParagraphFont"/>
    <w:link w:val="Date"/>
    <w:uiPriority w:val="99"/>
    <w:semiHidden/>
    <w:rsid w:val="00DB5C9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zh-CN"/>
    </w:rPr>
  </w:style>
  <w:style w:type="character" w:styleId="Strong">
    <w:name w:val="Strong"/>
    <w:basedOn w:val="DefaultParagraphFont"/>
    <w:uiPriority w:val="22"/>
    <w:qFormat/>
    <w:rsid w:val="000205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2D77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1"/>
    <w:qFormat/>
    <w:rsid w:val="00A620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79"/>
    </w:pPr>
    <w:rPr>
      <w:rFonts w:eastAsia="Times New Roman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3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1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2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Open Sans Regular"/>
        <a:ea typeface="Open Sans Regular"/>
        <a:cs typeface="Open Sans Regular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874B-C6B0-4264-8102-FD36A00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Aadam</dc:creator>
  <cp:lastModifiedBy>paul mann</cp:lastModifiedBy>
  <cp:revision>5</cp:revision>
  <dcterms:created xsi:type="dcterms:W3CDTF">2021-11-09T00:31:00Z</dcterms:created>
  <dcterms:modified xsi:type="dcterms:W3CDTF">2021-11-09T22:37:00Z</dcterms:modified>
</cp:coreProperties>
</file>