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5520D" w14:textId="77777777" w:rsidR="00DB1DF2" w:rsidRPr="00140DEF" w:rsidRDefault="00DB1DF2" w:rsidP="00140DEF">
      <w:pPr>
        <w:pStyle w:val="NormalWeb"/>
        <w:shd w:val="clear" w:color="auto" w:fill="FFFFFF"/>
        <w:jc w:val="both"/>
        <w:rPr>
          <w:rFonts w:ascii="Times New Roman" w:eastAsia="Arial Unicode MS" w:hAnsi="Times New Roman"/>
          <w:b/>
          <w:bCs/>
          <w:color w:val="FF0000"/>
          <w:bdr w:val="nil"/>
          <w:lang w:val="en-GB" w:eastAsia="de-DE"/>
        </w:rPr>
      </w:pPr>
      <w:r w:rsidRPr="00140DEF">
        <w:rPr>
          <w:rFonts w:ascii="Times New Roman" w:eastAsia="Arial Unicode MS" w:hAnsi="Times New Roman"/>
          <w:b/>
          <w:bCs/>
          <w:color w:val="FF0000"/>
          <w:bdr w:val="nil"/>
          <w:lang w:val="en-GB" w:eastAsia="de-DE"/>
        </w:rPr>
        <w:t>NOT FOR DISSEMINATION TO U.S. WIRE SERVICES OR FOR DISSEMINATION IN THE UNITED STATES</w:t>
      </w:r>
    </w:p>
    <w:p w14:paraId="2D099776" w14:textId="5E72078F" w:rsidR="00F2363C" w:rsidRPr="00140DEF" w:rsidRDefault="00140DEF" w:rsidP="00140DEF">
      <w:pPr>
        <w:jc w:val="center"/>
        <w:rPr>
          <w:rFonts w:ascii="Times New Roman" w:hAnsi="Times New Roman"/>
          <w:b/>
          <w:sz w:val="20"/>
          <w:szCs w:val="20"/>
        </w:rPr>
      </w:pPr>
      <w:r w:rsidRPr="00140DEF">
        <w:rPr>
          <w:rFonts w:ascii="Times New Roman" w:hAnsi="Times New Roman"/>
          <w:b/>
          <w:sz w:val="20"/>
          <w:szCs w:val="20"/>
        </w:rPr>
        <w:t>NEWS RELEASE</w:t>
      </w:r>
    </w:p>
    <w:p w14:paraId="5798D39D" w14:textId="1CFAFFA2" w:rsidR="00140DEF" w:rsidRPr="00140DEF" w:rsidRDefault="00140DEF" w:rsidP="00140DEF">
      <w:pPr>
        <w:jc w:val="both"/>
        <w:rPr>
          <w:rFonts w:ascii="Times New Roman" w:hAnsi="Times New Roman"/>
          <w:b/>
          <w:sz w:val="20"/>
          <w:szCs w:val="20"/>
        </w:rPr>
      </w:pPr>
    </w:p>
    <w:p w14:paraId="642DBC45" w14:textId="3BE78071" w:rsidR="00140DEF" w:rsidRPr="00140DEF" w:rsidRDefault="00140DEF" w:rsidP="00140DEF">
      <w:pPr>
        <w:jc w:val="center"/>
        <w:rPr>
          <w:rFonts w:ascii="Times New Roman" w:hAnsi="Times New Roman"/>
          <w:b/>
          <w:bCs/>
          <w:sz w:val="20"/>
          <w:szCs w:val="20"/>
        </w:rPr>
      </w:pPr>
      <w:r w:rsidRPr="00140DEF">
        <w:rPr>
          <w:rFonts w:ascii="Times New Roman" w:hAnsi="Times New Roman"/>
          <w:b/>
          <w:bCs/>
          <w:sz w:val="20"/>
          <w:szCs w:val="20"/>
        </w:rPr>
        <w:t>ASIA CANNABIS CORP. ANNOUNCES OFFICIAL NAME CHANGE</w:t>
      </w:r>
    </w:p>
    <w:p w14:paraId="6404626E" w14:textId="77777777" w:rsidR="009515C8" w:rsidRPr="00140DEF" w:rsidRDefault="009515C8" w:rsidP="00140DEF">
      <w:pPr>
        <w:jc w:val="both"/>
        <w:rPr>
          <w:rFonts w:ascii="Times New Roman" w:hAnsi="Times New Roman"/>
          <w:sz w:val="20"/>
          <w:szCs w:val="20"/>
        </w:rPr>
      </w:pPr>
    </w:p>
    <w:p w14:paraId="35416ED9" w14:textId="77777777" w:rsidR="009515C8" w:rsidRPr="00140DEF" w:rsidRDefault="009515C8" w:rsidP="00140DEF">
      <w:pPr>
        <w:jc w:val="both"/>
        <w:rPr>
          <w:rFonts w:ascii="Times New Roman" w:hAnsi="Times New Roman"/>
          <w:sz w:val="20"/>
          <w:szCs w:val="20"/>
        </w:rPr>
      </w:pPr>
    </w:p>
    <w:p w14:paraId="5FC75ADB" w14:textId="0CBF5980" w:rsidR="00140DEF" w:rsidRPr="00140DEF" w:rsidRDefault="00140DEF" w:rsidP="00140DEF">
      <w:pPr>
        <w:jc w:val="both"/>
        <w:rPr>
          <w:rFonts w:ascii="Times New Roman" w:eastAsia="Times New Roman" w:hAnsi="Times New Roman"/>
          <w:sz w:val="20"/>
          <w:szCs w:val="20"/>
        </w:rPr>
      </w:pPr>
      <w:r w:rsidRPr="00140DEF">
        <w:rPr>
          <w:rFonts w:ascii="Times New Roman" w:hAnsi="Times New Roman"/>
          <w:sz w:val="20"/>
          <w:szCs w:val="20"/>
        </w:rPr>
        <w:t xml:space="preserve">April </w:t>
      </w:r>
      <w:r w:rsidR="0050789A">
        <w:rPr>
          <w:rFonts w:ascii="Times New Roman" w:hAnsi="Times New Roman"/>
          <w:sz w:val="20"/>
          <w:szCs w:val="20"/>
        </w:rPr>
        <w:t>14</w:t>
      </w:r>
      <w:r w:rsidRPr="00140DEF">
        <w:rPr>
          <w:rFonts w:ascii="Times New Roman" w:hAnsi="Times New Roman"/>
          <w:sz w:val="20"/>
          <w:szCs w:val="20"/>
        </w:rPr>
        <w:t>, 2020</w:t>
      </w:r>
      <w:r w:rsidR="009E21AF" w:rsidRPr="00140DEF">
        <w:rPr>
          <w:rFonts w:ascii="Times New Roman" w:hAnsi="Times New Roman"/>
          <w:sz w:val="20"/>
          <w:szCs w:val="20"/>
        </w:rPr>
        <w:t xml:space="preserve"> </w:t>
      </w:r>
      <w:r>
        <w:rPr>
          <w:rFonts w:ascii="Times New Roman" w:hAnsi="Times New Roman"/>
          <w:sz w:val="20"/>
          <w:szCs w:val="20"/>
        </w:rPr>
        <w:t>–</w:t>
      </w:r>
      <w:r w:rsidR="009E21AF" w:rsidRPr="00140DEF">
        <w:rPr>
          <w:rFonts w:ascii="Times New Roman" w:hAnsi="Times New Roman"/>
          <w:sz w:val="20"/>
          <w:szCs w:val="20"/>
        </w:rPr>
        <w:t xml:space="preserve"> </w:t>
      </w:r>
      <w:r>
        <w:rPr>
          <w:rFonts w:ascii="Times New Roman" w:hAnsi="Times New Roman"/>
          <w:sz w:val="20"/>
          <w:szCs w:val="20"/>
        </w:rPr>
        <w:t>Calga</w:t>
      </w:r>
      <w:r w:rsidR="004A298D">
        <w:rPr>
          <w:rFonts w:ascii="Times New Roman" w:hAnsi="Times New Roman"/>
          <w:sz w:val="20"/>
          <w:szCs w:val="20"/>
        </w:rPr>
        <w:t>ry</w:t>
      </w:r>
      <w:r>
        <w:rPr>
          <w:rFonts w:ascii="Times New Roman" w:hAnsi="Times New Roman"/>
          <w:sz w:val="20"/>
          <w:szCs w:val="20"/>
        </w:rPr>
        <w:t>, Alberta: Asia Cannabis Corp. (“</w:t>
      </w:r>
      <w:r w:rsidRPr="004A298D">
        <w:rPr>
          <w:rFonts w:ascii="Times New Roman" w:hAnsi="Times New Roman"/>
          <w:b/>
          <w:bCs/>
          <w:sz w:val="20"/>
          <w:szCs w:val="20"/>
        </w:rPr>
        <w:t>ACC</w:t>
      </w:r>
      <w:r w:rsidR="004A298D">
        <w:rPr>
          <w:rFonts w:ascii="Times New Roman" w:hAnsi="Times New Roman"/>
          <w:sz w:val="20"/>
          <w:szCs w:val="20"/>
        </w:rPr>
        <w:t>”</w:t>
      </w:r>
      <w:r>
        <w:rPr>
          <w:rFonts w:ascii="Times New Roman" w:hAnsi="Times New Roman"/>
          <w:sz w:val="20"/>
          <w:szCs w:val="20"/>
        </w:rPr>
        <w:t xml:space="preserve"> or the “</w:t>
      </w:r>
      <w:r w:rsidRPr="004A298D">
        <w:rPr>
          <w:rFonts w:ascii="Times New Roman" w:hAnsi="Times New Roman"/>
          <w:b/>
          <w:bCs/>
          <w:sz w:val="20"/>
          <w:szCs w:val="20"/>
        </w:rPr>
        <w:t>Company</w:t>
      </w:r>
      <w:r>
        <w:rPr>
          <w:rFonts w:ascii="Times New Roman" w:hAnsi="Times New Roman"/>
          <w:sz w:val="20"/>
          <w:szCs w:val="20"/>
        </w:rPr>
        <w:t xml:space="preserve">”) (CSE: ASIA) </w:t>
      </w:r>
      <w:r w:rsidRPr="00140DEF">
        <w:rPr>
          <w:rFonts w:ascii="Times New Roman" w:hAnsi="Times New Roman"/>
          <w:color w:val="000000"/>
          <w:sz w:val="20"/>
          <w:szCs w:val="20"/>
        </w:rPr>
        <w:t>is pleased to announce that it is changing the official name of the</w:t>
      </w:r>
      <w:r>
        <w:rPr>
          <w:rFonts w:ascii="Times New Roman" w:hAnsi="Times New Roman"/>
          <w:color w:val="000000"/>
          <w:sz w:val="20"/>
          <w:szCs w:val="20"/>
        </w:rPr>
        <w:t xml:space="preserve"> </w:t>
      </w:r>
      <w:r w:rsidRPr="00140DEF">
        <w:rPr>
          <w:rFonts w:ascii="Times New Roman" w:hAnsi="Times New Roman"/>
          <w:color w:val="000000"/>
          <w:sz w:val="20"/>
          <w:szCs w:val="20"/>
        </w:rPr>
        <w:t>Company (the “</w:t>
      </w:r>
      <w:r w:rsidRPr="00140DEF">
        <w:rPr>
          <w:rFonts w:ascii="Times New Roman" w:hAnsi="Times New Roman"/>
          <w:b/>
          <w:bCs/>
          <w:color w:val="000000"/>
          <w:sz w:val="20"/>
          <w:szCs w:val="20"/>
        </w:rPr>
        <w:t>Name Change</w:t>
      </w:r>
      <w:r w:rsidRPr="00140DEF">
        <w:rPr>
          <w:rFonts w:ascii="Times New Roman" w:hAnsi="Times New Roman"/>
          <w:color w:val="000000"/>
          <w:sz w:val="20"/>
          <w:szCs w:val="20"/>
        </w:rPr>
        <w:t xml:space="preserve">”) to </w:t>
      </w:r>
      <w:r w:rsidR="00D65E53" w:rsidRPr="00D65E53">
        <w:rPr>
          <w:rFonts w:ascii="Times New Roman" w:hAnsi="Times New Roman"/>
          <w:i/>
          <w:iCs/>
          <w:color w:val="000000"/>
          <w:sz w:val="20"/>
          <w:szCs w:val="20"/>
        </w:rPr>
        <w:t>“</w:t>
      </w:r>
      <w:r w:rsidRPr="00D65E53">
        <w:rPr>
          <w:rFonts w:ascii="Times New Roman" w:hAnsi="Times New Roman"/>
          <w:i/>
          <w:iCs/>
          <w:color w:val="000000"/>
          <w:sz w:val="20"/>
          <w:szCs w:val="20"/>
        </w:rPr>
        <w:t>Asia Green Biotechnology Corp</w:t>
      </w:r>
      <w:r w:rsidR="00D65E53" w:rsidRPr="00D65E53">
        <w:rPr>
          <w:rFonts w:ascii="Times New Roman" w:hAnsi="Times New Roman"/>
          <w:i/>
          <w:iCs/>
          <w:color w:val="000000"/>
          <w:sz w:val="20"/>
          <w:szCs w:val="20"/>
        </w:rPr>
        <w:t>”</w:t>
      </w:r>
      <w:r>
        <w:rPr>
          <w:rFonts w:ascii="Times New Roman" w:hAnsi="Times New Roman"/>
          <w:color w:val="000000"/>
          <w:sz w:val="20"/>
          <w:szCs w:val="20"/>
        </w:rPr>
        <w:t>.</w:t>
      </w:r>
      <w:r w:rsidRPr="00140DEF">
        <w:rPr>
          <w:rFonts w:ascii="Times New Roman" w:hAnsi="Times New Roman"/>
          <w:color w:val="000000"/>
          <w:sz w:val="20"/>
          <w:szCs w:val="20"/>
        </w:rPr>
        <w:t xml:space="preserve"> </w:t>
      </w:r>
      <w:r w:rsidR="00D65E53">
        <w:rPr>
          <w:rFonts w:ascii="Times New Roman" w:hAnsi="Times New Roman"/>
          <w:color w:val="000000"/>
          <w:sz w:val="20"/>
          <w:szCs w:val="20"/>
        </w:rPr>
        <w:br/>
      </w:r>
      <w:r w:rsidRPr="00140DEF">
        <w:rPr>
          <w:rFonts w:ascii="Times New Roman" w:hAnsi="Times New Roman"/>
          <w:color w:val="000000"/>
          <w:sz w:val="20"/>
          <w:szCs w:val="20"/>
        </w:rPr>
        <w:t xml:space="preserve">The Name Change will become effective at </w:t>
      </w:r>
      <w:r w:rsidR="00D65E53">
        <w:rPr>
          <w:rFonts w:ascii="Times New Roman" w:hAnsi="Times New Roman"/>
          <w:color w:val="000000"/>
          <w:sz w:val="20"/>
          <w:szCs w:val="20"/>
        </w:rPr>
        <w:t xml:space="preserve">the </w:t>
      </w:r>
      <w:r w:rsidRPr="00140DEF">
        <w:rPr>
          <w:rFonts w:ascii="Times New Roman" w:hAnsi="Times New Roman"/>
          <w:color w:val="000000"/>
          <w:sz w:val="20"/>
          <w:szCs w:val="20"/>
        </w:rPr>
        <w:t>opening of the market</w:t>
      </w:r>
      <w:r w:rsidR="00D65E53">
        <w:rPr>
          <w:rFonts w:ascii="Times New Roman" w:hAnsi="Times New Roman"/>
          <w:color w:val="000000"/>
          <w:sz w:val="20"/>
          <w:szCs w:val="20"/>
        </w:rPr>
        <w:t xml:space="preserve"> trading </w:t>
      </w:r>
      <w:r w:rsidRPr="00140DEF">
        <w:rPr>
          <w:rFonts w:ascii="Times New Roman" w:hAnsi="Times New Roman"/>
          <w:color w:val="000000"/>
          <w:sz w:val="20"/>
          <w:szCs w:val="20"/>
        </w:rPr>
        <w:t xml:space="preserve">on </w:t>
      </w:r>
      <w:r>
        <w:rPr>
          <w:rFonts w:ascii="Times New Roman" w:hAnsi="Times New Roman"/>
          <w:color w:val="000000"/>
          <w:sz w:val="20"/>
          <w:szCs w:val="20"/>
        </w:rPr>
        <w:t xml:space="preserve">April </w:t>
      </w:r>
      <w:r w:rsidR="0050789A">
        <w:rPr>
          <w:rFonts w:ascii="Times New Roman" w:hAnsi="Times New Roman"/>
          <w:color w:val="000000"/>
          <w:sz w:val="20"/>
          <w:szCs w:val="20"/>
        </w:rPr>
        <w:t>16</w:t>
      </w:r>
      <w:r>
        <w:rPr>
          <w:rFonts w:ascii="Times New Roman" w:hAnsi="Times New Roman"/>
          <w:color w:val="000000"/>
          <w:sz w:val="20"/>
          <w:szCs w:val="20"/>
        </w:rPr>
        <w:t>, 202</w:t>
      </w:r>
      <w:r w:rsidRPr="00140DEF">
        <w:rPr>
          <w:rFonts w:ascii="Times New Roman" w:hAnsi="Times New Roman"/>
          <w:color w:val="000000"/>
          <w:sz w:val="20"/>
          <w:szCs w:val="20"/>
        </w:rPr>
        <w:t>0</w:t>
      </w:r>
      <w:r w:rsidR="004D39EC">
        <w:rPr>
          <w:rFonts w:ascii="Times New Roman" w:hAnsi="Times New Roman"/>
          <w:color w:val="000000"/>
          <w:sz w:val="20"/>
          <w:szCs w:val="20"/>
        </w:rPr>
        <w:t>.  The symbol “ASIA” remains unchanged.</w:t>
      </w:r>
      <w:r w:rsidRPr="00140DEF">
        <w:rPr>
          <w:rFonts w:ascii="Times New Roman" w:hAnsi="Times New Roman"/>
          <w:color w:val="000000"/>
          <w:sz w:val="20"/>
          <w:szCs w:val="20"/>
        </w:rPr>
        <w:t xml:space="preserve"> The CUSIP</w:t>
      </w:r>
      <w:r w:rsidR="00D65E53">
        <w:rPr>
          <w:rFonts w:ascii="Times New Roman" w:hAnsi="Times New Roman"/>
          <w:color w:val="000000"/>
          <w:sz w:val="20"/>
          <w:szCs w:val="20"/>
        </w:rPr>
        <w:t xml:space="preserve"> and ISIN</w:t>
      </w:r>
      <w:r w:rsidRPr="00140DEF">
        <w:rPr>
          <w:rFonts w:ascii="Times New Roman" w:hAnsi="Times New Roman"/>
          <w:color w:val="000000"/>
          <w:sz w:val="20"/>
          <w:szCs w:val="20"/>
        </w:rPr>
        <w:t xml:space="preserve"> number</w:t>
      </w:r>
      <w:r w:rsidR="00D65E53">
        <w:rPr>
          <w:rFonts w:ascii="Times New Roman" w:hAnsi="Times New Roman"/>
          <w:color w:val="000000"/>
          <w:sz w:val="20"/>
          <w:szCs w:val="20"/>
        </w:rPr>
        <w:t>s</w:t>
      </w:r>
      <w:r w:rsidRPr="00140DEF">
        <w:rPr>
          <w:rFonts w:ascii="Times New Roman" w:hAnsi="Times New Roman"/>
          <w:color w:val="000000"/>
          <w:sz w:val="20"/>
          <w:szCs w:val="20"/>
        </w:rPr>
        <w:t xml:space="preserve"> </w:t>
      </w:r>
      <w:r w:rsidR="004A298D">
        <w:rPr>
          <w:rFonts w:ascii="Times New Roman" w:hAnsi="Times New Roman"/>
          <w:color w:val="000000"/>
          <w:sz w:val="20"/>
          <w:szCs w:val="20"/>
        </w:rPr>
        <w:t>remain unchanged as</w:t>
      </w:r>
      <w:r w:rsidRPr="00140DEF">
        <w:rPr>
          <w:rFonts w:ascii="Times New Roman" w:hAnsi="Times New Roman"/>
          <w:color w:val="000000"/>
          <w:sz w:val="20"/>
          <w:szCs w:val="20"/>
        </w:rPr>
        <w:t xml:space="preserve"> </w:t>
      </w:r>
      <w:r w:rsidR="004A298D">
        <w:rPr>
          <w:rFonts w:ascii="Times New Roman" w:hAnsi="Times New Roman"/>
          <w:color w:val="000000"/>
          <w:sz w:val="20"/>
          <w:szCs w:val="20"/>
        </w:rPr>
        <w:t>04522C104</w:t>
      </w:r>
      <w:r w:rsidR="00D65E53">
        <w:rPr>
          <w:rFonts w:ascii="Times New Roman" w:hAnsi="Times New Roman"/>
          <w:color w:val="000000"/>
          <w:sz w:val="20"/>
          <w:szCs w:val="20"/>
        </w:rPr>
        <w:t xml:space="preserve"> and CA04522C1041, respectively</w:t>
      </w:r>
      <w:r w:rsidRPr="00140DEF">
        <w:rPr>
          <w:rFonts w:ascii="Times New Roman" w:hAnsi="Times New Roman"/>
          <w:color w:val="000000"/>
          <w:sz w:val="20"/>
          <w:szCs w:val="20"/>
        </w:rPr>
        <w:t>.</w:t>
      </w:r>
    </w:p>
    <w:p w14:paraId="3C0364E6" w14:textId="6942A52B" w:rsidR="00140DEF" w:rsidRPr="00140DEF" w:rsidRDefault="00140DEF" w:rsidP="00140DEF">
      <w:pPr>
        <w:jc w:val="both"/>
        <w:rPr>
          <w:rFonts w:ascii="Times New Roman" w:eastAsia="Times New Roman" w:hAnsi="Times New Roman"/>
          <w:sz w:val="20"/>
          <w:szCs w:val="20"/>
        </w:rPr>
      </w:pPr>
    </w:p>
    <w:p w14:paraId="45C1DFEE" w14:textId="7A41D03B" w:rsidR="00140DEF" w:rsidRDefault="00140DEF" w:rsidP="00140DEF">
      <w:pPr>
        <w:pStyle w:val="Default"/>
        <w:jc w:val="both"/>
        <w:rPr>
          <w:b/>
          <w:bCs/>
          <w:sz w:val="20"/>
          <w:szCs w:val="20"/>
        </w:rPr>
      </w:pPr>
      <w:r w:rsidRPr="00140DEF">
        <w:rPr>
          <w:b/>
          <w:bCs/>
          <w:sz w:val="20"/>
          <w:szCs w:val="20"/>
        </w:rPr>
        <w:t xml:space="preserve">About ACC: </w:t>
      </w:r>
    </w:p>
    <w:p w14:paraId="49DE67B6" w14:textId="77777777" w:rsidR="004A298D" w:rsidRPr="00140DEF" w:rsidRDefault="004A298D" w:rsidP="00140DEF">
      <w:pPr>
        <w:pStyle w:val="Default"/>
        <w:jc w:val="both"/>
        <w:rPr>
          <w:sz w:val="20"/>
          <w:szCs w:val="20"/>
        </w:rPr>
      </w:pPr>
    </w:p>
    <w:p w14:paraId="39B88547" w14:textId="45DC2743" w:rsidR="00140DEF" w:rsidRDefault="00140DEF" w:rsidP="00140DEF">
      <w:pPr>
        <w:pStyle w:val="Default"/>
        <w:jc w:val="both"/>
        <w:rPr>
          <w:sz w:val="20"/>
          <w:szCs w:val="20"/>
        </w:rPr>
      </w:pPr>
      <w:r w:rsidRPr="00140DEF">
        <w:rPr>
          <w:sz w:val="20"/>
          <w:szCs w:val="20"/>
        </w:rPr>
        <w:t xml:space="preserve">ACC is an early stage international Agri-technology company focused on the development, evaluation, testing, application and, ultimately, supply to the market of proprietary organic hybridization technology and certain products derived from that technology. The core approach of the business is centred on the planting, growth and harvesting of new and valuable strains of hemp and related crops in commercial quantities under the terms of license agreements with InPlanta Biotechnologies Inc. </w:t>
      </w:r>
      <w:r w:rsidR="004E1651">
        <w:rPr>
          <w:sz w:val="20"/>
          <w:szCs w:val="20"/>
        </w:rPr>
        <w:t>(“</w:t>
      </w:r>
      <w:proofErr w:type="spellStart"/>
      <w:r w:rsidR="004E1651" w:rsidRPr="004E1651">
        <w:rPr>
          <w:b/>
          <w:bCs/>
          <w:sz w:val="20"/>
          <w:szCs w:val="20"/>
        </w:rPr>
        <w:t>Inplanta</w:t>
      </w:r>
      <w:proofErr w:type="spellEnd"/>
      <w:r w:rsidR="004E1651">
        <w:rPr>
          <w:sz w:val="20"/>
          <w:szCs w:val="20"/>
        </w:rPr>
        <w:t xml:space="preserve">”) </w:t>
      </w:r>
      <w:r w:rsidRPr="00140DEF">
        <w:rPr>
          <w:sz w:val="20"/>
          <w:szCs w:val="20"/>
        </w:rPr>
        <w:t xml:space="preserve">and </w:t>
      </w:r>
      <w:proofErr w:type="spellStart"/>
      <w:r w:rsidRPr="00140DEF">
        <w:rPr>
          <w:sz w:val="20"/>
          <w:szCs w:val="20"/>
        </w:rPr>
        <w:t>Swysh</w:t>
      </w:r>
      <w:proofErr w:type="spellEnd"/>
      <w:r w:rsidRPr="00140DEF">
        <w:rPr>
          <w:sz w:val="20"/>
          <w:szCs w:val="20"/>
        </w:rPr>
        <w:t xml:space="preserve"> Inc.</w:t>
      </w:r>
      <w:r w:rsidR="004E1651">
        <w:rPr>
          <w:sz w:val="20"/>
          <w:szCs w:val="20"/>
        </w:rPr>
        <w:t xml:space="preserve"> (“</w:t>
      </w:r>
      <w:proofErr w:type="spellStart"/>
      <w:r w:rsidR="004E1651" w:rsidRPr="004E1651">
        <w:rPr>
          <w:b/>
          <w:bCs/>
          <w:sz w:val="20"/>
          <w:szCs w:val="20"/>
        </w:rPr>
        <w:t>Swysh</w:t>
      </w:r>
      <w:proofErr w:type="spellEnd"/>
      <w:r w:rsidR="004E1651">
        <w:rPr>
          <w:sz w:val="20"/>
          <w:szCs w:val="20"/>
        </w:rPr>
        <w:t>”).</w:t>
      </w:r>
      <w:r w:rsidRPr="00140DEF">
        <w:rPr>
          <w:sz w:val="20"/>
          <w:szCs w:val="20"/>
        </w:rPr>
        <w:t xml:space="preserve"> </w:t>
      </w:r>
    </w:p>
    <w:p w14:paraId="49BFB1BE" w14:textId="77777777" w:rsidR="004A298D" w:rsidRPr="00140DEF" w:rsidRDefault="004A298D" w:rsidP="00140DEF">
      <w:pPr>
        <w:pStyle w:val="Default"/>
        <w:jc w:val="both"/>
        <w:rPr>
          <w:sz w:val="20"/>
          <w:szCs w:val="20"/>
        </w:rPr>
      </w:pPr>
    </w:p>
    <w:p w14:paraId="76DDCA22" w14:textId="5A129F09" w:rsidR="00140DEF" w:rsidRDefault="00140DEF" w:rsidP="00140DEF">
      <w:pPr>
        <w:pStyle w:val="Default"/>
        <w:jc w:val="both"/>
        <w:rPr>
          <w:sz w:val="20"/>
          <w:szCs w:val="20"/>
        </w:rPr>
      </w:pPr>
      <w:r w:rsidRPr="00140DEF">
        <w:rPr>
          <w:sz w:val="20"/>
          <w:szCs w:val="20"/>
        </w:rPr>
        <w:t>In con</w:t>
      </w:r>
      <w:bookmarkStart w:id="0" w:name="_GoBack"/>
      <w:bookmarkEnd w:id="0"/>
      <w:r w:rsidRPr="00140DEF">
        <w:rPr>
          <w:sz w:val="20"/>
          <w:szCs w:val="20"/>
        </w:rPr>
        <w:t xml:space="preserve">junction with both InPlanta and Swysh, the Company is developing varieties of hemp with superior growth and production characteristics in the various environments found in the licensed territories. With the data and associated knowledge gained from these activities, the Company intends to leverage the technology to develop a portfolio of strategic hemp investments to take advantage of both the changing social climate relative to hemp use and the historic acceptance of the use of these products and their derivatives in certain of the jurisdictions granted under the License Agreements. </w:t>
      </w:r>
    </w:p>
    <w:p w14:paraId="176C1462" w14:textId="77777777" w:rsidR="004A298D" w:rsidRPr="00140DEF" w:rsidRDefault="004A298D" w:rsidP="00140DEF">
      <w:pPr>
        <w:pStyle w:val="Default"/>
        <w:jc w:val="both"/>
        <w:rPr>
          <w:sz w:val="20"/>
          <w:szCs w:val="20"/>
        </w:rPr>
      </w:pPr>
    </w:p>
    <w:p w14:paraId="35A07649" w14:textId="2856AD99" w:rsidR="00140DEF" w:rsidRDefault="00140DEF" w:rsidP="00140DEF">
      <w:pPr>
        <w:pStyle w:val="Default"/>
        <w:jc w:val="both"/>
        <w:rPr>
          <w:b/>
          <w:bCs/>
          <w:sz w:val="20"/>
          <w:szCs w:val="20"/>
        </w:rPr>
      </w:pPr>
      <w:r w:rsidRPr="00140DEF">
        <w:rPr>
          <w:b/>
          <w:bCs/>
          <w:sz w:val="20"/>
          <w:szCs w:val="20"/>
        </w:rPr>
        <w:t xml:space="preserve">For further information, contact: </w:t>
      </w:r>
    </w:p>
    <w:p w14:paraId="204E90B0" w14:textId="77777777" w:rsidR="004A298D" w:rsidRPr="00140DEF" w:rsidRDefault="004A298D" w:rsidP="00140DEF">
      <w:pPr>
        <w:pStyle w:val="Default"/>
        <w:jc w:val="both"/>
        <w:rPr>
          <w:sz w:val="20"/>
          <w:szCs w:val="20"/>
        </w:rPr>
      </w:pPr>
    </w:p>
    <w:p w14:paraId="67E692C7" w14:textId="1C6DB535" w:rsidR="00140DEF" w:rsidRPr="00140DEF" w:rsidRDefault="00140DEF" w:rsidP="00140DEF">
      <w:pPr>
        <w:pStyle w:val="Default"/>
        <w:jc w:val="both"/>
        <w:rPr>
          <w:sz w:val="20"/>
          <w:szCs w:val="20"/>
        </w:rPr>
      </w:pPr>
      <w:r w:rsidRPr="00140DEF">
        <w:rPr>
          <w:b/>
          <w:bCs/>
          <w:sz w:val="20"/>
          <w:szCs w:val="20"/>
        </w:rPr>
        <w:t>David Pinkman</w:t>
      </w:r>
      <w:r w:rsidR="00BC2909">
        <w:rPr>
          <w:b/>
          <w:bCs/>
          <w:sz w:val="20"/>
          <w:szCs w:val="20"/>
        </w:rPr>
        <w:t>,</w:t>
      </w:r>
    </w:p>
    <w:p w14:paraId="1399C858" w14:textId="77777777" w:rsidR="00140DEF" w:rsidRPr="0050789A" w:rsidRDefault="00140DEF" w:rsidP="00140DEF">
      <w:pPr>
        <w:pStyle w:val="Default"/>
        <w:jc w:val="both"/>
        <w:rPr>
          <w:sz w:val="20"/>
          <w:szCs w:val="20"/>
        </w:rPr>
      </w:pPr>
      <w:r w:rsidRPr="0050789A">
        <w:rPr>
          <w:sz w:val="20"/>
          <w:szCs w:val="20"/>
        </w:rPr>
        <w:t xml:space="preserve">Chief Executive Officer </w:t>
      </w:r>
    </w:p>
    <w:p w14:paraId="0DA7889A" w14:textId="01117C12" w:rsidR="00140DEF" w:rsidRPr="0050789A" w:rsidRDefault="00140DEF" w:rsidP="00140DEF">
      <w:pPr>
        <w:pStyle w:val="Default"/>
        <w:jc w:val="both"/>
        <w:rPr>
          <w:sz w:val="20"/>
          <w:szCs w:val="20"/>
        </w:rPr>
      </w:pPr>
      <w:r w:rsidRPr="0050789A">
        <w:rPr>
          <w:sz w:val="20"/>
          <w:szCs w:val="20"/>
        </w:rPr>
        <w:t xml:space="preserve">(403) 863-6034 </w:t>
      </w:r>
    </w:p>
    <w:p w14:paraId="16D160A2" w14:textId="77777777" w:rsidR="004A298D" w:rsidRPr="00140DEF" w:rsidRDefault="004A298D" w:rsidP="00140DEF">
      <w:pPr>
        <w:pStyle w:val="Default"/>
        <w:jc w:val="both"/>
        <w:rPr>
          <w:sz w:val="20"/>
          <w:szCs w:val="20"/>
        </w:rPr>
      </w:pPr>
    </w:p>
    <w:p w14:paraId="6F302AFF" w14:textId="7974F320" w:rsidR="00140DEF" w:rsidRDefault="00140DEF" w:rsidP="00140DEF">
      <w:pPr>
        <w:pStyle w:val="Default"/>
        <w:jc w:val="both"/>
        <w:rPr>
          <w:b/>
          <w:bCs/>
          <w:i/>
          <w:iCs/>
          <w:sz w:val="20"/>
          <w:szCs w:val="20"/>
        </w:rPr>
      </w:pPr>
      <w:r w:rsidRPr="00140DEF">
        <w:rPr>
          <w:b/>
          <w:bCs/>
          <w:i/>
          <w:iCs/>
          <w:sz w:val="20"/>
          <w:szCs w:val="20"/>
        </w:rPr>
        <w:t xml:space="preserve">Cautionary Note Regarding Forward-Looking Information </w:t>
      </w:r>
    </w:p>
    <w:p w14:paraId="16A01AE3" w14:textId="77777777" w:rsidR="004A298D" w:rsidRPr="00140DEF" w:rsidRDefault="004A298D" w:rsidP="00140DEF">
      <w:pPr>
        <w:pStyle w:val="Default"/>
        <w:jc w:val="both"/>
        <w:rPr>
          <w:sz w:val="20"/>
          <w:szCs w:val="20"/>
        </w:rPr>
      </w:pPr>
    </w:p>
    <w:p w14:paraId="25EE7B8A" w14:textId="77777777" w:rsidR="00140DEF" w:rsidRPr="00140DEF" w:rsidRDefault="00140DEF" w:rsidP="00140DEF">
      <w:pPr>
        <w:pStyle w:val="Default"/>
        <w:jc w:val="both"/>
        <w:rPr>
          <w:sz w:val="20"/>
          <w:szCs w:val="20"/>
        </w:rPr>
      </w:pPr>
      <w:r w:rsidRPr="00140DEF">
        <w:rPr>
          <w:i/>
          <w:iCs/>
          <w:sz w:val="20"/>
          <w:szCs w:val="20"/>
        </w:rPr>
        <w:t xml:space="preserve">This news release contains "forward-looking information" and "forward-looking statements" (collectively, "forward looking statements") within the meaning of the applicable Canadian securities legislation. All statements, other than statements historical fact, are forward-looking statements and are based on expectations, estimates and projections as at the date of this news release. Any statement that involves discussions with respect to predictions, expectations, beliefs, plans, projections, objectives, assumptions, future events or performance (often but not always using phrases such as “expects”, or “does not expect”, “is expected”, “anticipates” or “does not anticipate”, “plans”, “budget”, “scheduled”, “forecasts”, “estimates”, “believes” or “intends” or variations of such words and phrases or stating that certain actions, events or results “may” or “could”, “would”, “might” or “will” be taken to occur or be achieved) are not statements of historical fact and may be forward-looking statements. In this news release, forward looking statements relate, among other things, to: active research and development of the protocols associated with the creation of new Cannabis sativa lines, commencement of testing activities in relation thereto, grant of patent protection in respect of the novel traits identified by Swysh, commercial production of any related products and treatments cased on these developments, and future expansion plans including development of the cultivation, production, industrialization and marketing of hemp-based products for commercial and scientific purposes. </w:t>
      </w:r>
    </w:p>
    <w:p w14:paraId="49061D32" w14:textId="77777777" w:rsidR="00140DEF" w:rsidRPr="00140DEF" w:rsidRDefault="00140DEF" w:rsidP="00140DEF">
      <w:pPr>
        <w:pStyle w:val="Default"/>
        <w:pageBreakBefore/>
        <w:jc w:val="both"/>
        <w:rPr>
          <w:sz w:val="20"/>
          <w:szCs w:val="20"/>
        </w:rPr>
      </w:pPr>
      <w:r w:rsidRPr="00140DEF">
        <w:rPr>
          <w:i/>
          <w:iCs/>
          <w:sz w:val="20"/>
          <w:szCs w:val="20"/>
        </w:rPr>
        <w:lastRenderedPageBreak/>
        <w:t xml:space="preserve">These forward-looking statements are based on reasonable assumptions and estimates of management of the Company at the time such statements were made. Actual future results may differ materially as forward-looking statements involve known and unknown risks, uncertainties and other factors which may cause the actual results, performance or achievements of the Company to materially differ from any future results, performance or achievements expressed or implied by such forward-looking statements. Such factors, among other things, include: fluctuations in general macroeconomic conditions; fluctuations in securities markets; expectations regarding the size of the Asian and international medical products market and changing consumer habits; the ability of the Company to successfully achieve its business objectives; plans for expansion; political and social uncertainties; inability to obtain adequate insurance to cover risks and hazards; and the presence of laws and regulations that may impose restrictions on cultivation, production, distribution and sale of hemp and hemp-related products in Asia and elsewhere; and employee relations. Although the forward-looking statements contained in this news release are based upon what management of the Company believes, or believed at the time, to be reasonable assumptions, the Company cannot assure shareholders that actual results will be consistent with such forward-looking statements, as there may be other factors that cause results not to be as anticipated, estimated or intended. Readers should not place undue reliance on the forward-looking statements and information contained in this news release. The Company assumes no obligation to update the forward-looking statements of beliefs, opinions, projections, or other factors, should they change, except as required by law. </w:t>
      </w:r>
    </w:p>
    <w:p w14:paraId="3CC745C0" w14:textId="0A9AEC9F" w:rsidR="00140DEF" w:rsidRPr="00140DEF" w:rsidRDefault="00140DEF" w:rsidP="00140DEF">
      <w:pPr>
        <w:jc w:val="both"/>
        <w:rPr>
          <w:rFonts w:ascii="Times New Roman" w:eastAsia="Times New Roman" w:hAnsi="Times New Roman"/>
          <w:sz w:val="20"/>
          <w:szCs w:val="20"/>
        </w:rPr>
      </w:pPr>
      <w:r w:rsidRPr="00140DEF">
        <w:rPr>
          <w:rFonts w:ascii="Times New Roman" w:hAnsi="Times New Roman"/>
          <w:i/>
          <w:iCs/>
          <w:sz w:val="20"/>
          <w:szCs w:val="20"/>
        </w:rPr>
        <w:t>No stock exchange, securities commission or other regulatory authority has approved or disapproved the information contained herein.</w:t>
      </w:r>
    </w:p>
    <w:sectPr w:rsidR="00140DEF" w:rsidRPr="00140DEF" w:rsidSect="00140DEF">
      <w:footerReference w:type="even" r:id="rId7"/>
      <w:pgSz w:w="12240" w:h="15840" w:code="1"/>
      <w:pgMar w:top="288" w:right="1152" w:bottom="288"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8DEC" w14:textId="77777777" w:rsidR="009E21AF" w:rsidRDefault="009E21AF" w:rsidP="00A62F76">
      <w:r>
        <w:separator/>
      </w:r>
    </w:p>
  </w:endnote>
  <w:endnote w:type="continuationSeparator" w:id="0">
    <w:p w14:paraId="4D75449F" w14:textId="77777777" w:rsidR="009E21AF" w:rsidRDefault="009E21AF" w:rsidP="00A6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8B49" w14:textId="77777777" w:rsidR="009E21AF" w:rsidRDefault="00927F7F" w:rsidP="00CA0FF4">
    <w:pPr>
      <w:pStyle w:val="Footer"/>
      <w:framePr w:wrap="around" w:vAnchor="text" w:hAnchor="margin" w:xAlign="right" w:y="1"/>
      <w:rPr>
        <w:rStyle w:val="PageNumber"/>
      </w:rPr>
    </w:pPr>
    <w:r>
      <w:rPr>
        <w:rStyle w:val="PageNumber"/>
      </w:rPr>
      <w:fldChar w:fldCharType="begin"/>
    </w:r>
    <w:r w:rsidR="009E21AF">
      <w:rPr>
        <w:rStyle w:val="PageNumber"/>
      </w:rPr>
      <w:instrText xml:space="preserve">PAGE  </w:instrText>
    </w:r>
    <w:r>
      <w:rPr>
        <w:rStyle w:val="PageNumber"/>
      </w:rPr>
      <w:fldChar w:fldCharType="end"/>
    </w:r>
  </w:p>
  <w:p w14:paraId="11AE2A1E" w14:textId="77777777" w:rsidR="009E21AF" w:rsidRDefault="009E21AF" w:rsidP="00CA0F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50388" w14:textId="77777777" w:rsidR="009E21AF" w:rsidRDefault="009E21AF" w:rsidP="00A62F76">
      <w:r>
        <w:separator/>
      </w:r>
    </w:p>
  </w:footnote>
  <w:footnote w:type="continuationSeparator" w:id="0">
    <w:p w14:paraId="621E81E2" w14:textId="77777777" w:rsidR="009E21AF" w:rsidRDefault="009E21AF" w:rsidP="00A6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D11F4"/>
    <w:multiLevelType w:val="hybridMultilevel"/>
    <w:tmpl w:val="C8CEFF2C"/>
    <w:lvl w:ilvl="0" w:tplc="CE34392C">
      <w:start w:val="1"/>
      <w:numFmt w:val="bullet"/>
      <w:lvlText w:val=""/>
      <w:lvlJc w:val="left"/>
      <w:pPr>
        <w:tabs>
          <w:tab w:val="num" w:pos="720"/>
        </w:tabs>
        <w:ind w:left="720" w:hanging="360"/>
      </w:pPr>
      <w:rPr>
        <w:rFonts w:ascii="Wingdings" w:hAnsi="Wingdings" w:hint="default"/>
      </w:rPr>
    </w:lvl>
    <w:lvl w:ilvl="1" w:tplc="B442EB46" w:tentative="1">
      <w:start w:val="1"/>
      <w:numFmt w:val="bullet"/>
      <w:lvlText w:val=""/>
      <w:lvlJc w:val="left"/>
      <w:pPr>
        <w:tabs>
          <w:tab w:val="num" w:pos="1440"/>
        </w:tabs>
        <w:ind w:left="1440" w:hanging="360"/>
      </w:pPr>
      <w:rPr>
        <w:rFonts w:ascii="Wingdings" w:hAnsi="Wingdings" w:hint="default"/>
      </w:rPr>
    </w:lvl>
    <w:lvl w:ilvl="2" w:tplc="A1BE97E2" w:tentative="1">
      <w:start w:val="1"/>
      <w:numFmt w:val="bullet"/>
      <w:lvlText w:val=""/>
      <w:lvlJc w:val="left"/>
      <w:pPr>
        <w:tabs>
          <w:tab w:val="num" w:pos="2160"/>
        </w:tabs>
        <w:ind w:left="2160" w:hanging="360"/>
      </w:pPr>
      <w:rPr>
        <w:rFonts w:ascii="Wingdings" w:hAnsi="Wingdings" w:hint="default"/>
      </w:rPr>
    </w:lvl>
    <w:lvl w:ilvl="3" w:tplc="2FECCD76" w:tentative="1">
      <w:start w:val="1"/>
      <w:numFmt w:val="bullet"/>
      <w:lvlText w:val=""/>
      <w:lvlJc w:val="left"/>
      <w:pPr>
        <w:tabs>
          <w:tab w:val="num" w:pos="2880"/>
        </w:tabs>
        <w:ind w:left="2880" w:hanging="360"/>
      </w:pPr>
      <w:rPr>
        <w:rFonts w:ascii="Wingdings" w:hAnsi="Wingdings" w:hint="default"/>
      </w:rPr>
    </w:lvl>
    <w:lvl w:ilvl="4" w:tplc="BBD8CAEE" w:tentative="1">
      <w:start w:val="1"/>
      <w:numFmt w:val="bullet"/>
      <w:lvlText w:val=""/>
      <w:lvlJc w:val="left"/>
      <w:pPr>
        <w:tabs>
          <w:tab w:val="num" w:pos="3600"/>
        </w:tabs>
        <w:ind w:left="3600" w:hanging="360"/>
      </w:pPr>
      <w:rPr>
        <w:rFonts w:ascii="Wingdings" w:hAnsi="Wingdings" w:hint="default"/>
      </w:rPr>
    </w:lvl>
    <w:lvl w:ilvl="5" w:tplc="81AE95AE" w:tentative="1">
      <w:start w:val="1"/>
      <w:numFmt w:val="bullet"/>
      <w:lvlText w:val=""/>
      <w:lvlJc w:val="left"/>
      <w:pPr>
        <w:tabs>
          <w:tab w:val="num" w:pos="4320"/>
        </w:tabs>
        <w:ind w:left="4320" w:hanging="360"/>
      </w:pPr>
      <w:rPr>
        <w:rFonts w:ascii="Wingdings" w:hAnsi="Wingdings" w:hint="default"/>
      </w:rPr>
    </w:lvl>
    <w:lvl w:ilvl="6" w:tplc="B09CE438" w:tentative="1">
      <w:start w:val="1"/>
      <w:numFmt w:val="bullet"/>
      <w:lvlText w:val=""/>
      <w:lvlJc w:val="left"/>
      <w:pPr>
        <w:tabs>
          <w:tab w:val="num" w:pos="5040"/>
        </w:tabs>
        <w:ind w:left="5040" w:hanging="360"/>
      </w:pPr>
      <w:rPr>
        <w:rFonts w:ascii="Wingdings" w:hAnsi="Wingdings" w:hint="default"/>
      </w:rPr>
    </w:lvl>
    <w:lvl w:ilvl="7" w:tplc="FEA6E1CC" w:tentative="1">
      <w:start w:val="1"/>
      <w:numFmt w:val="bullet"/>
      <w:lvlText w:val=""/>
      <w:lvlJc w:val="left"/>
      <w:pPr>
        <w:tabs>
          <w:tab w:val="num" w:pos="5760"/>
        </w:tabs>
        <w:ind w:left="5760" w:hanging="360"/>
      </w:pPr>
      <w:rPr>
        <w:rFonts w:ascii="Wingdings" w:hAnsi="Wingdings" w:hint="default"/>
      </w:rPr>
    </w:lvl>
    <w:lvl w:ilvl="8" w:tplc="108ACD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AA5685"/>
    <w:multiLevelType w:val="hybridMultilevel"/>
    <w:tmpl w:val="C496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hideSpellingErrors/>
  <w:hideGrammaticalErrors/>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doNotTrackMoves/>
  <w:defaultTabStop w:val="720"/>
  <w:characterSpacingControl w:val="doNotCompress"/>
  <w:hdrShapeDefaults>
    <o:shapedefaults v:ext="edit" spidmax="2048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515C8"/>
    <w:rsid w:val="00003129"/>
    <w:rsid w:val="00004C8D"/>
    <w:rsid w:val="00006C88"/>
    <w:rsid w:val="000238BD"/>
    <w:rsid w:val="00025AE4"/>
    <w:rsid w:val="000260DE"/>
    <w:rsid w:val="00031B72"/>
    <w:rsid w:val="0003550F"/>
    <w:rsid w:val="00040E84"/>
    <w:rsid w:val="00043351"/>
    <w:rsid w:val="00045276"/>
    <w:rsid w:val="00046029"/>
    <w:rsid w:val="00054B0A"/>
    <w:rsid w:val="000620DC"/>
    <w:rsid w:val="00062B51"/>
    <w:rsid w:val="00065A31"/>
    <w:rsid w:val="00065E24"/>
    <w:rsid w:val="000719EB"/>
    <w:rsid w:val="00081C6B"/>
    <w:rsid w:val="000859C8"/>
    <w:rsid w:val="000A0DC4"/>
    <w:rsid w:val="000A18FE"/>
    <w:rsid w:val="000C357C"/>
    <w:rsid w:val="000C5C14"/>
    <w:rsid w:val="000D16CD"/>
    <w:rsid w:val="000D2BF4"/>
    <w:rsid w:val="000D34B9"/>
    <w:rsid w:val="000D4054"/>
    <w:rsid w:val="000D41EC"/>
    <w:rsid w:val="000E0E85"/>
    <w:rsid w:val="000F1E80"/>
    <w:rsid w:val="000F66C9"/>
    <w:rsid w:val="0010350F"/>
    <w:rsid w:val="001060DC"/>
    <w:rsid w:val="0010735C"/>
    <w:rsid w:val="00111EA2"/>
    <w:rsid w:val="001228A4"/>
    <w:rsid w:val="00124B21"/>
    <w:rsid w:val="00127D3C"/>
    <w:rsid w:val="00140DEF"/>
    <w:rsid w:val="00146D64"/>
    <w:rsid w:val="001538EC"/>
    <w:rsid w:val="00156A33"/>
    <w:rsid w:val="00160AC9"/>
    <w:rsid w:val="00163502"/>
    <w:rsid w:val="001704CF"/>
    <w:rsid w:val="00176E27"/>
    <w:rsid w:val="00177A24"/>
    <w:rsid w:val="00184B5B"/>
    <w:rsid w:val="00192EA6"/>
    <w:rsid w:val="00194FEB"/>
    <w:rsid w:val="001952F0"/>
    <w:rsid w:val="001A2910"/>
    <w:rsid w:val="001A4640"/>
    <w:rsid w:val="001A7F1B"/>
    <w:rsid w:val="001B3FF4"/>
    <w:rsid w:val="001B430E"/>
    <w:rsid w:val="001C329C"/>
    <w:rsid w:val="001D1F1D"/>
    <w:rsid w:val="001D2216"/>
    <w:rsid w:val="001D46CF"/>
    <w:rsid w:val="001E14CA"/>
    <w:rsid w:val="001E7CB5"/>
    <w:rsid w:val="00201BD2"/>
    <w:rsid w:val="002152EE"/>
    <w:rsid w:val="00225137"/>
    <w:rsid w:val="00237069"/>
    <w:rsid w:val="002404C5"/>
    <w:rsid w:val="002404E0"/>
    <w:rsid w:val="00242BA9"/>
    <w:rsid w:val="00246238"/>
    <w:rsid w:val="0024796E"/>
    <w:rsid w:val="00247D09"/>
    <w:rsid w:val="0027541D"/>
    <w:rsid w:val="00282ADE"/>
    <w:rsid w:val="00286125"/>
    <w:rsid w:val="002873A0"/>
    <w:rsid w:val="002900CE"/>
    <w:rsid w:val="0029272C"/>
    <w:rsid w:val="002A0349"/>
    <w:rsid w:val="002B3251"/>
    <w:rsid w:val="002B40F0"/>
    <w:rsid w:val="002C2CA2"/>
    <w:rsid w:val="002D329D"/>
    <w:rsid w:val="002E61C7"/>
    <w:rsid w:val="002F2889"/>
    <w:rsid w:val="00305AC6"/>
    <w:rsid w:val="00320CCC"/>
    <w:rsid w:val="0032319D"/>
    <w:rsid w:val="00323D90"/>
    <w:rsid w:val="00323F72"/>
    <w:rsid w:val="003320EB"/>
    <w:rsid w:val="00332E5D"/>
    <w:rsid w:val="00341561"/>
    <w:rsid w:val="0035159F"/>
    <w:rsid w:val="00355AC3"/>
    <w:rsid w:val="00364C31"/>
    <w:rsid w:val="003707D2"/>
    <w:rsid w:val="00374211"/>
    <w:rsid w:val="003807FF"/>
    <w:rsid w:val="00381D9B"/>
    <w:rsid w:val="003871CA"/>
    <w:rsid w:val="003878A5"/>
    <w:rsid w:val="0039308D"/>
    <w:rsid w:val="003938F6"/>
    <w:rsid w:val="00395F6B"/>
    <w:rsid w:val="00397B3E"/>
    <w:rsid w:val="003A7AFC"/>
    <w:rsid w:val="003B0EA3"/>
    <w:rsid w:val="003B5E90"/>
    <w:rsid w:val="003B6C4E"/>
    <w:rsid w:val="003C098C"/>
    <w:rsid w:val="003D5329"/>
    <w:rsid w:val="003D5E99"/>
    <w:rsid w:val="003D6452"/>
    <w:rsid w:val="003E3FFF"/>
    <w:rsid w:val="003E5611"/>
    <w:rsid w:val="003F53DB"/>
    <w:rsid w:val="003F7603"/>
    <w:rsid w:val="004009D4"/>
    <w:rsid w:val="0040326F"/>
    <w:rsid w:val="0040590C"/>
    <w:rsid w:val="0041351B"/>
    <w:rsid w:val="00414D3E"/>
    <w:rsid w:val="004171FF"/>
    <w:rsid w:val="0042185E"/>
    <w:rsid w:val="00426CA1"/>
    <w:rsid w:val="00431AA8"/>
    <w:rsid w:val="0043346D"/>
    <w:rsid w:val="004357DA"/>
    <w:rsid w:val="00437293"/>
    <w:rsid w:val="00440355"/>
    <w:rsid w:val="00467446"/>
    <w:rsid w:val="004726DC"/>
    <w:rsid w:val="00475CE0"/>
    <w:rsid w:val="0048027C"/>
    <w:rsid w:val="0048735A"/>
    <w:rsid w:val="004A298D"/>
    <w:rsid w:val="004A4503"/>
    <w:rsid w:val="004B03BF"/>
    <w:rsid w:val="004B3954"/>
    <w:rsid w:val="004B5CF9"/>
    <w:rsid w:val="004D39EC"/>
    <w:rsid w:val="004E1651"/>
    <w:rsid w:val="004E23E9"/>
    <w:rsid w:val="004F1419"/>
    <w:rsid w:val="004F48CE"/>
    <w:rsid w:val="004F6B16"/>
    <w:rsid w:val="005045D9"/>
    <w:rsid w:val="00505CAB"/>
    <w:rsid w:val="00505CBB"/>
    <w:rsid w:val="0050723E"/>
    <w:rsid w:val="0050789A"/>
    <w:rsid w:val="00517B7A"/>
    <w:rsid w:val="00520C3E"/>
    <w:rsid w:val="00520F3C"/>
    <w:rsid w:val="00523157"/>
    <w:rsid w:val="00552CA8"/>
    <w:rsid w:val="00554FBE"/>
    <w:rsid w:val="00555701"/>
    <w:rsid w:val="0055694D"/>
    <w:rsid w:val="005572D6"/>
    <w:rsid w:val="0055774C"/>
    <w:rsid w:val="005611AD"/>
    <w:rsid w:val="00561F48"/>
    <w:rsid w:val="0056313B"/>
    <w:rsid w:val="005645FA"/>
    <w:rsid w:val="00564919"/>
    <w:rsid w:val="0056493C"/>
    <w:rsid w:val="00577CF9"/>
    <w:rsid w:val="00585377"/>
    <w:rsid w:val="0058724D"/>
    <w:rsid w:val="005928A1"/>
    <w:rsid w:val="00592ADC"/>
    <w:rsid w:val="005944F4"/>
    <w:rsid w:val="005953DE"/>
    <w:rsid w:val="005A3F79"/>
    <w:rsid w:val="005B10BF"/>
    <w:rsid w:val="005B3D7E"/>
    <w:rsid w:val="005D17EE"/>
    <w:rsid w:val="005D23D9"/>
    <w:rsid w:val="005D607C"/>
    <w:rsid w:val="005E0765"/>
    <w:rsid w:val="005E35F7"/>
    <w:rsid w:val="005F1C22"/>
    <w:rsid w:val="005F40E1"/>
    <w:rsid w:val="005F4F6C"/>
    <w:rsid w:val="005F5C3D"/>
    <w:rsid w:val="005F7569"/>
    <w:rsid w:val="00607243"/>
    <w:rsid w:val="00626C6F"/>
    <w:rsid w:val="006273C7"/>
    <w:rsid w:val="00636B8E"/>
    <w:rsid w:val="00640578"/>
    <w:rsid w:val="0064211D"/>
    <w:rsid w:val="00642F7E"/>
    <w:rsid w:val="0064317F"/>
    <w:rsid w:val="0064608F"/>
    <w:rsid w:val="006477A3"/>
    <w:rsid w:val="00651860"/>
    <w:rsid w:val="006525D6"/>
    <w:rsid w:val="00654190"/>
    <w:rsid w:val="0066052C"/>
    <w:rsid w:val="00660584"/>
    <w:rsid w:val="00663883"/>
    <w:rsid w:val="00667247"/>
    <w:rsid w:val="00671E63"/>
    <w:rsid w:val="00676CA6"/>
    <w:rsid w:val="00683FE0"/>
    <w:rsid w:val="00687CBF"/>
    <w:rsid w:val="00695A1F"/>
    <w:rsid w:val="006A1839"/>
    <w:rsid w:val="006A1E77"/>
    <w:rsid w:val="006C1D37"/>
    <w:rsid w:val="006C3E90"/>
    <w:rsid w:val="006C4284"/>
    <w:rsid w:val="006C552E"/>
    <w:rsid w:val="006D4357"/>
    <w:rsid w:val="006D5B2D"/>
    <w:rsid w:val="006D721F"/>
    <w:rsid w:val="006E3732"/>
    <w:rsid w:val="006E5565"/>
    <w:rsid w:val="006E62F2"/>
    <w:rsid w:val="006F3EDD"/>
    <w:rsid w:val="00700097"/>
    <w:rsid w:val="007010C5"/>
    <w:rsid w:val="0071478A"/>
    <w:rsid w:val="00714DD4"/>
    <w:rsid w:val="00716487"/>
    <w:rsid w:val="00730DF4"/>
    <w:rsid w:val="0073135C"/>
    <w:rsid w:val="00732EC8"/>
    <w:rsid w:val="00733F02"/>
    <w:rsid w:val="00741256"/>
    <w:rsid w:val="00742DC7"/>
    <w:rsid w:val="00745385"/>
    <w:rsid w:val="00751BEC"/>
    <w:rsid w:val="00752C04"/>
    <w:rsid w:val="00765866"/>
    <w:rsid w:val="00773A44"/>
    <w:rsid w:val="007747F9"/>
    <w:rsid w:val="00782151"/>
    <w:rsid w:val="00784376"/>
    <w:rsid w:val="007902C0"/>
    <w:rsid w:val="00793048"/>
    <w:rsid w:val="00793A0D"/>
    <w:rsid w:val="00793D92"/>
    <w:rsid w:val="007A34A6"/>
    <w:rsid w:val="007A3FBE"/>
    <w:rsid w:val="007A5EF3"/>
    <w:rsid w:val="007A62A2"/>
    <w:rsid w:val="007A6FEB"/>
    <w:rsid w:val="007A7E89"/>
    <w:rsid w:val="007B1AB4"/>
    <w:rsid w:val="007B2DA3"/>
    <w:rsid w:val="007B69FA"/>
    <w:rsid w:val="007B7377"/>
    <w:rsid w:val="007C69F9"/>
    <w:rsid w:val="007C75CD"/>
    <w:rsid w:val="007D550E"/>
    <w:rsid w:val="007E1088"/>
    <w:rsid w:val="007E211E"/>
    <w:rsid w:val="007E336E"/>
    <w:rsid w:val="007F42F4"/>
    <w:rsid w:val="007F5D03"/>
    <w:rsid w:val="007F6461"/>
    <w:rsid w:val="00801A04"/>
    <w:rsid w:val="00803FEE"/>
    <w:rsid w:val="0080516C"/>
    <w:rsid w:val="008070BA"/>
    <w:rsid w:val="00812F90"/>
    <w:rsid w:val="00816FD9"/>
    <w:rsid w:val="00820674"/>
    <w:rsid w:val="00825AAE"/>
    <w:rsid w:val="00826190"/>
    <w:rsid w:val="00836BFF"/>
    <w:rsid w:val="00836D4F"/>
    <w:rsid w:val="00837194"/>
    <w:rsid w:val="0083754A"/>
    <w:rsid w:val="008410F0"/>
    <w:rsid w:val="00845490"/>
    <w:rsid w:val="00850913"/>
    <w:rsid w:val="0085147B"/>
    <w:rsid w:val="00852D50"/>
    <w:rsid w:val="00856480"/>
    <w:rsid w:val="0086072A"/>
    <w:rsid w:val="00861426"/>
    <w:rsid w:val="00865B78"/>
    <w:rsid w:val="00866911"/>
    <w:rsid w:val="00881B33"/>
    <w:rsid w:val="00881D88"/>
    <w:rsid w:val="00886C73"/>
    <w:rsid w:val="00895414"/>
    <w:rsid w:val="008A4611"/>
    <w:rsid w:val="008A6CDF"/>
    <w:rsid w:val="008A6E90"/>
    <w:rsid w:val="008B066A"/>
    <w:rsid w:val="008B10CB"/>
    <w:rsid w:val="008D20AD"/>
    <w:rsid w:val="008D5BBB"/>
    <w:rsid w:val="008D72FA"/>
    <w:rsid w:val="008E2151"/>
    <w:rsid w:val="008E3624"/>
    <w:rsid w:val="008E6386"/>
    <w:rsid w:val="008F2E94"/>
    <w:rsid w:val="008F43EF"/>
    <w:rsid w:val="008F5E95"/>
    <w:rsid w:val="00911C38"/>
    <w:rsid w:val="00913721"/>
    <w:rsid w:val="009248D3"/>
    <w:rsid w:val="0092678B"/>
    <w:rsid w:val="00926814"/>
    <w:rsid w:val="00927F7F"/>
    <w:rsid w:val="00930627"/>
    <w:rsid w:val="00933F88"/>
    <w:rsid w:val="00934386"/>
    <w:rsid w:val="00935888"/>
    <w:rsid w:val="00941EBA"/>
    <w:rsid w:val="00942C78"/>
    <w:rsid w:val="0094761A"/>
    <w:rsid w:val="009501AD"/>
    <w:rsid w:val="009515C8"/>
    <w:rsid w:val="00953276"/>
    <w:rsid w:val="00956865"/>
    <w:rsid w:val="0095734F"/>
    <w:rsid w:val="0096451D"/>
    <w:rsid w:val="00966ACA"/>
    <w:rsid w:val="009734ED"/>
    <w:rsid w:val="0097425C"/>
    <w:rsid w:val="009778C0"/>
    <w:rsid w:val="00984CD7"/>
    <w:rsid w:val="009938A5"/>
    <w:rsid w:val="0099680D"/>
    <w:rsid w:val="009A2CCB"/>
    <w:rsid w:val="009A3EB7"/>
    <w:rsid w:val="009A5A47"/>
    <w:rsid w:val="009B79CB"/>
    <w:rsid w:val="009C3091"/>
    <w:rsid w:val="009C387C"/>
    <w:rsid w:val="009C417A"/>
    <w:rsid w:val="009D68B6"/>
    <w:rsid w:val="009D7CAD"/>
    <w:rsid w:val="009E11C8"/>
    <w:rsid w:val="009E21AF"/>
    <w:rsid w:val="009E5F6C"/>
    <w:rsid w:val="009E7BEE"/>
    <w:rsid w:val="009F6407"/>
    <w:rsid w:val="00A007F3"/>
    <w:rsid w:val="00A021C0"/>
    <w:rsid w:val="00A032D0"/>
    <w:rsid w:val="00A0559E"/>
    <w:rsid w:val="00A10B16"/>
    <w:rsid w:val="00A11084"/>
    <w:rsid w:val="00A12641"/>
    <w:rsid w:val="00A13514"/>
    <w:rsid w:val="00A147CE"/>
    <w:rsid w:val="00A14FCA"/>
    <w:rsid w:val="00A224D1"/>
    <w:rsid w:val="00A3260B"/>
    <w:rsid w:val="00A36346"/>
    <w:rsid w:val="00A422D4"/>
    <w:rsid w:val="00A4264A"/>
    <w:rsid w:val="00A4334E"/>
    <w:rsid w:val="00A43365"/>
    <w:rsid w:val="00A44913"/>
    <w:rsid w:val="00A47E12"/>
    <w:rsid w:val="00A570FD"/>
    <w:rsid w:val="00A60318"/>
    <w:rsid w:val="00A62F76"/>
    <w:rsid w:val="00A65F8F"/>
    <w:rsid w:val="00A66404"/>
    <w:rsid w:val="00A713D1"/>
    <w:rsid w:val="00A742ED"/>
    <w:rsid w:val="00A80AF5"/>
    <w:rsid w:val="00A90330"/>
    <w:rsid w:val="00A93BFD"/>
    <w:rsid w:val="00A93CC8"/>
    <w:rsid w:val="00A96AEA"/>
    <w:rsid w:val="00AA2D3A"/>
    <w:rsid w:val="00AA43A4"/>
    <w:rsid w:val="00AA6026"/>
    <w:rsid w:val="00AC1BC1"/>
    <w:rsid w:val="00AC6321"/>
    <w:rsid w:val="00AC6618"/>
    <w:rsid w:val="00AC756F"/>
    <w:rsid w:val="00AD2DC2"/>
    <w:rsid w:val="00AD544C"/>
    <w:rsid w:val="00AE17BB"/>
    <w:rsid w:val="00AE2D90"/>
    <w:rsid w:val="00AE55F8"/>
    <w:rsid w:val="00B02DD6"/>
    <w:rsid w:val="00B11B18"/>
    <w:rsid w:val="00B1521E"/>
    <w:rsid w:val="00B341FE"/>
    <w:rsid w:val="00B36A5A"/>
    <w:rsid w:val="00B43CD8"/>
    <w:rsid w:val="00B45E1D"/>
    <w:rsid w:val="00B54352"/>
    <w:rsid w:val="00B54C96"/>
    <w:rsid w:val="00B57BCE"/>
    <w:rsid w:val="00B62711"/>
    <w:rsid w:val="00B733E6"/>
    <w:rsid w:val="00B752CA"/>
    <w:rsid w:val="00B9202F"/>
    <w:rsid w:val="00B93BE6"/>
    <w:rsid w:val="00B9524E"/>
    <w:rsid w:val="00B95C2D"/>
    <w:rsid w:val="00BB02F7"/>
    <w:rsid w:val="00BB1087"/>
    <w:rsid w:val="00BB10F6"/>
    <w:rsid w:val="00BB42BC"/>
    <w:rsid w:val="00BC2909"/>
    <w:rsid w:val="00BC392D"/>
    <w:rsid w:val="00BC3EF6"/>
    <w:rsid w:val="00BC6239"/>
    <w:rsid w:val="00BD1218"/>
    <w:rsid w:val="00BD315A"/>
    <w:rsid w:val="00BE1BD4"/>
    <w:rsid w:val="00BF0F58"/>
    <w:rsid w:val="00BF2E3E"/>
    <w:rsid w:val="00BF3DB1"/>
    <w:rsid w:val="00C02104"/>
    <w:rsid w:val="00C05728"/>
    <w:rsid w:val="00C109A2"/>
    <w:rsid w:val="00C203A7"/>
    <w:rsid w:val="00C22DD2"/>
    <w:rsid w:val="00C23259"/>
    <w:rsid w:val="00C23845"/>
    <w:rsid w:val="00C268D2"/>
    <w:rsid w:val="00C32106"/>
    <w:rsid w:val="00C41508"/>
    <w:rsid w:val="00C47B7A"/>
    <w:rsid w:val="00C504E7"/>
    <w:rsid w:val="00C52D81"/>
    <w:rsid w:val="00C53DE0"/>
    <w:rsid w:val="00C57F47"/>
    <w:rsid w:val="00C70121"/>
    <w:rsid w:val="00C76D4A"/>
    <w:rsid w:val="00C7713B"/>
    <w:rsid w:val="00C85F39"/>
    <w:rsid w:val="00C91AE8"/>
    <w:rsid w:val="00C92D49"/>
    <w:rsid w:val="00C94028"/>
    <w:rsid w:val="00CA05B0"/>
    <w:rsid w:val="00CA0FF4"/>
    <w:rsid w:val="00CA1E6E"/>
    <w:rsid w:val="00CA7FD0"/>
    <w:rsid w:val="00CB2574"/>
    <w:rsid w:val="00CB6EEF"/>
    <w:rsid w:val="00CC4E2A"/>
    <w:rsid w:val="00CD0437"/>
    <w:rsid w:val="00CD201A"/>
    <w:rsid w:val="00CD390A"/>
    <w:rsid w:val="00CE1DD5"/>
    <w:rsid w:val="00CE3F2D"/>
    <w:rsid w:val="00CF17E5"/>
    <w:rsid w:val="00CF22F1"/>
    <w:rsid w:val="00CF23C0"/>
    <w:rsid w:val="00D01959"/>
    <w:rsid w:val="00D05C98"/>
    <w:rsid w:val="00D16C85"/>
    <w:rsid w:val="00D20362"/>
    <w:rsid w:val="00D2137B"/>
    <w:rsid w:val="00D21913"/>
    <w:rsid w:val="00D2329E"/>
    <w:rsid w:val="00D246B2"/>
    <w:rsid w:val="00D25311"/>
    <w:rsid w:val="00D27DF7"/>
    <w:rsid w:val="00D30256"/>
    <w:rsid w:val="00D326F7"/>
    <w:rsid w:val="00D33466"/>
    <w:rsid w:val="00D339AD"/>
    <w:rsid w:val="00D34F46"/>
    <w:rsid w:val="00D36EB8"/>
    <w:rsid w:val="00D42097"/>
    <w:rsid w:val="00D46483"/>
    <w:rsid w:val="00D61368"/>
    <w:rsid w:val="00D64064"/>
    <w:rsid w:val="00D64739"/>
    <w:rsid w:val="00D65B8E"/>
    <w:rsid w:val="00D65DD2"/>
    <w:rsid w:val="00D65E53"/>
    <w:rsid w:val="00D709CC"/>
    <w:rsid w:val="00D74260"/>
    <w:rsid w:val="00D750CE"/>
    <w:rsid w:val="00D879A7"/>
    <w:rsid w:val="00D903FC"/>
    <w:rsid w:val="00D92360"/>
    <w:rsid w:val="00D97988"/>
    <w:rsid w:val="00DA2B9D"/>
    <w:rsid w:val="00DA3E1A"/>
    <w:rsid w:val="00DA4A93"/>
    <w:rsid w:val="00DB1DF2"/>
    <w:rsid w:val="00DB206A"/>
    <w:rsid w:val="00DB4C17"/>
    <w:rsid w:val="00DB5E32"/>
    <w:rsid w:val="00DC7FC3"/>
    <w:rsid w:val="00DD27C0"/>
    <w:rsid w:val="00DE700C"/>
    <w:rsid w:val="00DE75B1"/>
    <w:rsid w:val="00DF0148"/>
    <w:rsid w:val="00DF345D"/>
    <w:rsid w:val="00E00B8F"/>
    <w:rsid w:val="00E12D43"/>
    <w:rsid w:val="00E15574"/>
    <w:rsid w:val="00E20A60"/>
    <w:rsid w:val="00E23098"/>
    <w:rsid w:val="00E24732"/>
    <w:rsid w:val="00E373C0"/>
    <w:rsid w:val="00E37EE4"/>
    <w:rsid w:val="00E54FB4"/>
    <w:rsid w:val="00E55802"/>
    <w:rsid w:val="00E67EA8"/>
    <w:rsid w:val="00E73ABB"/>
    <w:rsid w:val="00E748C2"/>
    <w:rsid w:val="00E801AD"/>
    <w:rsid w:val="00E8198A"/>
    <w:rsid w:val="00E85EA0"/>
    <w:rsid w:val="00E860F5"/>
    <w:rsid w:val="00E86ABC"/>
    <w:rsid w:val="00E87B93"/>
    <w:rsid w:val="00E91674"/>
    <w:rsid w:val="00E92904"/>
    <w:rsid w:val="00E972E0"/>
    <w:rsid w:val="00EA1BF0"/>
    <w:rsid w:val="00EA2BF8"/>
    <w:rsid w:val="00EA5745"/>
    <w:rsid w:val="00EB05D5"/>
    <w:rsid w:val="00EB0908"/>
    <w:rsid w:val="00EC03EC"/>
    <w:rsid w:val="00EC12CD"/>
    <w:rsid w:val="00EC2F51"/>
    <w:rsid w:val="00EC68AF"/>
    <w:rsid w:val="00EE0649"/>
    <w:rsid w:val="00EE1EDB"/>
    <w:rsid w:val="00EE361C"/>
    <w:rsid w:val="00EE4046"/>
    <w:rsid w:val="00F2363C"/>
    <w:rsid w:val="00F24A17"/>
    <w:rsid w:val="00F302C0"/>
    <w:rsid w:val="00F43E49"/>
    <w:rsid w:val="00F52637"/>
    <w:rsid w:val="00F564E8"/>
    <w:rsid w:val="00F60CB0"/>
    <w:rsid w:val="00F63F9A"/>
    <w:rsid w:val="00F64B7B"/>
    <w:rsid w:val="00F70AFB"/>
    <w:rsid w:val="00F80F28"/>
    <w:rsid w:val="00F948BE"/>
    <w:rsid w:val="00F95625"/>
    <w:rsid w:val="00FA1CC8"/>
    <w:rsid w:val="00FB0B7F"/>
    <w:rsid w:val="00FB257F"/>
    <w:rsid w:val="00FC3AA5"/>
    <w:rsid w:val="00FD0E8F"/>
    <w:rsid w:val="00FD5B42"/>
    <w:rsid w:val="00FE1D3A"/>
    <w:rsid w:val="00FE5728"/>
    <w:rsid w:val="00FE6564"/>
    <w:rsid w:val="00FF0CE1"/>
    <w:rsid w:val="00FF29EA"/>
    <w:rsid w:val="00FF4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CA365EF"/>
  <w15:docId w15:val="{D4279A2C-29D1-49E9-A7BE-670179A5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E12"/>
    <w:rPr>
      <w:sz w:val="24"/>
      <w:szCs w:val="24"/>
      <w:lang w:val="en-US"/>
    </w:rPr>
  </w:style>
  <w:style w:type="paragraph" w:styleId="Heading2">
    <w:name w:val="heading 2"/>
    <w:basedOn w:val="Normal"/>
    <w:link w:val="Heading2Char"/>
    <w:semiHidden/>
    <w:unhideWhenUsed/>
    <w:qFormat/>
    <w:rsid w:val="00607243"/>
    <w:pPr>
      <w:spacing w:before="240" w:after="240"/>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5E90"/>
    <w:rPr>
      <w:rFonts w:ascii="Verdana" w:eastAsia="Times New Roman" w:hAnsi="Verdana"/>
      <w:color w:val="000000"/>
      <w:sz w:val="20"/>
    </w:rPr>
  </w:style>
  <w:style w:type="character" w:customStyle="1" w:styleId="BodyTextChar">
    <w:name w:val="Body Text Char"/>
    <w:link w:val="BodyText"/>
    <w:rsid w:val="003B5E90"/>
    <w:rPr>
      <w:rFonts w:ascii="Verdana" w:eastAsia="Times New Roman" w:hAnsi="Verdana" w:cs="Times New Roman"/>
      <w:color w:val="000000"/>
      <w:sz w:val="20"/>
    </w:rPr>
  </w:style>
  <w:style w:type="paragraph" w:styleId="NormalWeb">
    <w:name w:val="Normal (Web)"/>
    <w:basedOn w:val="Normal"/>
    <w:uiPriority w:val="99"/>
    <w:semiHidden/>
    <w:unhideWhenUsed/>
    <w:rsid w:val="003B0EA3"/>
    <w:pPr>
      <w:spacing w:before="100" w:beforeAutospacing="1" w:after="100" w:afterAutospacing="1"/>
    </w:pPr>
    <w:rPr>
      <w:rFonts w:ascii="Times" w:hAnsi="Times"/>
      <w:sz w:val="20"/>
      <w:szCs w:val="20"/>
      <w:lang w:val="en-CA"/>
    </w:rPr>
  </w:style>
  <w:style w:type="character" w:styleId="Emphasis">
    <w:name w:val="Emphasis"/>
    <w:uiPriority w:val="20"/>
    <w:qFormat/>
    <w:rsid w:val="003B0EA3"/>
    <w:rPr>
      <w:i/>
      <w:iCs/>
    </w:rPr>
  </w:style>
  <w:style w:type="character" w:styleId="Strong">
    <w:name w:val="Strong"/>
    <w:uiPriority w:val="22"/>
    <w:qFormat/>
    <w:rsid w:val="003B0EA3"/>
    <w:rPr>
      <w:b/>
      <w:bCs/>
    </w:rPr>
  </w:style>
  <w:style w:type="paragraph" w:styleId="Header">
    <w:name w:val="header"/>
    <w:basedOn w:val="Normal"/>
    <w:link w:val="HeaderChar"/>
    <w:uiPriority w:val="99"/>
    <w:unhideWhenUsed/>
    <w:rsid w:val="00A62F76"/>
    <w:pPr>
      <w:tabs>
        <w:tab w:val="center" w:pos="4320"/>
        <w:tab w:val="right" w:pos="8640"/>
      </w:tabs>
    </w:pPr>
  </w:style>
  <w:style w:type="character" w:customStyle="1" w:styleId="HeaderChar">
    <w:name w:val="Header Char"/>
    <w:basedOn w:val="DefaultParagraphFont"/>
    <w:link w:val="Header"/>
    <w:uiPriority w:val="99"/>
    <w:rsid w:val="00A62F76"/>
  </w:style>
  <w:style w:type="paragraph" w:styleId="Footer">
    <w:name w:val="footer"/>
    <w:basedOn w:val="Normal"/>
    <w:link w:val="FooterChar"/>
    <w:uiPriority w:val="99"/>
    <w:unhideWhenUsed/>
    <w:rsid w:val="00A62F76"/>
    <w:pPr>
      <w:tabs>
        <w:tab w:val="center" w:pos="4320"/>
        <w:tab w:val="right" w:pos="8640"/>
      </w:tabs>
    </w:pPr>
  </w:style>
  <w:style w:type="character" w:customStyle="1" w:styleId="FooterChar">
    <w:name w:val="Footer Char"/>
    <w:basedOn w:val="DefaultParagraphFont"/>
    <w:link w:val="Footer"/>
    <w:uiPriority w:val="99"/>
    <w:rsid w:val="00A62F76"/>
  </w:style>
  <w:style w:type="character" w:styleId="Hyperlink">
    <w:name w:val="Hyperlink"/>
    <w:uiPriority w:val="99"/>
    <w:unhideWhenUsed/>
    <w:rsid w:val="00BF0F58"/>
    <w:rPr>
      <w:color w:val="0000FF"/>
      <w:u w:val="single"/>
    </w:rPr>
  </w:style>
  <w:style w:type="character" w:styleId="PageNumber">
    <w:name w:val="page number"/>
    <w:basedOn w:val="DefaultParagraphFont"/>
    <w:uiPriority w:val="99"/>
    <w:semiHidden/>
    <w:unhideWhenUsed/>
    <w:rsid w:val="00CA0FF4"/>
  </w:style>
  <w:style w:type="character" w:customStyle="1" w:styleId="Heading2Char">
    <w:name w:val="Heading 2 Char"/>
    <w:link w:val="Heading2"/>
    <w:semiHidden/>
    <w:rsid w:val="00607243"/>
    <w:rPr>
      <w:rFonts w:ascii="Arial" w:eastAsia="Times New Roman" w:hAnsi="Arial" w:cs="Arial"/>
      <w:b/>
      <w:bCs/>
      <w:sz w:val="36"/>
      <w:szCs w:val="36"/>
    </w:rPr>
  </w:style>
  <w:style w:type="table" w:styleId="TableGrid">
    <w:name w:val="Table Grid"/>
    <w:basedOn w:val="TableNormal"/>
    <w:uiPriority w:val="59"/>
    <w:rsid w:val="00D6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D3A"/>
    <w:rPr>
      <w:rFonts w:ascii="Times New Roman" w:hAnsi="Times New Roman"/>
      <w:sz w:val="18"/>
      <w:szCs w:val="18"/>
    </w:rPr>
  </w:style>
  <w:style w:type="character" w:customStyle="1" w:styleId="BalloonTextChar">
    <w:name w:val="Balloon Text Char"/>
    <w:link w:val="BalloonText"/>
    <w:uiPriority w:val="99"/>
    <w:semiHidden/>
    <w:rsid w:val="00AA2D3A"/>
    <w:rPr>
      <w:rFonts w:ascii="Times New Roman" w:hAnsi="Times New Roman" w:cs="Times New Roman"/>
      <w:sz w:val="18"/>
      <w:szCs w:val="18"/>
    </w:rPr>
  </w:style>
  <w:style w:type="paragraph" w:customStyle="1" w:styleId="Body">
    <w:name w:val="Body"/>
    <w:rsid w:val="00B93BE6"/>
    <w:rPr>
      <w:rFonts w:ascii="Helvetica" w:eastAsia="ヒラギノ角ゴ Pro W3" w:hAnsi="Helvetica"/>
      <w:color w:val="000000"/>
      <w:sz w:val="24"/>
      <w:lang w:val="en-US" w:eastAsia="en-CA"/>
    </w:rPr>
  </w:style>
  <w:style w:type="paragraph" w:styleId="ListParagraph">
    <w:name w:val="List Paragraph"/>
    <w:basedOn w:val="Normal"/>
    <w:uiPriority w:val="34"/>
    <w:qFormat/>
    <w:rsid w:val="00467446"/>
    <w:pPr>
      <w:ind w:left="720"/>
      <w:contextualSpacing/>
    </w:pPr>
  </w:style>
  <w:style w:type="character" w:customStyle="1" w:styleId="kwhighlight">
    <w:name w:val="kwhighlight"/>
    <w:basedOn w:val="DefaultParagraphFont"/>
    <w:rsid w:val="00CC4E2A"/>
  </w:style>
  <w:style w:type="paragraph" w:customStyle="1" w:styleId="Default">
    <w:name w:val="Default"/>
    <w:rsid w:val="00140DEF"/>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8254">
      <w:bodyDiv w:val="1"/>
      <w:marLeft w:val="0"/>
      <w:marRight w:val="0"/>
      <w:marTop w:val="0"/>
      <w:marBottom w:val="0"/>
      <w:divBdr>
        <w:top w:val="none" w:sz="0" w:space="0" w:color="auto"/>
        <w:left w:val="none" w:sz="0" w:space="0" w:color="auto"/>
        <w:bottom w:val="none" w:sz="0" w:space="0" w:color="auto"/>
        <w:right w:val="none" w:sz="0" w:space="0" w:color="auto"/>
      </w:divBdr>
    </w:div>
    <w:div w:id="733509406">
      <w:bodyDiv w:val="1"/>
      <w:marLeft w:val="0"/>
      <w:marRight w:val="0"/>
      <w:marTop w:val="0"/>
      <w:marBottom w:val="0"/>
      <w:divBdr>
        <w:top w:val="none" w:sz="0" w:space="0" w:color="auto"/>
        <w:left w:val="none" w:sz="0" w:space="0" w:color="auto"/>
        <w:bottom w:val="none" w:sz="0" w:space="0" w:color="auto"/>
        <w:right w:val="none" w:sz="0" w:space="0" w:color="auto"/>
      </w:divBdr>
    </w:div>
    <w:div w:id="917253928">
      <w:bodyDiv w:val="1"/>
      <w:marLeft w:val="0"/>
      <w:marRight w:val="0"/>
      <w:marTop w:val="0"/>
      <w:marBottom w:val="0"/>
      <w:divBdr>
        <w:top w:val="none" w:sz="0" w:space="0" w:color="auto"/>
        <w:left w:val="none" w:sz="0" w:space="0" w:color="auto"/>
        <w:bottom w:val="none" w:sz="0" w:space="0" w:color="auto"/>
        <w:right w:val="none" w:sz="0" w:space="0" w:color="auto"/>
      </w:divBdr>
    </w:div>
    <w:div w:id="945427794">
      <w:bodyDiv w:val="1"/>
      <w:marLeft w:val="0"/>
      <w:marRight w:val="0"/>
      <w:marTop w:val="0"/>
      <w:marBottom w:val="0"/>
      <w:divBdr>
        <w:top w:val="none" w:sz="0" w:space="0" w:color="auto"/>
        <w:left w:val="none" w:sz="0" w:space="0" w:color="auto"/>
        <w:bottom w:val="none" w:sz="0" w:space="0" w:color="auto"/>
        <w:right w:val="none" w:sz="0" w:space="0" w:color="auto"/>
      </w:divBdr>
    </w:div>
    <w:div w:id="1230920437">
      <w:bodyDiv w:val="1"/>
      <w:marLeft w:val="0"/>
      <w:marRight w:val="0"/>
      <w:marTop w:val="0"/>
      <w:marBottom w:val="0"/>
      <w:divBdr>
        <w:top w:val="none" w:sz="0" w:space="0" w:color="auto"/>
        <w:left w:val="none" w:sz="0" w:space="0" w:color="auto"/>
        <w:bottom w:val="none" w:sz="0" w:space="0" w:color="auto"/>
        <w:right w:val="none" w:sz="0" w:space="0" w:color="auto"/>
      </w:divBdr>
    </w:div>
    <w:div w:id="1304233355">
      <w:bodyDiv w:val="1"/>
      <w:marLeft w:val="0"/>
      <w:marRight w:val="0"/>
      <w:marTop w:val="0"/>
      <w:marBottom w:val="0"/>
      <w:divBdr>
        <w:top w:val="none" w:sz="0" w:space="0" w:color="auto"/>
        <w:left w:val="none" w:sz="0" w:space="0" w:color="auto"/>
        <w:bottom w:val="none" w:sz="0" w:space="0" w:color="auto"/>
        <w:right w:val="none" w:sz="0" w:space="0" w:color="auto"/>
      </w:divBdr>
    </w:div>
    <w:div w:id="1582831010">
      <w:bodyDiv w:val="1"/>
      <w:marLeft w:val="0"/>
      <w:marRight w:val="0"/>
      <w:marTop w:val="0"/>
      <w:marBottom w:val="0"/>
      <w:divBdr>
        <w:top w:val="none" w:sz="0" w:space="0" w:color="auto"/>
        <w:left w:val="none" w:sz="0" w:space="0" w:color="auto"/>
        <w:bottom w:val="none" w:sz="0" w:space="0" w:color="auto"/>
        <w:right w:val="none" w:sz="0" w:space="0" w:color="auto"/>
      </w:divBdr>
      <w:divsChild>
        <w:div w:id="1369571697">
          <w:marLeft w:val="0"/>
          <w:marRight w:val="0"/>
          <w:marTop w:val="0"/>
          <w:marBottom w:val="0"/>
          <w:divBdr>
            <w:top w:val="none" w:sz="0" w:space="0" w:color="auto"/>
            <w:left w:val="none" w:sz="0" w:space="0" w:color="auto"/>
            <w:bottom w:val="none" w:sz="0" w:space="0" w:color="auto"/>
            <w:right w:val="none" w:sz="0" w:space="0" w:color="auto"/>
          </w:divBdr>
        </w:div>
      </w:divsChild>
    </w:div>
    <w:div w:id="1755977199">
      <w:bodyDiv w:val="1"/>
      <w:marLeft w:val="0"/>
      <w:marRight w:val="0"/>
      <w:marTop w:val="0"/>
      <w:marBottom w:val="0"/>
      <w:divBdr>
        <w:top w:val="none" w:sz="0" w:space="0" w:color="auto"/>
        <w:left w:val="none" w:sz="0" w:space="0" w:color="auto"/>
        <w:bottom w:val="none" w:sz="0" w:space="0" w:color="auto"/>
        <w:right w:val="none" w:sz="0" w:space="0" w:color="auto"/>
      </w:divBdr>
      <w:divsChild>
        <w:div w:id="222523536">
          <w:marLeft w:val="547"/>
          <w:marRight w:val="0"/>
          <w:marTop w:val="115"/>
          <w:marBottom w:val="0"/>
          <w:divBdr>
            <w:top w:val="none" w:sz="0" w:space="0" w:color="auto"/>
            <w:left w:val="none" w:sz="0" w:space="0" w:color="auto"/>
            <w:bottom w:val="none" w:sz="0" w:space="0" w:color="auto"/>
            <w:right w:val="none" w:sz="0" w:space="0" w:color="auto"/>
          </w:divBdr>
        </w:div>
      </w:divsChild>
    </w:div>
    <w:div w:id="1973367285">
      <w:bodyDiv w:val="1"/>
      <w:marLeft w:val="0"/>
      <w:marRight w:val="0"/>
      <w:marTop w:val="0"/>
      <w:marBottom w:val="0"/>
      <w:divBdr>
        <w:top w:val="none" w:sz="0" w:space="0" w:color="auto"/>
        <w:left w:val="none" w:sz="0" w:space="0" w:color="auto"/>
        <w:bottom w:val="none" w:sz="0" w:space="0" w:color="auto"/>
        <w:right w:val="none" w:sz="0" w:space="0" w:color="auto"/>
      </w:divBdr>
    </w:div>
    <w:div w:id="2062705110">
      <w:bodyDiv w:val="1"/>
      <w:marLeft w:val="0"/>
      <w:marRight w:val="0"/>
      <w:marTop w:val="0"/>
      <w:marBottom w:val="0"/>
      <w:divBdr>
        <w:top w:val="none" w:sz="0" w:space="0" w:color="auto"/>
        <w:left w:val="none" w:sz="0" w:space="0" w:color="auto"/>
        <w:bottom w:val="none" w:sz="0" w:space="0" w:color="auto"/>
        <w:right w:val="none" w:sz="0" w:space="0" w:color="auto"/>
      </w:divBdr>
    </w:div>
    <w:div w:id="2142919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Links>
    <vt:vector size="12" baseType="variant">
      <vt:variant>
        <vt:i4>7405616</vt:i4>
      </vt:variant>
      <vt:variant>
        <vt:i4>3</vt:i4>
      </vt:variant>
      <vt:variant>
        <vt:i4>0</vt:i4>
      </vt:variant>
      <vt:variant>
        <vt:i4>5</vt:i4>
      </vt:variant>
      <vt:variant>
        <vt:lpwstr>http://www.canplats.ca/</vt:lpwstr>
      </vt:variant>
      <vt:variant>
        <vt:lpwstr/>
      </vt:variant>
      <vt:variant>
        <vt:i4>7405616</vt:i4>
      </vt:variant>
      <vt:variant>
        <vt:i4>0</vt:i4>
      </vt:variant>
      <vt:variant>
        <vt:i4>0</vt:i4>
      </vt:variant>
      <vt:variant>
        <vt:i4>5</vt:i4>
      </vt:variant>
      <vt:variant>
        <vt:lpwstr>http://www.canplats.ca/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Billingsley</dc:creator>
  <cp:keywords/>
  <cp:lastModifiedBy>David Heighington</cp:lastModifiedBy>
  <cp:revision>13</cp:revision>
  <cp:lastPrinted>2018-05-30T21:03:00Z</cp:lastPrinted>
  <dcterms:created xsi:type="dcterms:W3CDTF">2018-05-30T20:15:00Z</dcterms:created>
  <dcterms:modified xsi:type="dcterms:W3CDTF">2020-04-14T20:13:00Z</dcterms:modified>
</cp:coreProperties>
</file>