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88A80" w14:textId="7F7805B4" w:rsidR="006B1925" w:rsidRDefault="00A35ADA">
      <w:pPr>
        <w:jc w:val="center"/>
        <w:rPr>
          <w:rFonts w:ascii="Georgia" w:eastAsia="Georgia" w:hAnsi="Georgia" w:cs="Georgia"/>
          <w:b/>
          <w:sz w:val="36"/>
          <w:szCs w:val="36"/>
        </w:rPr>
      </w:pPr>
      <w:r>
        <w:rPr>
          <w:rFonts w:ascii="Georgia" w:eastAsia="Georgia" w:hAnsi="Georgia" w:cs="Georgia"/>
          <w:b/>
          <w:sz w:val="36"/>
          <w:szCs w:val="36"/>
        </w:rPr>
        <w:t xml:space="preserve">Trulieve </w:t>
      </w:r>
      <w:r w:rsidR="005003BC">
        <w:rPr>
          <w:rFonts w:ascii="Georgia" w:eastAsia="Georgia" w:hAnsi="Georgia" w:cs="Georgia"/>
          <w:b/>
          <w:sz w:val="36"/>
          <w:szCs w:val="36"/>
        </w:rPr>
        <w:t xml:space="preserve">to </w:t>
      </w:r>
      <w:r>
        <w:rPr>
          <w:rFonts w:ascii="Georgia" w:eastAsia="Georgia" w:hAnsi="Georgia" w:cs="Georgia"/>
          <w:b/>
          <w:sz w:val="36"/>
          <w:szCs w:val="36"/>
        </w:rPr>
        <w:t>Transition to Domestic Issuer Status in United States</w:t>
      </w:r>
      <w:r w:rsidR="005003BC">
        <w:rPr>
          <w:rFonts w:ascii="Georgia" w:eastAsia="Georgia" w:hAnsi="Georgia" w:cs="Georgia"/>
          <w:b/>
          <w:sz w:val="36"/>
          <w:szCs w:val="36"/>
        </w:rPr>
        <w:t xml:space="preserve"> Effective January 1, </w:t>
      </w:r>
      <w:r w:rsidR="00577A44">
        <w:rPr>
          <w:rFonts w:ascii="Georgia" w:eastAsia="Georgia" w:hAnsi="Georgia" w:cs="Georgia"/>
          <w:b/>
          <w:sz w:val="36"/>
          <w:szCs w:val="36"/>
        </w:rPr>
        <w:t>202</w:t>
      </w:r>
      <w:r w:rsidR="00577A44">
        <w:rPr>
          <w:rFonts w:ascii="Georgia" w:eastAsia="Georgia" w:hAnsi="Georgia" w:cs="Georgia"/>
          <w:b/>
          <w:sz w:val="36"/>
          <w:szCs w:val="36"/>
        </w:rPr>
        <w:t>1</w:t>
      </w:r>
    </w:p>
    <w:p w14:paraId="0E6639C7" w14:textId="77777777" w:rsidR="006B1925" w:rsidRDefault="006B1925">
      <w:pPr>
        <w:rPr>
          <w:i/>
          <w:sz w:val="22"/>
          <w:szCs w:val="22"/>
        </w:rPr>
      </w:pPr>
    </w:p>
    <w:p w14:paraId="02C342A4" w14:textId="3A7FBA1C" w:rsidR="006B1925" w:rsidRDefault="00A35ADA">
      <w:pPr>
        <w:autoSpaceDE w:val="0"/>
        <w:autoSpaceDN w:val="0"/>
        <w:adjustRightInd w:val="0"/>
        <w:rPr>
          <w:sz w:val="22"/>
          <w:szCs w:val="22"/>
        </w:rPr>
      </w:pPr>
      <w:r>
        <w:rPr>
          <w:b/>
          <w:sz w:val="22"/>
          <w:szCs w:val="22"/>
        </w:rPr>
        <w:t xml:space="preserve">TALLAHASSEE, FLORIDA, JULY </w:t>
      </w:r>
      <w:r w:rsidR="00577A44">
        <w:rPr>
          <w:b/>
          <w:sz w:val="22"/>
          <w:szCs w:val="22"/>
        </w:rPr>
        <w:t>14</w:t>
      </w:r>
      <w:r>
        <w:rPr>
          <w:b/>
          <w:sz w:val="22"/>
          <w:szCs w:val="22"/>
        </w:rPr>
        <w:t>, 2020</w:t>
      </w:r>
      <w:r>
        <w:rPr>
          <w:sz w:val="22"/>
          <w:szCs w:val="22"/>
        </w:rPr>
        <w:t xml:space="preserve"> – Trulieve Cannabis Corp. (CSE: TRUL &amp; OTCQX: TCNNF) (“Trulieve” or “the Company”), a leading and top-performing cannabis company based in the United States, today announced that since more than 50% of the Company’s issued and outstanding subordinate voting shares were directly or indirectly owned by shareholders of record domiciled in the United States on June 30, 2020</w:t>
      </w:r>
      <w:r>
        <w:rPr>
          <w:b/>
          <w:bCs/>
          <w:sz w:val="22"/>
          <w:szCs w:val="22"/>
        </w:rPr>
        <w:t xml:space="preserve">, </w:t>
      </w:r>
      <w:r>
        <w:rPr>
          <w:sz w:val="22"/>
          <w:szCs w:val="22"/>
        </w:rPr>
        <w:t>Trulieve no longer meets the definition of a “foreign private issuer” under United States securities laws.</w:t>
      </w:r>
    </w:p>
    <w:p w14:paraId="17E03BA9" w14:textId="77777777" w:rsidR="006B1925" w:rsidRDefault="006B1925">
      <w:pPr>
        <w:rPr>
          <w:sz w:val="22"/>
          <w:szCs w:val="22"/>
        </w:rPr>
      </w:pPr>
    </w:p>
    <w:p w14:paraId="105D9113" w14:textId="78845B8B" w:rsidR="006B1925" w:rsidRDefault="00A35ADA">
      <w:pPr>
        <w:autoSpaceDE w:val="0"/>
        <w:autoSpaceDN w:val="0"/>
        <w:adjustRightInd w:val="0"/>
        <w:rPr>
          <w:sz w:val="22"/>
          <w:szCs w:val="22"/>
        </w:rPr>
      </w:pPr>
      <w:r>
        <w:rPr>
          <w:sz w:val="22"/>
          <w:szCs w:val="22"/>
        </w:rPr>
        <w:t xml:space="preserve">As a result, the Company will </w:t>
      </w:r>
      <w:r w:rsidR="005003BC">
        <w:rPr>
          <w:sz w:val="22"/>
          <w:szCs w:val="22"/>
        </w:rPr>
        <w:t xml:space="preserve">be deemed </w:t>
      </w:r>
      <w:r>
        <w:rPr>
          <w:sz w:val="22"/>
          <w:szCs w:val="22"/>
        </w:rPr>
        <w:t xml:space="preserve">a U.S. domestic issuer under United States securities laws and will be subject to SEC reporting requirements applicable to U.S. domestic companies </w:t>
      </w:r>
      <w:r w:rsidR="00DA0C65">
        <w:rPr>
          <w:sz w:val="22"/>
          <w:szCs w:val="22"/>
        </w:rPr>
        <w:t>no later than</w:t>
      </w:r>
      <w:r>
        <w:rPr>
          <w:sz w:val="22"/>
          <w:szCs w:val="22"/>
        </w:rPr>
        <w:t xml:space="preserve"> January 1, 2021. These U.S. reporting requirements will require Trulieve’s financial statements and financial data to be presented under U.S. GAAP. </w:t>
      </w:r>
      <w:r w:rsidR="00D065E8">
        <w:rPr>
          <w:bCs/>
          <w:sz w:val="22"/>
          <w:szCs w:val="22"/>
        </w:rPr>
        <w:t>Trulieve anticipated</w:t>
      </w:r>
      <w:r w:rsidR="00F47496" w:rsidRPr="000F4E05">
        <w:rPr>
          <w:sz w:val="22"/>
          <w:szCs w:val="22"/>
        </w:rPr>
        <w:t xml:space="preserve"> this </w:t>
      </w:r>
      <w:r w:rsidR="000F4E05" w:rsidRPr="000F4E05">
        <w:rPr>
          <w:sz w:val="22"/>
          <w:szCs w:val="22"/>
        </w:rPr>
        <w:t xml:space="preserve">reporting change </w:t>
      </w:r>
      <w:r w:rsidR="00D065E8">
        <w:rPr>
          <w:sz w:val="22"/>
          <w:szCs w:val="22"/>
        </w:rPr>
        <w:t>and</w:t>
      </w:r>
      <w:r w:rsidR="00F47496" w:rsidRPr="000F4E05">
        <w:rPr>
          <w:sz w:val="22"/>
          <w:szCs w:val="22"/>
        </w:rPr>
        <w:t xml:space="preserve"> </w:t>
      </w:r>
      <w:r w:rsidR="002076E7">
        <w:rPr>
          <w:sz w:val="22"/>
          <w:szCs w:val="22"/>
        </w:rPr>
        <w:t xml:space="preserve">has </w:t>
      </w:r>
      <w:r w:rsidR="00101BAC">
        <w:rPr>
          <w:sz w:val="22"/>
          <w:szCs w:val="22"/>
        </w:rPr>
        <w:t>an established</w:t>
      </w:r>
      <w:r w:rsidR="008C4B9B">
        <w:rPr>
          <w:sz w:val="22"/>
          <w:szCs w:val="22"/>
        </w:rPr>
        <w:t xml:space="preserve"> task force of internal and external resources </w:t>
      </w:r>
      <w:r w:rsidR="00594FEF">
        <w:rPr>
          <w:sz w:val="22"/>
          <w:szCs w:val="22"/>
        </w:rPr>
        <w:t xml:space="preserve">in place </w:t>
      </w:r>
      <w:r w:rsidR="00F62BF9">
        <w:rPr>
          <w:sz w:val="22"/>
          <w:szCs w:val="22"/>
        </w:rPr>
        <w:t>to manage the transition.</w:t>
      </w:r>
    </w:p>
    <w:p w14:paraId="709345BD" w14:textId="77777777" w:rsidR="006B1925" w:rsidRDefault="006B1925">
      <w:pPr>
        <w:autoSpaceDE w:val="0"/>
        <w:autoSpaceDN w:val="0"/>
        <w:adjustRightInd w:val="0"/>
        <w:rPr>
          <w:sz w:val="22"/>
          <w:szCs w:val="22"/>
        </w:rPr>
      </w:pPr>
    </w:p>
    <w:p w14:paraId="5CE75A92" w14:textId="11DF7E0D" w:rsidR="006B1925" w:rsidRDefault="002D0031">
      <w:pPr>
        <w:rPr>
          <w:sz w:val="22"/>
          <w:szCs w:val="22"/>
        </w:rPr>
      </w:pPr>
      <w:r w:rsidRPr="008D5183">
        <w:rPr>
          <w:bCs/>
          <w:sz w:val="22"/>
          <w:szCs w:val="22"/>
        </w:rPr>
        <w:t xml:space="preserve">Although the Company will become a U.S. registrant with the SEC, it will continue to be a </w:t>
      </w:r>
      <w:r>
        <w:rPr>
          <w:bCs/>
          <w:sz w:val="22"/>
          <w:szCs w:val="22"/>
        </w:rPr>
        <w:t>British Columbia</w:t>
      </w:r>
      <w:r w:rsidRPr="008D5183">
        <w:rPr>
          <w:bCs/>
          <w:sz w:val="22"/>
          <w:szCs w:val="22"/>
        </w:rPr>
        <w:t xml:space="preserve"> corporation.</w:t>
      </w:r>
      <w:r>
        <w:rPr>
          <w:bCs/>
          <w:sz w:val="22"/>
          <w:szCs w:val="22"/>
        </w:rPr>
        <w:t xml:space="preserve"> </w:t>
      </w:r>
      <w:r w:rsidR="00DA0C65">
        <w:rPr>
          <w:sz w:val="22"/>
          <w:szCs w:val="22"/>
        </w:rPr>
        <w:t xml:space="preserve">Other than officers, directors and 5% or more owners, </w:t>
      </w:r>
      <w:r w:rsidR="00A35ADA">
        <w:rPr>
          <w:sz w:val="22"/>
          <w:szCs w:val="22"/>
        </w:rPr>
        <w:t xml:space="preserve">Trulieve’s shareholders are not required to take any action </w:t>
      </w:r>
      <w:proofErr w:type="gramStart"/>
      <w:r w:rsidR="00A35ADA">
        <w:rPr>
          <w:sz w:val="22"/>
          <w:szCs w:val="22"/>
        </w:rPr>
        <w:t>as a result of</w:t>
      </w:r>
      <w:proofErr w:type="gramEnd"/>
      <w:r w:rsidR="00A35ADA">
        <w:rPr>
          <w:sz w:val="22"/>
          <w:szCs w:val="22"/>
        </w:rPr>
        <w:t xml:space="preserve"> the Company’s transition to U.S. domestic issuer status. Trulieve’s subordinate voting shares, warrants and 9.75% senior secured notes will continue to be listed on the Canadian Securities Exchange under the symbol “TRUL”, “TRUL.WT” and “</w:t>
      </w:r>
      <w:proofErr w:type="gramStart"/>
      <w:r w:rsidR="00A35ADA">
        <w:rPr>
          <w:sz w:val="22"/>
          <w:szCs w:val="22"/>
        </w:rPr>
        <w:t>TRUL.DB.U</w:t>
      </w:r>
      <w:proofErr w:type="gramEnd"/>
      <w:r w:rsidR="00A35ADA">
        <w:rPr>
          <w:sz w:val="22"/>
          <w:szCs w:val="22"/>
        </w:rPr>
        <w:t>”, respectively.</w:t>
      </w:r>
    </w:p>
    <w:p w14:paraId="328A7712" w14:textId="77777777" w:rsidR="006B1925" w:rsidRDefault="006B1925">
      <w:pPr>
        <w:rPr>
          <w:sz w:val="22"/>
          <w:szCs w:val="22"/>
        </w:rPr>
      </w:pPr>
    </w:p>
    <w:p w14:paraId="0506B3D3" w14:textId="5969577C" w:rsidR="006B1925" w:rsidRDefault="00A35ADA">
      <w:pPr>
        <w:rPr>
          <w:sz w:val="22"/>
          <w:szCs w:val="22"/>
        </w:rPr>
      </w:pPr>
      <w:r>
        <w:rPr>
          <w:b/>
          <w:sz w:val="22"/>
          <w:szCs w:val="22"/>
        </w:rPr>
        <w:t>About Trulieve </w:t>
      </w:r>
      <w:r>
        <w:rPr>
          <w:b/>
          <w:sz w:val="22"/>
          <w:szCs w:val="22"/>
        </w:rPr>
        <w:br/>
      </w:r>
      <w:proofErr w:type="spellStart"/>
      <w:r>
        <w:rPr>
          <w:sz w:val="22"/>
          <w:szCs w:val="22"/>
        </w:rPr>
        <w:t>Trulieve</w:t>
      </w:r>
      <w:proofErr w:type="spellEnd"/>
      <w:r>
        <w:rPr>
          <w:sz w:val="22"/>
          <w:szCs w:val="22"/>
        </w:rPr>
        <w:t xml:space="preserve"> is a vertically integrated “seed-to-sale” company and is the first and largest fully licensed medical cannabis company in the State of Florida. Trulieve cultivates and produces </w:t>
      </w:r>
      <w:proofErr w:type="gramStart"/>
      <w:r>
        <w:rPr>
          <w:sz w:val="22"/>
          <w:szCs w:val="22"/>
        </w:rPr>
        <w:t>all of</w:t>
      </w:r>
      <w:proofErr w:type="gramEnd"/>
      <w:r>
        <w:rPr>
          <w:sz w:val="22"/>
          <w:szCs w:val="22"/>
        </w:rPr>
        <w:t xml:space="preserve"> its products in-house and distributes those products to Trulieve-branded stores (dispensaries) throughout the State of Florida, as well as directly to patients via home delivery. Trulieve also operates in California, Massachusetts, and Connecticut. Trulieve’s subordinate voting shares are listed on the Canadian Securities Exchange under the symbol “</w:t>
      </w:r>
      <w:r w:rsidRPr="008D5183">
        <w:rPr>
          <w:sz w:val="22"/>
          <w:szCs w:val="22"/>
        </w:rPr>
        <w:t>TRUL</w:t>
      </w:r>
      <w:r>
        <w:rPr>
          <w:sz w:val="22"/>
          <w:szCs w:val="22"/>
        </w:rPr>
        <w:t>”</w:t>
      </w:r>
      <w:r>
        <w:rPr>
          <w:b/>
          <w:sz w:val="22"/>
          <w:szCs w:val="22"/>
        </w:rPr>
        <w:t xml:space="preserve"> </w:t>
      </w:r>
      <w:r>
        <w:rPr>
          <w:sz w:val="22"/>
          <w:szCs w:val="22"/>
        </w:rPr>
        <w:t>and trade on the OTCQX market under the symbol “</w:t>
      </w:r>
      <w:r w:rsidRPr="008D5183">
        <w:rPr>
          <w:sz w:val="22"/>
          <w:szCs w:val="22"/>
        </w:rPr>
        <w:t>TCNNF</w:t>
      </w:r>
      <w:r>
        <w:rPr>
          <w:sz w:val="22"/>
          <w:szCs w:val="22"/>
        </w:rPr>
        <w:t>”</w:t>
      </w:r>
      <w:r>
        <w:rPr>
          <w:b/>
          <w:sz w:val="22"/>
          <w:szCs w:val="22"/>
        </w:rPr>
        <w:t>.</w:t>
      </w:r>
      <w:r>
        <w:rPr>
          <w:sz w:val="22"/>
          <w:szCs w:val="22"/>
        </w:rPr>
        <w:t xml:space="preserve"> </w:t>
      </w:r>
    </w:p>
    <w:p w14:paraId="6D2D67A9" w14:textId="77777777" w:rsidR="006B1925" w:rsidRDefault="006B1925">
      <w:pPr>
        <w:rPr>
          <w:sz w:val="22"/>
          <w:szCs w:val="22"/>
        </w:rPr>
      </w:pPr>
    </w:p>
    <w:p w14:paraId="67B98895" w14:textId="77777777" w:rsidR="006B1925" w:rsidRDefault="00A35ADA">
      <w:pPr>
        <w:rPr>
          <w:sz w:val="22"/>
          <w:szCs w:val="22"/>
        </w:rPr>
      </w:pPr>
      <w:r>
        <w:rPr>
          <w:sz w:val="22"/>
          <w:szCs w:val="22"/>
        </w:rPr>
        <w:t>To learn more about Trulieve, visit </w:t>
      </w:r>
      <w:hyperlink r:id="rId9">
        <w:r>
          <w:rPr>
            <w:b/>
            <w:color w:val="70AD47"/>
            <w:sz w:val="22"/>
            <w:szCs w:val="22"/>
          </w:rPr>
          <w:t>www.Trulieve.com</w:t>
        </w:r>
      </w:hyperlink>
      <w:r>
        <w:rPr>
          <w:sz w:val="22"/>
          <w:szCs w:val="22"/>
        </w:rPr>
        <w:t>.</w:t>
      </w:r>
    </w:p>
    <w:p w14:paraId="53B9A63A" w14:textId="77777777" w:rsidR="006B1925" w:rsidRDefault="006B1925">
      <w:pPr>
        <w:rPr>
          <w:sz w:val="22"/>
          <w:szCs w:val="22"/>
        </w:rPr>
      </w:pPr>
    </w:p>
    <w:p w14:paraId="142AE0B4" w14:textId="77777777" w:rsidR="006B1925" w:rsidRDefault="00A35ADA">
      <w:pPr>
        <w:rPr>
          <w:i/>
          <w:sz w:val="22"/>
          <w:szCs w:val="22"/>
        </w:rPr>
      </w:pPr>
      <w:r>
        <w:rPr>
          <w:i/>
          <w:sz w:val="22"/>
          <w:szCs w:val="22"/>
        </w:rPr>
        <w:t>For further information, please contact:</w:t>
      </w:r>
    </w:p>
    <w:p w14:paraId="43208C5A" w14:textId="111301BB" w:rsidR="008D5183" w:rsidRDefault="00A35ADA">
      <w:pPr>
        <w:rPr>
          <w:sz w:val="22"/>
          <w:szCs w:val="22"/>
        </w:rPr>
      </w:pPr>
      <w:r>
        <w:rPr>
          <w:sz w:val="22"/>
          <w:szCs w:val="22"/>
        </w:rPr>
        <w:t xml:space="preserve">Lynn Ricci, Director of Investor Relations </w:t>
      </w:r>
    </w:p>
    <w:p w14:paraId="0BA2CBFB" w14:textId="77777777" w:rsidR="008D5183" w:rsidRDefault="00A35ADA">
      <w:pPr>
        <w:rPr>
          <w:sz w:val="22"/>
          <w:szCs w:val="22"/>
        </w:rPr>
      </w:pPr>
      <w:r>
        <w:rPr>
          <w:sz w:val="22"/>
          <w:szCs w:val="22"/>
        </w:rPr>
        <w:t>(850) 480-7955</w:t>
      </w:r>
    </w:p>
    <w:p w14:paraId="4BFB26DE" w14:textId="213616B6" w:rsidR="006B1925" w:rsidRDefault="00B70B7D">
      <w:pPr>
        <w:rPr>
          <w:sz w:val="22"/>
          <w:szCs w:val="22"/>
        </w:rPr>
      </w:pPr>
      <w:hyperlink r:id="rId10" w:history="1">
        <w:r w:rsidR="008D5183" w:rsidRPr="00BF77FD">
          <w:rPr>
            <w:rStyle w:val="Hyperlink"/>
            <w:b/>
            <w:sz w:val="22"/>
            <w:szCs w:val="22"/>
          </w:rPr>
          <w:t>IR@trulieve.com</w:t>
        </w:r>
      </w:hyperlink>
      <w:r w:rsidR="00A35ADA">
        <w:rPr>
          <w:sz w:val="22"/>
          <w:szCs w:val="22"/>
        </w:rPr>
        <w:br/>
      </w:r>
    </w:p>
    <w:p w14:paraId="7D0EE571" w14:textId="77777777" w:rsidR="006B1925" w:rsidRDefault="006B1925">
      <w:pPr>
        <w:jc w:val="center"/>
        <w:rPr>
          <w:sz w:val="22"/>
          <w:szCs w:val="22"/>
        </w:rPr>
      </w:pPr>
    </w:p>
    <w:p w14:paraId="3F85153D" w14:textId="77777777" w:rsidR="006B1925" w:rsidRDefault="00A35ADA">
      <w:pPr>
        <w:jc w:val="center"/>
        <w:rPr>
          <w:sz w:val="22"/>
          <w:szCs w:val="22"/>
        </w:rPr>
      </w:pPr>
      <w:r>
        <w:rPr>
          <w:sz w:val="22"/>
          <w:szCs w:val="22"/>
        </w:rPr>
        <w:t>###</w:t>
      </w:r>
    </w:p>
    <w:p w14:paraId="6F8CA24B" w14:textId="77777777" w:rsidR="006B1925" w:rsidRDefault="006B1925">
      <w:pPr>
        <w:rPr>
          <w:sz w:val="22"/>
          <w:szCs w:val="22"/>
        </w:rPr>
      </w:pPr>
    </w:p>
    <w:sectPr w:rsidR="006B1925">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8ADC6" w14:textId="77777777" w:rsidR="009B7CA9" w:rsidRDefault="009B7CA9">
      <w:r>
        <w:separator/>
      </w:r>
    </w:p>
  </w:endnote>
  <w:endnote w:type="continuationSeparator" w:id="0">
    <w:p w14:paraId="080EA5C8" w14:textId="77777777" w:rsidR="009B7CA9" w:rsidRDefault="009B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venir Next Condensed">
    <w:altName w:val="Calibri"/>
    <w:charset w:val="00"/>
    <w:family w:val="swiss"/>
    <w:pitch w:val="variable"/>
    <w:sig w:usb0="8000002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A75E7" w14:textId="77777777" w:rsidR="006B1925" w:rsidRDefault="00A35ADA">
    <w:pPr>
      <w:pBdr>
        <w:top w:val="nil"/>
        <w:left w:val="nil"/>
        <w:bottom w:val="nil"/>
        <w:right w:val="nil"/>
        <w:between w:val="nil"/>
      </w:pBdr>
      <w:tabs>
        <w:tab w:val="right" w:pos="9020"/>
        <w:tab w:val="center" w:pos="4680"/>
        <w:tab w:val="right" w:pos="9360"/>
      </w:tabs>
      <w:spacing w:line="288" w:lineRule="auto"/>
      <w:jc w:val="center"/>
      <w:rPr>
        <w:rFonts w:ascii="Avenir" w:eastAsia="Avenir" w:hAnsi="Avenir" w:cs="Avenir"/>
        <w:color w:val="3F3F3F"/>
      </w:rPr>
    </w:pPr>
    <w:r>
      <w:rPr>
        <w:rFonts w:ascii="Avenir" w:eastAsia="Avenir" w:hAnsi="Avenir" w:cs="Avenir"/>
        <w:noProof/>
        <w:color w:val="3F3F3F"/>
        <w:lang w:val="en-CA" w:eastAsia="en-CA"/>
      </w:rPr>
      <mc:AlternateContent>
        <mc:Choice Requires="wps">
          <w:drawing>
            <wp:inline distT="0" distB="0" distL="0" distR="0" wp14:anchorId="39818CFF" wp14:editId="3A0ADC4B">
              <wp:extent cx="6047888" cy="12700"/>
              <wp:effectExtent l="0" t="0" r="0" b="0"/>
              <wp:docPr id="1" name="Straight Arrow Connector 1"/>
              <wp:cNvGraphicFramePr/>
              <a:graphic xmlns:a="http://schemas.openxmlformats.org/drawingml/2006/main">
                <a:graphicData uri="http://schemas.microsoft.com/office/word/2010/wordprocessingShape">
                  <wps:wsp>
                    <wps:cNvCnPr/>
                    <wps:spPr>
                      <a:xfrm>
                        <a:off x="2322056" y="3780000"/>
                        <a:ext cx="6047888" cy="0"/>
                      </a:xfrm>
                      <a:prstGeom prst="straightConnector1">
                        <a:avLst/>
                      </a:prstGeom>
                      <a:noFill/>
                      <a:ln w="9525" cap="flat" cmpd="sng">
                        <a:solidFill>
                          <a:srgbClr val="63A343"/>
                        </a:solidFill>
                        <a:prstDash val="solid"/>
                        <a:miter lim="400000"/>
                        <a:headEnd type="none" w="sm" len="sm"/>
                        <a:tailEnd type="none" w="sm" len="sm"/>
                      </a:ln>
                    </wps:spPr>
                    <wps:bodyPr/>
                  </wps:wsp>
                </a:graphicData>
              </a:graphic>
            </wp:inline>
          </w:drawing>
        </mc:Choice>
        <mc:Fallback>
          <w:pict>
            <v:shapetype w14:anchorId="508CE33D" id="_x0000_t32" coordsize="21600,21600" o:spt="32" o:oned="t" path="m,l21600,21600e" filled="f">
              <v:path arrowok="t" fillok="f" o:connecttype="none"/>
              <o:lock v:ext="edit" shapetype="t"/>
            </v:shapetype>
            <v:shape id="Straight Arrow Connector 1" o:spid="_x0000_s1026" type="#_x0000_t32" style="width:476.2pt;height:1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" strokecolor="#63a343">
              <v:stroke startarrowwidth="narrow" startarrowlength="short" endarrowwidth="narrow" endarrowlength="short" miterlimit="4" joinstyle="miter"/>
              <w10:anchorlock/>
            </v:shape>
          </w:pict>
        </mc:Fallback>
      </mc:AlternateContent>
    </w:r>
  </w:p>
  <w:p w14:paraId="54B9C6B4" w14:textId="77777777" w:rsidR="006B1925" w:rsidRDefault="00A35ADA">
    <w:pPr>
      <w:pBdr>
        <w:top w:val="nil"/>
        <w:left w:val="nil"/>
        <w:bottom w:val="nil"/>
        <w:right w:val="nil"/>
        <w:between w:val="nil"/>
      </w:pBdr>
      <w:tabs>
        <w:tab w:val="right" w:pos="9020"/>
        <w:tab w:val="center" w:pos="4680"/>
        <w:tab w:val="right" w:pos="9360"/>
      </w:tabs>
      <w:spacing w:line="288" w:lineRule="auto"/>
      <w:jc w:val="center"/>
      <w:rPr>
        <w:rFonts w:ascii="Avenir Next Condensed" w:eastAsia="Avenir" w:hAnsi="Avenir Next Condensed" w:cs="Avenir"/>
        <w:color w:val="3F3F3F"/>
      </w:rPr>
    </w:pPr>
    <w:r>
      <w:rPr>
        <w:rFonts w:ascii="Avenir Next Condensed" w:eastAsia="Avenir" w:hAnsi="Avenir Next Condensed" w:cs="Avenir"/>
        <w:color w:val="3F3F3F"/>
      </w:rPr>
      <w:t xml:space="preserve">6749 Ben Bostic Road, Quincy, Florida 32351 </w:t>
    </w:r>
    <w:r>
      <w:rPr>
        <w:rFonts w:ascii="Avenir Next Condensed" w:eastAsia="Symbol" w:hAnsi="Avenir Next Condensed" w:cs="Symbol"/>
        <w:color w:val="63A343"/>
        <w:sz w:val="24"/>
        <w:szCs w:val="24"/>
      </w:rPr>
      <w:t>∙</w:t>
    </w:r>
    <w:r>
      <w:rPr>
        <w:rFonts w:ascii="Avenir Next Condensed" w:eastAsia="Noto Sans Symbols" w:hAnsi="Avenir Next Condensed" w:cs="Noto Sans Symbols"/>
        <w:color w:val="3F3F3F"/>
        <w:sz w:val="24"/>
        <w:szCs w:val="24"/>
      </w:rPr>
      <w:t xml:space="preserve"> </w:t>
    </w:r>
    <w:r>
      <w:rPr>
        <w:rFonts w:ascii="Avenir Next Condensed" w:eastAsia="Avenir" w:hAnsi="Avenir Next Condensed" w:cs="Avenir"/>
        <w:color w:val="3F3F3F"/>
      </w:rPr>
      <w:t>www.trulieve.com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F73CB" w14:textId="77777777" w:rsidR="009B7CA9" w:rsidRDefault="009B7CA9">
      <w:r>
        <w:separator/>
      </w:r>
    </w:p>
  </w:footnote>
  <w:footnote w:type="continuationSeparator" w:id="0">
    <w:p w14:paraId="72F34EF6" w14:textId="77777777" w:rsidR="009B7CA9" w:rsidRDefault="009B7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C53DD" w14:textId="77777777" w:rsidR="006B1925" w:rsidRDefault="00A35ADA">
    <w:pPr>
      <w:pBdr>
        <w:top w:val="nil"/>
        <w:left w:val="nil"/>
        <w:bottom w:val="nil"/>
        <w:right w:val="nil"/>
        <w:between w:val="nil"/>
      </w:pBdr>
      <w:tabs>
        <w:tab w:val="center" w:pos="4680"/>
        <w:tab w:val="right" w:pos="9360"/>
      </w:tabs>
      <w:jc w:val="center"/>
      <w:rPr>
        <w:color w:val="000000"/>
      </w:rPr>
    </w:pPr>
    <w:r>
      <w:rPr>
        <w:noProof/>
        <w:color w:val="000000"/>
        <w:lang w:val="en-CA" w:eastAsia="en-CA"/>
      </w:rPr>
      <w:drawing>
        <wp:inline distT="0" distB="0" distL="0" distR="0" wp14:anchorId="4CEB6004" wp14:editId="7CCF5875">
          <wp:extent cx="2712720" cy="9144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12720" cy="914400"/>
                  </a:xfrm>
                  <a:prstGeom prst="rect">
                    <a:avLst/>
                  </a:prstGeom>
                  <a:ln/>
                </pic:spPr>
              </pic:pic>
            </a:graphicData>
          </a:graphic>
        </wp:inline>
      </w:drawing>
    </w:r>
  </w:p>
  <w:p w14:paraId="5C39FB28" w14:textId="77777777" w:rsidR="006B1925" w:rsidRDefault="006B1925">
    <w:pPr>
      <w:pBdr>
        <w:top w:val="nil"/>
        <w:left w:val="nil"/>
        <w:bottom w:val="nil"/>
        <w:right w:val="nil"/>
        <w:between w:val="nil"/>
      </w:pBdr>
      <w:tabs>
        <w:tab w:val="center" w:pos="4680"/>
        <w:tab w:val="right" w:pos="9360"/>
      </w:tabs>
      <w:jc w:val="center"/>
      <w:rPr>
        <w:color w:val="000000"/>
      </w:rPr>
    </w:pPr>
  </w:p>
  <w:p w14:paraId="37651E60" w14:textId="77777777" w:rsidR="006B1925" w:rsidRDefault="006B1925">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25"/>
    <w:rsid w:val="00023820"/>
    <w:rsid w:val="000F4E05"/>
    <w:rsid w:val="00101BAC"/>
    <w:rsid w:val="001C70E2"/>
    <w:rsid w:val="002076E7"/>
    <w:rsid w:val="002D0031"/>
    <w:rsid w:val="00323DCA"/>
    <w:rsid w:val="005003BC"/>
    <w:rsid w:val="00574F4C"/>
    <w:rsid w:val="00577A44"/>
    <w:rsid w:val="00594FEF"/>
    <w:rsid w:val="006B1925"/>
    <w:rsid w:val="00722F43"/>
    <w:rsid w:val="007600A5"/>
    <w:rsid w:val="008C4B9B"/>
    <w:rsid w:val="008D5183"/>
    <w:rsid w:val="009B7CA9"/>
    <w:rsid w:val="00A35ADA"/>
    <w:rsid w:val="00A73798"/>
    <w:rsid w:val="00B70B7D"/>
    <w:rsid w:val="00C34937"/>
    <w:rsid w:val="00D065E8"/>
    <w:rsid w:val="00DA0C65"/>
    <w:rsid w:val="00F47496"/>
    <w:rsid w:val="00F6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9AF248"/>
  <w15:docId w15:val="{ADFC5ED5-5D70-CE43-9F49-F04A6DFC0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style>
  <w:style w:type="character" w:customStyle="1" w:styleId="DocID">
    <w:name w:val="DocID"/>
    <w:basedOn w:val="DefaultParagraphFont"/>
    <w:rPr>
      <w:rFonts w:ascii="Arial" w:hAnsi="Arial" w:cs="Arial"/>
      <w:b w:val="0"/>
      <w:i w:val="0"/>
      <w:caps w:val="0"/>
      <w:vanish w:val="0"/>
      <w:color w:val="000000"/>
      <w:sz w:val="14"/>
      <w:szCs w:val="22"/>
      <w:u w:val="none"/>
    </w:rPr>
  </w:style>
  <w:style w:type="character" w:styleId="UnresolvedMention">
    <w:name w:val="Unresolved Mention"/>
    <w:basedOn w:val="DefaultParagraphFont"/>
    <w:uiPriority w:val="99"/>
    <w:semiHidden/>
    <w:unhideWhenUsed/>
    <w:rsid w:val="008D51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R@trulieve.com" TargetMode="External"/><Relationship Id="rId4" Type="http://schemas.openxmlformats.org/officeDocument/2006/relationships/styles" Target="styles.xml"/><Relationship Id="rId9" Type="http://schemas.openxmlformats.org/officeDocument/2006/relationships/hyperlink" Target="http://www.truliev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513334f0-55ef-4e5c-b47f-ac09f68cca3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E7282A70D5D143B8E6935C164AA1A8" ma:contentTypeVersion="15" ma:contentTypeDescription="Create a new document." ma:contentTypeScope="" ma:versionID="143e65dc2e9e665eac92439592695fb5">
  <xsd:schema xmlns:xsd="http://www.w3.org/2001/XMLSchema" xmlns:xs="http://www.w3.org/2001/XMLSchema" xmlns:p="http://schemas.microsoft.com/office/2006/metadata/properties" xmlns:ns1="http://schemas.microsoft.com/sharepoint/v3" xmlns:ns2="c7f00f65-ce19-45e1-8ae7-44c166da5762" xmlns:ns3="513334f0-55ef-4e5c-b47f-ac09f68cca32" targetNamespace="http://schemas.microsoft.com/office/2006/metadata/properties" ma:root="true" ma:fieldsID="b6ffcb823d4720fe579a701b05b09cc8" ns1:_="" ns2:_="" ns3:_="">
    <xsd:import namespace="http://schemas.microsoft.com/sharepoint/v3"/>
    <xsd:import namespace="c7f00f65-ce19-45e1-8ae7-44c166da5762"/>
    <xsd:import namespace="513334f0-55ef-4e5c-b47f-ac09f68cca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_Flow_SignoffStatu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f00f65-ce19-45e1-8ae7-44c166da5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334f0-55ef-4e5c-b47f-ac09f68cca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7BC01-5F6C-4930-BDB0-28B9068735AA}">
  <ds:schemaRefs>
    <ds:schemaRef ds:uri="http://schemas.microsoft.com/sharepoint/v3/contenttype/forms"/>
  </ds:schemaRefs>
</ds:datastoreItem>
</file>

<file path=customXml/itemProps2.xml><?xml version="1.0" encoding="utf-8"?>
<ds:datastoreItem xmlns:ds="http://schemas.openxmlformats.org/officeDocument/2006/customXml" ds:itemID="{5DE62DA6-0C67-41F3-96E2-8CD457331523}">
  <ds:schemaRefs>
    <ds:schemaRef ds:uri="http://purl.org/dc/terms/"/>
    <ds:schemaRef ds:uri="513334f0-55ef-4e5c-b47f-ac09f68cca32"/>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http://purl.org/dc/elements/1.1/"/>
    <ds:schemaRef ds:uri="c7f00f65-ce19-45e1-8ae7-44c166da5762"/>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F6F4A737-9FB2-4ED1-9511-B84D30E75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f00f65-ce19-45e1-8ae7-44c166da5762"/>
    <ds:schemaRef ds:uri="513334f0-55ef-4e5c-b47f-ac09f68c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Ricci</cp:lastModifiedBy>
  <cp:revision>4</cp:revision>
  <dcterms:created xsi:type="dcterms:W3CDTF">2020-07-14T01:49:00Z</dcterms:created>
  <dcterms:modified xsi:type="dcterms:W3CDTF">2020-07-14T01:50:00Z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0x010100B2E7282A70D5D143B8E6935C164AA1A8</vt:lpwstr>
  </property>
</Properties>
</file>