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D702" w14:textId="77777777" w:rsidR="00A04098" w:rsidRDefault="0045017F">
      <w:pPr>
        <w:pStyle w:val="Title"/>
        <w:kinsoku w:val="0"/>
        <w:overflowPunct w:val="0"/>
        <w:spacing w:line="256" w:lineRule="auto"/>
      </w:pPr>
      <w:r>
        <w:t xml:space="preserve">CoinAnalyst </w:t>
      </w:r>
      <w:r w:rsidR="00A04098">
        <w:t xml:space="preserve">to Commence Trading on the </w:t>
      </w:r>
      <w:r w:rsidR="00D11F9F">
        <w:t xml:space="preserve">Frankfurt Stock </w:t>
      </w:r>
      <w:r w:rsidR="00A04098">
        <w:rPr>
          <w:spacing w:val="-61"/>
        </w:rPr>
        <w:t xml:space="preserve"> </w:t>
      </w:r>
      <w:r w:rsidR="00A04098">
        <w:t>Exchange</w:t>
      </w:r>
    </w:p>
    <w:p w14:paraId="0CC25AD2" w14:textId="77777777" w:rsidR="00A04098" w:rsidRDefault="006636CE">
      <w:pPr>
        <w:pStyle w:val="BodyText"/>
        <w:kinsoku w:val="0"/>
        <w:overflowPunct w:val="0"/>
        <w:spacing w:before="163"/>
        <w:ind w:left="391" w:right="390"/>
        <w:jc w:val="center"/>
        <w:rPr>
          <w:i w:val="0"/>
          <w:iCs w:val="0"/>
          <w:sz w:val="22"/>
          <w:szCs w:val="22"/>
        </w:rPr>
      </w:pPr>
      <w:r w:rsidRPr="006636CE">
        <w:rPr>
          <w:i w:val="0"/>
          <w:iCs w:val="0"/>
          <w:sz w:val="22"/>
          <w:szCs w:val="22"/>
        </w:rPr>
        <w:t xml:space="preserve">CoinAnalyst’s common shares have been accepted for listing on the Frankfurt Stock Exchange under the trading symbol </w:t>
      </w:r>
      <w:r>
        <w:rPr>
          <w:i w:val="0"/>
          <w:iCs w:val="0"/>
          <w:sz w:val="22"/>
          <w:szCs w:val="22"/>
        </w:rPr>
        <w:t>“</w:t>
      </w:r>
      <w:r w:rsidRPr="006636CE">
        <w:rPr>
          <w:i w:val="0"/>
          <w:iCs w:val="0"/>
          <w:sz w:val="22"/>
          <w:szCs w:val="22"/>
        </w:rPr>
        <w:t>1EO</w:t>
      </w:r>
      <w:r w:rsidR="00A04098">
        <w:rPr>
          <w:i w:val="0"/>
          <w:iCs w:val="0"/>
          <w:sz w:val="22"/>
          <w:szCs w:val="22"/>
        </w:rPr>
        <w:t>”</w:t>
      </w:r>
    </w:p>
    <w:p w14:paraId="1722DDC5" w14:textId="77777777" w:rsidR="00A04098" w:rsidRDefault="00B73F2A">
      <w:pPr>
        <w:pStyle w:val="BodyText"/>
        <w:kinsoku w:val="0"/>
        <w:overflowPunct w:val="0"/>
        <w:spacing w:before="181" w:line="259" w:lineRule="auto"/>
        <w:ind w:left="119" w:right="116"/>
        <w:jc w:val="both"/>
        <w:rPr>
          <w:i w:val="0"/>
          <w:iCs w:val="0"/>
          <w:sz w:val="24"/>
          <w:szCs w:val="24"/>
        </w:rPr>
      </w:pPr>
      <w:r>
        <w:rPr>
          <w:b/>
          <w:bCs/>
          <w:i w:val="0"/>
          <w:iCs w:val="0"/>
          <w:sz w:val="22"/>
          <w:szCs w:val="22"/>
        </w:rPr>
        <w:t>TORONTO</w:t>
      </w:r>
      <w:r w:rsidR="0073360C">
        <w:rPr>
          <w:b/>
          <w:bCs/>
          <w:i w:val="0"/>
          <w:iCs w:val="0"/>
          <w:sz w:val="22"/>
          <w:szCs w:val="22"/>
        </w:rPr>
        <w:t>,</w:t>
      </w:r>
      <w:r w:rsidR="0045017F">
        <w:rPr>
          <w:b/>
          <w:bCs/>
          <w:i w:val="0"/>
          <w:iCs w:val="0"/>
          <w:sz w:val="22"/>
          <w:szCs w:val="22"/>
        </w:rPr>
        <w:t xml:space="preserve"> </w:t>
      </w:r>
      <w:r>
        <w:rPr>
          <w:b/>
          <w:bCs/>
          <w:i w:val="0"/>
          <w:iCs w:val="0"/>
          <w:sz w:val="22"/>
          <w:szCs w:val="22"/>
        </w:rPr>
        <w:t>November</w:t>
      </w:r>
      <w:r w:rsidR="00EC34A6">
        <w:rPr>
          <w:b/>
          <w:bCs/>
          <w:i w:val="0"/>
          <w:iCs w:val="0"/>
          <w:sz w:val="22"/>
          <w:szCs w:val="22"/>
        </w:rPr>
        <w:t xml:space="preserve"> </w:t>
      </w:r>
      <w:r w:rsidR="006636CE">
        <w:rPr>
          <w:b/>
          <w:bCs/>
          <w:i w:val="0"/>
          <w:iCs w:val="0"/>
          <w:sz w:val="22"/>
          <w:szCs w:val="22"/>
        </w:rPr>
        <w:t>9</w:t>
      </w:r>
      <w:r w:rsidR="00A04098">
        <w:rPr>
          <w:b/>
          <w:bCs/>
          <w:i w:val="0"/>
          <w:iCs w:val="0"/>
          <w:sz w:val="22"/>
          <w:szCs w:val="22"/>
        </w:rPr>
        <w:t>,</w:t>
      </w:r>
      <w:r w:rsidR="00A04098">
        <w:rPr>
          <w:b/>
          <w:bCs/>
          <w:i w:val="0"/>
          <w:iCs w:val="0"/>
          <w:spacing w:val="1"/>
          <w:sz w:val="22"/>
          <w:szCs w:val="22"/>
        </w:rPr>
        <w:t xml:space="preserve"> </w:t>
      </w:r>
      <w:r w:rsidR="00A04098">
        <w:rPr>
          <w:b/>
          <w:bCs/>
          <w:i w:val="0"/>
          <w:iCs w:val="0"/>
          <w:sz w:val="22"/>
          <w:szCs w:val="22"/>
        </w:rPr>
        <w:t>2021</w:t>
      </w:r>
      <w:r w:rsidR="00A04098">
        <w:rPr>
          <w:b/>
          <w:bCs/>
          <w:i w:val="0"/>
          <w:iCs w:val="0"/>
          <w:spacing w:val="1"/>
          <w:sz w:val="22"/>
          <w:szCs w:val="22"/>
        </w:rPr>
        <w:t xml:space="preserve"> </w:t>
      </w:r>
      <w:r w:rsidR="00A04098">
        <w:rPr>
          <w:i w:val="0"/>
          <w:iCs w:val="0"/>
          <w:sz w:val="22"/>
          <w:szCs w:val="22"/>
        </w:rPr>
        <w:t>–</w:t>
      </w:r>
      <w:r w:rsidR="00A04098">
        <w:rPr>
          <w:i w:val="0"/>
          <w:iCs w:val="0"/>
          <w:spacing w:val="1"/>
          <w:sz w:val="22"/>
          <w:szCs w:val="22"/>
        </w:rPr>
        <w:t xml:space="preserve"> </w:t>
      </w:r>
      <w:r w:rsidR="0045017F">
        <w:rPr>
          <w:i w:val="0"/>
          <w:iCs w:val="0"/>
          <w:sz w:val="24"/>
          <w:szCs w:val="24"/>
        </w:rPr>
        <w:t>CoinAnalyst Corp.</w:t>
      </w:r>
      <w:r w:rsidR="00A04098">
        <w:rPr>
          <w:i w:val="0"/>
          <w:iCs w:val="0"/>
          <w:spacing w:val="1"/>
          <w:sz w:val="24"/>
          <w:szCs w:val="24"/>
        </w:rPr>
        <w:t xml:space="preserve"> </w:t>
      </w:r>
      <w:r w:rsidR="00A04098">
        <w:rPr>
          <w:i w:val="0"/>
          <w:iCs w:val="0"/>
          <w:sz w:val="24"/>
          <w:szCs w:val="24"/>
        </w:rPr>
        <w:t>(“</w:t>
      </w:r>
      <w:r w:rsidR="0045017F">
        <w:rPr>
          <w:b/>
          <w:bCs/>
          <w:i w:val="0"/>
          <w:iCs w:val="0"/>
          <w:sz w:val="24"/>
          <w:szCs w:val="24"/>
        </w:rPr>
        <w:t>CoinAnalyst</w:t>
      </w:r>
      <w:r w:rsidR="00A04098">
        <w:rPr>
          <w:i w:val="0"/>
          <w:iCs w:val="0"/>
          <w:sz w:val="24"/>
          <w:szCs w:val="24"/>
        </w:rPr>
        <w:t>”</w:t>
      </w:r>
      <w:r w:rsidR="00A04098">
        <w:rPr>
          <w:i w:val="0"/>
          <w:iCs w:val="0"/>
          <w:spacing w:val="1"/>
          <w:sz w:val="24"/>
          <w:szCs w:val="24"/>
        </w:rPr>
        <w:t xml:space="preserve"> </w:t>
      </w:r>
      <w:r w:rsidR="00A04098">
        <w:rPr>
          <w:i w:val="0"/>
          <w:iCs w:val="0"/>
          <w:sz w:val="24"/>
          <w:szCs w:val="24"/>
        </w:rPr>
        <w:t>or</w:t>
      </w:r>
      <w:r w:rsidR="00A04098">
        <w:rPr>
          <w:i w:val="0"/>
          <w:iCs w:val="0"/>
          <w:spacing w:val="1"/>
          <w:sz w:val="24"/>
          <w:szCs w:val="24"/>
        </w:rPr>
        <w:t xml:space="preserve"> </w:t>
      </w:r>
      <w:r w:rsidR="00A04098">
        <w:rPr>
          <w:i w:val="0"/>
          <w:iCs w:val="0"/>
          <w:sz w:val="24"/>
          <w:szCs w:val="24"/>
        </w:rPr>
        <w:t>the</w:t>
      </w:r>
      <w:r w:rsidR="00A04098">
        <w:rPr>
          <w:i w:val="0"/>
          <w:iCs w:val="0"/>
          <w:spacing w:val="1"/>
          <w:sz w:val="24"/>
          <w:szCs w:val="24"/>
        </w:rPr>
        <w:t xml:space="preserve"> </w:t>
      </w:r>
      <w:r w:rsidR="00A04098">
        <w:rPr>
          <w:i w:val="0"/>
          <w:iCs w:val="0"/>
          <w:sz w:val="24"/>
          <w:szCs w:val="24"/>
        </w:rPr>
        <w:t>“</w:t>
      </w:r>
      <w:r w:rsidR="00A04098">
        <w:rPr>
          <w:b/>
          <w:bCs/>
          <w:i w:val="0"/>
          <w:iCs w:val="0"/>
          <w:sz w:val="24"/>
          <w:szCs w:val="24"/>
        </w:rPr>
        <w:t>Company</w:t>
      </w:r>
      <w:r w:rsidR="00A04098">
        <w:rPr>
          <w:i w:val="0"/>
          <w:iCs w:val="0"/>
          <w:sz w:val="24"/>
          <w:szCs w:val="24"/>
        </w:rPr>
        <w:t>”)</w:t>
      </w:r>
      <w:r w:rsidR="00A04098">
        <w:rPr>
          <w:i w:val="0"/>
          <w:iCs w:val="0"/>
          <w:spacing w:val="1"/>
          <w:sz w:val="24"/>
          <w:szCs w:val="24"/>
        </w:rPr>
        <w:t xml:space="preserve"> </w:t>
      </w:r>
      <w:r w:rsidR="00A04098">
        <w:rPr>
          <w:i w:val="0"/>
          <w:iCs w:val="0"/>
          <w:sz w:val="24"/>
          <w:szCs w:val="24"/>
        </w:rPr>
        <w:t>(CSE:</w:t>
      </w:r>
      <w:r w:rsidR="0045017F">
        <w:rPr>
          <w:i w:val="0"/>
          <w:iCs w:val="0"/>
          <w:sz w:val="24"/>
          <w:szCs w:val="24"/>
        </w:rPr>
        <w:t>COYX</w:t>
      </w:r>
      <w:r w:rsidR="00A04098">
        <w:rPr>
          <w:i w:val="0"/>
          <w:iCs w:val="0"/>
          <w:sz w:val="24"/>
          <w:szCs w:val="24"/>
        </w:rPr>
        <w:t>),</w:t>
      </w:r>
      <w:r w:rsidR="00A04098">
        <w:rPr>
          <w:i w:val="0"/>
          <w:iCs w:val="0"/>
          <w:spacing w:val="1"/>
          <w:sz w:val="24"/>
          <w:szCs w:val="24"/>
        </w:rPr>
        <w:t xml:space="preserve"> </w:t>
      </w:r>
      <w:r w:rsidR="00A04098">
        <w:rPr>
          <w:i w:val="0"/>
          <w:iCs w:val="0"/>
          <w:sz w:val="24"/>
          <w:szCs w:val="24"/>
        </w:rPr>
        <w:t>a</w:t>
      </w:r>
      <w:r w:rsidR="00A04098">
        <w:rPr>
          <w:i w:val="0"/>
          <w:iCs w:val="0"/>
          <w:spacing w:val="1"/>
          <w:sz w:val="24"/>
          <w:szCs w:val="24"/>
        </w:rPr>
        <w:t xml:space="preserve"> </w:t>
      </w:r>
      <w:r w:rsidR="00531E58">
        <w:rPr>
          <w:i w:val="0"/>
          <w:iCs w:val="0"/>
          <w:spacing w:val="1"/>
          <w:sz w:val="24"/>
          <w:szCs w:val="24"/>
        </w:rPr>
        <w:t xml:space="preserve">company that provides </w:t>
      </w:r>
      <w:r w:rsidR="00531E58" w:rsidRPr="00531E58">
        <w:rPr>
          <w:i w:val="0"/>
          <w:iCs w:val="0"/>
          <w:spacing w:val="1"/>
          <w:sz w:val="24"/>
          <w:szCs w:val="24"/>
        </w:rPr>
        <w:t>an artificial intelligence-based big data analytics platform</w:t>
      </w:r>
      <w:r w:rsidR="009B5298">
        <w:rPr>
          <w:i w:val="0"/>
          <w:iCs w:val="0"/>
          <w:spacing w:val="1"/>
          <w:sz w:val="24"/>
          <w:szCs w:val="24"/>
        </w:rPr>
        <w:t xml:space="preserve"> (the “</w:t>
      </w:r>
      <w:r w:rsidR="009B5298">
        <w:rPr>
          <w:b/>
          <w:bCs/>
          <w:i w:val="0"/>
          <w:iCs w:val="0"/>
          <w:spacing w:val="1"/>
          <w:sz w:val="24"/>
          <w:szCs w:val="24"/>
        </w:rPr>
        <w:t>Platform</w:t>
      </w:r>
      <w:r w:rsidR="009B5298">
        <w:rPr>
          <w:i w:val="0"/>
          <w:iCs w:val="0"/>
          <w:spacing w:val="1"/>
          <w:sz w:val="24"/>
          <w:szCs w:val="24"/>
        </w:rPr>
        <w:t>”)</w:t>
      </w:r>
      <w:r w:rsidR="00531E58" w:rsidRPr="00531E58">
        <w:rPr>
          <w:i w:val="0"/>
          <w:iCs w:val="0"/>
          <w:spacing w:val="1"/>
          <w:sz w:val="24"/>
          <w:szCs w:val="24"/>
        </w:rPr>
        <w:t xml:space="preserve"> that enables investors in the digital asset sector and other industries to access a custom dashboard</w:t>
      </w:r>
      <w:r w:rsidR="00531E58">
        <w:rPr>
          <w:i w:val="0"/>
          <w:iCs w:val="0"/>
          <w:spacing w:val="1"/>
          <w:sz w:val="24"/>
          <w:szCs w:val="24"/>
        </w:rPr>
        <w:t xml:space="preserve">, </w:t>
      </w:r>
      <w:r w:rsidR="00EC34A6">
        <w:rPr>
          <w:i w:val="0"/>
          <w:iCs w:val="0"/>
          <w:spacing w:val="1"/>
          <w:sz w:val="24"/>
          <w:szCs w:val="24"/>
        </w:rPr>
        <w:t xml:space="preserve">is pleased to announce </w:t>
      </w:r>
      <w:r w:rsidR="00EB0173" w:rsidRPr="00EB0173">
        <w:rPr>
          <w:i w:val="0"/>
          <w:iCs w:val="0"/>
          <w:spacing w:val="1"/>
          <w:sz w:val="24"/>
          <w:szCs w:val="24"/>
        </w:rPr>
        <w:t>that its common shares are now listed on the Frankfurt Stock Exchange</w:t>
      </w:r>
      <w:r w:rsidR="001F0E84">
        <w:rPr>
          <w:i w:val="0"/>
          <w:iCs w:val="0"/>
          <w:spacing w:val="1"/>
          <w:sz w:val="24"/>
          <w:szCs w:val="24"/>
        </w:rPr>
        <w:t xml:space="preserve"> (“</w:t>
      </w:r>
      <w:r w:rsidR="001F0E84">
        <w:rPr>
          <w:b/>
          <w:bCs/>
          <w:i w:val="0"/>
          <w:iCs w:val="0"/>
          <w:spacing w:val="1"/>
          <w:sz w:val="24"/>
          <w:szCs w:val="24"/>
        </w:rPr>
        <w:t>FSE</w:t>
      </w:r>
      <w:r w:rsidR="001F0E84">
        <w:rPr>
          <w:i w:val="0"/>
          <w:iCs w:val="0"/>
          <w:spacing w:val="1"/>
          <w:sz w:val="24"/>
          <w:szCs w:val="24"/>
        </w:rPr>
        <w:t>”)</w:t>
      </w:r>
      <w:r w:rsidR="00EB0173" w:rsidRPr="00EB0173">
        <w:rPr>
          <w:i w:val="0"/>
          <w:iCs w:val="0"/>
          <w:spacing w:val="1"/>
          <w:sz w:val="24"/>
          <w:szCs w:val="24"/>
        </w:rPr>
        <w:t xml:space="preserve"> and are trading under the ticker symbol “</w:t>
      </w:r>
      <w:r w:rsidR="00EB0173">
        <w:rPr>
          <w:i w:val="0"/>
          <w:iCs w:val="0"/>
          <w:spacing w:val="1"/>
          <w:sz w:val="24"/>
          <w:szCs w:val="24"/>
        </w:rPr>
        <w:t>1EO</w:t>
      </w:r>
      <w:r w:rsidR="00EB0173" w:rsidRPr="00EB0173">
        <w:rPr>
          <w:i w:val="0"/>
          <w:iCs w:val="0"/>
          <w:spacing w:val="1"/>
          <w:sz w:val="24"/>
          <w:szCs w:val="24"/>
        </w:rPr>
        <w:t>”. The Company’s common shares continue to be listed on the Canadian Stock Exchange under the ticker symbol “</w:t>
      </w:r>
      <w:r w:rsidR="00766247">
        <w:rPr>
          <w:i w:val="0"/>
          <w:iCs w:val="0"/>
          <w:spacing w:val="1"/>
          <w:sz w:val="24"/>
          <w:szCs w:val="24"/>
        </w:rPr>
        <w:t>COYX</w:t>
      </w:r>
      <w:r w:rsidR="00EB0173" w:rsidRPr="00EB0173">
        <w:rPr>
          <w:i w:val="0"/>
          <w:iCs w:val="0"/>
          <w:spacing w:val="1"/>
          <w:sz w:val="24"/>
          <w:szCs w:val="24"/>
        </w:rPr>
        <w:t>.</w:t>
      </w:r>
      <w:r w:rsidR="00EB0173">
        <w:rPr>
          <w:i w:val="0"/>
          <w:iCs w:val="0"/>
          <w:spacing w:val="1"/>
          <w:sz w:val="24"/>
          <w:szCs w:val="24"/>
        </w:rPr>
        <w:t xml:space="preserve"> </w:t>
      </w:r>
    </w:p>
    <w:p w14:paraId="2FA279E0" w14:textId="77777777" w:rsidR="0054182C" w:rsidRPr="0054182C" w:rsidRDefault="0054182C" w:rsidP="0054182C">
      <w:pPr>
        <w:pStyle w:val="BodyText"/>
        <w:kinsoku w:val="0"/>
        <w:overflowPunct w:val="0"/>
        <w:spacing w:before="181" w:line="259" w:lineRule="auto"/>
        <w:ind w:left="119" w:right="116"/>
        <w:jc w:val="both"/>
        <w:rPr>
          <w:i w:val="0"/>
          <w:iCs w:val="0"/>
          <w:sz w:val="24"/>
          <w:szCs w:val="24"/>
        </w:rPr>
      </w:pPr>
      <w:r w:rsidRPr="0054182C">
        <w:rPr>
          <w:i w:val="0"/>
          <w:iCs w:val="0"/>
          <w:sz w:val="24"/>
          <w:szCs w:val="24"/>
        </w:rPr>
        <w:t xml:space="preserve">The </w:t>
      </w:r>
      <w:r w:rsidR="001F0E84">
        <w:rPr>
          <w:i w:val="0"/>
          <w:iCs w:val="0"/>
          <w:sz w:val="24"/>
          <w:szCs w:val="24"/>
        </w:rPr>
        <w:t>FSE</w:t>
      </w:r>
      <w:r w:rsidRPr="0054182C">
        <w:rPr>
          <w:i w:val="0"/>
          <w:iCs w:val="0"/>
          <w:sz w:val="24"/>
          <w:szCs w:val="24"/>
        </w:rPr>
        <w:t xml:space="preserve"> is one of the world's largest international trading centres for securities. Operated by Deutsche Boerse AG, the </w:t>
      </w:r>
      <w:r w:rsidR="001F0E84">
        <w:rPr>
          <w:i w:val="0"/>
          <w:iCs w:val="0"/>
          <w:sz w:val="24"/>
          <w:szCs w:val="24"/>
        </w:rPr>
        <w:t>FSE</w:t>
      </w:r>
      <w:r w:rsidRPr="0054182C">
        <w:rPr>
          <w:i w:val="0"/>
          <w:iCs w:val="0"/>
          <w:sz w:val="24"/>
          <w:szCs w:val="24"/>
        </w:rPr>
        <w:t xml:space="preserve"> is the largest of Germany's seven stock exchanges and is responsible for approximately 90 per cent of all securities traded in Germany. The </w:t>
      </w:r>
      <w:r w:rsidR="001F0E84">
        <w:rPr>
          <w:i w:val="0"/>
          <w:iCs w:val="0"/>
          <w:sz w:val="24"/>
          <w:szCs w:val="24"/>
        </w:rPr>
        <w:t>FSE</w:t>
      </w:r>
      <w:r w:rsidRPr="0054182C">
        <w:rPr>
          <w:i w:val="0"/>
          <w:iCs w:val="0"/>
          <w:sz w:val="24"/>
          <w:szCs w:val="24"/>
        </w:rPr>
        <w:t xml:space="preserve"> facilitates advanced electronic trading, settlement, and information systems, and enables cross-border trading for international investors.</w:t>
      </w:r>
    </w:p>
    <w:p w14:paraId="072A5FC5" w14:textId="77777777" w:rsidR="0054182C" w:rsidRDefault="0054182C" w:rsidP="0005486A">
      <w:pPr>
        <w:pStyle w:val="BodyText"/>
        <w:kinsoku w:val="0"/>
        <w:overflowPunct w:val="0"/>
        <w:spacing w:before="165"/>
        <w:ind w:left="120" w:right="150"/>
        <w:jc w:val="both"/>
        <w:rPr>
          <w:i w:val="0"/>
          <w:iCs w:val="0"/>
          <w:sz w:val="24"/>
          <w:szCs w:val="24"/>
        </w:rPr>
      </w:pPr>
      <w:r w:rsidRPr="0054182C">
        <w:rPr>
          <w:i w:val="0"/>
          <w:iCs w:val="0"/>
          <w:sz w:val="24"/>
          <w:szCs w:val="24"/>
        </w:rPr>
        <w:t>Andrew Sazama, COO, commented: "We are pleased to expand our public-market presence by listing on the FSE. This will allow retail and institutional European investors to buy, sell and trade our public-equity shares in their local market."</w:t>
      </w:r>
    </w:p>
    <w:p w14:paraId="7FA8B06D" w14:textId="77777777" w:rsidR="00A04098" w:rsidRDefault="00A04098" w:rsidP="0054182C">
      <w:pPr>
        <w:pStyle w:val="BodyText"/>
        <w:kinsoku w:val="0"/>
        <w:overflowPunct w:val="0"/>
        <w:spacing w:before="165"/>
        <w:ind w:left="120"/>
        <w:rPr>
          <w:i w:val="0"/>
          <w:iCs w:val="0"/>
          <w:spacing w:val="-2"/>
          <w:sz w:val="24"/>
          <w:szCs w:val="24"/>
        </w:rPr>
      </w:pPr>
      <w:r>
        <w:rPr>
          <w:i w:val="0"/>
          <w:iCs w:val="0"/>
          <w:spacing w:val="-2"/>
          <w:sz w:val="24"/>
          <w:szCs w:val="24"/>
          <w:u w:val="single"/>
        </w:rPr>
        <w:t>About</w:t>
      </w:r>
      <w:r>
        <w:rPr>
          <w:i w:val="0"/>
          <w:iCs w:val="0"/>
          <w:spacing w:val="-11"/>
          <w:sz w:val="24"/>
          <w:szCs w:val="24"/>
          <w:u w:val="single"/>
        </w:rPr>
        <w:t xml:space="preserve"> </w:t>
      </w:r>
      <w:r w:rsidR="0045017F">
        <w:rPr>
          <w:i w:val="0"/>
          <w:iCs w:val="0"/>
          <w:spacing w:val="-2"/>
          <w:sz w:val="24"/>
          <w:szCs w:val="24"/>
          <w:u w:val="single"/>
        </w:rPr>
        <w:t>CoinAnalyst</w:t>
      </w:r>
    </w:p>
    <w:p w14:paraId="058537B8" w14:textId="77777777" w:rsidR="00EF7215" w:rsidRPr="00EF7215" w:rsidRDefault="005C794F" w:rsidP="00EF7215">
      <w:pPr>
        <w:pStyle w:val="BodyText"/>
        <w:kinsoku w:val="0"/>
        <w:overflowPunct w:val="0"/>
        <w:spacing w:before="182" w:line="259" w:lineRule="auto"/>
        <w:ind w:left="120" w:right="228"/>
        <w:jc w:val="both"/>
        <w:rPr>
          <w:i w:val="0"/>
          <w:iCs w:val="0"/>
          <w:sz w:val="24"/>
          <w:szCs w:val="24"/>
        </w:rPr>
      </w:pPr>
      <w:r w:rsidRPr="005C794F">
        <w:rPr>
          <w:i w:val="0"/>
          <w:iCs w:val="0"/>
          <w:sz w:val="24"/>
          <w:szCs w:val="24"/>
        </w:rPr>
        <w:t xml:space="preserve">CoinAnalyst provides an artificial intelligence-based big data analytics </w:t>
      </w:r>
      <w:r w:rsidR="002D4D0F">
        <w:rPr>
          <w:i w:val="0"/>
          <w:iCs w:val="0"/>
          <w:sz w:val="24"/>
          <w:szCs w:val="24"/>
        </w:rPr>
        <w:t>P</w:t>
      </w:r>
      <w:r w:rsidRPr="005C794F">
        <w:rPr>
          <w:i w:val="0"/>
          <w:iCs w:val="0"/>
          <w:sz w:val="24"/>
          <w:szCs w:val="24"/>
        </w:rPr>
        <w:t>latform</w:t>
      </w:r>
      <w:r w:rsidR="009B5298">
        <w:rPr>
          <w:i w:val="0"/>
          <w:iCs w:val="0"/>
          <w:sz w:val="24"/>
          <w:szCs w:val="24"/>
        </w:rPr>
        <w:t xml:space="preserve"> </w:t>
      </w:r>
      <w:r w:rsidRPr="005C794F">
        <w:rPr>
          <w:i w:val="0"/>
          <w:iCs w:val="0"/>
          <w:sz w:val="24"/>
          <w:szCs w:val="24"/>
        </w:rPr>
        <w:t>that enables investors in the digital asset sector and other industries to access a custom dashboard. The dashboard monitors and analyzes real-time data from the digital asset market (Coins/Tokens/NFTs/initial offerings). The software monitors news sources, tracks influencers, scans online social media, and provides sentiment analysis, forecast and trade signals on the top 300 digital assets (more are added regularly). Additionally, the software system provides news, price quotes and allows for messaging</w:t>
      </w:r>
      <w:r w:rsidR="00A04098">
        <w:rPr>
          <w:i w:val="0"/>
          <w:iCs w:val="0"/>
          <w:sz w:val="24"/>
          <w:szCs w:val="24"/>
        </w:rPr>
        <w:t>.</w:t>
      </w:r>
      <w:r w:rsidR="009B5298">
        <w:rPr>
          <w:i w:val="0"/>
          <w:iCs w:val="0"/>
          <w:sz w:val="24"/>
          <w:szCs w:val="24"/>
        </w:rPr>
        <w:t xml:space="preserve"> </w:t>
      </w:r>
      <w:r w:rsidR="00EF7215" w:rsidRPr="00EF7215">
        <w:rPr>
          <w:i w:val="0"/>
          <w:iCs w:val="0"/>
          <w:sz w:val="24"/>
          <w:szCs w:val="24"/>
        </w:rPr>
        <w:t>A mobile version and professional terminal are in development with expected availability in Q1, 2022.</w:t>
      </w:r>
      <w:r w:rsidR="00EF7215">
        <w:rPr>
          <w:i w:val="0"/>
          <w:iCs w:val="0"/>
          <w:sz w:val="24"/>
          <w:szCs w:val="24"/>
        </w:rPr>
        <w:t xml:space="preserve"> </w:t>
      </w:r>
      <w:r w:rsidR="009B5298" w:rsidRPr="009B5298">
        <w:rPr>
          <w:i w:val="0"/>
          <w:iCs w:val="0"/>
          <w:sz w:val="24"/>
          <w:szCs w:val="24"/>
        </w:rPr>
        <w:t xml:space="preserve">The Platform is accessed through a </w:t>
      </w:r>
      <w:r w:rsidR="009B5298" w:rsidRPr="00EF7215">
        <w:rPr>
          <w:i w:val="0"/>
          <w:iCs w:val="0"/>
          <w:sz w:val="24"/>
          <w:szCs w:val="24"/>
        </w:rPr>
        <w:t>monthly subscription model, which ranges in price depending on the plan. The plans include basic, professional, and corporate. The Platform is sold through business-to-consumer (B2C) and through business-to-business-to-consumer (B2C2C).</w:t>
      </w:r>
    </w:p>
    <w:p w14:paraId="62B73388" w14:textId="77777777" w:rsidR="00EF7215" w:rsidRDefault="00EF7215" w:rsidP="00EF7215">
      <w:pPr>
        <w:pStyle w:val="BodyText"/>
        <w:kinsoku w:val="0"/>
        <w:overflowPunct w:val="0"/>
        <w:spacing w:before="182" w:line="259" w:lineRule="auto"/>
        <w:ind w:left="120" w:right="228"/>
        <w:jc w:val="both"/>
        <w:rPr>
          <w:i w:val="0"/>
          <w:iCs w:val="0"/>
          <w:sz w:val="24"/>
          <w:szCs w:val="24"/>
        </w:rPr>
      </w:pPr>
      <w:r w:rsidRPr="00EF7215">
        <w:rPr>
          <w:i w:val="0"/>
          <w:iCs w:val="0"/>
          <w:sz w:val="24"/>
          <w:szCs w:val="24"/>
        </w:rPr>
        <w:t xml:space="preserve">For more information, please contact: </w:t>
      </w:r>
    </w:p>
    <w:p w14:paraId="2940D042" w14:textId="77777777" w:rsidR="002D4D0F" w:rsidRDefault="000D440A" w:rsidP="0005486A">
      <w:pPr>
        <w:pStyle w:val="BodyText"/>
        <w:kinsoku w:val="0"/>
        <w:overflowPunct w:val="0"/>
        <w:spacing w:before="182" w:line="259" w:lineRule="auto"/>
        <w:ind w:left="120" w:right="228"/>
        <w:jc w:val="both"/>
        <w:rPr>
          <w:i w:val="0"/>
          <w:iCs w:val="0"/>
          <w:sz w:val="24"/>
          <w:szCs w:val="24"/>
        </w:rPr>
      </w:pPr>
      <w:r>
        <w:rPr>
          <w:i w:val="0"/>
          <w:iCs w:val="0"/>
          <w:sz w:val="24"/>
          <w:szCs w:val="24"/>
        </w:rPr>
        <w:t>Andrew Sazama</w:t>
      </w:r>
      <w:r w:rsidR="001F0E84">
        <w:rPr>
          <w:i w:val="0"/>
          <w:iCs w:val="0"/>
          <w:sz w:val="24"/>
          <w:szCs w:val="24"/>
        </w:rPr>
        <w:br/>
        <w:t xml:space="preserve">Chief </w:t>
      </w:r>
      <w:r>
        <w:rPr>
          <w:i w:val="0"/>
          <w:iCs w:val="0"/>
          <w:sz w:val="24"/>
          <w:szCs w:val="24"/>
        </w:rPr>
        <w:t>Operating Officer</w:t>
      </w:r>
      <w:r w:rsidR="001F0E84">
        <w:rPr>
          <w:i w:val="0"/>
          <w:iCs w:val="0"/>
          <w:sz w:val="24"/>
          <w:szCs w:val="24"/>
        </w:rPr>
        <w:t xml:space="preserve"> and Director</w:t>
      </w:r>
      <w:r w:rsidR="001F0E84">
        <w:rPr>
          <w:i w:val="0"/>
          <w:iCs w:val="0"/>
          <w:sz w:val="24"/>
          <w:szCs w:val="24"/>
        </w:rPr>
        <w:br/>
      </w:r>
      <w:r w:rsidR="00EF7215" w:rsidRPr="00EF7215">
        <w:rPr>
          <w:i w:val="0"/>
          <w:iCs w:val="0"/>
          <w:sz w:val="24"/>
          <w:szCs w:val="24"/>
        </w:rPr>
        <w:t xml:space="preserve">Email: </w:t>
      </w:r>
      <w:hyperlink r:id="rId4" w:history="1">
        <w:r w:rsidR="002C57AE" w:rsidRPr="00A57964">
          <w:rPr>
            <w:rStyle w:val="Hyperlink"/>
            <w:rFonts w:cs="Calibri"/>
            <w:i w:val="0"/>
            <w:iCs w:val="0"/>
            <w:sz w:val="24"/>
            <w:szCs w:val="24"/>
          </w:rPr>
          <w:t>contact@coinanalyst.tech</w:t>
        </w:r>
      </w:hyperlink>
      <w:r w:rsidR="002C57AE">
        <w:rPr>
          <w:i w:val="0"/>
          <w:iCs w:val="0"/>
          <w:sz w:val="24"/>
          <w:szCs w:val="24"/>
        </w:rPr>
        <w:t xml:space="preserve"> </w:t>
      </w:r>
      <w:r w:rsidR="00EF7215" w:rsidRPr="00EF7215">
        <w:rPr>
          <w:i w:val="0"/>
          <w:iCs w:val="0"/>
          <w:sz w:val="24"/>
          <w:szCs w:val="24"/>
        </w:rPr>
        <w:t xml:space="preserve"> </w:t>
      </w:r>
      <w:r w:rsidR="00EF7215">
        <w:rPr>
          <w:i w:val="0"/>
          <w:iCs w:val="0"/>
          <w:sz w:val="24"/>
          <w:szCs w:val="24"/>
        </w:rPr>
        <w:tab/>
      </w:r>
      <w:r w:rsidR="00EF7215">
        <w:rPr>
          <w:i w:val="0"/>
          <w:iCs w:val="0"/>
          <w:sz w:val="24"/>
          <w:szCs w:val="24"/>
        </w:rPr>
        <w:tab/>
      </w:r>
      <w:r w:rsidR="00EF7215">
        <w:rPr>
          <w:i w:val="0"/>
          <w:iCs w:val="0"/>
          <w:sz w:val="24"/>
          <w:szCs w:val="24"/>
        </w:rPr>
        <w:tab/>
      </w:r>
      <w:r w:rsidR="00EF7215">
        <w:rPr>
          <w:i w:val="0"/>
          <w:iCs w:val="0"/>
          <w:sz w:val="24"/>
          <w:szCs w:val="24"/>
        </w:rPr>
        <w:tab/>
      </w:r>
      <w:r w:rsidR="00EF7215">
        <w:rPr>
          <w:i w:val="0"/>
          <w:iCs w:val="0"/>
          <w:sz w:val="24"/>
          <w:szCs w:val="24"/>
        </w:rPr>
        <w:tab/>
      </w:r>
      <w:r w:rsidR="00EF7215">
        <w:rPr>
          <w:i w:val="0"/>
          <w:iCs w:val="0"/>
          <w:sz w:val="24"/>
          <w:szCs w:val="24"/>
        </w:rPr>
        <w:tab/>
      </w:r>
      <w:r w:rsidR="00EF7215">
        <w:rPr>
          <w:i w:val="0"/>
          <w:iCs w:val="0"/>
          <w:sz w:val="24"/>
          <w:szCs w:val="24"/>
        </w:rPr>
        <w:tab/>
      </w:r>
      <w:r w:rsidR="00EF7215">
        <w:rPr>
          <w:i w:val="0"/>
          <w:iCs w:val="0"/>
          <w:sz w:val="24"/>
          <w:szCs w:val="24"/>
        </w:rPr>
        <w:tab/>
        <w:t xml:space="preserve">  </w:t>
      </w:r>
      <w:r w:rsidR="00EF7215" w:rsidRPr="00EF7215">
        <w:rPr>
          <w:i w:val="0"/>
          <w:iCs w:val="0"/>
          <w:sz w:val="24"/>
          <w:szCs w:val="24"/>
        </w:rPr>
        <w:t>Phone:</w:t>
      </w:r>
      <w:bookmarkStart w:id="0" w:name="Forward Looking Statements"/>
      <w:bookmarkEnd w:id="0"/>
      <w:r w:rsidR="001F0E84">
        <w:rPr>
          <w:i w:val="0"/>
          <w:iCs w:val="0"/>
          <w:sz w:val="24"/>
          <w:szCs w:val="24"/>
        </w:rPr>
        <w:t xml:space="preserve"> + 49 69 2648485 - 20</w:t>
      </w:r>
    </w:p>
    <w:p w14:paraId="36824460" w14:textId="77777777" w:rsidR="002D4D0F" w:rsidRDefault="00A04098" w:rsidP="002D4D0F">
      <w:pPr>
        <w:pStyle w:val="BodyText"/>
        <w:kinsoku w:val="0"/>
        <w:overflowPunct w:val="0"/>
        <w:spacing w:before="182" w:line="259" w:lineRule="auto"/>
        <w:ind w:left="120" w:right="228"/>
        <w:jc w:val="both"/>
        <w:rPr>
          <w:i w:val="0"/>
          <w:iCs w:val="0"/>
          <w:sz w:val="24"/>
          <w:szCs w:val="24"/>
        </w:rPr>
      </w:pPr>
      <w:r>
        <w:rPr>
          <w:b/>
          <w:bCs/>
          <w:i w:val="0"/>
          <w:iCs w:val="0"/>
          <w:w w:val="105"/>
          <w:sz w:val="22"/>
          <w:szCs w:val="22"/>
          <w:u w:val="single"/>
        </w:rPr>
        <w:t>Forward</w:t>
      </w:r>
      <w:r>
        <w:rPr>
          <w:b/>
          <w:bCs/>
          <w:i w:val="0"/>
          <w:iCs w:val="0"/>
          <w:spacing w:val="-6"/>
          <w:w w:val="105"/>
          <w:sz w:val="22"/>
          <w:szCs w:val="22"/>
          <w:u w:val="single"/>
        </w:rPr>
        <w:t xml:space="preserve"> </w:t>
      </w:r>
      <w:r>
        <w:rPr>
          <w:b/>
          <w:bCs/>
          <w:i w:val="0"/>
          <w:iCs w:val="0"/>
          <w:w w:val="105"/>
          <w:sz w:val="22"/>
          <w:szCs w:val="22"/>
          <w:u w:val="single"/>
        </w:rPr>
        <w:t>Looking</w:t>
      </w:r>
      <w:r>
        <w:rPr>
          <w:b/>
          <w:bCs/>
          <w:i w:val="0"/>
          <w:iCs w:val="0"/>
          <w:spacing w:val="-2"/>
          <w:w w:val="105"/>
          <w:sz w:val="22"/>
          <w:szCs w:val="22"/>
          <w:u w:val="single"/>
        </w:rPr>
        <w:t xml:space="preserve"> </w:t>
      </w:r>
      <w:r w:rsidR="002D4D0F">
        <w:rPr>
          <w:b/>
          <w:bCs/>
          <w:i w:val="0"/>
          <w:iCs w:val="0"/>
          <w:spacing w:val="-2"/>
          <w:w w:val="105"/>
          <w:sz w:val="22"/>
          <w:szCs w:val="22"/>
          <w:u w:val="single"/>
        </w:rPr>
        <w:t>Information</w:t>
      </w:r>
    </w:p>
    <w:p w14:paraId="3E85ECE5" w14:textId="77777777" w:rsidR="002D4D0F" w:rsidRDefault="00A04098" w:rsidP="002D4D0F">
      <w:pPr>
        <w:pStyle w:val="BodyText"/>
        <w:kinsoku w:val="0"/>
        <w:overflowPunct w:val="0"/>
        <w:spacing w:before="182" w:line="259" w:lineRule="auto"/>
        <w:ind w:left="120" w:right="228"/>
        <w:jc w:val="both"/>
        <w:rPr>
          <w:sz w:val="20"/>
          <w:szCs w:val="20"/>
        </w:rPr>
      </w:pPr>
      <w:r w:rsidRPr="002D4D0F">
        <w:rPr>
          <w:sz w:val="20"/>
          <w:szCs w:val="20"/>
        </w:rPr>
        <w:lastRenderedPageBreak/>
        <w:t>This press release contains forward-looking statements and forward-looking information within the meaning of applicable</w:t>
      </w:r>
      <w:r w:rsidRPr="002D4D0F">
        <w:rPr>
          <w:spacing w:val="1"/>
          <w:sz w:val="20"/>
          <w:szCs w:val="20"/>
        </w:rPr>
        <w:t xml:space="preserve"> </w:t>
      </w:r>
      <w:r w:rsidRPr="002D4D0F">
        <w:rPr>
          <w:sz w:val="20"/>
          <w:szCs w:val="20"/>
        </w:rPr>
        <w:t>Canadian and U.S. securities laws. The use of any of the words “expect”, “anticipate”, “continue”, “estimate”, “objective”,</w:t>
      </w:r>
      <w:r w:rsidRPr="002D4D0F">
        <w:rPr>
          <w:spacing w:val="1"/>
          <w:sz w:val="20"/>
          <w:szCs w:val="20"/>
        </w:rPr>
        <w:t xml:space="preserve"> </w:t>
      </w:r>
      <w:r w:rsidRPr="002D4D0F">
        <w:rPr>
          <w:sz w:val="20"/>
          <w:szCs w:val="20"/>
        </w:rPr>
        <w:t>“ongoing”, “may”, “will”, “project”, “should”, “believe”, “plans”, “intends” and similar expressions are intended to identify</w:t>
      </w:r>
      <w:r w:rsidRPr="002D4D0F">
        <w:rPr>
          <w:spacing w:val="1"/>
          <w:sz w:val="20"/>
          <w:szCs w:val="20"/>
        </w:rPr>
        <w:t xml:space="preserve"> </w:t>
      </w:r>
      <w:r w:rsidRPr="002D4D0F">
        <w:rPr>
          <w:sz w:val="20"/>
          <w:szCs w:val="20"/>
        </w:rPr>
        <w:t>forward-looking</w:t>
      </w:r>
      <w:r w:rsidRPr="002D4D0F">
        <w:rPr>
          <w:spacing w:val="-2"/>
          <w:sz w:val="20"/>
          <w:szCs w:val="20"/>
        </w:rPr>
        <w:t xml:space="preserve"> </w:t>
      </w:r>
      <w:r w:rsidRPr="002D4D0F">
        <w:rPr>
          <w:sz w:val="20"/>
          <w:szCs w:val="20"/>
        </w:rPr>
        <w:t>information</w:t>
      </w:r>
      <w:r w:rsidRPr="002D4D0F">
        <w:rPr>
          <w:spacing w:val="-4"/>
          <w:sz w:val="20"/>
          <w:szCs w:val="20"/>
        </w:rPr>
        <w:t xml:space="preserve"> </w:t>
      </w:r>
      <w:r w:rsidRPr="002D4D0F">
        <w:rPr>
          <w:sz w:val="20"/>
          <w:szCs w:val="20"/>
        </w:rPr>
        <w:t>or</w:t>
      </w:r>
      <w:r w:rsidRPr="002D4D0F">
        <w:rPr>
          <w:spacing w:val="-3"/>
          <w:sz w:val="20"/>
          <w:szCs w:val="20"/>
        </w:rPr>
        <w:t xml:space="preserve"> </w:t>
      </w:r>
      <w:r w:rsidRPr="002D4D0F">
        <w:rPr>
          <w:sz w:val="20"/>
          <w:szCs w:val="20"/>
        </w:rPr>
        <w:t>statements.</w:t>
      </w:r>
      <w:r w:rsidRPr="002D4D0F">
        <w:rPr>
          <w:spacing w:val="-2"/>
          <w:sz w:val="20"/>
          <w:szCs w:val="20"/>
        </w:rPr>
        <w:t xml:space="preserve"> </w:t>
      </w:r>
      <w:r w:rsidRPr="002D4D0F">
        <w:rPr>
          <w:sz w:val="20"/>
          <w:szCs w:val="20"/>
        </w:rPr>
        <w:t>Forward-looking</w:t>
      </w:r>
      <w:r w:rsidRPr="002D4D0F">
        <w:rPr>
          <w:spacing w:val="-1"/>
          <w:sz w:val="20"/>
          <w:szCs w:val="20"/>
        </w:rPr>
        <w:t xml:space="preserve"> </w:t>
      </w:r>
      <w:r w:rsidRPr="002D4D0F">
        <w:rPr>
          <w:sz w:val="20"/>
          <w:szCs w:val="20"/>
        </w:rPr>
        <w:t>statements</w:t>
      </w:r>
      <w:r w:rsidRPr="002D4D0F">
        <w:rPr>
          <w:spacing w:val="-4"/>
          <w:sz w:val="20"/>
          <w:szCs w:val="20"/>
        </w:rPr>
        <w:t xml:space="preserve"> </w:t>
      </w:r>
      <w:r w:rsidRPr="002D4D0F">
        <w:rPr>
          <w:sz w:val="20"/>
          <w:szCs w:val="20"/>
        </w:rPr>
        <w:t>in</w:t>
      </w:r>
      <w:r w:rsidRPr="002D4D0F">
        <w:rPr>
          <w:spacing w:val="-1"/>
          <w:sz w:val="20"/>
          <w:szCs w:val="20"/>
        </w:rPr>
        <w:t xml:space="preserve"> </w:t>
      </w:r>
      <w:r w:rsidRPr="002D4D0F">
        <w:rPr>
          <w:sz w:val="20"/>
          <w:szCs w:val="20"/>
        </w:rPr>
        <w:t>this</w:t>
      </w:r>
      <w:r w:rsidRPr="002D4D0F">
        <w:rPr>
          <w:spacing w:val="-4"/>
          <w:sz w:val="20"/>
          <w:szCs w:val="20"/>
        </w:rPr>
        <w:t xml:space="preserve"> </w:t>
      </w:r>
      <w:r w:rsidRPr="002D4D0F">
        <w:rPr>
          <w:sz w:val="20"/>
          <w:szCs w:val="20"/>
        </w:rPr>
        <w:t>news</w:t>
      </w:r>
      <w:r w:rsidRPr="002D4D0F">
        <w:rPr>
          <w:spacing w:val="-3"/>
          <w:sz w:val="20"/>
          <w:szCs w:val="20"/>
        </w:rPr>
        <w:t xml:space="preserve"> </w:t>
      </w:r>
      <w:r w:rsidRPr="002D4D0F">
        <w:rPr>
          <w:sz w:val="20"/>
          <w:szCs w:val="20"/>
        </w:rPr>
        <w:t>release</w:t>
      </w:r>
      <w:r w:rsidRPr="002D4D0F">
        <w:rPr>
          <w:spacing w:val="-2"/>
          <w:sz w:val="20"/>
          <w:szCs w:val="20"/>
        </w:rPr>
        <w:t xml:space="preserve"> </w:t>
      </w:r>
      <w:r w:rsidRPr="002D4D0F">
        <w:rPr>
          <w:sz w:val="20"/>
          <w:szCs w:val="20"/>
        </w:rPr>
        <w:t>may</w:t>
      </w:r>
      <w:r w:rsidRPr="002D4D0F">
        <w:rPr>
          <w:spacing w:val="-5"/>
          <w:sz w:val="20"/>
          <w:szCs w:val="20"/>
        </w:rPr>
        <w:t xml:space="preserve"> </w:t>
      </w:r>
      <w:r w:rsidRPr="002D4D0F">
        <w:rPr>
          <w:sz w:val="20"/>
          <w:szCs w:val="20"/>
        </w:rPr>
        <w:t>include,</w:t>
      </w:r>
      <w:r w:rsidRPr="002D4D0F">
        <w:rPr>
          <w:spacing w:val="-4"/>
          <w:sz w:val="20"/>
          <w:szCs w:val="20"/>
        </w:rPr>
        <w:t xml:space="preserve"> </w:t>
      </w:r>
      <w:r w:rsidRPr="002D4D0F">
        <w:rPr>
          <w:sz w:val="20"/>
          <w:szCs w:val="20"/>
        </w:rPr>
        <w:t>but</w:t>
      </w:r>
      <w:r w:rsidRPr="002D4D0F">
        <w:rPr>
          <w:spacing w:val="-5"/>
          <w:sz w:val="20"/>
          <w:szCs w:val="20"/>
        </w:rPr>
        <w:t xml:space="preserve"> </w:t>
      </w:r>
      <w:r w:rsidRPr="002D4D0F">
        <w:rPr>
          <w:sz w:val="20"/>
          <w:szCs w:val="20"/>
        </w:rPr>
        <w:t>are</w:t>
      </w:r>
      <w:r w:rsidRPr="002D4D0F">
        <w:rPr>
          <w:spacing w:val="-4"/>
          <w:sz w:val="20"/>
          <w:szCs w:val="20"/>
        </w:rPr>
        <w:t xml:space="preserve"> </w:t>
      </w:r>
      <w:r w:rsidRPr="002D4D0F">
        <w:rPr>
          <w:sz w:val="20"/>
          <w:szCs w:val="20"/>
        </w:rPr>
        <w:t>not</w:t>
      </w:r>
      <w:r w:rsidRPr="002D4D0F">
        <w:rPr>
          <w:spacing w:val="-4"/>
          <w:sz w:val="20"/>
          <w:szCs w:val="20"/>
        </w:rPr>
        <w:t xml:space="preserve"> </w:t>
      </w:r>
      <w:r w:rsidRPr="002D4D0F">
        <w:rPr>
          <w:sz w:val="20"/>
          <w:szCs w:val="20"/>
        </w:rPr>
        <w:t>limited</w:t>
      </w:r>
      <w:r w:rsidRPr="002D4D0F">
        <w:rPr>
          <w:spacing w:val="1"/>
          <w:sz w:val="20"/>
          <w:szCs w:val="20"/>
        </w:rPr>
        <w:t xml:space="preserve"> </w:t>
      </w:r>
      <w:r w:rsidRPr="002D4D0F">
        <w:rPr>
          <w:sz w:val="20"/>
          <w:szCs w:val="20"/>
        </w:rPr>
        <w:t>to,</w:t>
      </w:r>
      <w:r w:rsidRPr="002D4D0F">
        <w:rPr>
          <w:spacing w:val="-4"/>
          <w:sz w:val="20"/>
          <w:szCs w:val="20"/>
        </w:rPr>
        <w:t xml:space="preserve"> </w:t>
      </w:r>
      <w:r w:rsidRPr="002D4D0F">
        <w:rPr>
          <w:sz w:val="20"/>
          <w:szCs w:val="20"/>
        </w:rPr>
        <w:t>statements</w:t>
      </w:r>
      <w:r w:rsidRPr="002D4D0F">
        <w:rPr>
          <w:spacing w:val="-5"/>
          <w:sz w:val="20"/>
          <w:szCs w:val="20"/>
        </w:rPr>
        <w:t xml:space="preserve"> </w:t>
      </w:r>
      <w:r w:rsidRPr="002D4D0F">
        <w:rPr>
          <w:sz w:val="20"/>
          <w:szCs w:val="20"/>
        </w:rPr>
        <w:t>with</w:t>
      </w:r>
      <w:r w:rsidRPr="002D4D0F">
        <w:rPr>
          <w:spacing w:val="-6"/>
          <w:sz w:val="20"/>
          <w:szCs w:val="20"/>
        </w:rPr>
        <w:t xml:space="preserve"> </w:t>
      </w:r>
      <w:r w:rsidRPr="002D4D0F">
        <w:rPr>
          <w:sz w:val="20"/>
          <w:szCs w:val="20"/>
        </w:rPr>
        <w:t>respect</w:t>
      </w:r>
      <w:r w:rsidRPr="002D4D0F">
        <w:rPr>
          <w:spacing w:val="-4"/>
          <w:sz w:val="20"/>
          <w:szCs w:val="20"/>
        </w:rPr>
        <w:t xml:space="preserve"> </w:t>
      </w:r>
      <w:r w:rsidRPr="002D4D0F">
        <w:rPr>
          <w:sz w:val="20"/>
          <w:szCs w:val="20"/>
        </w:rPr>
        <w:t>to</w:t>
      </w:r>
      <w:r w:rsidRPr="002D4D0F">
        <w:rPr>
          <w:spacing w:val="-4"/>
          <w:sz w:val="20"/>
          <w:szCs w:val="20"/>
        </w:rPr>
        <w:t xml:space="preserve"> </w:t>
      </w:r>
      <w:r w:rsidRPr="002D4D0F">
        <w:rPr>
          <w:sz w:val="20"/>
          <w:szCs w:val="20"/>
        </w:rPr>
        <w:t>internal</w:t>
      </w:r>
      <w:r w:rsidRPr="002D4D0F">
        <w:rPr>
          <w:spacing w:val="-5"/>
          <w:sz w:val="20"/>
          <w:szCs w:val="20"/>
        </w:rPr>
        <w:t xml:space="preserve"> </w:t>
      </w:r>
      <w:r w:rsidRPr="002D4D0F">
        <w:rPr>
          <w:sz w:val="20"/>
          <w:szCs w:val="20"/>
        </w:rPr>
        <w:t>expectations,</w:t>
      </w:r>
      <w:r w:rsidRPr="002D4D0F">
        <w:rPr>
          <w:spacing w:val="-4"/>
          <w:sz w:val="20"/>
          <w:szCs w:val="20"/>
        </w:rPr>
        <w:t xml:space="preserve"> </w:t>
      </w:r>
      <w:r w:rsidRPr="002D4D0F">
        <w:rPr>
          <w:sz w:val="20"/>
          <w:szCs w:val="20"/>
        </w:rPr>
        <w:t>the</w:t>
      </w:r>
      <w:r w:rsidRPr="002D4D0F">
        <w:rPr>
          <w:spacing w:val="-5"/>
          <w:sz w:val="20"/>
          <w:szCs w:val="20"/>
        </w:rPr>
        <w:t xml:space="preserve"> </w:t>
      </w:r>
      <w:r w:rsidRPr="002D4D0F">
        <w:rPr>
          <w:sz w:val="20"/>
          <w:szCs w:val="20"/>
        </w:rPr>
        <w:t>Company</w:t>
      </w:r>
      <w:r w:rsidRPr="002D4D0F">
        <w:rPr>
          <w:spacing w:val="-5"/>
          <w:sz w:val="20"/>
          <w:szCs w:val="20"/>
        </w:rPr>
        <w:t xml:space="preserve"> </w:t>
      </w:r>
      <w:r w:rsidRPr="002D4D0F">
        <w:rPr>
          <w:sz w:val="20"/>
          <w:szCs w:val="20"/>
        </w:rPr>
        <w:t>being</w:t>
      </w:r>
      <w:r w:rsidRPr="002D4D0F">
        <w:rPr>
          <w:spacing w:val="-6"/>
          <w:sz w:val="20"/>
          <w:szCs w:val="20"/>
        </w:rPr>
        <w:t xml:space="preserve"> </w:t>
      </w:r>
      <w:r w:rsidRPr="002D4D0F">
        <w:rPr>
          <w:sz w:val="20"/>
          <w:szCs w:val="20"/>
        </w:rPr>
        <w:t>able</w:t>
      </w:r>
      <w:r w:rsidRPr="002D4D0F">
        <w:rPr>
          <w:spacing w:val="-4"/>
          <w:sz w:val="20"/>
          <w:szCs w:val="20"/>
        </w:rPr>
        <w:t xml:space="preserve"> </w:t>
      </w:r>
      <w:r w:rsidRPr="002D4D0F">
        <w:rPr>
          <w:sz w:val="20"/>
          <w:szCs w:val="20"/>
        </w:rPr>
        <w:t>to</w:t>
      </w:r>
      <w:r w:rsidRPr="002D4D0F">
        <w:rPr>
          <w:spacing w:val="-4"/>
          <w:sz w:val="20"/>
          <w:szCs w:val="20"/>
        </w:rPr>
        <w:t xml:space="preserve"> </w:t>
      </w:r>
      <w:r w:rsidRPr="002D4D0F">
        <w:rPr>
          <w:sz w:val="20"/>
          <w:szCs w:val="20"/>
        </w:rPr>
        <w:t>successfully</w:t>
      </w:r>
      <w:r w:rsidRPr="002D4D0F">
        <w:rPr>
          <w:spacing w:val="-3"/>
          <w:sz w:val="20"/>
          <w:szCs w:val="20"/>
        </w:rPr>
        <w:t xml:space="preserve"> </w:t>
      </w:r>
      <w:r w:rsidRPr="002D4D0F">
        <w:rPr>
          <w:sz w:val="20"/>
          <w:szCs w:val="20"/>
        </w:rPr>
        <w:t>execute</w:t>
      </w:r>
      <w:r w:rsidRPr="002D4D0F">
        <w:rPr>
          <w:spacing w:val="-7"/>
          <w:sz w:val="20"/>
          <w:szCs w:val="20"/>
        </w:rPr>
        <w:t xml:space="preserve"> </w:t>
      </w:r>
      <w:r w:rsidRPr="002D4D0F">
        <w:rPr>
          <w:sz w:val="20"/>
          <w:szCs w:val="20"/>
        </w:rPr>
        <w:t>its</w:t>
      </w:r>
      <w:r w:rsidRPr="002D4D0F">
        <w:rPr>
          <w:spacing w:val="-5"/>
          <w:sz w:val="20"/>
          <w:szCs w:val="20"/>
        </w:rPr>
        <w:t xml:space="preserve"> </w:t>
      </w:r>
      <w:r w:rsidRPr="002D4D0F">
        <w:rPr>
          <w:sz w:val="20"/>
          <w:szCs w:val="20"/>
        </w:rPr>
        <w:t>business</w:t>
      </w:r>
      <w:r w:rsidRPr="002D4D0F">
        <w:rPr>
          <w:spacing w:val="-5"/>
          <w:sz w:val="20"/>
          <w:szCs w:val="20"/>
        </w:rPr>
        <w:t xml:space="preserve"> </w:t>
      </w:r>
      <w:r w:rsidRPr="002D4D0F">
        <w:rPr>
          <w:sz w:val="20"/>
          <w:szCs w:val="20"/>
        </w:rPr>
        <w:t>strategy,</w:t>
      </w:r>
      <w:r w:rsidRPr="002D4D0F">
        <w:rPr>
          <w:spacing w:val="-3"/>
          <w:sz w:val="20"/>
          <w:szCs w:val="20"/>
        </w:rPr>
        <w:t xml:space="preserve"> </w:t>
      </w:r>
      <w:r w:rsidR="002D4D0F">
        <w:rPr>
          <w:spacing w:val="-3"/>
          <w:sz w:val="20"/>
          <w:szCs w:val="20"/>
        </w:rPr>
        <w:t xml:space="preserve">statements regarding the development of a mobile version of the Platform and professional terminal, </w:t>
      </w:r>
      <w:r w:rsidRPr="002D4D0F">
        <w:rPr>
          <w:sz w:val="20"/>
          <w:szCs w:val="20"/>
        </w:rPr>
        <w:t>the</w:t>
      </w:r>
      <w:r w:rsidRPr="002D4D0F">
        <w:rPr>
          <w:spacing w:val="1"/>
          <w:sz w:val="20"/>
          <w:szCs w:val="20"/>
        </w:rPr>
        <w:t xml:space="preserve"> </w:t>
      </w:r>
      <w:r w:rsidRPr="002D4D0F">
        <w:rPr>
          <w:sz w:val="20"/>
          <w:szCs w:val="20"/>
        </w:rPr>
        <w:t>continued availability of capital and financing, and general economic market or business conditions. The forward-looking</w:t>
      </w:r>
      <w:r w:rsidRPr="002D4D0F">
        <w:rPr>
          <w:spacing w:val="1"/>
          <w:sz w:val="20"/>
          <w:szCs w:val="20"/>
        </w:rPr>
        <w:t xml:space="preserve"> </w:t>
      </w:r>
      <w:r w:rsidRPr="002D4D0F">
        <w:rPr>
          <w:sz w:val="20"/>
          <w:szCs w:val="20"/>
        </w:rPr>
        <w:t xml:space="preserve">statements and information are based on certain key expectations and assumptions made by management. </w:t>
      </w:r>
    </w:p>
    <w:p w14:paraId="32DDD4C0" w14:textId="77777777" w:rsidR="00A04098" w:rsidRPr="002D4D0F" w:rsidRDefault="00A04098" w:rsidP="002D4D0F">
      <w:pPr>
        <w:pStyle w:val="BodyText"/>
        <w:kinsoku w:val="0"/>
        <w:overflowPunct w:val="0"/>
        <w:spacing w:before="182" w:line="259" w:lineRule="auto"/>
        <w:ind w:left="120" w:right="228"/>
        <w:jc w:val="both"/>
        <w:rPr>
          <w:i w:val="0"/>
          <w:iCs w:val="0"/>
          <w:sz w:val="20"/>
          <w:szCs w:val="20"/>
        </w:rPr>
      </w:pPr>
      <w:r w:rsidRPr="002D4D0F">
        <w:rPr>
          <w:sz w:val="20"/>
          <w:szCs w:val="20"/>
        </w:rPr>
        <w:t>Although</w:t>
      </w:r>
      <w:r w:rsidRPr="002D4D0F">
        <w:rPr>
          <w:spacing w:val="1"/>
          <w:sz w:val="20"/>
          <w:szCs w:val="20"/>
        </w:rPr>
        <w:t xml:space="preserve"> </w:t>
      </w:r>
      <w:r w:rsidRPr="002D4D0F">
        <w:rPr>
          <w:sz w:val="20"/>
          <w:szCs w:val="20"/>
        </w:rPr>
        <w:t>management</w:t>
      </w:r>
      <w:r w:rsidRPr="002D4D0F">
        <w:rPr>
          <w:spacing w:val="-5"/>
          <w:sz w:val="20"/>
          <w:szCs w:val="20"/>
        </w:rPr>
        <w:t xml:space="preserve"> </w:t>
      </w:r>
      <w:r w:rsidRPr="002D4D0F">
        <w:rPr>
          <w:sz w:val="20"/>
          <w:szCs w:val="20"/>
        </w:rPr>
        <w:t>of</w:t>
      </w:r>
      <w:r w:rsidRPr="002D4D0F">
        <w:rPr>
          <w:spacing w:val="-5"/>
          <w:sz w:val="20"/>
          <w:szCs w:val="20"/>
        </w:rPr>
        <w:t xml:space="preserve"> </w:t>
      </w:r>
      <w:r w:rsidRPr="002D4D0F">
        <w:rPr>
          <w:sz w:val="20"/>
          <w:szCs w:val="20"/>
        </w:rPr>
        <w:t>the</w:t>
      </w:r>
      <w:r w:rsidRPr="002D4D0F">
        <w:rPr>
          <w:spacing w:val="-4"/>
          <w:sz w:val="20"/>
          <w:szCs w:val="20"/>
        </w:rPr>
        <w:t xml:space="preserve"> </w:t>
      </w:r>
      <w:r w:rsidRPr="002D4D0F">
        <w:rPr>
          <w:sz w:val="20"/>
          <w:szCs w:val="20"/>
        </w:rPr>
        <w:t>Company</w:t>
      </w:r>
      <w:r w:rsidRPr="002D4D0F">
        <w:rPr>
          <w:spacing w:val="-4"/>
          <w:sz w:val="20"/>
          <w:szCs w:val="20"/>
        </w:rPr>
        <w:t xml:space="preserve"> </w:t>
      </w:r>
      <w:r w:rsidRPr="002D4D0F">
        <w:rPr>
          <w:sz w:val="20"/>
          <w:szCs w:val="20"/>
        </w:rPr>
        <w:t>believes</w:t>
      </w:r>
      <w:r w:rsidRPr="002D4D0F">
        <w:rPr>
          <w:spacing w:val="-5"/>
          <w:sz w:val="20"/>
          <w:szCs w:val="20"/>
        </w:rPr>
        <w:t xml:space="preserve"> </w:t>
      </w:r>
      <w:r w:rsidRPr="002D4D0F">
        <w:rPr>
          <w:sz w:val="20"/>
          <w:szCs w:val="20"/>
        </w:rPr>
        <w:t>that</w:t>
      </w:r>
      <w:r w:rsidRPr="002D4D0F">
        <w:rPr>
          <w:spacing w:val="-5"/>
          <w:sz w:val="20"/>
          <w:szCs w:val="20"/>
        </w:rPr>
        <w:t xml:space="preserve"> </w:t>
      </w:r>
      <w:r w:rsidRPr="002D4D0F">
        <w:rPr>
          <w:sz w:val="20"/>
          <w:szCs w:val="20"/>
        </w:rPr>
        <w:t>the</w:t>
      </w:r>
      <w:r w:rsidRPr="002D4D0F">
        <w:rPr>
          <w:spacing w:val="-4"/>
          <w:sz w:val="20"/>
          <w:szCs w:val="20"/>
        </w:rPr>
        <w:t xml:space="preserve"> </w:t>
      </w:r>
      <w:r w:rsidRPr="002D4D0F">
        <w:rPr>
          <w:sz w:val="20"/>
          <w:szCs w:val="20"/>
        </w:rPr>
        <w:t>expectations</w:t>
      </w:r>
      <w:r w:rsidRPr="002D4D0F">
        <w:rPr>
          <w:spacing w:val="-5"/>
          <w:sz w:val="20"/>
          <w:szCs w:val="20"/>
        </w:rPr>
        <w:t xml:space="preserve"> </w:t>
      </w:r>
      <w:r w:rsidRPr="002D4D0F">
        <w:rPr>
          <w:sz w:val="20"/>
          <w:szCs w:val="20"/>
        </w:rPr>
        <w:t>and</w:t>
      </w:r>
      <w:r w:rsidRPr="002D4D0F">
        <w:rPr>
          <w:spacing w:val="-4"/>
          <w:sz w:val="20"/>
          <w:szCs w:val="20"/>
        </w:rPr>
        <w:t xml:space="preserve"> </w:t>
      </w:r>
      <w:r w:rsidRPr="002D4D0F">
        <w:rPr>
          <w:sz w:val="20"/>
          <w:szCs w:val="20"/>
        </w:rPr>
        <w:t>assumptions</w:t>
      </w:r>
      <w:r w:rsidRPr="002D4D0F">
        <w:rPr>
          <w:spacing w:val="-4"/>
          <w:sz w:val="20"/>
          <w:szCs w:val="20"/>
        </w:rPr>
        <w:t xml:space="preserve"> </w:t>
      </w:r>
      <w:r w:rsidRPr="002D4D0F">
        <w:rPr>
          <w:sz w:val="20"/>
          <w:szCs w:val="20"/>
        </w:rPr>
        <w:t>on</w:t>
      </w:r>
      <w:r w:rsidRPr="002D4D0F">
        <w:rPr>
          <w:spacing w:val="-6"/>
          <w:sz w:val="20"/>
          <w:szCs w:val="20"/>
        </w:rPr>
        <w:t xml:space="preserve"> </w:t>
      </w:r>
      <w:r w:rsidRPr="002D4D0F">
        <w:rPr>
          <w:sz w:val="20"/>
          <w:szCs w:val="20"/>
        </w:rPr>
        <w:t>which</w:t>
      </w:r>
      <w:r w:rsidRPr="002D4D0F">
        <w:rPr>
          <w:spacing w:val="-4"/>
          <w:sz w:val="20"/>
          <w:szCs w:val="20"/>
        </w:rPr>
        <w:t xml:space="preserve"> </w:t>
      </w:r>
      <w:r w:rsidRPr="002D4D0F">
        <w:rPr>
          <w:sz w:val="20"/>
          <w:szCs w:val="20"/>
        </w:rPr>
        <w:t>such</w:t>
      </w:r>
      <w:r w:rsidRPr="002D4D0F">
        <w:rPr>
          <w:spacing w:val="-4"/>
          <w:sz w:val="20"/>
          <w:szCs w:val="20"/>
        </w:rPr>
        <w:t xml:space="preserve"> </w:t>
      </w:r>
      <w:r w:rsidRPr="002D4D0F">
        <w:rPr>
          <w:sz w:val="20"/>
          <w:szCs w:val="20"/>
        </w:rPr>
        <w:t>forward-looking</w:t>
      </w:r>
      <w:r w:rsidRPr="002D4D0F">
        <w:rPr>
          <w:spacing w:val="-3"/>
          <w:sz w:val="20"/>
          <w:szCs w:val="20"/>
        </w:rPr>
        <w:t xml:space="preserve"> </w:t>
      </w:r>
      <w:r w:rsidRPr="002D4D0F">
        <w:rPr>
          <w:sz w:val="20"/>
          <w:szCs w:val="20"/>
        </w:rPr>
        <w:t>statements</w:t>
      </w:r>
      <w:r w:rsidRPr="002D4D0F">
        <w:rPr>
          <w:spacing w:val="-5"/>
          <w:sz w:val="20"/>
          <w:szCs w:val="20"/>
        </w:rPr>
        <w:t xml:space="preserve"> </w:t>
      </w:r>
      <w:r w:rsidRPr="002D4D0F">
        <w:rPr>
          <w:sz w:val="20"/>
          <w:szCs w:val="20"/>
        </w:rPr>
        <w:t>and</w:t>
      </w:r>
      <w:r w:rsidRPr="002D4D0F">
        <w:rPr>
          <w:spacing w:val="1"/>
          <w:sz w:val="20"/>
          <w:szCs w:val="20"/>
        </w:rPr>
        <w:t xml:space="preserve"> </w:t>
      </w:r>
      <w:r w:rsidRPr="002D4D0F">
        <w:rPr>
          <w:sz w:val="20"/>
          <w:szCs w:val="20"/>
        </w:rPr>
        <w:t>information</w:t>
      </w:r>
      <w:r w:rsidRPr="002D4D0F">
        <w:rPr>
          <w:spacing w:val="1"/>
          <w:sz w:val="20"/>
          <w:szCs w:val="20"/>
        </w:rPr>
        <w:t xml:space="preserve"> </w:t>
      </w:r>
      <w:r w:rsidRPr="002D4D0F">
        <w:rPr>
          <w:sz w:val="20"/>
          <w:szCs w:val="20"/>
        </w:rPr>
        <w:t>are</w:t>
      </w:r>
      <w:r w:rsidRPr="002D4D0F">
        <w:rPr>
          <w:spacing w:val="1"/>
          <w:sz w:val="20"/>
          <w:szCs w:val="20"/>
        </w:rPr>
        <w:t xml:space="preserve"> </w:t>
      </w:r>
      <w:r w:rsidRPr="002D4D0F">
        <w:rPr>
          <w:sz w:val="20"/>
          <w:szCs w:val="20"/>
        </w:rPr>
        <w:t>based</w:t>
      </w:r>
      <w:r w:rsidRPr="002D4D0F">
        <w:rPr>
          <w:spacing w:val="1"/>
          <w:sz w:val="20"/>
          <w:szCs w:val="20"/>
        </w:rPr>
        <w:t xml:space="preserve"> </w:t>
      </w:r>
      <w:r w:rsidRPr="002D4D0F">
        <w:rPr>
          <w:sz w:val="20"/>
          <w:szCs w:val="20"/>
        </w:rPr>
        <w:t>are</w:t>
      </w:r>
      <w:r w:rsidRPr="002D4D0F">
        <w:rPr>
          <w:spacing w:val="1"/>
          <w:sz w:val="20"/>
          <w:szCs w:val="20"/>
        </w:rPr>
        <w:t xml:space="preserve"> </w:t>
      </w:r>
      <w:r w:rsidRPr="002D4D0F">
        <w:rPr>
          <w:sz w:val="20"/>
          <w:szCs w:val="20"/>
        </w:rPr>
        <w:t>reasonable,</w:t>
      </w:r>
      <w:r w:rsidRPr="002D4D0F">
        <w:rPr>
          <w:spacing w:val="1"/>
          <w:sz w:val="20"/>
          <w:szCs w:val="20"/>
        </w:rPr>
        <w:t xml:space="preserve"> </w:t>
      </w:r>
      <w:r w:rsidRPr="002D4D0F">
        <w:rPr>
          <w:sz w:val="20"/>
          <w:szCs w:val="20"/>
        </w:rPr>
        <w:t>undue</w:t>
      </w:r>
      <w:r w:rsidRPr="002D4D0F">
        <w:rPr>
          <w:spacing w:val="1"/>
          <w:sz w:val="20"/>
          <w:szCs w:val="20"/>
        </w:rPr>
        <w:t xml:space="preserve"> </w:t>
      </w:r>
      <w:r w:rsidRPr="002D4D0F">
        <w:rPr>
          <w:sz w:val="20"/>
          <w:szCs w:val="20"/>
        </w:rPr>
        <w:t>reliance</w:t>
      </w:r>
      <w:r w:rsidRPr="002D4D0F">
        <w:rPr>
          <w:spacing w:val="1"/>
          <w:sz w:val="20"/>
          <w:szCs w:val="20"/>
        </w:rPr>
        <w:t xml:space="preserve"> </w:t>
      </w:r>
      <w:r w:rsidRPr="002D4D0F">
        <w:rPr>
          <w:sz w:val="20"/>
          <w:szCs w:val="20"/>
        </w:rPr>
        <w:t>should</w:t>
      </w:r>
      <w:r w:rsidRPr="002D4D0F">
        <w:rPr>
          <w:spacing w:val="1"/>
          <w:sz w:val="20"/>
          <w:szCs w:val="20"/>
        </w:rPr>
        <w:t xml:space="preserve"> </w:t>
      </w:r>
      <w:r w:rsidRPr="002D4D0F">
        <w:rPr>
          <w:sz w:val="20"/>
          <w:szCs w:val="20"/>
        </w:rPr>
        <w:t>not</w:t>
      </w:r>
      <w:r w:rsidRPr="002D4D0F">
        <w:rPr>
          <w:spacing w:val="1"/>
          <w:sz w:val="20"/>
          <w:szCs w:val="20"/>
        </w:rPr>
        <w:t xml:space="preserve"> </w:t>
      </w:r>
      <w:r w:rsidRPr="002D4D0F">
        <w:rPr>
          <w:sz w:val="20"/>
          <w:szCs w:val="20"/>
        </w:rPr>
        <w:t>be</w:t>
      </w:r>
      <w:r w:rsidRPr="002D4D0F">
        <w:rPr>
          <w:spacing w:val="1"/>
          <w:sz w:val="20"/>
          <w:szCs w:val="20"/>
        </w:rPr>
        <w:t xml:space="preserve"> </w:t>
      </w:r>
      <w:r w:rsidRPr="002D4D0F">
        <w:rPr>
          <w:sz w:val="20"/>
          <w:szCs w:val="20"/>
        </w:rPr>
        <w:t>placed</w:t>
      </w:r>
      <w:r w:rsidRPr="002D4D0F">
        <w:rPr>
          <w:spacing w:val="1"/>
          <w:sz w:val="20"/>
          <w:szCs w:val="20"/>
        </w:rPr>
        <w:t xml:space="preserve"> </w:t>
      </w:r>
      <w:r w:rsidRPr="002D4D0F">
        <w:rPr>
          <w:sz w:val="20"/>
          <w:szCs w:val="20"/>
        </w:rPr>
        <w:t>on</w:t>
      </w:r>
      <w:r w:rsidRPr="002D4D0F">
        <w:rPr>
          <w:spacing w:val="1"/>
          <w:sz w:val="20"/>
          <w:szCs w:val="20"/>
        </w:rPr>
        <w:t xml:space="preserve"> </w:t>
      </w:r>
      <w:r w:rsidRPr="002D4D0F">
        <w:rPr>
          <w:sz w:val="20"/>
          <w:szCs w:val="20"/>
        </w:rPr>
        <w:t>the</w:t>
      </w:r>
      <w:r w:rsidRPr="002D4D0F">
        <w:rPr>
          <w:spacing w:val="1"/>
          <w:sz w:val="20"/>
          <w:szCs w:val="20"/>
        </w:rPr>
        <w:t xml:space="preserve"> </w:t>
      </w:r>
      <w:r w:rsidRPr="002D4D0F">
        <w:rPr>
          <w:sz w:val="20"/>
          <w:szCs w:val="20"/>
        </w:rPr>
        <w:t>forward-looking</w:t>
      </w:r>
      <w:r w:rsidRPr="002D4D0F">
        <w:rPr>
          <w:spacing w:val="1"/>
          <w:sz w:val="20"/>
          <w:szCs w:val="20"/>
        </w:rPr>
        <w:t xml:space="preserve"> </w:t>
      </w:r>
      <w:r w:rsidRPr="002D4D0F">
        <w:rPr>
          <w:sz w:val="20"/>
          <w:szCs w:val="20"/>
        </w:rPr>
        <w:t>statements</w:t>
      </w:r>
      <w:r w:rsidRPr="002D4D0F">
        <w:rPr>
          <w:spacing w:val="1"/>
          <w:sz w:val="20"/>
          <w:szCs w:val="20"/>
        </w:rPr>
        <w:t xml:space="preserve"> </w:t>
      </w:r>
      <w:r w:rsidRPr="002D4D0F">
        <w:rPr>
          <w:sz w:val="20"/>
          <w:szCs w:val="20"/>
        </w:rPr>
        <w:t>and</w:t>
      </w:r>
      <w:r w:rsidRPr="002D4D0F">
        <w:rPr>
          <w:spacing w:val="1"/>
          <w:sz w:val="20"/>
          <w:szCs w:val="20"/>
        </w:rPr>
        <w:t xml:space="preserve"> </w:t>
      </w:r>
      <w:r w:rsidRPr="002D4D0F">
        <w:rPr>
          <w:sz w:val="20"/>
          <w:szCs w:val="20"/>
        </w:rPr>
        <w:t>information. There can be no assurance that they will prove to be correct. By its nature, such forward-looking information is</w:t>
      </w:r>
      <w:r w:rsidRPr="002D4D0F">
        <w:rPr>
          <w:spacing w:val="1"/>
          <w:sz w:val="20"/>
          <w:szCs w:val="20"/>
        </w:rPr>
        <w:t xml:space="preserve"> </w:t>
      </w:r>
      <w:r w:rsidRPr="002D4D0F">
        <w:rPr>
          <w:sz w:val="20"/>
          <w:szCs w:val="20"/>
        </w:rPr>
        <w:t>subject to various risks and uncertainties, which could cause the actual results and expectations to differ materially from the</w:t>
      </w:r>
      <w:r w:rsidRPr="002D4D0F">
        <w:rPr>
          <w:spacing w:val="1"/>
          <w:sz w:val="20"/>
          <w:szCs w:val="20"/>
        </w:rPr>
        <w:t xml:space="preserve"> </w:t>
      </w:r>
      <w:r w:rsidRPr="002D4D0F">
        <w:rPr>
          <w:sz w:val="20"/>
          <w:szCs w:val="20"/>
        </w:rPr>
        <w:t>anticipated results or expectations expressed. These risks and uncertainties, include, but are not limited to, general economic</w:t>
      </w:r>
      <w:r w:rsidRPr="002D4D0F">
        <w:rPr>
          <w:spacing w:val="-38"/>
          <w:sz w:val="20"/>
          <w:szCs w:val="20"/>
        </w:rPr>
        <w:t xml:space="preserve"> </w:t>
      </w:r>
      <w:r w:rsidRPr="002D4D0F">
        <w:rPr>
          <w:sz w:val="20"/>
          <w:szCs w:val="20"/>
        </w:rPr>
        <w:t>conditions, the state of the regulatory environment in which the Company operates, competition, loss of markets, inability to</w:t>
      </w:r>
      <w:r w:rsidRPr="002D4D0F">
        <w:rPr>
          <w:spacing w:val="-38"/>
          <w:sz w:val="20"/>
          <w:szCs w:val="20"/>
        </w:rPr>
        <w:t xml:space="preserve"> </w:t>
      </w:r>
      <w:r w:rsidRPr="002D4D0F">
        <w:rPr>
          <w:sz w:val="20"/>
          <w:szCs w:val="20"/>
        </w:rPr>
        <w:t>access sufficient capital from internal and external sources, currency and interest rate fluctuations, and other risks. Please</w:t>
      </w:r>
      <w:r w:rsidRPr="002D4D0F">
        <w:rPr>
          <w:spacing w:val="1"/>
          <w:sz w:val="20"/>
          <w:szCs w:val="20"/>
        </w:rPr>
        <w:t xml:space="preserve"> </w:t>
      </w:r>
      <w:r w:rsidRPr="002D4D0F">
        <w:rPr>
          <w:sz w:val="20"/>
          <w:szCs w:val="20"/>
        </w:rPr>
        <w:t>refer to the Listing Statement for more details on the risks faced by the Company. Readers are cautioned not to place undue</w:t>
      </w:r>
      <w:r w:rsidRPr="002D4D0F">
        <w:rPr>
          <w:spacing w:val="1"/>
          <w:sz w:val="20"/>
          <w:szCs w:val="20"/>
        </w:rPr>
        <w:t xml:space="preserve"> </w:t>
      </w:r>
      <w:r w:rsidRPr="002D4D0F">
        <w:rPr>
          <w:sz w:val="20"/>
          <w:szCs w:val="20"/>
        </w:rPr>
        <w:t>reliance on this forward-looking information, which is given as of the date hereof, and to not use such forward- looking</w:t>
      </w:r>
      <w:r w:rsidRPr="002D4D0F">
        <w:rPr>
          <w:spacing w:val="1"/>
          <w:sz w:val="20"/>
          <w:szCs w:val="20"/>
        </w:rPr>
        <w:t xml:space="preserve"> </w:t>
      </w:r>
      <w:r w:rsidRPr="002D4D0F">
        <w:rPr>
          <w:sz w:val="20"/>
          <w:szCs w:val="20"/>
        </w:rPr>
        <w:t>information for anything other than its intended purpose. Management of the Company undertakes no obligation to update</w:t>
      </w:r>
      <w:r w:rsidRPr="002D4D0F">
        <w:rPr>
          <w:spacing w:val="1"/>
          <w:sz w:val="20"/>
          <w:szCs w:val="20"/>
        </w:rPr>
        <w:t xml:space="preserve"> </w:t>
      </w:r>
      <w:r w:rsidRPr="002D4D0F">
        <w:rPr>
          <w:sz w:val="20"/>
          <w:szCs w:val="20"/>
        </w:rPr>
        <w:t>publicly</w:t>
      </w:r>
      <w:r w:rsidRPr="002D4D0F">
        <w:rPr>
          <w:spacing w:val="-4"/>
          <w:sz w:val="20"/>
          <w:szCs w:val="20"/>
        </w:rPr>
        <w:t xml:space="preserve"> </w:t>
      </w:r>
      <w:r w:rsidRPr="002D4D0F">
        <w:rPr>
          <w:sz w:val="20"/>
          <w:szCs w:val="20"/>
        </w:rPr>
        <w:t>or</w:t>
      </w:r>
      <w:r w:rsidRPr="002D4D0F">
        <w:rPr>
          <w:spacing w:val="-4"/>
          <w:sz w:val="20"/>
          <w:szCs w:val="20"/>
        </w:rPr>
        <w:t xml:space="preserve"> </w:t>
      </w:r>
      <w:r w:rsidRPr="002D4D0F">
        <w:rPr>
          <w:sz w:val="20"/>
          <w:szCs w:val="20"/>
        </w:rPr>
        <w:t>revise</w:t>
      </w:r>
      <w:r w:rsidRPr="002D4D0F">
        <w:rPr>
          <w:spacing w:val="-4"/>
          <w:sz w:val="20"/>
          <w:szCs w:val="20"/>
        </w:rPr>
        <w:t xml:space="preserve"> </w:t>
      </w:r>
      <w:r w:rsidRPr="002D4D0F">
        <w:rPr>
          <w:sz w:val="20"/>
          <w:szCs w:val="20"/>
        </w:rPr>
        <w:t>any</w:t>
      </w:r>
      <w:r w:rsidRPr="002D4D0F">
        <w:rPr>
          <w:spacing w:val="-4"/>
          <w:sz w:val="20"/>
          <w:szCs w:val="20"/>
        </w:rPr>
        <w:t xml:space="preserve"> </w:t>
      </w:r>
      <w:r w:rsidRPr="002D4D0F">
        <w:rPr>
          <w:sz w:val="20"/>
          <w:szCs w:val="20"/>
        </w:rPr>
        <w:t>forward-looking</w:t>
      </w:r>
      <w:r w:rsidRPr="002D4D0F">
        <w:rPr>
          <w:spacing w:val="-4"/>
          <w:sz w:val="20"/>
          <w:szCs w:val="20"/>
        </w:rPr>
        <w:t xml:space="preserve"> </w:t>
      </w:r>
      <w:r w:rsidRPr="002D4D0F">
        <w:rPr>
          <w:sz w:val="20"/>
          <w:szCs w:val="20"/>
        </w:rPr>
        <w:t>information,</w:t>
      </w:r>
      <w:r w:rsidRPr="002D4D0F">
        <w:rPr>
          <w:spacing w:val="-4"/>
          <w:sz w:val="20"/>
          <w:szCs w:val="20"/>
        </w:rPr>
        <w:t xml:space="preserve"> </w:t>
      </w:r>
      <w:r w:rsidRPr="002D4D0F">
        <w:rPr>
          <w:sz w:val="20"/>
          <w:szCs w:val="20"/>
        </w:rPr>
        <w:t>whether</w:t>
      </w:r>
      <w:r w:rsidRPr="002D4D0F">
        <w:rPr>
          <w:spacing w:val="-6"/>
          <w:sz w:val="20"/>
          <w:szCs w:val="20"/>
        </w:rPr>
        <w:t xml:space="preserve"> </w:t>
      </w:r>
      <w:r w:rsidRPr="002D4D0F">
        <w:rPr>
          <w:sz w:val="20"/>
          <w:szCs w:val="20"/>
        </w:rPr>
        <w:t>as</w:t>
      </w:r>
      <w:r w:rsidRPr="002D4D0F">
        <w:rPr>
          <w:spacing w:val="-4"/>
          <w:sz w:val="20"/>
          <w:szCs w:val="20"/>
        </w:rPr>
        <w:t xml:space="preserve"> </w:t>
      </w:r>
      <w:r w:rsidRPr="002D4D0F">
        <w:rPr>
          <w:sz w:val="20"/>
          <w:szCs w:val="20"/>
        </w:rPr>
        <w:t>a</w:t>
      </w:r>
      <w:r w:rsidRPr="002D4D0F">
        <w:rPr>
          <w:spacing w:val="-4"/>
          <w:sz w:val="20"/>
          <w:szCs w:val="20"/>
        </w:rPr>
        <w:t xml:space="preserve"> </w:t>
      </w:r>
      <w:r w:rsidRPr="002D4D0F">
        <w:rPr>
          <w:sz w:val="20"/>
          <w:szCs w:val="20"/>
        </w:rPr>
        <w:t>result</w:t>
      </w:r>
      <w:r w:rsidRPr="002D4D0F">
        <w:rPr>
          <w:spacing w:val="-5"/>
          <w:sz w:val="20"/>
          <w:szCs w:val="20"/>
        </w:rPr>
        <w:t xml:space="preserve"> </w:t>
      </w:r>
      <w:r w:rsidRPr="002D4D0F">
        <w:rPr>
          <w:sz w:val="20"/>
          <w:szCs w:val="20"/>
        </w:rPr>
        <w:t>of</w:t>
      </w:r>
      <w:r w:rsidRPr="002D4D0F">
        <w:rPr>
          <w:spacing w:val="-5"/>
          <w:sz w:val="20"/>
          <w:szCs w:val="20"/>
        </w:rPr>
        <w:t xml:space="preserve"> </w:t>
      </w:r>
      <w:r w:rsidRPr="002D4D0F">
        <w:rPr>
          <w:sz w:val="20"/>
          <w:szCs w:val="20"/>
        </w:rPr>
        <w:t>new</w:t>
      </w:r>
      <w:r w:rsidRPr="002D4D0F">
        <w:rPr>
          <w:spacing w:val="-4"/>
          <w:sz w:val="20"/>
          <w:szCs w:val="20"/>
        </w:rPr>
        <w:t xml:space="preserve"> </w:t>
      </w:r>
      <w:r w:rsidRPr="002D4D0F">
        <w:rPr>
          <w:sz w:val="20"/>
          <w:szCs w:val="20"/>
        </w:rPr>
        <w:t>information,</w:t>
      </w:r>
      <w:r w:rsidRPr="002D4D0F">
        <w:rPr>
          <w:spacing w:val="-4"/>
          <w:sz w:val="20"/>
          <w:szCs w:val="20"/>
        </w:rPr>
        <w:t xml:space="preserve"> </w:t>
      </w:r>
      <w:r w:rsidRPr="002D4D0F">
        <w:rPr>
          <w:sz w:val="20"/>
          <w:szCs w:val="20"/>
        </w:rPr>
        <w:t>future</w:t>
      </w:r>
      <w:r w:rsidRPr="002D4D0F">
        <w:rPr>
          <w:spacing w:val="-4"/>
          <w:sz w:val="20"/>
          <w:szCs w:val="20"/>
        </w:rPr>
        <w:t xml:space="preserve"> </w:t>
      </w:r>
      <w:r w:rsidRPr="002D4D0F">
        <w:rPr>
          <w:sz w:val="20"/>
          <w:szCs w:val="20"/>
        </w:rPr>
        <w:t>events</w:t>
      </w:r>
      <w:r w:rsidRPr="002D4D0F">
        <w:rPr>
          <w:spacing w:val="-5"/>
          <w:sz w:val="20"/>
          <w:szCs w:val="20"/>
        </w:rPr>
        <w:t xml:space="preserve"> </w:t>
      </w:r>
      <w:r w:rsidRPr="002D4D0F">
        <w:rPr>
          <w:sz w:val="20"/>
          <w:szCs w:val="20"/>
        </w:rPr>
        <w:t>or</w:t>
      </w:r>
      <w:r w:rsidRPr="002D4D0F">
        <w:rPr>
          <w:spacing w:val="-3"/>
          <w:sz w:val="20"/>
          <w:szCs w:val="20"/>
        </w:rPr>
        <w:t xml:space="preserve"> </w:t>
      </w:r>
      <w:r w:rsidRPr="002D4D0F">
        <w:rPr>
          <w:sz w:val="20"/>
          <w:szCs w:val="20"/>
        </w:rPr>
        <w:t>otherwise,</w:t>
      </w:r>
      <w:r w:rsidRPr="002D4D0F">
        <w:rPr>
          <w:spacing w:val="-4"/>
          <w:sz w:val="20"/>
          <w:szCs w:val="20"/>
        </w:rPr>
        <w:t xml:space="preserve"> </w:t>
      </w:r>
      <w:r w:rsidRPr="002D4D0F">
        <w:rPr>
          <w:sz w:val="20"/>
          <w:szCs w:val="20"/>
        </w:rPr>
        <w:t>except</w:t>
      </w:r>
      <w:r w:rsidRPr="002D4D0F">
        <w:rPr>
          <w:spacing w:val="1"/>
          <w:sz w:val="20"/>
          <w:szCs w:val="20"/>
        </w:rPr>
        <w:t xml:space="preserve"> </w:t>
      </w:r>
      <w:r w:rsidRPr="002D4D0F">
        <w:rPr>
          <w:sz w:val="20"/>
          <w:szCs w:val="20"/>
        </w:rPr>
        <w:t>as</w:t>
      </w:r>
      <w:r w:rsidRPr="002D4D0F">
        <w:rPr>
          <w:spacing w:val="-2"/>
          <w:sz w:val="20"/>
          <w:szCs w:val="20"/>
        </w:rPr>
        <w:t xml:space="preserve"> </w:t>
      </w:r>
      <w:r w:rsidRPr="002D4D0F">
        <w:rPr>
          <w:sz w:val="20"/>
          <w:szCs w:val="20"/>
        </w:rPr>
        <w:t>required</w:t>
      </w:r>
      <w:r w:rsidRPr="002D4D0F">
        <w:rPr>
          <w:spacing w:val="-2"/>
          <w:sz w:val="20"/>
          <w:szCs w:val="20"/>
        </w:rPr>
        <w:t xml:space="preserve"> </w:t>
      </w:r>
      <w:r w:rsidRPr="002D4D0F">
        <w:rPr>
          <w:sz w:val="20"/>
          <w:szCs w:val="20"/>
        </w:rPr>
        <w:t>by</w:t>
      </w:r>
      <w:r w:rsidRPr="002D4D0F">
        <w:rPr>
          <w:spacing w:val="1"/>
          <w:sz w:val="20"/>
          <w:szCs w:val="20"/>
        </w:rPr>
        <w:t xml:space="preserve"> </w:t>
      </w:r>
      <w:r w:rsidRPr="002D4D0F">
        <w:rPr>
          <w:sz w:val="20"/>
          <w:szCs w:val="20"/>
        </w:rPr>
        <w:t>law.</w:t>
      </w:r>
    </w:p>
    <w:sectPr w:rsidR="00A04098" w:rsidRPr="002D4D0F" w:rsidSect="0005486A">
      <w:pgSz w:w="12240" w:h="15840"/>
      <w:pgMar w:top="1400" w:right="1320" w:bottom="135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7F"/>
    <w:rsid w:val="0005486A"/>
    <w:rsid w:val="000D440A"/>
    <w:rsid w:val="00102702"/>
    <w:rsid w:val="00131DEA"/>
    <w:rsid w:val="001C262D"/>
    <w:rsid w:val="001F0E84"/>
    <w:rsid w:val="002C57AE"/>
    <w:rsid w:val="002D4D0F"/>
    <w:rsid w:val="003254C8"/>
    <w:rsid w:val="00381691"/>
    <w:rsid w:val="0045017F"/>
    <w:rsid w:val="00462B8C"/>
    <w:rsid w:val="00531E58"/>
    <w:rsid w:val="0054182C"/>
    <w:rsid w:val="005C794F"/>
    <w:rsid w:val="00614FFD"/>
    <w:rsid w:val="00643352"/>
    <w:rsid w:val="006636CE"/>
    <w:rsid w:val="006A472C"/>
    <w:rsid w:val="0073360C"/>
    <w:rsid w:val="00766247"/>
    <w:rsid w:val="0082108A"/>
    <w:rsid w:val="0094324C"/>
    <w:rsid w:val="00950C28"/>
    <w:rsid w:val="009B5298"/>
    <w:rsid w:val="009D3FE3"/>
    <w:rsid w:val="00A04098"/>
    <w:rsid w:val="00A57964"/>
    <w:rsid w:val="00A929C3"/>
    <w:rsid w:val="00B73F2A"/>
    <w:rsid w:val="00BE1F23"/>
    <w:rsid w:val="00C60D30"/>
    <w:rsid w:val="00C729D2"/>
    <w:rsid w:val="00CD0589"/>
    <w:rsid w:val="00D11F9F"/>
    <w:rsid w:val="00D53D7E"/>
    <w:rsid w:val="00DE07F7"/>
    <w:rsid w:val="00EB0173"/>
    <w:rsid w:val="00EC34A6"/>
    <w:rsid w:val="00EF7215"/>
    <w:rsid w:val="00F37EDB"/>
    <w:rsid w:val="00F47B34"/>
    <w:rsid w:val="00F94574"/>
    <w:rsid w:val="00FF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AECD6"/>
  <w14:defaultImageDpi w14:val="0"/>
  <w15:docId w15:val="{A76138C3-326D-493D-A7EF-E7F2BF4F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18"/>
      <w:szCs w:val="18"/>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Title">
    <w:name w:val="Title"/>
    <w:basedOn w:val="Normal"/>
    <w:next w:val="Normal"/>
    <w:link w:val="TitleChar"/>
    <w:uiPriority w:val="1"/>
    <w:qFormat/>
    <w:pPr>
      <w:spacing w:before="22"/>
      <w:ind w:left="391" w:right="393"/>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EF7215"/>
    <w:rPr>
      <w:rFonts w:cs="Times New Roman"/>
      <w:color w:val="0563C1" w:themeColor="hyperlink"/>
      <w:u w:val="single"/>
    </w:rPr>
  </w:style>
  <w:style w:type="character" w:styleId="UnresolvedMention">
    <w:name w:val="Unresolved Mention"/>
    <w:basedOn w:val="DefaultParagraphFont"/>
    <w:uiPriority w:val="99"/>
    <w:semiHidden/>
    <w:unhideWhenUsed/>
    <w:rsid w:val="00EF721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coinanalyst.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Gragg</dc:creator>
  <cp:keywords/>
  <dc:description/>
  <cp:lastModifiedBy>Irina Rocheva</cp:lastModifiedBy>
  <cp:revision>2</cp:revision>
  <dcterms:created xsi:type="dcterms:W3CDTF">2021-11-09T12:20:00Z</dcterms:created>
  <dcterms:modified xsi:type="dcterms:W3CDTF">2021-11-09T12:20:00Z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