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4E19" w14:textId="1A411AC5" w:rsidR="0068591D" w:rsidRPr="008F1A3C" w:rsidRDefault="0068591D" w:rsidP="0068591D">
      <w:pPr>
        <w:shd w:val="clear" w:color="auto" w:fill="FFFFFF"/>
        <w:spacing w:before="300" w:after="150" w:line="240" w:lineRule="auto"/>
        <w:jc w:val="both"/>
        <w:outlineLvl w:val="0"/>
        <w:rPr>
          <w:rFonts w:eastAsia="Times New Roman" w:cstheme="minorHAnsi"/>
          <w:b/>
          <w:kern w:val="36"/>
          <w:lang w:eastAsia="en-CA"/>
        </w:rPr>
      </w:pPr>
      <w:r w:rsidRPr="008F1A3C">
        <w:rPr>
          <w:rFonts w:eastAsia="Times New Roman" w:cstheme="minorHAnsi"/>
          <w:b/>
          <w:kern w:val="36"/>
          <w:lang w:eastAsia="en-CA"/>
        </w:rPr>
        <w:t xml:space="preserve">Plaintree Systems Inc. Announces </w:t>
      </w:r>
      <w:r w:rsidR="00CC74A2">
        <w:rPr>
          <w:rFonts w:eastAsia="Times New Roman" w:cstheme="minorHAnsi"/>
          <w:b/>
          <w:kern w:val="36"/>
          <w:lang w:eastAsia="en-CA"/>
        </w:rPr>
        <w:t>Second</w:t>
      </w:r>
      <w:r w:rsidRPr="008F1A3C">
        <w:rPr>
          <w:rFonts w:eastAsia="Times New Roman" w:cstheme="minorHAnsi"/>
          <w:b/>
          <w:kern w:val="36"/>
          <w:lang w:eastAsia="en-CA"/>
        </w:rPr>
        <w:t xml:space="preserve"> Quarter Fiscal 202</w:t>
      </w:r>
      <w:r>
        <w:rPr>
          <w:rFonts w:eastAsia="Times New Roman" w:cstheme="minorHAnsi"/>
          <w:b/>
          <w:kern w:val="36"/>
          <w:lang w:eastAsia="en-CA"/>
        </w:rPr>
        <w:t>1</w:t>
      </w:r>
      <w:r w:rsidRPr="008F1A3C">
        <w:rPr>
          <w:rFonts w:eastAsia="Times New Roman" w:cstheme="minorHAnsi"/>
          <w:b/>
          <w:kern w:val="36"/>
          <w:lang w:eastAsia="en-CA"/>
        </w:rPr>
        <w:t xml:space="preserve"> Results </w:t>
      </w:r>
    </w:p>
    <w:p w14:paraId="229F7C97" w14:textId="632C4A5C" w:rsidR="00220230" w:rsidRDefault="005E191D" w:rsidP="00220230">
      <w:pPr>
        <w:shd w:val="clear" w:color="auto" w:fill="FFFFFF"/>
        <w:spacing w:after="150" w:line="240" w:lineRule="auto"/>
        <w:jc w:val="both"/>
        <w:rPr>
          <w:rFonts w:eastAsia="Times New Roman" w:cstheme="minorHAnsi"/>
          <w:color w:val="333333"/>
          <w:lang w:eastAsia="en-CA"/>
        </w:rPr>
      </w:pPr>
      <w:r w:rsidRPr="00AE7E14">
        <w:rPr>
          <w:rFonts w:eastAsia="Times New Roman" w:cstheme="minorHAnsi"/>
          <w:color w:val="333333"/>
          <w:lang w:eastAsia="en-CA"/>
        </w:rPr>
        <w:t>Arnprior, Ontario (</w:t>
      </w:r>
      <w:r w:rsidR="00904D37">
        <w:rPr>
          <w:rFonts w:eastAsia="Times New Roman" w:cstheme="minorHAnsi"/>
          <w:color w:val="333333"/>
          <w:lang w:eastAsia="en-CA"/>
        </w:rPr>
        <w:t>February 25</w:t>
      </w:r>
      <w:r w:rsidR="001102B6">
        <w:rPr>
          <w:rFonts w:eastAsia="Times New Roman" w:cstheme="minorHAnsi"/>
          <w:color w:val="333333"/>
          <w:lang w:eastAsia="en-CA"/>
        </w:rPr>
        <w:t>, 2021</w:t>
      </w:r>
      <w:r w:rsidRPr="00AE7E14">
        <w:rPr>
          <w:rFonts w:eastAsia="Times New Roman" w:cstheme="minorHAnsi"/>
          <w:color w:val="333333"/>
          <w:lang w:eastAsia="en-CA"/>
        </w:rPr>
        <w:t xml:space="preserve">) – </w:t>
      </w:r>
      <w:proofErr w:type="spellStart"/>
      <w:r w:rsidR="008F21BE" w:rsidRPr="00AE7E14">
        <w:rPr>
          <w:rFonts w:eastAsia="Times New Roman" w:cstheme="minorHAnsi"/>
          <w:color w:val="333333"/>
          <w:lang w:eastAsia="en-CA"/>
        </w:rPr>
        <w:t>Plaintree</w:t>
      </w:r>
      <w:proofErr w:type="spellEnd"/>
      <w:r w:rsidR="008F21BE" w:rsidRPr="00AE7E14">
        <w:rPr>
          <w:rFonts w:eastAsia="Times New Roman" w:cstheme="minorHAnsi"/>
          <w:color w:val="333333"/>
          <w:lang w:eastAsia="en-CA"/>
        </w:rPr>
        <w:t xml:space="preserve"> Systems Inc. (</w:t>
      </w:r>
      <w:r w:rsidR="008F21BE" w:rsidRPr="00AE7E14">
        <w:rPr>
          <w:rFonts w:eastAsia="Times New Roman" w:cstheme="minorHAnsi"/>
          <w:b/>
          <w:bCs/>
          <w:color w:val="333333"/>
          <w:lang w:eastAsia="en-CA"/>
        </w:rPr>
        <w:t>CSE: NPT</w:t>
      </w:r>
      <w:r w:rsidR="008F21BE" w:rsidRPr="00AE7E14">
        <w:rPr>
          <w:rFonts w:eastAsia="Times New Roman" w:cstheme="minorHAnsi"/>
          <w:color w:val="333333"/>
          <w:lang w:eastAsia="en-CA"/>
        </w:rPr>
        <w:t>) (“</w:t>
      </w:r>
      <w:r w:rsidR="008F21BE" w:rsidRPr="00AE7E14">
        <w:rPr>
          <w:rFonts w:eastAsia="Times New Roman" w:cstheme="minorHAnsi"/>
          <w:b/>
          <w:color w:val="333333"/>
          <w:lang w:eastAsia="en-CA"/>
        </w:rPr>
        <w:t>Plaintree</w:t>
      </w:r>
      <w:r w:rsidR="008F21BE" w:rsidRPr="00AE7E14">
        <w:rPr>
          <w:rFonts w:eastAsia="Times New Roman" w:cstheme="minorHAnsi"/>
          <w:color w:val="333333"/>
          <w:lang w:eastAsia="en-CA"/>
        </w:rPr>
        <w:t>” or the “</w:t>
      </w:r>
      <w:r w:rsidR="008F21BE" w:rsidRPr="00AE7E14">
        <w:rPr>
          <w:rFonts w:eastAsia="Times New Roman" w:cstheme="minorHAnsi"/>
          <w:b/>
          <w:bCs/>
          <w:color w:val="333333"/>
          <w:lang w:eastAsia="en-CA"/>
        </w:rPr>
        <w:t>Company”</w:t>
      </w:r>
      <w:r w:rsidR="008F21BE" w:rsidRPr="00AE7E14">
        <w:rPr>
          <w:rFonts w:eastAsia="Times New Roman" w:cstheme="minorHAnsi"/>
          <w:color w:val="333333"/>
          <w:lang w:eastAsia="en-CA"/>
        </w:rPr>
        <w:t>)</w:t>
      </w:r>
      <w:r w:rsidR="00220230" w:rsidRPr="00AE7E14">
        <w:rPr>
          <w:rFonts w:eastAsia="Times New Roman" w:cstheme="minorHAnsi"/>
          <w:color w:val="333333"/>
          <w:lang w:eastAsia="en-CA"/>
        </w:rPr>
        <w:t>.</w:t>
      </w:r>
    </w:p>
    <w:p w14:paraId="21CA0A15" w14:textId="1CEB27B6" w:rsidR="00CC74A2" w:rsidRPr="001B1842" w:rsidRDefault="00CC74A2" w:rsidP="00CC74A2">
      <w:pPr>
        <w:shd w:val="clear" w:color="auto" w:fill="FFFFFF"/>
        <w:spacing w:after="150" w:line="240" w:lineRule="auto"/>
        <w:jc w:val="both"/>
        <w:rPr>
          <w:rFonts w:eastAsia="Times New Roman" w:cstheme="minorHAnsi"/>
          <w:b/>
          <w:sz w:val="24"/>
          <w:szCs w:val="24"/>
          <w:u w:val="single"/>
          <w:lang w:eastAsia="en-CA"/>
        </w:rPr>
      </w:pPr>
      <w:r w:rsidRPr="001B1842">
        <w:rPr>
          <w:rFonts w:eastAsia="Times New Roman" w:cstheme="minorHAnsi"/>
          <w:b/>
          <w:sz w:val="24"/>
          <w:szCs w:val="24"/>
          <w:u w:val="single"/>
          <w:lang w:eastAsia="en-CA"/>
        </w:rPr>
        <w:t xml:space="preserve">Quarterly Statements for the </w:t>
      </w:r>
      <w:r w:rsidR="001102B6">
        <w:rPr>
          <w:rFonts w:eastAsia="Times New Roman" w:cstheme="minorHAnsi"/>
          <w:b/>
          <w:sz w:val="24"/>
          <w:szCs w:val="24"/>
          <w:u w:val="single"/>
          <w:lang w:eastAsia="en-CA"/>
        </w:rPr>
        <w:t>Third</w:t>
      </w:r>
      <w:r>
        <w:rPr>
          <w:rFonts w:eastAsia="Times New Roman" w:cstheme="minorHAnsi"/>
          <w:b/>
          <w:sz w:val="24"/>
          <w:szCs w:val="24"/>
          <w:u w:val="single"/>
          <w:lang w:eastAsia="en-CA"/>
        </w:rPr>
        <w:t xml:space="preserve"> Quarter</w:t>
      </w:r>
      <w:r w:rsidRPr="001B1842">
        <w:rPr>
          <w:rFonts w:eastAsia="Times New Roman" w:cstheme="minorHAnsi"/>
          <w:b/>
          <w:sz w:val="24"/>
          <w:szCs w:val="24"/>
          <w:u w:val="single"/>
          <w:lang w:eastAsia="en-CA"/>
        </w:rPr>
        <w:t xml:space="preserve"> of Fiscal 202</w:t>
      </w:r>
      <w:r>
        <w:rPr>
          <w:rFonts w:eastAsia="Times New Roman" w:cstheme="minorHAnsi"/>
          <w:b/>
          <w:sz w:val="24"/>
          <w:szCs w:val="24"/>
          <w:u w:val="single"/>
          <w:lang w:eastAsia="en-CA"/>
        </w:rPr>
        <w:t>1</w:t>
      </w:r>
      <w:r w:rsidRPr="001B1842">
        <w:rPr>
          <w:rFonts w:eastAsia="Times New Roman" w:cstheme="minorHAnsi"/>
          <w:b/>
          <w:sz w:val="24"/>
          <w:szCs w:val="24"/>
          <w:u w:val="single"/>
          <w:lang w:eastAsia="en-CA"/>
        </w:rPr>
        <w:t xml:space="preserve"> ending </w:t>
      </w:r>
      <w:r w:rsidR="001102B6">
        <w:rPr>
          <w:rFonts w:eastAsia="Times New Roman" w:cstheme="minorHAnsi"/>
          <w:b/>
          <w:sz w:val="24"/>
          <w:szCs w:val="24"/>
          <w:u w:val="single"/>
          <w:lang w:eastAsia="en-CA"/>
        </w:rPr>
        <w:t>December 31</w:t>
      </w:r>
      <w:r w:rsidRPr="001B1842">
        <w:rPr>
          <w:rFonts w:eastAsia="Times New Roman" w:cstheme="minorHAnsi"/>
          <w:b/>
          <w:sz w:val="24"/>
          <w:szCs w:val="24"/>
          <w:u w:val="single"/>
          <w:lang w:eastAsia="en-CA"/>
        </w:rPr>
        <w:t xml:space="preserve">, </w:t>
      </w:r>
      <w:r>
        <w:rPr>
          <w:rFonts w:eastAsia="Times New Roman" w:cstheme="minorHAnsi"/>
          <w:b/>
          <w:sz w:val="24"/>
          <w:szCs w:val="24"/>
          <w:u w:val="single"/>
          <w:lang w:eastAsia="en-CA"/>
        </w:rPr>
        <w:t>2020</w:t>
      </w:r>
    </w:p>
    <w:p w14:paraId="5EF18358" w14:textId="2D26F054" w:rsidR="00CC74A2" w:rsidRPr="001B1842" w:rsidRDefault="00CC74A2" w:rsidP="00CC74A2">
      <w:pPr>
        <w:shd w:val="clear" w:color="auto" w:fill="FFFFFF"/>
        <w:spacing w:after="150" w:line="240" w:lineRule="auto"/>
        <w:jc w:val="both"/>
        <w:rPr>
          <w:rFonts w:cstheme="minorHAnsi"/>
          <w:sz w:val="24"/>
          <w:szCs w:val="24"/>
        </w:rPr>
      </w:pPr>
      <w:r w:rsidRPr="001B1842">
        <w:rPr>
          <w:rFonts w:eastAsia="Times New Roman" w:cstheme="minorHAnsi"/>
          <w:sz w:val="24"/>
          <w:szCs w:val="24"/>
          <w:lang w:eastAsia="en-CA"/>
        </w:rPr>
        <w:t xml:space="preserve">Plaintree </w:t>
      </w:r>
      <w:r w:rsidRPr="001B1842">
        <w:rPr>
          <w:rFonts w:cstheme="minorHAnsi"/>
          <w:sz w:val="24"/>
          <w:szCs w:val="24"/>
        </w:rPr>
        <w:t>announced today that it has released its unaudited interim consolidated financial statements and related management discussions and analysis for the three and</w:t>
      </w:r>
      <w:r w:rsidR="001102B6">
        <w:rPr>
          <w:rFonts w:cstheme="minorHAnsi"/>
          <w:sz w:val="24"/>
          <w:szCs w:val="24"/>
        </w:rPr>
        <w:t xml:space="preserve"> nine</w:t>
      </w:r>
      <w:r w:rsidRPr="001B1842">
        <w:rPr>
          <w:rFonts w:cstheme="minorHAnsi"/>
          <w:sz w:val="24"/>
          <w:szCs w:val="24"/>
        </w:rPr>
        <w:t xml:space="preserve"> months ended </w:t>
      </w:r>
      <w:r w:rsidR="001102B6">
        <w:rPr>
          <w:rFonts w:cstheme="minorHAnsi"/>
          <w:sz w:val="24"/>
          <w:szCs w:val="24"/>
        </w:rPr>
        <w:t>December 31</w:t>
      </w:r>
      <w:r w:rsidRPr="001B1842">
        <w:rPr>
          <w:rFonts w:cstheme="minorHAnsi"/>
          <w:sz w:val="24"/>
          <w:szCs w:val="24"/>
        </w:rPr>
        <w:t>, 20</w:t>
      </w:r>
      <w:r>
        <w:rPr>
          <w:rFonts w:cstheme="minorHAnsi"/>
          <w:sz w:val="24"/>
          <w:szCs w:val="24"/>
        </w:rPr>
        <w:t>20</w:t>
      </w:r>
      <w:r w:rsidRPr="001B1842">
        <w:rPr>
          <w:rFonts w:cstheme="minorHAnsi"/>
          <w:sz w:val="24"/>
          <w:szCs w:val="24"/>
        </w:rPr>
        <w:t>.</w:t>
      </w:r>
    </w:p>
    <w:p w14:paraId="7248BE40" w14:textId="3186CB49" w:rsidR="00CC74A2" w:rsidRPr="001B1842" w:rsidRDefault="00CC74A2" w:rsidP="00CC74A2">
      <w:pPr>
        <w:shd w:val="clear" w:color="auto" w:fill="FFFFFF"/>
        <w:spacing w:line="240" w:lineRule="auto"/>
        <w:jc w:val="both"/>
        <w:textAlignment w:val="baseline"/>
        <w:rPr>
          <w:rFonts w:eastAsia="Times New Roman" w:cstheme="minorHAnsi"/>
          <w:color w:val="000000"/>
          <w:sz w:val="24"/>
          <w:szCs w:val="24"/>
          <w:lang w:eastAsia="en-CA"/>
        </w:rPr>
      </w:pPr>
      <w:r w:rsidRPr="001B1842">
        <w:rPr>
          <w:rFonts w:eastAsia="Times New Roman" w:cstheme="minorHAnsi"/>
          <w:color w:val="000000"/>
          <w:sz w:val="24"/>
          <w:szCs w:val="24"/>
          <w:lang w:eastAsia="en-CA"/>
        </w:rPr>
        <w:t xml:space="preserve">During the three and </w:t>
      </w:r>
      <w:r w:rsidR="001102B6">
        <w:rPr>
          <w:rFonts w:eastAsia="Times New Roman" w:cstheme="minorHAnsi"/>
          <w:color w:val="000000"/>
          <w:sz w:val="24"/>
          <w:szCs w:val="24"/>
          <w:lang w:eastAsia="en-CA"/>
        </w:rPr>
        <w:t>nine</w:t>
      </w:r>
      <w:r w:rsidRPr="001B1842">
        <w:rPr>
          <w:rFonts w:eastAsia="Times New Roman" w:cstheme="minorHAnsi"/>
          <w:color w:val="000000"/>
          <w:sz w:val="24"/>
          <w:szCs w:val="24"/>
          <w:lang w:eastAsia="en-CA"/>
        </w:rPr>
        <w:t xml:space="preserve"> months ended </w:t>
      </w:r>
      <w:r w:rsidR="001102B6">
        <w:rPr>
          <w:rFonts w:eastAsia="Times New Roman" w:cstheme="minorHAnsi"/>
          <w:color w:val="000000"/>
          <w:sz w:val="24"/>
          <w:szCs w:val="24"/>
          <w:lang w:eastAsia="en-CA"/>
        </w:rPr>
        <w:t>December 31</w:t>
      </w:r>
      <w:r w:rsidRPr="001B1842">
        <w:rPr>
          <w:rFonts w:eastAsia="Times New Roman" w:cstheme="minorHAnsi"/>
          <w:color w:val="000000"/>
          <w:sz w:val="24"/>
          <w:szCs w:val="24"/>
          <w:lang w:eastAsia="en-CA"/>
        </w:rPr>
        <w:t>, 20</w:t>
      </w:r>
      <w:r>
        <w:rPr>
          <w:rFonts w:eastAsia="Times New Roman" w:cstheme="minorHAnsi"/>
          <w:color w:val="000000"/>
          <w:sz w:val="24"/>
          <w:szCs w:val="24"/>
          <w:lang w:eastAsia="en-CA"/>
        </w:rPr>
        <w:t>20</w:t>
      </w:r>
      <w:r w:rsidRPr="001B1842">
        <w:rPr>
          <w:rFonts w:eastAsia="Times New Roman" w:cstheme="minorHAnsi"/>
          <w:color w:val="000000"/>
          <w:sz w:val="24"/>
          <w:szCs w:val="24"/>
          <w:lang w:eastAsia="en-CA"/>
        </w:rPr>
        <w:t xml:space="preserve"> of fiscal 202</w:t>
      </w:r>
      <w:r>
        <w:rPr>
          <w:rFonts w:eastAsia="Times New Roman" w:cstheme="minorHAnsi"/>
          <w:color w:val="000000"/>
          <w:sz w:val="24"/>
          <w:szCs w:val="24"/>
          <w:lang w:eastAsia="en-CA"/>
        </w:rPr>
        <w:t>1</w:t>
      </w:r>
      <w:r w:rsidRPr="001B1842">
        <w:rPr>
          <w:rFonts w:eastAsia="Times New Roman" w:cstheme="minorHAnsi"/>
          <w:color w:val="000000"/>
          <w:sz w:val="24"/>
          <w:szCs w:val="24"/>
          <w:lang w:eastAsia="en-CA"/>
        </w:rPr>
        <w:t>, Plaintree realized revenues of $</w:t>
      </w:r>
      <w:r w:rsidR="001102B6">
        <w:rPr>
          <w:rFonts w:eastAsia="Times New Roman" w:cstheme="minorHAnsi"/>
          <w:color w:val="000000"/>
          <w:sz w:val="24"/>
          <w:szCs w:val="24"/>
          <w:lang w:eastAsia="en-CA"/>
        </w:rPr>
        <w:t>2,954,372</w:t>
      </w:r>
      <w:r w:rsidRPr="001B1842">
        <w:rPr>
          <w:rFonts w:eastAsia="Times New Roman" w:cstheme="minorHAnsi"/>
          <w:color w:val="000000"/>
          <w:sz w:val="24"/>
          <w:szCs w:val="24"/>
          <w:lang w:eastAsia="en-CA"/>
        </w:rPr>
        <w:t xml:space="preserve"> and $</w:t>
      </w:r>
      <w:r w:rsidR="001102B6">
        <w:rPr>
          <w:rFonts w:eastAsia="Times New Roman" w:cstheme="minorHAnsi"/>
          <w:color w:val="000000"/>
          <w:sz w:val="24"/>
          <w:szCs w:val="24"/>
          <w:lang w:eastAsia="en-CA"/>
        </w:rPr>
        <w:t>8,003,727</w:t>
      </w:r>
      <w:r w:rsidRPr="001B1842">
        <w:rPr>
          <w:rFonts w:eastAsia="Times New Roman" w:cstheme="minorHAnsi"/>
          <w:color w:val="000000"/>
          <w:sz w:val="24"/>
          <w:szCs w:val="24"/>
          <w:lang w:eastAsia="en-CA"/>
        </w:rPr>
        <w:t xml:space="preserve"> respectively, comparable to $</w:t>
      </w:r>
      <w:r w:rsidR="001102B6">
        <w:rPr>
          <w:rFonts w:eastAsia="Times New Roman" w:cstheme="minorHAnsi"/>
          <w:color w:val="000000"/>
          <w:sz w:val="24"/>
          <w:szCs w:val="24"/>
          <w:lang w:eastAsia="en-CA"/>
        </w:rPr>
        <w:t>3,157,877</w:t>
      </w:r>
      <w:r w:rsidRPr="001B1842">
        <w:rPr>
          <w:rFonts w:eastAsia="Times New Roman" w:cstheme="minorHAnsi"/>
          <w:color w:val="000000"/>
          <w:sz w:val="24"/>
          <w:szCs w:val="24"/>
          <w:lang w:eastAsia="en-CA"/>
        </w:rPr>
        <w:t xml:space="preserve"> and $</w:t>
      </w:r>
      <w:r w:rsidR="001102B6">
        <w:rPr>
          <w:rFonts w:eastAsia="Times New Roman" w:cstheme="minorHAnsi"/>
          <w:color w:val="000000"/>
          <w:sz w:val="24"/>
          <w:szCs w:val="24"/>
          <w:lang w:eastAsia="en-CA"/>
        </w:rPr>
        <w:t>14,331,912</w:t>
      </w:r>
      <w:r w:rsidRPr="001B1842">
        <w:rPr>
          <w:rFonts w:eastAsia="Times New Roman" w:cstheme="minorHAnsi"/>
          <w:color w:val="000000"/>
          <w:sz w:val="24"/>
          <w:szCs w:val="24"/>
          <w:lang w:eastAsia="en-CA"/>
        </w:rPr>
        <w:t xml:space="preserve"> for the same periods of fiscal 20</w:t>
      </w:r>
      <w:r>
        <w:rPr>
          <w:rFonts w:eastAsia="Times New Roman" w:cstheme="minorHAnsi"/>
          <w:color w:val="000000"/>
          <w:sz w:val="24"/>
          <w:szCs w:val="24"/>
          <w:lang w:eastAsia="en-CA"/>
        </w:rPr>
        <w:t>20.</w:t>
      </w:r>
      <w:r w:rsidRPr="001B1842">
        <w:rPr>
          <w:rFonts w:eastAsia="Times New Roman" w:cstheme="minorHAnsi"/>
          <w:color w:val="000000"/>
          <w:sz w:val="24"/>
          <w:szCs w:val="24"/>
          <w:lang w:eastAsia="en-CA"/>
        </w:rPr>
        <w:t xml:space="preserve"> </w:t>
      </w:r>
    </w:p>
    <w:p w14:paraId="2A3E872E" w14:textId="5CF0586E" w:rsidR="0068591D" w:rsidRDefault="00CC74A2" w:rsidP="00CC74A2">
      <w:pPr>
        <w:shd w:val="clear" w:color="auto" w:fill="FFFFFF"/>
        <w:spacing w:line="240" w:lineRule="auto"/>
        <w:jc w:val="both"/>
        <w:textAlignment w:val="baseline"/>
        <w:rPr>
          <w:rFonts w:eastAsia="Times New Roman" w:cstheme="minorHAnsi"/>
          <w:color w:val="000000"/>
          <w:sz w:val="24"/>
          <w:szCs w:val="24"/>
          <w:lang w:eastAsia="en-CA"/>
        </w:rPr>
      </w:pPr>
      <w:r w:rsidRPr="001B1842">
        <w:rPr>
          <w:rFonts w:eastAsia="Times New Roman" w:cstheme="minorHAnsi"/>
          <w:color w:val="000000"/>
          <w:sz w:val="24"/>
          <w:szCs w:val="24"/>
          <w:lang w:eastAsia="en-CA"/>
        </w:rPr>
        <w:t>Net</w:t>
      </w:r>
      <w:r>
        <w:rPr>
          <w:rFonts w:eastAsia="Times New Roman" w:cstheme="minorHAnsi"/>
          <w:color w:val="000000"/>
          <w:sz w:val="24"/>
          <w:szCs w:val="24"/>
          <w:lang w:eastAsia="en-CA"/>
        </w:rPr>
        <w:t xml:space="preserve"> (loss)</w:t>
      </w:r>
      <w:r w:rsidRPr="001B1842">
        <w:rPr>
          <w:rFonts w:eastAsia="Times New Roman" w:cstheme="minorHAnsi"/>
          <w:color w:val="000000"/>
          <w:sz w:val="24"/>
          <w:szCs w:val="24"/>
          <w:lang w:eastAsia="en-CA"/>
        </w:rPr>
        <w:t xml:space="preserve"> income</w:t>
      </w:r>
      <w:r>
        <w:rPr>
          <w:rFonts w:eastAsia="Times New Roman" w:cstheme="minorHAnsi"/>
          <w:color w:val="000000"/>
          <w:sz w:val="24"/>
          <w:szCs w:val="24"/>
          <w:lang w:eastAsia="en-CA"/>
        </w:rPr>
        <w:t xml:space="preserve"> </w:t>
      </w:r>
      <w:r w:rsidRPr="001B1842">
        <w:rPr>
          <w:rFonts w:eastAsia="Times New Roman" w:cstheme="minorHAnsi"/>
          <w:color w:val="000000"/>
          <w:sz w:val="24"/>
          <w:szCs w:val="24"/>
          <w:lang w:eastAsia="en-CA"/>
        </w:rPr>
        <w:t>was $</w:t>
      </w:r>
      <w:r>
        <w:rPr>
          <w:rFonts w:eastAsia="Times New Roman" w:cstheme="minorHAnsi"/>
          <w:color w:val="000000"/>
          <w:sz w:val="24"/>
          <w:szCs w:val="24"/>
          <w:lang w:eastAsia="en-CA"/>
        </w:rPr>
        <w:t>(</w:t>
      </w:r>
      <w:r w:rsidR="001102B6">
        <w:rPr>
          <w:rFonts w:eastAsia="Times New Roman" w:cstheme="minorHAnsi"/>
          <w:color w:val="000000"/>
          <w:sz w:val="24"/>
          <w:szCs w:val="24"/>
          <w:lang w:eastAsia="en-CA"/>
        </w:rPr>
        <w:t>31</w:t>
      </w:r>
      <w:r>
        <w:rPr>
          <w:rFonts w:eastAsia="Times New Roman" w:cstheme="minorHAnsi"/>
          <w:color w:val="000000"/>
          <w:sz w:val="24"/>
          <w:szCs w:val="24"/>
          <w:lang w:eastAsia="en-CA"/>
        </w:rPr>
        <w:t>)</w:t>
      </w:r>
      <w:r w:rsidRPr="001B1842">
        <w:rPr>
          <w:rFonts w:eastAsia="Times New Roman" w:cstheme="minorHAnsi"/>
          <w:color w:val="000000"/>
          <w:sz w:val="24"/>
          <w:szCs w:val="24"/>
          <w:lang w:eastAsia="en-CA"/>
        </w:rPr>
        <w:t xml:space="preserve"> and $</w:t>
      </w:r>
      <w:r w:rsidR="001102B6">
        <w:rPr>
          <w:rFonts w:eastAsia="Times New Roman" w:cstheme="minorHAnsi"/>
          <w:color w:val="000000"/>
          <w:sz w:val="24"/>
          <w:szCs w:val="24"/>
          <w:lang w:eastAsia="en-CA"/>
        </w:rPr>
        <w:t>85,252</w:t>
      </w:r>
      <w:r w:rsidRPr="001B1842">
        <w:rPr>
          <w:rFonts w:eastAsia="Times New Roman" w:cstheme="minorHAnsi"/>
          <w:color w:val="000000"/>
          <w:sz w:val="24"/>
          <w:szCs w:val="24"/>
          <w:lang w:eastAsia="en-CA"/>
        </w:rPr>
        <w:t xml:space="preserve"> in the </w:t>
      </w:r>
      <w:proofErr w:type="gramStart"/>
      <w:r w:rsidRPr="001B1842">
        <w:rPr>
          <w:rFonts w:eastAsia="Times New Roman" w:cstheme="minorHAnsi"/>
          <w:color w:val="000000"/>
          <w:sz w:val="24"/>
          <w:szCs w:val="24"/>
          <w:lang w:eastAsia="en-CA"/>
        </w:rPr>
        <w:t xml:space="preserve">three and </w:t>
      </w:r>
      <w:r w:rsidR="001102B6">
        <w:rPr>
          <w:rFonts w:eastAsia="Times New Roman" w:cstheme="minorHAnsi"/>
          <w:color w:val="000000"/>
          <w:sz w:val="24"/>
          <w:szCs w:val="24"/>
          <w:lang w:eastAsia="en-CA"/>
        </w:rPr>
        <w:t>nine</w:t>
      </w:r>
      <w:r w:rsidRPr="001B1842">
        <w:rPr>
          <w:rFonts w:eastAsia="Times New Roman" w:cstheme="minorHAnsi"/>
          <w:color w:val="000000"/>
          <w:sz w:val="24"/>
          <w:szCs w:val="24"/>
          <w:lang w:eastAsia="en-CA"/>
        </w:rPr>
        <w:t xml:space="preserve"> month</w:t>
      </w:r>
      <w:proofErr w:type="gramEnd"/>
      <w:r w:rsidRPr="001B1842">
        <w:rPr>
          <w:rFonts w:eastAsia="Times New Roman" w:cstheme="minorHAnsi"/>
          <w:color w:val="000000"/>
          <w:sz w:val="24"/>
          <w:szCs w:val="24"/>
          <w:lang w:eastAsia="en-CA"/>
        </w:rPr>
        <w:t xml:space="preserve"> period ending </w:t>
      </w:r>
      <w:r w:rsidR="001102B6">
        <w:rPr>
          <w:rFonts w:eastAsia="Times New Roman" w:cstheme="minorHAnsi"/>
          <w:color w:val="000000"/>
          <w:sz w:val="24"/>
          <w:szCs w:val="24"/>
          <w:lang w:eastAsia="en-CA"/>
        </w:rPr>
        <w:t>December 31</w:t>
      </w:r>
      <w:r w:rsidRPr="001B1842">
        <w:rPr>
          <w:rFonts w:eastAsia="Times New Roman" w:cstheme="minorHAnsi"/>
          <w:color w:val="000000"/>
          <w:sz w:val="24"/>
          <w:szCs w:val="24"/>
          <w:lang w:eastAsia="en-CA"/>
        </w:rPr>
        <w:t>, 20</w:t>
      </w:r>
      <w:r>
        <w:rPr>
          <w:rFonts w:eastAsia="Times New Roman" w:cstheme="minorHAnsi"/>
          <w:color w:val="000000"/>
          <w:sz w:val="24"/>
          <w:szCs w:val="24"/>
          <w:lang w:eastAsia="en-CA"/>
        </w:rPr>
        <w:t>20 respectively,</w:t>
      </w:r>
      <w:r w:rsidRPr="001B1842">
        <w:rPr>
          <w:rFonts w:eastAsia="Times New Roman" w:cstheme="minorHAnsi"/>
          <w:color w:val="000000"/>
          <w:sz w:val="24"/>
          <w:szCs w:val="24"/>
          <w:lang w:eastAsia="en-CA"/>
        </w:rPr>
        <w:t xml:space="preserve"> as compared to net</w:t>
      </w:r>
      <w:r w:rsidR="001102B6">
        <w:rPr>
          <w:rFonts w:eastAsia="Times New Roman" w:cstheme="minorHAnsi"/>
          <w:color w:val="000000"/>
          <w:sz w:val="24"/>
          <w:szCs w:val="24"/>
          <w:lang w:eastAsia="en-CA"/>
        </w:rPr>
        <w:t xml:space="preserve"> (loss)</w:t>
      </w:r>
      <w:r w:rsidRPr="001B1842">
        <w:rPr>
          <w:rFonts w:eastAsia="Times New Roman" w:cstheme="minorHAnsi"/>
          <w:color w:val="000000"/>
          <w:sz w:val="24"/>
          <w:szCs w:val="24"/>
          <w:lang w:eastAsia="en-CA"/>
        </w:rPr>
        <w:t xml:space="preserve"> income of $</w:t>
      </w:r>
      <w:r w:rsidR="001102B6">
        <w:rPr>
          <w:rFonts w:eastAsia="Times New Roman" w:cstheme="minorHAnsi"/>
          <w:color w:val="000000"/>
          <w:sz w:val="24"/>
          <w:szCs w:val="24"/>
          <w:lang w:eastAsia="en-CA"/>
        </w:rPr>
        <w:t>(782,726)</w:t>
      </w:r>
      <w:r w:rsidRPr="001B1842">
        <w:rPr>
          <w:rFonts w:eastAsia="Times New Roman" w:cstheme="minorHAnsi"/>
          <w:color w:val="000000"/>
          <w:sz w:val="24"/>
          <w:szCs w:val="24"/>
          <w:lang w:eastAsia="en-CA"/>
        </w:rPr>
        <w:t xml:space="preserve"> and $</w:t>
      </w:r>
      <w:r w:rsidR="001102B6">
        <w:rPr>
          <w:rFonts w:eastAsia="Times New Roman" w:cstheme="minorHAnsi"/>
          <w:color w:val="000000"/>
          <w:sz w:val="24"/>
          <w:szCs w:val="24"/>
          <w:lang w:eastAsia="en-CA"/>
        </w:rPr>
        <w:t>401,157</w:t>
      </w:r>
      <w:r w:rsidRPr="001B1842">
        <w:rPr>
          <w:rFonts w:eastAsia="Times New Roman" w:cstheme="minorHAnsi"/>
          <w:color w:val="000000"/>
          <w:sz w:val="24"/>
          <w:szCs w:val="24"/>
          <w:lang w:eastAsia="en-CA"/>
        </w:rPr>
        <w:t xml:space="preserve"> for </w:t>
      </w:r>
      <w:r w:rsidR="0052161B">
        <w:rPr>
          <w:rFonts w:eastAsia="Times New Roman" w:cstheme="minorHAnsi"/>
          <w:color w:val="000000"/>
          <w:sz w:val="24"/>
          <w:szCs w:val="24"/>
          <w:lang w:eastAsia="en-CA"/>
        </w:rPr>
        <w:t xml:space="preserve">the comparable periods ending </w:t>
      </w:r>
      <w:r w:rsidR="001102B6">
        <w:rPr>
          <w:rFonts w:eastAsia="Times New Roman" w:cstheme="minorHAnsi"/>
          <w:color w:val="000000"/>
          <w:sz w:val="24"/>
          <w:szCs w:val="24"/>
          <w:lang w:eastAsia="en-CA"/>
        </w:rPr>
        <w:t>December 31</w:t>
      </w:r>
      <w:r w:rsidR="0052161B">
        <w:rPr>
          <w:rFonts w:eastAsia="Times New Roman" w:cstheme="minorHAnsi"/>
          <w:color w:val="000000"/>
          <w:sz w:val="24"/>
          <w:szCs w:val="24"/>
          <w:lang w:eastAsia="en-CA"/>
        </w:rPr>
        <w:t>, 2019.</w:t>
      </w:r>
    </w:p>
    <w:p w14:paraId="0B7D4CD4" w14:textId="65287E41" w:rsidR="000C0FE8" w:rsidRDefault="000C0FE8" w:rsidP="00CC74A2">
      <w:pPr>
        <w:shd w:val="clear" w:color="auto" w:fill="FFFFFF"/>
        <w:spacing w:line="240" w:lineRule="auto"/>
        <w:jc w:val="both"/>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“Q3 for us was a continuation of Q2 and Q1. Each quarter saw</w:t>
      </w:r>
      <w:r w:rsidR="00904D37">
        <w:rPr>
          <w:rFonts w:eastAsia="Times New Roman" w:cstheme="minorHAnsi"/>
          <w:color w:val="000000"/>
          <w:sz w:val="24"/>
          <w:szCs w:val="24"/>
          <w:lang w:eastAsia="en-CA"/>
        </w:rPr>
        <w:t xml:space="preserve"> a</w:t>
      </w:r>
      <w:r>
        <w:rPr>
          <w:rFonts w:eastAsia="Times New Roman" w:cstheme="minorHAnsi"/>
          <w:color w:val="000000"/>
          <w:sz w:val="24"/>
          <w:szCs w:val="24"/>
          <w:lang w:eastAsia="en-CA"/>
        </w:rPr>
        <w:t xml:space="preserve"> high level</w:t>
      </w:r>
      <w:r w:rsidR="00904D37">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 xml:space="preserve">of quoting activity for the </w:t>
      </w:r>
      <w:proofErr w:type="spellStart"/>
      <w:r w:rsidR="00904D37">
        <w:rPr>
          <w:rFonts w:eastAsia="Times New Roman" w:cstheme="minorHAnsi"/>
          <w:color w:val="000000"/>
          <w:sz w:val="24"/>
          <w:szCs w:val="24"/>
          <w:lang w:eastAsia="en-CA"/>
        </w:rPr>
        <w:t>Triodetic</w:t>
      </w:r>
      <w:proofErr w:type="spellEnd"/>
      <w:r w:rsidR="00904D37">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mining sector</w:t>
      </w:r>
      <w:r w:rsidR="00904D37">
        <w:rPr>
          <w:rFonts w:eastAsia="Times New Roman" w:cstheme="minorHAnsi"/>
          <w:color w:val="000000"/>
          <w:sz w:val="24"/>
          <w:szCs w:val="24"/>
          <w:lang w:eastAsia="en-CA"/>
        </w:rPr>
        <w:t xml:space="preserve"> business</w:t>
      </w:r>
      <w:r>
        <w:rPr>
          <w:rFonts w:eastAsia="Times New Roman" w:cstheme="minorHAnsi"/>
          <w:color w:val="000000"/>
          <w:sz w:val="24"/>
          <w:szCs w:val="24"/>
          <w:lang w:eastAsia="en-CA"/>
        </w:rPr>
        <w:t xml:space="preserve"> but delay after delay when it came to actual</w:t>
      </w:r>
      <w:r w:rsidR="00904D37">
        <w:rPr>
          <w:rFonts w:eastAsia="Times New Roman" w:cstheme="minorHAnsi"/>
          <w:color w:val="000000"/>
          <w:sz w:val="24"/>
          <w:szCs w:val="24"/>
          <w:lang w:eastAsia="en-CA"/>
        </w:rPr>
        <w:t xml:space="preserve"> securing of</w:t>
      </w:r>
      <w:r>
        <w:rPr>
          <w:rFonts w:eastAsia="Times New Roman" w:cstheme="minorHAnsi"/>
          <w:color w:val="000000"/>
          <w:sz w:val="24"/>
          <w:szCs w:val="24"/>
          <w:lang w:eastAsia="en-CA"/>
        </w:rPr>
        <w:t xml:space="preserve"> orders. Finally, in Q4, we have received a number of actual orders and</w:t>
      </w:r>
      <w:r w:rsidR="00904D37">
        <w:rPr>
          <w:rFonts w:eastAsia="Times New Roman" w:cstheme="minorHAnsi"/>
          <w:color w:val="000000"/>
          <w:sz w:val="24"/>
          <w:szCs w:val="24"/>
          <w:lang w:eastAsia="en-CA"/>
        </w:rPr>
        <w:t xml:space="preserve"> we</w:t>
      </w:r>
      <w:r>
        <w:rPr>
          <w:rFonts w:eastAsia="Times New Roman" w:cstheme="minorHAnsi"/>
          <w:color w:val="000000"/>
          <w:sz w:val="24"/>
          <w:szCs w:val="24"/>
          <w:lang w:eastAsia="en-CA"/>
        </w:rPr>
        <w:t xml:space="preserve"> are now quickly ramping up production.” said David Watson CEO.</w:t>
      </w:r>
    </w:p>
    <w:p w14:paraId="3C694015" w14:textId="64BF2E23" w:rsidR="00514A92" w:rsidRPr="00514A92" w:rsidRDefault="00514A92" w:rsidP="00514A92">
      <w:pPr>
        <w:pStyle w:val="ydpc6457b61msonormal"/>
        <w:shd w:val="clear" w:color="auto" w:fill="FFFFFF"/>
        <w:jc w:val="both"/>
        <w:textAlignment w:val="baseline"/>
        <w:rPr>
          <w:rFonts w:asciiTheme="minorHAnsi" w:hAnsiTheme="minorHAnsi" w:cstheme="minorHAnsi"/>
          <w:sz w:val="20"/>
          <w:szCs w:val="20"/>
        </w:rPr>
      </w:pPr>
      <w:r w:rsidRPr="00904D37">
        <w:rPr>
          <w:rFonts w:asciiTheme="minorHAnsi" w:eastAsia="Times New Roman" w:hAnsiTheme="minorHAnsi" w:cstheme="minorHAnsi"/>
          <w:color w:val="000000"/>
          <w:sz w:val="24"/>
          <w:szCs w:val="24"/>
          <w:lang w:val="en-CA" w:eastAsia="en-CA"/>
        </w:rPr>
        <w:t xml:space="preserve">“As a further indication of the dynamic nature of our mining business, in the last three weeks our raw material suppliers have increased their prices by a previously unheard of 65%! </w:t>
      </w:r>
      <w:r w:rsidR="00904D37" w:rsidRPr="00904D37">
        <w:rPr>
          <w:rFonts w:asciiTheme="minorHAnsi" w:eastAsia="Times New Roman" w:hAnsiTheme="minorHAnsi" w:cstheme="minorHAnsi"/>
          <w:color w:val="000000"/>
          <w:sz w:val="24"/>
          <w:szCs w:val="24"/>
          <w:lang w:val="en-CA" w:eastAsia="en-CA"/>
        </w:rPr>
        <w:t>Of course,</w:t>
      </w:r>
      <w:r w:rsidRPr="00904D37">
        <w:rPr>
          <w:rFonts w:asciiTheme="minorHAnsi" w:eastAsia="Times New Roman" w:hAnsiTheme="minorHAnsi" w:cstheme="minorHAnsi"/>
          <w:color w:val="000000"/>
          <w:sz w:val="24"/>
          <w:szCs w:val="24"/>
          <w:lang w:val="en-CA" w:eastAsia="en-CA"/>
        </w:rPr>
        <w:t xml:space="preserve"> the uncertainty surrounding the COVID-19 outbreak injects a level of uncertainty into all businesses.”</w:t>
      </w:r>
    </w:p>
    <w:p w14:paraId="5898B05B" w14:textId="77777777" w:rsidR="00D64944" w:rsidRPr="00AE7E14" w:rsidRDefault="00D64944" w:rsidP="00D64944">
      <w:pPr>
        <w:widowControl w:val="0"/>
        <w:jc w:val="both"/>
        <w:outlineLvl w:val="0"/>
        <w:rPr>
          <w:rFonts w:cstheme="minorHAnsi"/>
          <w:b/>
          <w:u w:val="single"/>
        </w:rPr>
      </w:pPr>
      <w:r w:rsidRPr="00AE7E14">
        <w:rPr>
          <w:rFonts w:cstheme="minorHAnsi"/>
          <w:b/>
          <w:u w:val="single"/>
        </w:rPr>
        <w:t xml:space="preserve">About </w:t>
      </w:r>
      <w:proofErr w:type="spellStart"/>
      <w:r w:rsidRPr="00AE7E14">
        <w:rPr>
          <w:rFonts w:cstheme="minorHAnsi"/>
          <w:b/>
          <w:u w:val="single"/>
        </w:rPr>
        <w:t>Plaintree</w:t>
      </w:r>
      <w:proofErr w:type="spellEnd"/>
      <w:r w:rsidRPr="00AE7E14">
        <w:rPr>
          <w:rFonts w:cstheme="minorHAnsi"/>
          <w:b/>
          <w:u w:val="single"/>
        </w:rPr>
        <w:t xml:space="preserve"> Systems</w:t>
      </w:r>
    </w:p>
    <w:p w14:paraId="74B28519" w14:textId="77777777" w:rsidR="00D64944" w:rsidRPr="00AE7E14" w:rsidRDefault="00D64944" w:rsidP="00D64944">
      <w:pPr>
        <w:jc w:val="both"/>
        <w:rPr>
          <w:rFonts w:cstheme="minorHAnsi"/>
        </w:rPr>
      </w:pPr>
      <w:r w:rsidRPr="00AE7E14">
        <w:rPr>
          <w:rFonts w:cstheme="minorHAnsi"/>
          <w:b/>
        </w:rPr>
        <w:t>Plaintree</w:t>
      </w:r>
      <w:r w:rsidRPr="00AE7E14">
        <w:rPr>
          <w:rFonts w:cstheme="minorHAnsi"/>
        </w:rPr>
        <w:t xml:space="preserve"> has two diversified product lines consisting of Specialty Structures and Electronics.</w:t>
      </w:r>
    </w:p>
    <w:p w14:paraId="7FA8FB73" w14:textId="7EC3B46A" w:rsidR="00D64944" w:rsidRPr="00AE7E14" w:rsidRDefault="00D64944" w:rsidP="00D64944">
      <w:pPr>
        <w:jc w:val="both"/>
        <w:rPr>
          <w:rFonts w:cstheme="minorHAnsi"/>
        </w:rPr>
      </w:pPr>
      <w:r w:rsidRPr="00AE7E14">
        <w:rPr>
          <w:rFonts w:cstheme="minorHAnsi"/>
        </w:rPr>
        <w:t xml:space="preserve">The Specialty Structures Division includes the former Triodetic Group with over 40 years of experience, is a design/build manufacturer of steel, aluminum and stainless steel specialty structures such as commercial domes, </w:t>
      </w:r>
      <w:r w:rsidR="006F5C44">
        <w:rPr>
          <w:rFonts w:cstheme="minorHAnsi"/>
        </w:rPr>
        <w:t>foundations</w:t>
      </w:r>
      <w:r w:rsidR="008334E7">
        <w:rPr>
          <w:rFonts w:cstheme="minorHAnsi"/>
        </w:rPr>
        <w:t xml:space="preserve"> for </w:t>
      </w:r>
      <w:r w:rsidR="007D7B29">
        <w:rPr>
          <w:rFonts w:cstheme="minorHAnsi"/>
        </w:rPr>
        <w:t>unstable soil conditions and flood zones</w:t>
      </w:r>
      <w:r w:rsidR="008334E7">
        <w:rPr>
          <w:rFonts w:cstheme="minorHAnsi"/>
        </w:rPr>
        <w:t>,</w:t>
      </w:r>
      <w:r w:rsidR="006F5C44">
        <w:rPr>
          <w:rFonts w:cstheme="minorHAnsi"/>
        </w:rPr>
        <w:t xml:space="preserve"> for </w:t>
      </w:r>
      <w:r w:rsidRPr="00AE7E14">
        <w:rPr>
          <w:rFonts w:cstheme="minorHAnsi"/>
        </w:rPr>
        <w:t>free form structures, barrel vaults, space frames and industrial dome coverings and Spotton Corporation, a design and manufacturer of high end custom hydraulic and pneumatic valves and cylinders.</w:t>
      </w:r>
    </w:p>
    <w:p w14:paraId="10C37639" w14:textId="77777777" w:rsidR="00D64944" w:rsidRPr="00AE7E14" w:rsidRDefault="00D64944" w:rsidP="00D64944">
      <w:pPr>
        <w:jc w:val="both"/>
        <w:rPr>
          <w:rFonts w:cstheme="minorHAnsi"/>
          <w:lang w:eastAsia="en-CA"/>
        </w:rPr>
      </w:pPr>
      <w:r w:rsidRPr="00AE7E14">
        <w:rPr>
          <w:rFonts w:cstheme="minorHAnsi"/>
        </w:rPr>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AE7E14">
        <w:rPr>
          <w:rFonts w:cstheme="minorHAnsi"/>
          <w:lang w:eastAsia="en-CA"/>
        </w:rPr>
        <w:t xml:space="preserve">will support requirements from concept, prototype and throughout production.  </w:t>
      </w:r>
    </w:p>
    <w:p w14:paraId="359B1D88" w14:textId="77777777" w:rsidR="00D64944" w:rsidRPr="00AE7E14" w:rsidRDefault="00D64944" w:rsidP="00D64944">
      <w:pPr>
        <w:spacing w:before="120"/>
        <w:jc w:val="both"/>
        <w:rPr>
          <w:rFonts w:cstheme="minorHAnsi"/>
        </w:rPr>
      </w:pPr>
      <w:r w:rsidRPr="00AE7E14">
        <w:rPr>
          <w:rFonts w:cstheme="minorHAnsi"/>
          <w:color w:val="000000"/>
        </w:rPr>
        <w:lastRenderedPageBreak/>
        <w:t>Plaintree’s shares are traded under the symbol “NPT”.  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AE7E14">
        <w:rPr>
          <w:rFonts w:cstheme="minorHAnsi"/>
          <w:color w:val="000000"/>
        </w:rPr>
        <w:t xml:space="preserve"> or the Company’s website at www.plaintree.com.</w:t>
      </w:r>
      <w:r w:rsidRPr="00AE7E14">
        <w:rPr>
          <w:rFonts w:cstheme="minorHAnsi"/>
          <w:color w:val="000080"/>
        </w:rPr>
        <w:t xml:space="preserve"> </w:t>
      </w:r>
    </w:p>
    <w:p w14:paraId="1AC8C66C" w14:textId="77777777" w:rsidR="00D64944" w:rsidRPr="00AE7E14" w:rsidRDefault="00D64944" w:rsidP="00D64944">
      <w:pPr>
        <w:jc w:val="both"/>
        <w:rPr>
          <w:rFonts w:cstheme="minorHAnsi"/>
          <w:snapToGrid w:val="0"/>
        </w:rPr>
      </w:pPr>
      <w:r w:rsidRPr="00AE7E14">
        <w:rPr>
          <w:rFonts w:cstheme="minorHAnsi"/>
          <w:snapToGrid w:val="0"/>
        </w:rPr>
        <w:t xml:space="preserve">Plaintree is publicly traded in Canada on the CSE (NPT) with </w:t>
      </w:r>
      <w:r w:rsidRPr="00AE7E14">
        <w:rPr>
          <w:rFonts w:cstheme="minorHAnsi"/>
          <w:b/>
          <w:snapToGrid w:val="0"/>
        </w:rPr>
        <w:t>12,925,253</w:t>
      </w:r>
      <w:r w:rsidRPr="00AE7E14">
        <w:rPr>
          <w:rFonts w:cstheme="minorHAnsi"/>
          <w:snapToGrid w:val="0"/>
        </w:rPr>
        <w:t xml:space="preserve"> common shares and 18,325 class A preferred shares outstanding. </w:t>
      </w:r>
    </w:p>
    <w:p w14:paraId="2370D2CF" w14:textId="301694AF" w:rsidR="00D64944" w:rsidRPr="00AE7E14" w:rsidRDefault="00D64944" w:rsidP="00D64944">
      <w:pPr>
        <w:jc w:val="both"/>
        <w:rPr>
          <w:rFonts w:cstheme="minorHAnsi"/>
          <w:i/>
          <w:snapToGrid w:val="0"/>
        </w:rPr>
      </w:pPr>
      <w:r w:rsidRPr="00AE7E14">
        <w:rPr>
          <w:rFonts w:cstheme="minorHAnsi"/>
          <w:i/>
          <w:snapToGrid w:val="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w:t>
      </w:r>
      <w:r w:rsidR="009D4295">
        <w:rPr>
          <w:rFonts w:cstheme="minorHAnsi"/>
          <w:i/>
          <w:snapToGrid w:val="0"/>
        </w:rPr>
        <w:t>20</w:t>
      </w:r>
      <w:r w:rsidRPr="00AE7E14">
        <w:rPr>
          <w:rFonts w:cstheme="minorHAnsi"/>
          <w:i/>
          <w:snapToGrid w:val="0"/>
        </w:rPr>
        <w:t xml:space="preserve"> and related management discussion and analysis. </w:t>
      </w:r>
    </w:p>
    <w:p w14:paraId="3A54242B" w14:textId="77777777" w:rsidR="00D64944" w:rsidRPr="00AE7E14" w:rsidRDefault="00D64944" w:rsidP="00D64944">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48FC5EB6" w14:textId="0D907D73" w:rsidR="00D64944" w:rsidRPr="00AE7E14" w:rsidRDefault="00D64944" w:rsidP="00D64944">
      <w:pPr>
        <w:autoSpaceDE w:val="0"/>
        <w:autoSpaceDN w:val="0"/>
        <w:adjustRightInd w:val="0"/>
        <w:jc w:val="both"/>
        <w:rPr>
          <w:rFonts w:cstheme="minorHAnsi"/>
        </w:rPr>
      </w:pPr>
      <w:r w:rsidRPr="00AE7E14">
        <w:rPr>
          <w:rFonts w:cstheme="minorHAnsi"/>
        </w:rPr>
        <w:t>For further information:</w:t>
      </w:r>
      <w:r w:rsidR="00AE7E14">
        <w:rPr>
          <w:rFonts w:cstheme="minorHAnsi"/>
        </w:rPr>
        <w:t xml:space="preserve"> Lynn Saunders, </w:t>
      </w:r>
      <w:proofErr w:type="gramStart"/>
      <w:r w:rsidR="00AE7E14">
        <w:rPr>
          <w:rFonts w:cstheme="minorHAnsi"/>
        </w:rPr>
        <w:t>CFO</w:t>
      </w:r>
      <w:r w:rsidRPr="00AE7E14">
        <w:rPr>
          <w:rFonts w:cstheme="minorHAnsi"/>
        </w:rPr>
        <w:t xml:space="preserve">  (</w:t>
      </w:r>
      <w:proofErr w:type="gramEnd"/>
      <w:r w:rsidRPr="00AE7E14">
        <w:rPr>
          <w:rFonts w:cstheme="minorHAnsi"/>
        </w:rPr>
        <w:t xml:space="preserve">613) 623-3434 </w:t>
      </w:r>
      <w:r w:rsidR="00AE7E14">
        <w:rPr>
          <w:rFonts w:cstheme="minorHAnsi"/>
        </w:rPr>
        <w:t>x2223</w:t>
      </w:r>
    </w:p>
    <w:sectPr w:rsidR="00D64944" w:rsidRPr="00AE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1D"/>
    <w:rsid w:val="00036BBB"/>
    <w:rsid w:val="000938F6"/>
    <w:rsid w:val="000C0FE8"/>
    <w:rsid w:val="000D4DD4"/>
    <w:rsid w:val="001102B6"/>
    <w:rsid w:val="00125BD1"/>
    <w:rsid w:val="00146CC2"/>
    <w:rsid w:val="00216629"/>
    <w:rsid w:val="00220230"/>
    <w:rsid w:val="00227094"/>
    <w:rsid w:val="00227B4A"/>
    <w:rsid w:val="00243C86"/>
    <w:rsid w:val="0026657A"/>
    <w:rsid w:val="002A54B0"/>
    <w:rsid w:val="002F1123"/>
    <w:rsid w:val="003C70EF"/>
    <w:rsid w:val="00445607"/>
    <w:rsid w:val="00457F17"/>
    <w:rsid w:val="004A4A8F"/>
    <w:rsid w:val="00514A92"/>
    <w:rsid w:val="0052161B"/>
    <w:rsid w:val="00591FF8"/>
    <w:rsid w:val="005B6488"/>
    <w:rsid w:val="005E191D"/>
    <w:rsid w:val="00630950"/>
    <w:rsid w:val="0068591D"/>
    <w:rsid w:val="006F481A"/>
    <w:rsid w:val="006F5C44"/>
    <w:rsid w:val="00795B79"/>
    <w:rsid w:val="007D7B29"/>
    <w:rsid w:val="008334E7"/>
    <w:rsid w:val="008570D2"/>
    <w:rsid w:val="00886C4C"/>
    <w:rsid w:val="008A1DCB"/>
    <w:rsid w:val="008F21BE"/>
    <w:rsid w:val="00904D37"/>
    <w:rsid w:val="00950C52"/>
    <w:rsid w:val="009D4295"/>
    <w:rsid w:val="00A430BE"/>
    <w:rsid w:val="00AC675C"/>
    <w:rsid w:val="00AE7E14"/>
    <w:rsid w:val="00B154E3"/>
    <w:rsid w:val="00B96204"/>
    <w:rsid w:val="00C366CF"/>
    <w:rsid w:val="00C37F52"/>
    <w:rsid w:val="00CC74A2"/>
    <w:rsid w:val="00D40448"/>
    <w:rsid w:val="00D6353A"/>
    <w:rsid w:val="00D64944"/>
    <w:rsid w:val="00D7187B"/>
    <w:rsid w:val="00E06E85"/>
    <w:rsid w:val="00E80248"/>
    <w:rsid w:val="00EC3714"/>
    <w:rsid w:val="00EC4620"/>
    <w:rsid w:val="00F65345"/>
    <w:rsid w:val="00F8714D"/>
    <w:rsid w:val="00FA2897"/>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32F2"/>
  <w15:docId w15:val="{B0052CB1-E4B2-4D90-9C6E-C20A5B0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 w:type="paragraph" w:customStyle="1" w:styleId="ydpc6457b61msonormal">
    <w:name w:val="ydpc6457b61msonormal"/>
    <w:basedOn w:val="Normal"/>
    <w:rsid w:val="00514A92"/>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462051">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355615157">
      <w:bodyDiv w:val="1"/>
      <w:marLeft w:val="0"/>
      <w:marRight w:val="0"/>
      <w:marTop w:val="0"/>
      <w:marBottom w:val="0"/>
      <w:divBdr>
        <w:top w:val="none" w:sz="0" w:space="0" w:color="auto"/>
        <w:left w:val="none" w:sz="0" w:space="0" w:color="auto"/>
        <w:bottom w:val="none" w:sz="0" w:space="0" w:color="auto"/>
        <w:right w:val="none" w:sz="0" w:space="0" w:color="auto"/>
      </w:divBdr>
    </w:div>
    <w:div w:id="1627663139">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3212-CC06-47C2-8BEE-B877D475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Jessop</dc:creator>
  <cp:lastModifiedBy>Lynn Saunders</cp:lastModifiedBy>
  <cp:revision>2</cp:revision>
  <cp:lastPrinted>2019-07-25T19:30:00Z</cp:lastPrinted>
  <dcterms:created xsi:type="dcterms:W3CDTF">2021-02-24T16:55:00Z</dcterms:created>
  <dcterms:modified xsi:type="dcterms:W3CDTF">2021-02-24T16:55:00Z</dcterms:modified>
</cp:coreProperties>
</file>