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CF98" w14:textId="77777777" w:rsidR="00A33D41" w:rsidRPr="00A33D41" w:rsidRDefault="00287AFB" w:rsidP="00A33D41">
      <w:pPr>
        <w:jc w:val="center"/>
        <w:rPr>
          <w:rFonts w:ascii="Century Gothic" w:hAnsi="Century Gothic"/>
          <w:b/>
          <w:caps/>
          <w:sz w:val="28"/>
          <w:szCs w:val="28"/>
        </w:rPr>
      </w:pPr>
      <w:bookmarkStart w:id="0" w:name="_GoBack"/>
      <w:bookmarkEnd w:id="0"/>
      <w:r>
        <w:rPr>
          <w:rFonts w:ascii="Century Gothic" w:hAnsi="Century Gothic"/>
          <w:b/>
          <w:caps/>
          <w:sz w:val="28"/>
          <w:szCs w:val="28"/>
        </w:rPr>
        <w:t xml:space="preserve">PLATINEX INC. AND TREASURY METALS INC. TO Consolidate AdjoIning ProjectS TO ADVANCE SHINING TREE GOLD PROPERTY </w:t>
      </w:r>
    </w:p>
    <w:p w14:paraId="066EDD94" w14:textId="77777777" w:rsidR="00E13060" w:rsidRPr="00E13060" w:rsidRDefault="00A5682A" w:rsidP="00E13060">
      <w:pPr>
        <w:jc w:val="center"/>
        <w:rPr>
          <w:rFonts w:ascii="Century Gothic" w:hAnsi="Century Gothic"/>
          <w:b/>
          <w:caps/>
          <w:sz w:val="28"/>
          <w:szCs w:val="28"/>
        </w:rPr>
      </w:pPr>
    </w:p>
    <w:p w14:paraId="663724D8" w14:textId="77777777" w:rsidR="0078730D" w:rsidRDefault="00287AFB" w:rsidP="001E5E0F">
      <w:pPr>
        <w:pStyle w:val="NormalWeb"/>
        <w:contextualSpacing/>
        <w:jc w:val="both"/>
        <w:rPr>
          <w:rFonts w:ascii="Century Gothic" w:hAnsi="Century Gothic" w:cs="Century Gothic"/>
          <w:sz w:val="20"/>
          <w:szCs w:val="20"/>
        </w:rPr>
      </w:pPr>
      <w:bookmarkStart w:id="1" w:name="_Hlk499719306"/>
      <w:r w:rsidRPr="00590314">
        <w:rPr>
          <w:rFonts w:ascii="Century Gothic" w:hAnsi="Century Gothic" w:cs="Century Gothic"/>
          <w:bCs/>
          <w:sz w:val="20"/>
          <w:szCs w:val="20"/>
        </w:rPr>
        <w:t xml:space="preserve">Toronto, Ontario, March </w:t>
      </w:r>
      <w:r>
        <w:rPr>
          <w:rFonts w:ascii="Century Gothic" w:hAnsi="Century Gothic" w:cs="Century Gothic"/>
          <w:bCs/>
          <w:sz w:val="20"/>
          <w:szCs w:val="20"/>
        </w:rPr>
        <w:t>11</w:t>
      </w:r>
      <w:r w:rsidRPr="00590314">
        <w:rPr>
          <w:rFonts w:ascii="Century Gothic" w:hAnsi="Century Gothic" w:cs="Century Gothic"/>
          <w:bCs/>
          <w:sz w:val="20"/>
          <w:szCs w:val="20"/>
        </w:rPr>
        <w:t>, 2020 - Platinex Inc</w:t>
      </w:r>
      <w:r>
        <w:rPr>
          <w:rFonts w:ascii="Century Gothic" w:hAnsi="Century Gothic" w:cs="Century Gothic"/>
          <w:b/>
          <w:bCs/>
          <w:sz w:val="20"/>
          <w:szCs w:val="20"/>
        </w:rPr>
        <w:t xml:space="preserve">. </w:t>
      </w:r>
      <w:r w:rsidRPr="00745257">
        <w:rPr>
          <w:rFonts w:ascii="Century Gothic" w:hAnsi="Century Gothic" w:cs="Century Gothic"/>
          <w:bCs/>
          <w:sz w:val="20"/>
          <w:szCs w:val="20"/>
        </w:rPr>
        <w:t>(</w:t>
      </w:r>
      <w:r>
        <w:rPr>
          <w:rFonts w:ascii="Century Gothic" w:hAnsi="Century Gothic" w:cs="Century Gothic"/>
          <w:bCs/>
          <w:sz w:val="20"/>
          <w:szCs w:val="20"/>
        </w:rPr>
        <w:t>CSE</w:t>
      </w:r>
      <w:r w:rsidRPr="00745257">
        <w:rPr>
          <w:rFonts w:ascii="Century Gothic" w:hAnsi="Century Gothic" w:cs="Century Gothic"/>
          <w:bCs/>
          <w:sz w:val="20"/>
          <w:szCs w:val="20"/>
        </w:rPr>
        <w:t>: PTX)</w:t>
      </w:r>
      <w:r>
        <w:rPr>
          <w:rFonts w:ascii="Century Gothic" w:hAnsi="Century Gothic" w:cs="Century Gothic"/>
          <w:sz w:val="20"/>
          <w:szCs w:val="20"/>
        </w:rPr>
        <w:t xml:space="preserve"> ("</w:t>
      </w:r>
      <w:r w:rsidRPr="00590314">
        <w:rPr>
          <w:rFonts w:ascii="Century Gothic" w:hAnsi="Century Gothic" w:cs="Century Gothic"/>
          <w:b/>
          <w:sz w:val="20"/>
          <w:szCs w:val="20"/>
        </w:rPr>
        <w:t>Platinex</w:t>
      </w:r>
      <w:r w:rsidRPr="00E73352">
        <w:rPr>
          <w:rFonts w:ascii="Century Gothic" w:hAnsi="Century Gothic" w:cs="Century Gothic"/>
          <w:sz w:val="20"/>
          <w:szCs w:val="20"/>
        </w:rPr>
        <w:t>")</w:t>
      </w:r>
      <w:r>
        <w:rPr>
          <w:rFonts w:ascii="Century Gothic" w:hAnsi="Century Gothic" w:cs="Century Gothic"/>
          <w:sz w:val="20"/>
          <w:szCs w:val="20"/>
        </w:rPr>
        <w:t xml:space="preserve"> and </w:t>
      </w:r>
      <w:r w:rsidRPr="00590314">
        <w:rPr>
          <w:rFonts w:ascii="Century Gothic" w:hAnsi="Century Gothic" w:cs="Century Gothic"/>
          <w:bCs/>
          <w:sz w:val="20"/>
          <w:szCs w:val="20"/>
        </w:rPr>
        <w:t>Treasury Metals Inc.</w:t>
      </w:r>
      <w:r>
        <w:rPr>
          <w:rFonts w:ascii="Century Gothic" w:hAnsi="Century Gothic" w:cs="Century Gothic"/>
          <w:sz w:val="20"/>
          <w:szCs w:val="20"/>
        </w:rPr>
        <w:t xml:space="preserve"> (TSE:TML) (“</w:t>
      </w:r>
      <w:r w:rsidRPr="00590314">
        <w:rPr>
          <w:rFonts w:ascii="Century Gothic" w:hAnsi="Century Gothic" w:cs="Century Gothic"/>
          <w:b/>
          <w:sz w:val="20"/>
          <w:szCs w:val="20"/>
        </w:rPr>
        <w:t>Treasury</w:t>
      </w:r>
      <w:r>
        <w:rPr>
          <w:rFonts w:ascii="Century Gothic" w:hAnsi="Century Gothic" w:cs="Century Gothic"/>
          <w:sz w:val="20"/>
          <w:szCs w:val="20"/>
        </w:rPr>
        <w:t>”) have entered into a non-binding heads of agreement between the two companies (the "</w:t>
      </w:r>
      <w:r w:rsidRPr="00590314">
        <w:rPr>
          <w:rFonts w:ascii="Century Gothic" w:hAnsi="Century Gothic" w:cs="Century Gothic"/>
          <w:b/>
          <w:sz w:val="20"/>
          <w:szCs w:val="20"/>
        </w:rPr>
        <w:t>Transaction</w:t>
      </w:r>
      <w:r>
        <w:rPr>
          <w:rFonts w:ascii="Century Gothic" w:hAnsi="Century Gothic" w:cs="Century Gothic"/>
          <w:sz w:val="20"/>
          <w:szCs w:val="20"/>
        </w:rPr>
        <w:t>"), namely:</w:t>
      </w:r>
    </w:p>
    <w:p w14:paraId="6C8D6781" w14:textId="77777777" w:rsidR="001E2A1C" w:rsidRDefault="00A5682A" w:rsidP="001E5E0F">
      <w:pPr>
        <w:pStyle w:val="NormalWeb"/>
        <w:contextualSpacing/>
        <w:jc w:val="both"/>
        <w:rPr>
          <w:rFonts w:ascii="Century Gothic" w:hAnsi="Century Gothic" w:cs="Century Gothic"/>
          <w:sz w:val="20"/>
          <w:szCs w:val="20"/>
        </w:rPr>
      </w:pPr>
    </w:p>
    <w:p w14:paraId="07C8B56E" w14:textId="77777777" w:rsidR="006F6A60" w:rsidRPr="00547698" w:rsidRDefault="00287AFB" w:rsidP="00547698">
      <w:pPr>
        <w:pStyle w:val="NormalWeb"/>
        <w:numPr>
          <w:ilvl w:val="0"/>
          <w:numId w:val="2"/>
        </w:numPr>
        <w:contextualSpacing/>
        <w:jc w:val="both"/>
        <w:rPr>
          <w:rFonts w:ascii="Century Gothic" w:hAnsi="Century Gothic" w:cs="Century Gothic"/>
          <w:sz w:val="20"/>
          <w:szCs w:val="20"/>
        </w:rPr>
      </w:pPr>
      <w:r w:rsidRPr="00547698">
        <w:rPr>
          <w:rFonts w:ascii="Century Gothic" w:hAnsi="Century Gothic" w:cs="Century Gothic"/>
          <w:sz w:val="20"/>
          <w:szCs w:val="20"/>
        </w:rPr>
        <w:t xml:space="preserve">Treasury will transfer a 100% interest in its </w:t>
      </w:r>
      <w:bookmarkStart w:id="2" w:name="_Hlk34206082"/>
      <w:r w:rsidRPr="00547698">
        <w:rPr>
          <w:rFonts w:ascii="Century Gothic" w:hAnsi="Century Gothic" w:cs="Century Gothic"/>
          <w:sz w:val="20"/>
          <w:szCs w:val="20"/>
        </w:rPr>
        <w:t>280 claim unit 5,045 Ha. (12,466 ac.) Shining Tree Fawcett East property (the “</w:t>
      </w:r>
      <w:r w:rsidRPr="00547698">
        <w:rPr>
          <w:rFonts w:ascii="Century Gothic" w:hAnsi="Century Gothic" w:cs="Century Gothic"/>
          <w:b/>
          <w:sz w:val="20"/>
          <w:szCs w:val="20"/>
        </w:rPr>
        <w:t>Shining Tree East Property</w:t>
      </w:r>
      <w:r w:rsidRPr="00547698">
        <w:rPr>
          <w:rFonts w:ascii="Century Gothic" w:hAnsi="Century Gothic" w:cs="Century Gothic"/>
          <w:sz w:val="20"/>
          <w:szCs w:val="20"/>
        </w:rPr>
        <w:t>”) to Platinex</w:t>
      </w:r>
      <w:r>
        <w:rPr>
          <w:rFonts w:ascii="Century Gothic" w:hAnsi="Century Gothic" w:cs="Century Gothic"/>
          <w:sz w:val="20"/>
          <w:szCs w:val="20"/>
        </w:rPr>
        <w:t>,</w:t>
      </w:r>
      <w:r w:rsidRPr="00547698">
        <w:rPr>
          <w:rFonts w:ascii="Century Gothic" w:hAnsi="Century Gothic" w:cs="Century Gothic"/>
          <w:sz w:val="20"/>
          <w:szCs w:val="20"/>
        </w:rPr>
        <w:t xml:space="preserve"> to create the largest combined gold focused property package in the Shining Tree District, Northern Ontario (the “</w:t>
      </w:r>
      <w:r w:rsidRPr="00547698">
        <w:rPr>
          <w:rFonts w:ascii="Century Gothic" w:hAnsi="Century Gothic" w:cs="Century Gothic"/>
          <w:b/>
          <w:bCs/>
          <w:sz w:val="20"/>
          <w:szCs w:val="20"/>
        </w:rPr>
        <w:t>Shining Tree Property</w:t>
      </w:r>
      <w:r w:rsidRPr="00547698">
        <w:rPr>
          <w:rFonts w:ascii="Century Gothic" w:hAnsi="Century Gothic" w:cs="Century Gothic"/>
          <w:sz w:val="20"/>
          <w:szCs w:val="20"/>
        </w:rPr>
        <w:t>”)</w:t>
      </w:r>
      <w:r>
        <w:rPr>
          <w:rFonts w:ascii="Century Gothic" w:hAnsi="Century Gothic" w:cs="Century Gothic"/>
          <w:sz w:val="20"/>
          <w:szCs w:val="20"/>
        </w:rPr>
        <w:t xml:space="preserve">. </w:t>
      </w:r>
      <w:r w:rsidRPr="00547698">
        <w:rPr>
          <w:rFonts w:ascii="Century Gothic" w:hAnsi="Century Gothic" w:cs="Century Gothic"/>
          <w:sz w:val="20"/>
          <w:szCs w:val="20"/>
        </w:rPr>
        <w:t xml:space="preserve">The Shining Tree Property is located on 21km of </w:t>
      </w:r>
      <w:r>
        <w:rPr>
          <w:rFonts w:ascii="Century Gothic" w:hAnsi="Century Gothic" w:cs="Century Gothic"/>
          <w:sz w:val="20"/>
          <w:szCs w:val="20"/>
        </w:rPr>
        <w:t xml:space="preserve">the </w:t>
      </w:r>
      <w:r w:rsidRPr="00547698">
        <w:rPr>
          <w:rFonts w:ascii="Century Gothic" w:hAnsi="Century Gothic" w:cs="Century Gothic"/>
          <w:sz w:val="20"/>
          <w:szCs w:val="20"/>
        </w:rPr>
        <w:t>Tyrrell-</w:t>
      </w:r>
      <w:proofErr w:type="spellStart"/>
      <w:r w:rsidRPr="00547698">
        <w:rPr>
          <w:rFonts w:ascii="Century Gothic" w:hAnsi="Century Gothic" w:cs="Century Gothic"/>
          <w:sz w:val="20"/>
          <w:szCs w:val="20"/>
        </w:rPr>
        <w:t>Ridout</w:t>
      </w:r>
      <w:proofErr w:type="spellEnd"/>
      <w:r w:rsidRPr="00547698">
        <w:rPr>
          <w:rFonts w:ascii="Century Gothic" w:hAnsi="Century Gothic" w:cs="Century Gothic"/>
          <w:sz w:val="20"/>
          <w:szCs w:val="20"/>
        </w:rPr>
        <w:t xml:space="preserve"> Deformation Zone which also hosts both IAMGOLD’s </w:t>
      </w:r>
      <w:proofErr w:type="spellStart"/>
      <w:r w:rsidRPr="00547698">
        <w:rPr>
          <w:rFonts w:ascii="Century Gothic" w:hAnsi="Century Gothic" w:cs="Century Gothic"/>
          <w:sz w:val="20"/>
          <w:szCs w:val="20"/>
        </w:rPr>
        <w:t>Côté</w:t>
      </w:r>
      <w:proofErr w:type="spellEnd"/>
      <w:r w:rsidRPr="00547698">
        <w:rPr>
          <w:rFonts w:ascii="Century Gothic" w:hAnsi="Century Gothic" w:cs="Century Gothic"/>
          <w:sz w:val="20"/>
          <w:szCs w:val="20"/>
        </w:rPr>
        <w:t xml:space="preserve"> Lake gold deposit </w:t>
      </w:r>
      <w:r>
        <w:rPr>
          <w:rFonts w:ascii="Century Gothic" w:hAnsi="Century Gothic" w:cs="Century Gothic"/>
          <w:sz w:val="20"/>
          <w:szCs w:val="20"/>
        </w:rPr>
        <w:t>and Pan American’s Juby deposit;</w:t>
      </w:r>
    </w:p>
    <w:p w14:paraId="39E4F04A" w14:textId="77777777" w:rsidR="00590314" w:rsidRDefault="00A5682A" w:rsidP="00590314">
      <w:pPr>
        <w:pStyle w:val="NormalWeb"/>
        <w:ind w:left="720"/>
        <w:contextualSpacing/>
        <w:jc w:val="both"/>
        <w:rPr>
          <w:rFonts w:ascii="Century Gothic" w:hAnsi="Century Gothic" w:cs="Century Gothic"/>
          <w:sz w:val="20"/>
          <w:szCs w:val="20"/>
        </w:rPr>
      </w:pPr>
    </w:p>
    <w:bookmarkEnd w:id="2"/>
    <w:p w14:paraId="1EE30A9F" w14:textId="77777777" w:rsidR="006F6A60" w:rsidRDefault="00287AFB" w:rsidP="0078730D">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Treasury will transfer</w:t>
      </w:r>
      <w:r w:rsidRPr="00DA6FD7">
        <w:rPr>
          <w:rFonts w:ascii="Century Gothic" w:hAnsi="Century Gothic" w:cs="Century Gothic"/>
          <w:sz w:val="20"/>
          <w:szCs w:val="20"/>
        </w:rPr>
        <w:t xml:space="preserve"> </w:t>
      </w:r>
      <w:r>
        <w:rPr>
          <w:rFonts w:ascii="Century Gothic" w:hAnsi="Century Gothic" w:cs="Century Gothic"/>
          <w:sz w:val="20"/>
          <w:szCs w:val="20"/>
        </w:rPr>
        <w:t xml:space="preserve">to Platinex </w:t>
      </w:r>
      <w:r w:rsidRPr="00DA6FD7">
        <w:rPr>
          <w:rFonts w:ascii="Century Gothic" w:hAnsi="Century Gothic" w:cs="Century Gothic"/>
          <w:sz w:val="20"/>
          <w:szCs w:val="20"/>
        </w:rPr>
        <w:t>royalt</w:t>
      </w:r>
      <w:r>
        <w:rPr>
          <w:rFonts w:ascii="Century Gothic" w:hAnsi="Century Gothic" w:cs="Century Gothic"/>
          <w:sz w:val="20"/>
          <w:szCs w:val="20"/>
        </w:rPr>
        <w:t>ies comprising four Ontario and Chile based</w:t>
      </w:r>
      <w:r w:rsidRPr="00DA6FD7">
        <w:rPr>
          <w:rFonts w:ascii="Century Gothic" w:hAnsi="Century Gothic" w:cs="Century Gothic"/>
          <w:sz w:val="20"/>
          <w:szCs w:val="20"/>
        </w:rPr>
        <w:t xml:space="preserve"> exploration projects</w:t>
      </w:r>
      <w:r>
        <w:rPr>
          <w:rFonts w:ascii="Century Gothic" w:hAnsi="Century Gothic" w:cs="Century Gothic"/>
          <w:sz w:val="20"/>
          <w:szCs w:val="20"/>
        </w:rPr>
        <w:t xml:space="preserve"> covering gold, PGM’s and base metal opportunities (the "</w:t>
      </w:r>
      <w:r w:rsidRPr="00590314">
        <w:rPr>
          <w:rFonts w:ascii="Century Gothic" w:hAnsi="Century Gothic" w:cs="Century Gothic"/>
          <w:b/>
          <w:sz w:val="20"/>
          <w:szCs w:val="20"/>
        </w:rPr>
        <w:t>Royalties</w:t>
      </w:r>
      <w:r>
        <w:rPr>
          <w:rFonts w:ascii="Century Gothic" w:hAnsi="Century Gothic" w:cs="Century Gothic"/>
          <w:sz w:val="20"/>
          <w:szCs w:val="20"/>
        </w:rPr>
        <w:t xml:space="preserve">") to enhance </w:t>
      </w:r>
      <w:proofErr w:type="spellStart"/>
      <w:r>
        <w:rPr>
          <w:rFonts w:ascii="Century Gothic" w:hAnsi="Century Gothic" w:cs="Century Gothic"/>
          <w:sz w:val="20"/>
          <w:szCs w:val="20"/>
        </w:rPr>
        <w:t>Platinex’s</w:t>
      </w:r>
      <w:proofErr w:type="spellEnd"/>
      <w:r>
        <w:rPr>
          <w:rFonts w:ascii="Century Gothic" w:hAnsi="Century Gothic" w:cs="Century Gothic"/>
          <w:sz w:val="20"/>
          <w:szCs w:val="20"/>
        </w:rPr>
        <w:t xml:space="preserve"> existing royalty portfolio; </w:t>
      </w:r>
    </w:p>
    <w:p w14:paraId="071B3109" w14:textId="77777777" w:rsidR="00590314" w:rsidRDefault="00A5682A" w:rsidP="00590314">
      <w:pPr>
        <w:pStyle w:val="NormalWeb"/>
        <w:ind w:left="720"/>
        <w:contextualSpacing/>
        <w:jc w:val="both"/>
        <w:rPr>
          <w:rFonts w:ascii="Century Gothic" w:hAnsi="Century Gothic" w:cs="Century Gothic"/>
          <w:sz w:val="20"/>
          <w:szCs w:val="20"/>
        </w:rPr>
      </w:pPr>
    </w:p>
    <w:p w14:paraId="3934CD62" w14:textId="77777777" w:rsidR="009F6FDB" w:rsidRDefault="00287AFB" w:rsidP="00547698">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 xml:space="preserve">In consideration for acquiring the Shining Tree East Property and the Royalties, Platinex will issue to </w:t>
      </w:r>
      <w:r w:rsidRPr="006F6A60">
        <w:rPr>
          <w:rFonts w:ascii="Century Gothic" w:hAnsi="Century Gothic" w:cs="Century Gothic"/>
          <w:sz w:val="20"/>
          <w:szCs w:val="20"/>
        </w:rPr>
        <w:t xml:space="preserve">Treasury 12,500,000 common shares </w:t>
      </w:r>
      <w:r>
        <w:rPr>
          <w:rFonts w:ascii="Century Gothic" w:hAnsi="Century Gothic" w:cs="Century Gothic"/>
          <w:sz w:val="20"/>
          <w:szCs w:val="20"/>
        </w:rPr>
        <w:t>("</w:t>
      </w:r>
      <w:r w:rsidRPr="00BA2F75">
        <w:rPr>
          <w:rFonts w:ascii="Century Gothic" w:hAnsi="Century Gothic" w:cs="Century Gothic"/>
          <w:b/>
          <w:sz w:val="20"/>
          <w:szCs w:val="20"/>
        </w:rPr>
        <w:t>Consideration Shares</w:t>
      </w:r>
      <w:r>
        <w:rPr>
          <w:rFonts w:ascii="Century Gothic" w:hAnsi="Century Gothic" w:cs="Century Gothic"/>
          <w:sz w:val="20"/>
          <w:szCs w:val="20"/>
        </w:rPr>
        <w:t xml:space="preserve">") </w:t>
      </w:r>
      <w:r w:rsidRPr="006F6A60">
        <w:rPr>
          <w:rFonts w:ascii="Century Gothic" w:hAnsi="Century Gothic" w:cs="Century Gothic"/>
          <w:sz w:val="20"/>
          <w:szCs w:val="20"/>
        </w:rPr>
        <w:t>of Platinex</w:t>
      </w:r>
      <w:r>
        <w:rPr>
          <w:rFonts w:ascii="Century Gothic" w:hAnsi="Century Gothic" w:cs="Century Gothic"/>
          <w:sz w:val="20"/>
          <w:szCs w:val="20"/>
        </w:rPr>
        <w:t xml:space="preserve"> and</w:t>
      </w:r>
      <w:r w:rsidRPr="006F6A60">
        <w:rPr>
          <w:rFonts w:ascii="Century Gothic" w:hAnsi="Century Gothic" w:cs="Century Gothic"/>
          <w:sz w:val="20"/>
          <w:szCs w:val="20"/>
        </w:rPr>
        <w:t xml:space="preserve"> 5,000,000 non-transferable common share purchase warrants </w:t>
      </w:r>
      <w:r>
        <w:rPr>
          <w:rFonts w:ascii="Century Gothic" w:hAnsi="Century Gothic" w:cs="Century Gothic"/>
          <w:sz w:val="20"/>
          <w:szCs w:val="20"/>
        </w:rPr>
        <w:t>("</w:t>
      </w:r>
      <w:r w:rsidRPr="00590314">
        <w:rPr>
          <w:rFonts w:ascii="Century Gothic" w:hAnsi="Century Gothic" w:cs="Century Gothic"/>
          <w:b/>
          <w:sz w:val="20"/>
          <w:szCs w:val="20"/>
        </w:rPr>
        <w:t>Consideration Warrants</w:t>
      </w:r>
      <w:r>
        <w:rPr>
          <w:rFonts w:ascii="Century Gothic" w:hAnsi="Century Gothic" w:cs="Century Gothic"/>
          <w:sz w:val="20"/>
          <w:szCs w:val="20"/>
        </w:rPr>
        <w:t xml:space="preserve">") </w:t>
      </w:r>
      <w:r w:rsidRPr="006F6A60">
        <w:rPr>
          <w:rFonts w:ascii="Century Gothic" w:hAnsi="Century Gothic" w:cs="Century Gothic"/>
          <w:sz w:val="20"/>
          <w:szCs w:val="20"/>
        </w:rPr>
        <w:t>of Platinex</w:t>
      </w:r>
      <w:r>
        <w:rPr>
          <w:rFonts w:ascii="Century Gothic" w:hAnsi="Century Gothic" w:cs="Century Gothic"/>
          <w:sz w:val="20"/>
          <w:szCs w:val="20"/>
        </w:rPr>
        <w:t>.  Each Consideration Warrant will be exercisable at a price of $0.05 per share</w:t>
      </w:r>
      <w:r w:rsidRPr="006F6A60">
        <w:rPr>
          <w:rFonts w:ascii="Century Gothic" w:hAnsi="Century Gothic" w:cs="Century Gothic"/>
          <w:sz w:val="20"/>
          <w:szCs w:val="20"/>
        </w:rPr>
        <w:t xml:space="preserve"> for a </w:t>
      </w:r>
      <w:r>
        <w:rPr>
          <w:rFonts w:ascii="Century Gothic" w:hAnsi="Century Gothic" w:cs="Century Gothic"/>
          <w:sz w:val="20"/>
          <w:szCs w:val="20"/>
        </w:rPr>
        <w:t>period of three years from the date of issuance, provided that</w:t>
      </w:r>
      <w:r w:rsidRPr="006F6A60">
        <w:rPr>
          <w:rFonts w:ascii="Century Gothic" w:hAnsi="Century Gothic" w:cs="Century Gothic"/>
          <w:sz w:val="20"/>
          <w:szCs w:val="20"/>
        </w:rPr>
        <w:t xml:space="preserve"> </w:t>
      </w:r>
      <w:r>
        <w:rPr>
          <w:rFonts w:ascii="Century Gothic" w:hAnsi="Century Gothic" w:cs="Century Gothic"/>
          <w:sz w:val="20"/>
          <w:szCs w:val="20"/>
        </w:rPr>
        <w:t xml:space="preserve">if </w:t>
      </w:r>
      <w:r w:rsidRPr="00547698">
        <w:rPr>
          <w:rFonts w:ascii="Century Gothic" w:hAnsi="Century Gothic" w:cs="Century Gothic"/>
          <w:sz w:val="20"/>
          <w:szCs w:val="20"/>
        </w:rPr>
        <w:t>the closing price of the common shares of Platinex ("</w:t>
      </w:r>
      <w:r w:rsidRPr="00547698">
        <w:rPr>
          <w:rFonts w:ascii="Century Gothic" w:hAnsi="Century Gothic" w:cs="Century Gothic"/>
          <w:b/>
          <w:sz w:val="20"/>
          <w:szCs w:val="20"/>
        </w:rPr>
        <w:t>Platinex Shares</w:t>
      </w:r>
      <w:r w:rsidRPr="00547698">
        <w:rPr>
          <w:rFonts w:ascii="Century Gothic" w:hAnsi="Century Gothic" w:cs="Century Gothic"/>
          <w:sz w:val="20"/>
          <w:szCs w:val="20"/>
        </w:rPr>
        <w:t>") is equal to or greater than $0.30 for a period of 20 consecutive trading days, Platinex will have the right to increase the exercise price of the Consideration Warrants by giving a written notice</w:t>
      </w:r>
      <w:r>
        <w:rPr>
          <w:rFonts w:ascii="Century Gothic" w:hAnsi="Century Gothic" w:cs="Century Gothic"/>
          <w:sz w:val="20"/>
          <w:szCs w:val="20"/>
        </w:rPr>
        <w:t xml:space="preserve"> </w:t>
      </w:r>
      <w:r w:rsidRPr="00547698">
        <w:rPr>
          <w:rFonts w:ascii="Century Gothic" w:hAnsi="Century Gothic" w:cs="Century Gothic"/>
          <w:sz w:val="20"/>
          <w:szCs w:val="20"/>
        </w:rPr>
        <w:t>to Treasury that the exercise price shall be increased to $0.15 per share on the date that is</w:t>
      </w:r>
      <w:r>
        <w:rPr>
          <w:rFonts w:ascii="Century Gothic" w:hAnsi="Century Gothic" w:cs="Century Gothic"/>
          <w:sz w:val="20"/>
          <w:szCs w:val="20"/>
        </w:rPr>
        <w:t xml:space="preserve"> 10 days from the date of such n</w:t>
      </w:r>
      <w:r w:rsidRPr="00547698">
        <w:rPr>
          <w:rFonts w:ascii="Century Gothic" w:hAnsi="Century Gothic" w:cs="Century Gothic"/>
          <w:sz w:val="20"/>
          <w:szCs w:val="20"/>
        </w:rPr>
        <w:t>otice. In addition, Treasury shall not exercise the Consideration Warrants if such exercise would result in Treasury owning 20% or more of the issued and outstanding Platinex Shares</w:t>
      </w:r>
      <w:r>
        <w:rPr>
          <w:rFonts w:ascii="Century Gothic" w:hAnsi="Century Gothic" w:cs="Century Gothic"/>
          <w:sz w:val="20"/>
          <w:szCs w:val="20"/>
        </w:rPr>
        <w:t xml:space="preserve">; </w:t>
      </w:r>
    </w:p>
    <w:p w14:paraId="39B7FB66" w14:textId="77777777" w:rsidR="00590314" w:rsidRPr="006F6A60" w:rsidRDefault="00A5682A" w:rsidP="00590314">
      <w:pPr>
        <w:pStyle w:val="NormalWeb"/>
        <w:ind w:left="720"/>
        <w:contextualSpacing/>
        <w:jc w:val="both"/>
        <w:rPr>
          <w:rFonts w:ascii="Century Gothic" w:hAnsi="Century Gothic" w:cs="Century Gothic"/>
          <w:sz w:val="20"/>
          <w:szCs w:val="20"/>
        </w:rPr>
      </w:pPr>
    </w:p>
    <w:p w14:paraId="623446E1" w14:textId="77777777" w:rsidR="00590314" w:rsidRDefault="00287AFB" w:rsidP="0078730D">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Treasury will contribute operational efficiencies between the two companies with a view to provide effective management going forward to advance the Shining Tree Property;</w:t>
      </w:r>
    </w:p>
    <w:p w14:paraId="0A9002E1" w14:textId="77777777" w:rsidR="00590314" w:rsidRDefault="00A5682A" w:rsidP="00590314">
      <w:pPr>
        <w:pStyle w:val="NormalWeb"/>
        <w:ind w:left="720"/>
        <w:contextualSpacing/>
        <w:jc w:val="both"/>
        <w:rPr>
          <w:rFonts w:ascii="Century Gothic" w:hAnsi="Century Gothic" w:cs="Century Gothic"/>
          <w:sz w:val="20"/>
          <w:szCs w:val="20"/>
        </w:rPr>
      </w:pPr>
    </w:p>
    <w:p w14:paraId="51CB1CBF" w14:textId="77777777" w:rsidR="00590314" w:rsidRDefault="00287AFB" w:rsidP="0078730D">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 xml:space="preserve">Treasury will undertake to support </w:t>
      </w:r>
      <w:proofErr w:type="spellStart"/>
      <w:r>
        <w:rPr>
          <w:rFonts w:ascii="Century Gothic" w:hAnsi="Century Gothic" w:cs="Century Gothic"/>
          <w:sz w:val="20"/>
          <w:szCs w:val="20"/>
        </w:rPr>
        <w:t>Platinex's</w:t>
      </w:r>
      <w:proofErr w:type="spellEnd"/>
      <w:r>
        <w:rPr>
          <w:rFonts w:ascii="Century Gothic" w:hAnsi="Century Gothic" w:cs="Century Gothic"/>
          <w:sz w:val="20"/>
          <w:szCs w:val="20"/>
        </w:rPr>
        <w:t xml:space="preserve"> management for a two-year period in shareholder votes; </w:t>
      </w:r>
    </w:p>
    <w:p w14:paraId="781AAF43" w14:textId="77777777" w:rsidR="00590314" w:rsidRDefault="00A5682A" w:rsidP="00590314">
      <w:pPr>
        <w:pStyle w:val="NormalWeb"/>
        <w:ind w:left="720"/>
        <w:contextualSpacing/>
        <w:jc w:val="both"/>
        <w:rPr>
          <w:rFonts w:ascii="Century Gothic" w:hAnsi="Century Gothic" w:cs="Century Gothic"/>
          <w:sz w:val="20"/>
          <w:szCs w:val="20"/>
        </w:rPr>
      </w:pPr>
    </w:p>
    <w:p w14:paraId="32C2A26A" w14:textId="77777777" w:rsidR="00590314" w:rsidRDefault="00287AFB" w:rsidP="0078730D">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Platinex will grant Treasury a first right of refusal to participate in further financings of Platinex shares for a period of two years to maintain its percentage interest; and</w:t>
      </w:r>
    </w:p>
    <w:p w14:paraId="6FDD86C2" w14:textId="77777777" w:rsidR="00590314" w:rsidRDefault="00A5682A" w:rsidP="00590314">
      <w:pPr>
        <w:pStyle w:val="NormalWeb"/>
        <w:ind w:left="720"/>
        <w:contextualSpacing/>
        <w:jc w:val="both"/>
        <w:rPr>
          <w:rFonts w:ascii="Century Gothic" w:hAnsi="Century Gothic" w:cs="Century Gothic"/>
          <w:sz w:val="20"/>
          <w:szCs w:val="20"/>
        </w:rPr>
      </w:pPr>
    </w:p>
    <w:p w14:paraId="2087C0E8" w14:textId="77777777" w:rsidR="008228BB" w:rsidRDefault="00287AFB" w:rsidP="0078730D">
      <w:pPr>
        <w:pStyle w:val="NormalWeb"/>
        <w:numPr>
          <w:ilvl w:val="0"/>
          <w:numId w:val="2"/>
        </w:numPr>
        <w:contextualSpacing/>
        <w:jc w:val="both"/>
        <w:rPr>
          <w:rFonts w:ascii="Century Gothic" w:hAnsi="Century Gothic" w:cs="Century Gothic"/>
          <w:sz w:val="20"/>
          <w:szCs w:val="20"/>
        </w:rPr>
      </w:pPr>
      <w:r>
        <w:rPr>
          <w:rFonts w:ascii="Century Gothic" w:hAnsi="Century Gothic" w:cs="Century Gothic"/>
          <w:sz w:val="20"/>
          <w:szCs w:val="20"/>
        </w:rPr>
        <w:t xml:space="preserve"> Treasury will have the right to appoint a nominee to the board of directors of Platinex. </w:t>
      </w:r>
    </w:p>
    <w:p w14:paraId="130044A6" w14:textId="77777777" w:rsidR="00590314" w:rsidRPr="00590314" w:rsidRDefault="00287AFB" w:rsidP="00590314">
      <w:pPr>
        <w:ind w:left="-5"/>
        <w:jc w:val="both"/>
        <w:rPr>
          <w:rFonts w:ascii="Century Gothic" w:hAnsi="Century Gothic"/>
          <w:sz w:val="20"/>
        </w:rPr>
      </w:pPr>
      <w:r>
        <w:rPr>
          <w:rFonts w:ascii="Century Gothic" w:hAnsi="Century Gothic" w:cs="Century Gothic"/>
          <w:sz w:val="20"/>
          <w:szCs w:val="20"/>
        </w:rPr>
        <w:t xml:space="preserve">Completion of the Transaction is subject to further due diligence and the parties entering into a formal agreement on or before March 31, 2020. </w:t>
      </w:r>
    </w:p>
    <w:p w14:paraId="0C5648E8" w14:textId="77777777" w:rsidR="00590314" w:rsidRDefault="00A5682A" w:rsidP="00E704B0">
      <w:pPr>
        <w:pStyle w:val="NormalWeb"/>
        <w:spacing w:before="0" w:beforeAutospacing="0" w:after="0" w:afterAutospacing="0"/>
        <w:contextualSpacing/>
        <w:jc w:val="both"/>
        <w:rPr>
          <w:rFonts w:ascii="Century Gothic" w:hAnsi="Century Gothic" w:cs="Century Gothic"/>
          <w:sz w:val="20"/>
          <w:szCs w:val="20"/>
        </w:rPr>
      </w:pPr>
    </w:p>
    <w:p w14:paraId="6537B363" w14:textId="77777777" w:rsidR="001E73C8" w:rsidRDefault="00287AFB" w:rsidP="0019568F">
      <w:pPr>
        <w:pStyle w:val="NormalWeb"/>
        <w:contextualSpacing/>
        <w:jc w:val="both"/>
        <w:rPr>
          <w:rFonts w:ascii="Century Gothic" w:hAnsi="Century Gothic" w:cs="Century Gothic"/>
          <w:sz w:val="20"/>
          <w:szCs w:val="20"/>
        </w:rPr>
      </w:pPr>
      <w:r>
        <w:rPr>
          <w:rFonts w:ascii="Century Gothic" w:hAnsi="Century Gothic" w:cs="Century Gothic"/>
          <w:sz w:val="20"/>
          <w:szCs w:val="20"/>
        </w:rPr>
        <w:t xml:space="preserve">Mr. James R. Trusler, Chairman of Platinex, stated, “It’s exciting to have the close working relationship with Treasury Metals. With the addition of the Shining Tree East Property, </w:t>
      </w:r>
      <w:proofErr w:type="spellStart"/>
      <w:r>
        <w:rPr>
          <w:rFonts w:ascii="Century Gothic" w:hAnsi="Century Gothic" w:cs="Century Gothic"/>
          <w:sz w:val="20"/>
          <w:szCs w:val="20"/>
        </w:rPr>
        <w:t>Platinex’s</w:t>
      </w:r>
      <w:proofErr w:type="spellEnd"/>
      <w:r>
        <w:rPr>
          <w:rFonts w:ascii="Century Gothic" w:hAnsi="Century Gothic" w:cs="Century Gothic"/>
          <w:sz w:val="20"/>
          <w:szCs w:val="20"/>
        </w:rPr>
        <w:t xml:space="preserve"> Shining Tree Property holdings will total 19,895 Ha (49,304ac). The expanded property will now adjoin the Pan American property in Tyrrell Township which hosts the 4 million ounce Juby gold deposit </w:t>
      </w:r>
      <w:r w:rsidRPr="00890E67">
        <w:rPr>
          <w:rFonts w:ascii="Century Gothic" w:hAnsi="Century Gothic" w:cs="Century Gothic"/>
          <w:sz w:val="20"/>
          <w:szCs w:val="20"/>
        </w:rPr>
        <w:t>and close p</w:t>
      </w:r>
      <w:r w:rsidRPr="0019568F">
        <w:rPr>
          <w:rFonts w:ascii="Century Gothic" w:hAnsi="Century Gothic"/>
          <w:sz w:val="20"/>
          <w:szCs w:val="20"/>
        </w:rPr>
        <w:t xml:space="preserve">roximity along east west structures to the </w:t>
      </w:r>
      <w:proofErr w:type="spellStart"/>
      <w:r w:rsidRPr="0019568F">
        <w:rPr>
          <w:rFonts w:ascii="Century Gothic" w:hAnsi="Century Gothic"/>
          <w:sz w:val="20"/>
          <w:szCs w:val="20"/>
        </w:rPr>
        <w:t>Cot</w:t>
      </w:r>
      <w:r>
        <w:rPr>
          <w:rFonts w:ascii="Century Gothic" w:hAnsi="Century Gothic"/>
          <w:sz w:val="20"/>
          <w:szCs w:val="20"/>
        </w:rPr>
        <w:t>é</w:t>
      </w:r>
      <w:proofErr w:type="spellEnd"/>
      <w:r w:rsidRPr="0019568F">
        <w:rPr>
          <w:rFonts w:ascii="Century Gothic" w:hAnsi="Century Gothic"/>
          <w:sz w:val="20"/>
          <w:szCs w:val="20"/>
        </w:rPr>
        <w:t xml:space="preserve"> Lake gold project</w:t>
      </w:r>
      <w:r>
        <w:rPr>
          <w:rFonts w:ascii="Century Gothic" w:hAnsi="Century Gothic" w:cs="Century Gothic"/>
          <w:sz w:val="20"/>
          <w:szCs w:val="20"/>
        </w:rPr>
        <w:t xml:space="preserve">. Significant potential for commercial gold deposits has been revealed in past exploration on </w:t>
      </w:r>
      <w:proofErr w:type="spellStart"/>
      <w:r>
        <w:rPr>
          <w:rFonts w:ascii="Century Gothic" w:hAnsi="Century Gothic" w:cs="Century Gothic"/>
          <w:sz w:val="20"/>
          <w:szCs w:val="20"/>
        </w:rPr>
        <w:t>Platinex’s</w:t>
      </w:r>
      <w:proofErr w:type="spellEnd"/>
      <w:r>
        <w:rPr>
          <w:rFonts w:ascii="Century Gothic" w:hAnsi="Century Gothic" w:cs="Century Gothic"/>
          <w:sz w:val="20"/>
          <w:szCs w:val="20"/>
        </w:rPr>
        <w:t xml:space="preserve"> property and management is especially looking </w:t>
      </w:r>
      <w:r>
        <w:rPr>
          <w:rFonts w:ascii="Century Gothic" w:hAnsi="Century Gothic" w:cs="Century Gothic"/>
          <w:sz w:val="20"/>
          <w:szCs w:val="20"/>
        </w:rPr>
        <w:lastRenderedPageBreak/>
        <w:t xml:space="preserve">forward to examining the underexplored 21 km stretch of the Tyrrell </w:t>
      </w:r>
      <w:proofErr w:type="spellStart"/>
      <w:r>
        <w:rPr>
          <w:rFonts w:ascii="Century Gothic" w:hAnsi="Century Gothic" w:cs="Century Gothic"/>
          <w:sz w:val="20"/>
          <w:szCs w:val="20"/>
        </w:rPr>
        <w:t>Ridout</w:t>
      </w:r>
      <w:proofErr w:type="spellEnd"/>
      <w:r>
        <w:rPr>
          <w:rFonts w:ascii="Century Gothic" w:hAnsi="Century Gothic" w:cs="Century Gothic"/>
          <w:sz w:val="20"/>
          <w:szCs w:val="20"/>
        </w:rPr>
        <w:t xml:space="preserve"> deformation zone which is the key locus for gold mineralization in Shining Tree and underlies the property.</w:t>
      </w:r>
      <w:r w:rsidRPr="001E73C8">
        <w:rPr>
          <w:rFonts w:ascii="Century Gothic" w:hAnsi="Century Gothic" w:cs="Century Gothic"/>
          <w:sz w:val="20"/>
          <w:szCs w:val="20"/>
        </w:rPr>
        <w:t xml:space="preserve"> </w:t>
      </w:r>
      <w:r>
        <w:rPr>
          <w:rFonts w:ascii="Century Gothic" w:hAnsi="Century Gothic" w:cs="Century Gothic"/>
          <w:sz w:val="20"/>
          <w:szCs w:val="20"/>
        </w:rPr>
        <w:t>Platinex will seek further consolidation and strategic initiatives within the district."</w:t>
      </w:r>
    </w:p>
    <w:p w14:paraId="24E9C544" w14:textId="77777777" w:rsidR="00993290" w:rsidRDefault="00A5682A" w:rsidP="00E704B0">
      <w:pPr>
        <w:pStyle w:val="NormalWeb"/>
        <w:spacing w:before="0" w:beforeAutospacing="0" w:after="0" w:afterAutospacing="0"/>
        <w:contextualSpacing/>
        <w:jc w:val="both"/>
        <w:rPr>
          <w:rFonts w:ascii="Century Gothic" w:hAnsi="Century Gothic" w:cs="Century Gothic"/>
          <w:sz w:val="20"/>
          <w:szCs w:val="20"/>
        </w:rPr>
      </w:pPr>
    </w:p>
    <w:p w14:paraId="3741958C" w14:textId="77777777" w:rsidR="0016566D" w:rsidRDefault="00287AFB" w:rsidP="00E704B0">
      <w:pPr>
        <w:pStyle w:val="NormalWeb"/>
        <w:spacing w:before="0" w:beforeAutospacing="0" w:after="0" w:afterAutospacing="0"/>
        <w:contextualSpacing/>
        <w:jc w:val="both"/>
        <w:rPr>
          <w:rFonts w:ascii="Century Gothic" w:hAnsi="Century Gothic" w:cs="Century Gothic"/>
          <w:sz w:val="20"/>
          <w:szCs w:val="20"/>
        </w:rPr>
      </w:pPr>
      <w:r>
        <w:rPr>
          <w:rFonts w:ascii="Century Gothic" w:hAnsi="Century Gothic" w:cs="Century Gothic"/>
          <w:sz w:val="20"/>
          <w:szCs w:val="20"/>
        </w:rPr>
        <w:t>Mr Greg Ferron, CEO of Treasury stated that “The consolidation of the Shining Tree properties provides multiple benefits and efficiencies between the two groups.  We are very excited to make use of the Platinex team’s significant wealth of knowledge of the area to see them develop our underutilized project in conjunction with theirs. The Transaction makes for a compelling story of a significant land package in a very prospective exploration camp that is starting to see a great deal of activity.”</w:t>
      </w:r>
    </w:p>
    <w:p w14:paraId="6A12FF83" w14:textId="77777777" w:rsidR="001E2A1C" w:rsidRDefault="00A5682A" w:rsidP="00590314">
      <w:pPr>
        <w:pStyle w:val="NormalWeb"/>
        <w:contextualSpacing/>
        <w:jc w:val="both"/>
        <w:rPr>
          <w:rFonts w:ascii="Century Gothic" w:hAnsi="Century Gothic" w:cs="Century Gothic"/>
          <w:sz w:val="20"/>
          <w:szCs w:val="20"/>
        </w:rPr>
      </w:pPr>
    </w:p>
    <w:bookmarkEnd w:id="1"/>
    <w:p w14:paraId="75E134C1" w14:textId="77777777" w:rsidR="00662705" w:rsidRPr="00957EE2" w:rsidRDefault="00287AFB" w:rsidP="00957EE2">
      <w:pPr>
        <w:autoSpaceDE w:val="0"/>
        <w:autoSpaceDN w:val="0"/>
        <w:adjustRightInd w:val="0"/>
        <w:jc w:val="both"/>
        <w:rPr>
          <w:rFonts w:ascii="Century Gothic" w:hAnsi="Century Gothic" w:cs="Arial"/>
          <w:sz w:val="20"/>
          <w:szCs w:val="20"/>
        </w:rPr>
      </w:pPr>
      <w:r w:rsidRPr="00957EE2">
        <w:rPr>
          <w:rFonts w:ascii="Century Gothic" w:hAnsi="Century Gothic" w:cs="Arial"/>
          <w:sz w:val="20"/>
          <w:szCs w:val="20"/>
        </w:rPr>
        <w:t xml:space="preserve">Lori Paradis, Corporate Secretary </w:t>
      </w:r>
      <w:r w:rsidRPr="00957EE2">
        <w:rPr>
          <w:rFonts w:ascii="Century Gothic" w:hAnsi="Century Gothic" w:cs="Arial"/>
          <w:sz w:val="20"/>
          <w:szCs w:val="20"/>
        </w:rPr>
        <w:tab/>
      </w:r>
      <w:r w:rsidRPr="00957EE2">
        <w:rPr>
          <w:rFonts w:ascii="Century Gothic" w:hAnsi="Century Gothic" w:cs="Arial"/>
          <w:sz w:val="20"/>
          <w:szCs w:val="20"/>
        </w:rPr>
        <w:tab/>
      </w:r>
    </w:p>
    <w:p w14:paraId="5BB1CD18" w14:textId="77777777" w:rsidR="00662705" w:rsidRPr="00957EE2" w:rsidRDefault="00287AFB" w:rsidP="00957EE2">
      <w:pPr>
        <w:autoSpaceDE w:val="0"/>
        <w:autoSpaceDN w:val="0"/>
        <w:adjustRightInd w:val="0"/>
        <w:jc w:val="both"/>
        <w:rPr>
          <w:rFonts w:ascii="Century Gothic" w:hAnsi="Century Gothic" w:cs="Arial"/>
          <w:sz w:val="20"/>
          <w:szCs w:val="20"/>
        </w:rPr>
      </w:pPr>
      <w:r w:rsidRPr="00957EE2">
        <w:rPr>
          <w:rFonts w:ascii="Century Gothic" w:hAnsi="Century Gothic" w:cs="Arial"/>
          <w:sz w:val="20"/>
          <w:szCs w:val="20"/>
        </w:rPr>
        <w:t>Tel: (416) 268-2682</w:t>
      </w:r>
      <w:r w:rsidRPr="00957EE2">
        <w:rPr>
          <w:rFonts w:ascii="Century Gothic" w:hAnsi="Century Gothic" w:cs="Arial"/>
          <w:sz w:val="20"/>
          <w:szCs w:val="20"/>
        </w:rPr>
        <w:tab/>
      </w:r>
      <w:r w:rsidRPr="00957EE2">
        <w:rPr>
          <w:rFonts w:ascii="Century Gothic" w:hAnsi="Century Gothic" w:cs="Arial"/>
          <w:sz w:val="20"/>
          <w:szCs w:val="20"/>
        </w:rPr>
        <w:tab/>
      </w:r>
      <w:r w:rsidRPr="00957EE2">
        <w:rPr>
          <w:rFonts w:ascii="Century Gothic" w:hAnsi="Century Gothic" w:cs="Arial"/>
          <w:sz w:val="20"/>
          <w:szCs w:val="20"/>
        </w:rPr>
        <w:tab/>
      </w:r>
      <w:r w:rsidRPr="00957EE2">
        <w:rPr>
          <w:rFonts w:ascii="Century Gothic" w:hAnsi="Century Gothic" w:cs="Arial"/>
          <w:sz w:val="20"/>
          <w:szCs w:val="20"/>
        </w:rPr>
        <w:tab/>
      </w:r>
    </w:p>
    <w:p w14:paraId="4F15EAA8" w14:textId="77777777" w:rsidR="00662705" w:rsidRPr="00957EE2" w:rsidRDefault="00287AFB" w:rsidP="00957EE2">
      <w:pPr>
        <w:autoSpaceDE w:val="0"/>
        <w:autoSpaceDN w:val="0"/>
        <w:adjustRightInd w:val="0"/>
        <w:spacing w:line="220" w:lineRule="exact"/>
        <w:jc w:val="both"/>
        <w:rPr>
          <w:rFonts w:ascii="Century Gothic" w:hAnsi="Century Gothic" w:cs="Arial"/>
          <w:sz w:val="20"/>
          <w:szCs w:val="20"/>
        </w:rPr>
      </w:pPr>
      <w:r w:rsidRPr="00957EE2">
        <w:rPr>
          <w:rFonts w:ascii="Century Gothic" w:hAnsi="Century Gothic" w:cs="Arial"/>
          <w:sz w:val="20"/>
          <w:szCs w:val="20"/>
        </w:rPr>
        <w:t>Email: lparadis@platinex.com</w:t>
      </w:r>
      <w:r w:rsidRPr="00957EE2">
        <w:rPr>
          <w:rFonts w:ascii="Century Gothic" w:hAnsi="Century Gothic" w:cs="Arial"/>
          <w:sz w:val="20"/>
          <w:szCs w:val="20"/>
        </w:rPr>
        <w:tab/>
      </w:r>
      <w:r w:rsidRPr="00957EE2">
        <w:rPr>
          <w:rFonts w:ascii="Century Gothic" w:hAnsi="Century Gothic" w:cs="Arial"/>
          <w:sz w:val="20"/>
          <w:szCs w:val="20"/>
        </w:rPr>
        <w:tab/>
      </w:r>
      <w:r w:rsidRPr="00957EE2">
        <w:rPr>
          <w:rFonts w:ascii="Century Gothic" w:hAnsi="Century Gothic" w:cs="Arial"/>
          <w:sz w:val="20"/>
          <w:szCs w:val="20"/>
        </w:rPr>
        <w:tab/>
      </w:r>
    </w:p>
    <w:p w14:paraId="16D8202D" w14:textId="77777777" w:rsidR="00662705" w:rsidRPr="00957EE2" w:rsidRDefault="00287AFB" w:rsidP="00957EE2">
      <w:pPr>
        <w:jc w:val="both"/>
        <w:rPr>
          <w:rFonts w:ascii="Century Gothic" w:hAnsi="Century Gothic"/>
          <w:b/>
          <w:bCs/>
          <w:sz w:val="20"/>
          <w:szCs w:val="20"/>
          <w:lang w:val="en-CA"/>
        </w:rPr>
      </w:pPr>
      <w:r w:rsidRPr="00957EE2">
        <w:rPr>
          <w:rFonts w:ascii="Century Gothic" w:hAnsi="Century Gothic" w:cs="Arial"/>
          <w:sz w:val="20"/>
          <w:szCs w:val="20"/>
        </w:rPr>
        <w:t>Web: www.platinex.com</w:t>
      </w:r>
      <w:r w:rsidRPr="00957EE2">
        <w:rPr>
          <w:rFonts w:ascii="Century Gothic" w:hAnsi="Century Gothic"/>
          <w:b/>
          <w:bCs/>
          <w:sz w:val="20"/>
          <w:szCs w:val="20"/>
          <w:lang w:val="en-CA"/>
        </w:rPr>
        <w:t xml:space="preserve"> </w:t>
      </w:r>
    </w:p>
    <w:p w14:paraId="7C571C76" w14:textId="77777777" w:rsidR="00662705" w:rsidRPr="00957EE2" w:rsidRDefault="00A5682A" w:rsidP="00957EE2">
      <w:pPr>
        <w:jc w:val="both"/>
        <w:rPr>
          <w:rFonts w:ascii="Century Gothic" w:hAnsi="Century Gothic"/>
          <w:b/>
          <w:bCs/>
          <w:sz w:val="20"/>
          <w:szCs w:val="20"/>
          <w:lang w:val="en-CA"/>
        </w:rPr>
      </w:pPr>
    </w:p>
    <w:p w14:paraId="34EBCAF6" w14:textId="77777777" w:rsidR="00662705" w:rsidRPr="00957EE2" w:rsidRDefault="00287AFB" w:rsidP="00957EE2">
      <w:pPr>
        <w:jc w:val="both"/>
        <w:rPr>
          <w:rFonts w:ascii="Century Gothic" w:hAnsi="Century Gothic"/>
          <w:sz w:val="20"/>
          <w:szCs w:val="20"/>
        </w:rPr>
      </w:pPr>
      <w:r w:rsidRPr="00957EE2">
        <w:rPr>
          <w:rFonts w:ascii="Century Gothic" w:hAnsi="Century Gothic"/>
          <w:b/>
          <w:bCs/>
          <w:sz w:val="20"/>
          <w:szCs w:val="20"/>
          <w:lang w:val="en-CA"/>
        </w:rPr>
        <w:t xml:space="preserve">About </w:t>
      </w:r>
      <w:proofErr w:type="spellStart"/>
      <w:r w:rsidRPr="00957EE2">
        <w:rPr>
          <w:rFonts w:ascii="Century Gothic" w:hAnsi="Century Gothic"/>
          <w:b/>
          <w:bCs/>
          <w:sz w:val="20"/>
          <w:szCs w:val="20"/>
          <w:lang w:val="en-CA"/>
        </w:rPr>
        <w:t>Platinex</w:t>
      </w:r>
      <w:proofErr w:type="spellEnd"/>
      <w:r w:rsidRPr="00957EE2">
        <w:rPr>
          <w:rFonts w:ascii="Century Gothic" w:hAnsi="Century Gothic"/>
          <w:b/>
          <w:bCs/>
          <w:sz w:val="20"/>
          <w:szCs w:val="20"/>
          <w:lang w:val="en-CA"/>
        </w:rPr>
        <w:t xml:space="preserve"> Inc.</w:t>
      </w:r>
    </w:p>
    <w:p w14:paraId="54D60F04" w14:textId="77777777" w:rsidR="001E2A1C" w:rsidRDefault="00A5682A" w:rsidP="00957EE2">
      <w:pPr>
        <w:jc w:val="both"/>
        <w:rPr>
          <w:rFonts w:ascii="Century Gothic" w:hAnsi="Century Gothic" w:cs="Arial"/>
          <w:sz w:val="20"/>
          <w:szCs w:val="20"/>
        </w:rPr>
      </w:pPr>
    </w:p>
    <w:p w14:paraId="330AE984" w14:textId="77777777" w:rsidR="00662705" w:rsidRPr="00957EE2" w:rsidRDefault="00287AFB" w:rsidP="00957EE2">
      <w:pPr>
        <w:jc w:val="both"/>
        <w:rPr>
          <w:rFonts w:ascii="Century Gothic" w:hAnsi="Century Gothic" w:cs="Arial"/>
          <w:sz w:val="20"/>
          <w:szCs w:val="20"/>
        </w:rPr>
      </w:pPr>
      <w:r w:rsidRPr="00957EE2">
        <w:rPr>
          <w:rFonts w:ascii="Century Gothic" w:hAnsi="Century Gothic" w:cs="Arial"/>
          <w:sz w:val="20"/>
          <w:szCs w:val="20"/>
        </w:rPr>
        <w:t xml:space="preserve">Platinex is currently focusing efforts on </w:t>
      </w:r>
      <w:r>
        <w:rPr>
          <w:rFonts w:ascii="Century Gothic" w:hAnsi="Century Gothic" w:cs="Arial"/>
          <w:sz w:val="20"/>
          <w:szCs w:val="20"/>
        </w:rPr>
        <w:t xml:space="preserve">re-establishing </w:t>
      </w:r>
      <w:r w:rsidRPr="00957EE2">
        <w:rPr>
          <w:rFonts w:ascii="Century Gothic" w:hAnsi="Century Gothic" w:cs="Arial"/>
          <w:sz w:val="20"/>
          <w:szCs w:val="20"/>
        </w:rPr>
        <w:t>its mining business</w:t>
      </w:r>
      <w:r>
        <w:rPr>
          <w:rFonts w:ascii="Century Gothic" w:hAnsi="Century Gothic" w:cs="Arial"/>
          <w:sz w:val="20"/>
          <w:szCs w:val="20"/>
        </w:rPr>
        <w:t>,</w:t>
      </w:r>
      <w:r w:rsidRPr="00957EE2">
        <w:rPr>
          <w:rFonts w:ascii="Century Gothic" w:hAnsi="Century Gothic" w:cs="Arial"/>
          <w:sz w:val="20"/>
          <w:szCs w:val="20"/>
        </w:rPr>
        <w:t xml:space="preserve"> assembling a very large property in the Shining Tree gold camp, which has received little modern exploration compared to other gold camps in the Abitibi </w:t>
      </w:r>
      <w:r>
        <w:rPr>
          <w:rFonts w:ascii="Century Gothic" w:hAnsi="Century Gothic" w:cs="Arial"/>
          <w:sz w:val="20"/>
          <w:szCs w:val="20"/>
        </w:rPr>
        <w:t>G</w:t>
      </w:r>
      <w:r w:rsidRPr="00957EE2">
        <w:rPr>
          <w:rFonts w:ascii="Century Gothic" w:hAnsi="Century Gothic" w:cs="Arial"/>
          <w:sz w:val="20"/>
          <w:szCs w:val="20"/>
        </w:rPr>
        <w:t>reenstone Belt</w:t>
      </w:r>
      <w:r>
        <w:rPr>
          <w:rFonts w:ascii="Century Gothic" w:hAnsi="Century Gothic" w:cs="Arial"/>
          <w:sz w:val="20"/>
          <w:szCs w:val="20"/>
        </w:rPr>
        <w:t xml:space="preserve"> and forming alliances to move property exploration</w:t>
      </w:r>
      <w:r w:rsidRPr="00957EE2">
        <w:rPr>
          <w:rFonts w:ascii="Century Gothic" w:hAnsi="Century Gothic" w:cs="Arial"/>
          <w:sz w:val="20"/>
          <w:szCs w:val="20"/>
        </w:rPr>
        <w:t xml:space="preserve"> </w:t>
      </w:r>
      <w:r>
        <w:rPr>
          <w:rFonts w:ascii="Century Gothic" w:hAnsi="Century Gothic" w:cs="Arial"/>
          <w:sz w:val="20"/>
          <w:szCs w:val="20"/>
        </w:rPr>
        <w:t>forward</w:t>
      </w:r>
      <w:r w:rsidRPr="00957EE2">
        <w:rPr>
          <w:rFonts w:ascii="Century Gothic" w:hAnsi="Century Gothic" w:cs="Arial"/>
          <w:sz w:val="20"/>
          <w:szCs w:val="20"/>
        </w:rPr>
        <w:t xml:space="preserve">. </w:t>
      </w:r>
      <w:r>
        <w:rPr>
          <w:rFonts w:ascii="Century Gothic" w:hAnsi="Century Gothic" w:cs="Arial"/>
          <w:sz w:val="20"/>
          <w:szCs w:val="20"/>
        </w:rPr>
        <w:t xml:space="preserve">The Company utilizing its proprietary data is also seeking financial backing to secure and advance major Platinum Group Element properties in North America. </w:t>
      </w:r>
      <w:r w:rsidRPr="00957EE2">
        <w:rPr>
          <w:rFonts w:ascii="Century Gothic" w:hAnsi="Century Gothic" w:cs="Arial"/>
          <w:sz w:val="20"/>
          <w:szCs w:val="20"/>
        </w:rPr>
        <w:t>Shares of Platinex are listed for trading on the Canadian Securities Exchange under the symbol "PTX".</w:t>
      </w:r>
    </w:p>
    <w:p w14:paraId="44AD375B" w14:textId="77777777" w:rsidR="00662705" w:rsidRPr="00957EE2" w:rsidRDefault="00A5682A" w:rsidP="00957EE2">
      <w:pPr>
        <w:autoSpaceDE w:val="0"/>
        <w:autoSpaceDN w:val="0"/>
        <w:adjustRightInd w:val="0"/>
        <w:spacing w:line="220" w:lineRule="exact"/>
        <w:jc w:val="both"/>
        <w:rPr>
          <w:rFonts w:ascii="Century Gothic" w:hAnsi="Century Gothic"/>
          <w:i/>
          <w:iCs/>
          <w:sz w:val="20"/>
          <w:szCs w:val="20"/>
        </w:rPr>
      </w:pPr>
    </w:p>
    <w:p w14:paraId="4431860F" w14:textId="77777777" w:rsidR="00662705" w:rsidRPr="00957EE2" w:rsidRDefault="00287AFB" w:rsidP="00BA2F75">
      <w:pPr>
        <w:autoSpaceDE w:val="0"/>
        <w:autoSpaceDN w:val="0"/>
        <w:adjustRightInd w:val="0"/>
        <w:spacing w:line="220" w:lineRule="exact"/>
        <w:rPr>
          <w:rFonts w:ascii="Century Gothic" w:hAnsi="Century Gothic"/>
          <w:i/>
          <w:iCs/>
          <w:sz w:val="20"/>
          <w:szCs w:val="20"/>
        </w:rPr>
      </w:pPr>
      <w:r w:rsidRPr="00957EE2">
        <w:rPr>
          <w:rFonts w:ascii="Century Gothic" w:hAnsi="Century Gothic"/>
          <w:i/>
          <w:iCs/>
          <w:sz w:val="20"/>
          <w:szCs w:val="20"/>
        </w:rPr>
        <w:t xml:space="preserve">To receive Company press releases, please email </w:t>
      </w:r>
      <w:hyperlink r:id="rId8" w:history="1">
        <w:r w:rsidRPr="00957EE2">
          <w:rPr>
            <w:rStyle w:val="Hyperlink"/>
            <w:rFonts w:ascii="Century Gothic" w:hAnsi="Century Gothic"/>
            <w:i/>
            <w:sz w:val="20"/>
            <w:szCs w:val="20"/>
          </w:rPr>
          <w:t>lparadis@platinex.com</w:t>
        </w:r>
      </w:hyperlink>
      <w:r w:rsidRPr="00957EE2">
        <w:rPr>
          <w:rFonts w:ascii="Century Gothic" w:hAnsi="Century Gothic"/>
          <w:i/>
          <w:iCs/>
          <w:sz w:val="20"/>
          <w:szCs w:val="20"/>
        </w:rPr>
        <w:t xml:space="preserve"> and</w:t>
      </w:r>
      <w:r>
        <w:rPr>
          <w:rFonts w:ascii="Century Gothic" w:hAnsi="Century Gothic"/>
          <w:i/>
          <w:iCs/>
          <w:sz w:val="20"/>
          <w:szCs w:val="20"/>
        </w:rPr>
        <w:t xml:space="preserve"> </w:t>
      </w:r>
      <w:r w:rsidRPr="00957EE2">
        <w:rPr>
          <w:rFonts w:ascii="Century Gothic" w:hAnsi="Century Gothic"/>
          <w:i/>
          <w:iCs/>
          <w:sz w:val="20"/>
          <w:szCs w:val="20"/>
          <w:lang w:val="en-CA"/>
        </w:rPr>
        <w:t>mention “</w:t>
      </w:r>
      <w:proofErr w:type="spellStart"/>
      <w:r w:rsidRPr="00957EE2">
        <w:rPr>
          <w:rFonts w:ascii="Century Gothic" w:hAnsi="Century Gothic"/>
          <w:i/>
          <w:iCs/>
          <w:sz w:val="20"/>
          <w:szCs w:val="20"/>
          <w:lang w:val="en-CA"/>
        </w:rPr>
        <w:t>Platinex</w:t>
      </w:r>
      <w:proofErr w:type="spellEnd"/>
      <w:r w:rsidRPr="00957EE2">
        <w:rPr>
          <w:rFonts w:ascii="Century Gothic" w:hAnsi="Century Gothic"/>
          <w:i/>
          <w:iCs/>
          <w:sz w:val="20"/>
          <w:szCs w:val="20"/>
          <w:lang w:val="en-CA"/>
        </w:rPr>
        <w:t xml:space="preserve"> press release” on the subject line.</w:t>
      </w:r>
    </w:p>
    <w:p w14:paraId="3AF0CBC9" w14:textId="77777777" w:rsidR="00662705" w:rsidRPr="00957EE2" w:rsidRDefault="00A5682A" w:rsidP="00957EE2">
      <w:pPr>
        <w:autoSpaceDE w:val="0"/>
        <w:autoSpaceDN w:val="0"/>
        <w:adjustRightInd w:val="0"/>
        <w:spacing w:line="220" w:lineRule="exact"/>
        <w:jc w:val="both"/>
        <w:rPr>
          <w:rFonts w:ascii="Century Gothic" w:hAnsi="Century Gothic" w:cs="Arial"/>
          <w:b/>
          <w:bCs/>
          <w:sz w:val="20"/>
          <w:szCs w:val="20"/>
        </w:rPr>
      </w:pPr>
    </w:p>
    <w:p w14:paraId="42C6ABCC" w14:textId="77777777" w:rsidR="00662705" w:rsidRPr="00957EE2" w:rsidRDefault="00287AFB" w:rsidP="00957EE2">
      <w:pPr>
        <w:autoSpaceDE w:val="0"/>
        <w:autoSpaceDN w:val="0"/>
        <w:adjustRightInd w:val="0"/>
        <w:spacing w:line="220" w:lineRule="exact"/>
        <w:jc w:val="both"/>
        <w:rPr>
          <w:rFonts w:ascii="Century Gothic" w:hAnsi="Century Gothic" w:cs="Arial"/>
          <w:sz w:val="20"/>
          <w:szCs w:val="20"/>
        </w:rPr>
      </w:pPr>
      <w:r w:rsidRPr="00957EE2">
        <w:rPr>
          <w:rFonts w:ascii="Century Gothic" w:hAnsi="Century Gothic" w:cs="Arial"/>
          <w:b/>
          <w:bCs/>
          <w:sz w:val="20"/>
          <w:szCs w:val="20"/>
        </w:rPr>
        <w:t>FORWARD-LOOKING STATEMENTS</w:t>
      </w:r>
      <w:r w:rsidRPr="00957EE2">
        <w:rPr>
          <w:rFonts w:ascii="Century Gothic" w:hAnsi="Century Gothic" w:cs="Arial"/>
          <w:sz w:val="20"/>
          <w:szCs w:val="20"/>
        </w:rPr>
        <w:t>:</w:t>
      </w:r>
    </w:p>
    <w:p w14:paraId="5AB9796A" w14:textId="77777777" w:rsidR="00662705" w:rsidRPr="00957EE2" w:rsidRDefault="00287AFB" w:rsidP="00957EE2">
      <w:pPr>
        <w:autoSpaceDE w:val="0"/>
        <w:autoSpaceDN w:val="0"/>
        <w:adjustRightInd w:val="0"/>
        <w:spacing w:line="220" w:lineRule="exact"/>
        <w:jc w:val="both"/>
        <w:rPr>
          <w:rFonts w:ascii="Century Gothic" w:hAnsi="Century Gothic" w:cs="Arial"/>
          <w:i/>
          <w:sz w:val="20"/>
          <w:szCs w:val="20"/>
        </w:rPr>
      </w:pPr>
      <w:r w:rsidRPr="00957EE2">
        <w:rPr>
          <w:rFonts w:ascii="Century Gothic" w:hAnsi="Century Gothic" w:cs="Arial"/>
          <w:i/>
          <w:sz w:val="20"/>
          <w:szCs w:val="20"/>
        </w:rPr>
        <w:t xml:space="preserve">This news release may contain forward-looking statements and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Such statements include </w:t>
      </w:r>
      <w:r>
        <w:rPr>
          <w:rFonts w:ascii="Century Gothic" w:hAnsi="Century Gothic" w:cs="Arial"/>
          <w:i/>
          <w:sz w:val="20"/>
          <w:szCs w:val="20"/>
        </w:rPr>
        <w:t xml:space="preserve">the ability of the Company to enter into a formal agreement with Treasury in respect of the Transaction, completion of the Transaction on terms satisfactory to the Company, complete the previously announced private placement of units, form alliances to move property exploration forward, use proprietary data to seek financial backing to advance its platinum group properties, </w:t>
      </w:r>
      <w:r w:rsidRPr="00957EE2">
        <w:rPr>
          <w:rFonts w:ascii="Century Gothic" w:hAnsi="Century Gothic" w:cs="Arial"/>
          <w:i/>
          <w:sz w:val="20"/>
          <w:szCs w:val="20"/>
        </w:rPr>
        <w:t>submission of the relevant documentation within the required timeframe and to the satisfact</w:t>
      </w:r>
      <w:r>
        <w:rPr>
          <w:rFonts w:ascii="Century Gothic" w:hAnsi="Century Gothic" w:cs="Arial"/>
          <w:i/>
          <w:sz w:val="20"/>
          <w:szCs w:val="20"/>
        </w:rPr>
        <w:t xml:space="preserve">ion of the relevant regulators </w:t>
      </w:r>
      <w:r w:rsidRPr="00957EE2">
        <w:rPr>
          <w:rFonts w:ascii="Century Gothic" w:hAnsi="Century Gothic" w:cs="Arial"/>
          <w:i/>
          <w:sz w:val="20"/>
          <w:szCs w:val="20"/>
        </w:rPr>
        <w:t>and raising sufficient financing to complete the Company's business strategy.  There is no certainty that any of these events will occur.  Although such statements are based on management's reasonable assumptions, there can be no assurance that such assumptions will prove to be correct. We assume no responsibility to update or revise them to reflect new events or circumstances.</w:t>
      </w:r>
    </w:p>
    <w:p w14:paraId="1873BC37" w14:textId="77777777" w:rsidR="00662705" w:rsidRPr="00957EE2" w:rsidRDefault="00A5682A" w:rsidP="00957EE2">
      <w:pPr>
        <w:autoSpaceDE w:val="0"/>
        <w:autoSpaceDN w:val="0"/>
        <w:adjustRightInd w:val="0"/>
        <w:spacing w:line="220" w:lineRule="exact"/>
        <w:jc w:val="both"/>
        <w:rPr>
          <w:rFonts w:ascii="Century Gothic" w:hAnsi="Century Gothic" w:cs="Arial"/>
          <w:i/>
          <w:sz w:val="20"/>
          <w:szCs w:val="20"/>
        </w:rPr>
      </w:pPr>
    </w:p>
    <w:p w14:paraId="2B084241" w14:textId="77777777" w:rsidR="00662705" w:rsidRPr="00957EE2" w:rsidRDefault="00287AFB" w:rsidP="00957EE2">
      <w:pPr>
        <w:autoSpaceDE w:val="0"/>
        <w:autoSpaceDN w:val="0"/>
        <w:adjustRightInd w:val="0"/>
        <w:spacing w:line="220" w:lineRule="exact"/>
        <w:jc w:val="both"/>
        <w:rPr>
          <w:rFonts w:ascii="Century Gothic" w:hAnsi="Century Gothic" w:cs="Arial"/>
          <w:i/>
          <w:sz w:val="20"/>
          <w:szCs w:val="20"/>
        </w:rPr>
      </w:pPr>
      <w:r w:rsidRPr="00957EE2">
        <w:rPr>
          <w:rFonts w:ascii="Century Gothic" w:hAnsi="Century Gothic" w:cs="Arial"/>
          <w:i/>
          <w:sz w:val="20"/>
          <w:szCs w:val="20"/>
        </w:rPr>
        <w:t>Investing into early stage companies, inherently carries a high degree of risk and investment into securities of the Company shall be considered highly speculative</w:t>
      </w:r>
      <w:r>
        <w:rPr>
          <w:rFonts w:ascii="Century Gothic" w:hAnsi="Century Gothic" w:cs="Arial"/>
          <w:i/>
          <w:sz w:val="20"/>
          <w:szCs w:val="20"/>
        </w:rPr>
        <w:t>.</w:t>
      </w:r>
    </w:p>
    <w:p w14:paraId="76E27AE5" w14:textId="77777777" w:rsidR="00662705" w:rsidRPr="00957EE2" w:rsidRDefault="00A5682A" w:rsidP="00957EE2">
      <w:pPr>
        <w:autoSpaceDE w:val="0"/>
        <w:autoSpaceDN w:val="0"/>
        <w:adjustRightInd w:val="0"/>
        <w:spacing w:line="220" w:lineRule="exact"/>
        <w:jc w:val="both"/>
        <w:rPr>
          <w:rFonts w:ascii="Century Gothic" w:hAnsi="Century Gothic" w:cs="Arial"/>
          <w:i/>
          <w:sz w:val="20"/>
          <w:szCs w:val="20"/>
        </w:rPr>
      </w:pPr>
    </w:p>
    <w:p w14:paraId="6991A7BD" w14:textId="77777777" w:rsidR="00662705" w:rsidRPr="00957EE2" w:rsidRDefault="00287AFB" w:rsidP="00957EE2">
      <w:pPr>
        <w:autoSpaceDE w:val="0"/>
        <w:autoSpaceDN w:val="0"/>
        <w:adjustRightInd w:val="0"/>
        <w:spacing w:line="220" w:lineRule="exact"/>
        <w:jc w:val="both"/>
        <w:rPr>
          <w:rFonts w:ascii="Century Gothic" w:hAnsi="Century Gothic" w:cs="Arial"/>
          <w:i/>
          <w:sz w:val="20"/>
          <w:szCs w:val="20"/>
        </w:rPr>
      </w:pPr>
      <w:r w:rsidRPr="00957EE2">
        <w:rPr>
          <w:rFonts w:ascii="Century Gothic" w:hAnsi="Century Gothic" w:cs="Arial"/>
          <w:i/>
          <w:sz w:val="20"/>
          <w:szCs w:val="20"/>
        </w:rPr>
        <w:t>This press release shall not constitute an offer to sell or the solicitation of an offer to buy nor shall there be any sale of the securities in any province in which such offer, solicitation or sale would be unlawful. The securities issued, or to be issued, under the Private Placement have not been, and will not be, registered under the United States Securities Act of 1933, as amended, and may not be offered or sold in the United States absent registration or an applicable exemption from registration requirements.</w:t>
      </w:r>
    </w:p>
    <w:p w14:paraId="13DCE3F1" w14:textId="77777777" w:rsidR="00662705" w:rsidRPr="00957EE2" w:rsidRDefault="00A5682A" w:rsidP="00957EE2">
      <w:pPr>
        <w:autoSpaceDE w:val="0"/>
        <w:autoSpaceDN w:val="0"/>
        <w:adjustRightInd w:val="0"/>
        <w:spacing w:line="220" w:lineRule="exact"/>
        <w:jc w:val="both"/>
        <w:rPr>
          <w:rFonts w:ascii="Century Gothic" w:hAnsi="Century Gothic" w:cs="Arial"/>
          <w:sz w:val="20"/>
          <w:szCs w:val="20"/>
        </w:rPr>
      </w:pPr>
    </w:p>
    <w:p w14:paraId="1C2145B5" w14:textId="77777777" w:rsidR="00662705" w:rsidRPr="00957EE2" w:rsidRDefault="00287AFB" w:rsidP="00957EE2">
      <w:pPr>
        <w:autoSpaceDE w:val="0"/>
        <w:autoSpaceDN w:val="0"/>
        <w:adjustRightInd w:val="0"/>
        <w:spacing w:line="220" w:lineRule="exact"/>
        <w:jc w:val="both"/>
        <w:rPr>
          <w:rFonts w:ascii="Century Gothic" w:hAnsi="Century Gothic"/>
          <w:sz w:val="20"/>
          <w:szCs w:val="20"/>
        </w:rPr>
      </w:pPr>
      <w:r w:rsidRPr="00957EE2">
        <w:rPr>
          <w:rFonts w:ascii="Century Gothic" w:eastAsia="MS Mincho" w:hAnsi="Century Gothic" w:cs="Arial"/>
          <w:b/>
          <w:sz w:val="20"/>
          <w:szCs w:val="20"/>
          <w:lang w:eastAsia="ja-JP"/>
        </w:rPr>
        <w:t xml:space="preserve">The Canadian Securities Exchange has not passed upon the merits of the </w:t>
      </w:r>
      <w:r>
        <w:rPr>
          <w:rFonts w:ascii="Century Gothic" w:eastAsia="MS Mincho" w:hAnsi="Century Gothic" w:cs="Arial"/>
          <w:b/>
          <w:sz w:val="20"/>
          <w:szCs w:val="20"/>
          <w:lang w:eastAsia="ja-JP"/>
        </w:rPr>
        <w:t>Transaction and the Private Placement and has</w:t>
      </w:r>
      <w:r w:rsidRPr="00957EE2">
        <w:rPr>
          <w:rFonts w:ascii="Century Gothic" w:eastAsia="MS Mincho" w:hAnsi="Century Gothic" w:cs="Arial"/>
          <w:b/>
          <w:sz w:val="20"/>
          <w:szCs w:val="20"/>
          <w:lang w:eastAsia="ja-JP"/>
        </w:rPr>
        <w:t xml:space="preserve"> not approved nor disapproved the contents of this press release.</w:t>
      </w:r>
    </w:p>
    <w:p w14:paraId="437BEA39" w14:textId="77777777" w:rsidR="00662705" w:rsidRPr="00957EE2" w:rsidRDefault="00A5682A" w:rsidP="00957EE2">
      <w:pPr>
        <w:spacing w:line="259" w:lineRule="auto"/>
        <w:ind w:left="-5"/>
        <w:jc w:val="both"/>
        <w:rPr>
          <w:rFonts w:ascii="Century Gothic" w:hAnsi="Century Gothic"/>
          <w:sz w:val="20"/>
          <w:szCs w:val="20"/>
        </w:rPr>
      </w:pPr>
    </w:p>
    <w:p w14:paraId="03D572C3" w14:textId="77777777" w:rsidR="00F26ED0" w:rsidRPr="00957EE2" w:rsidRDefault="00A5682A" w:rsidP="00662705">
      <w:pPr>
        <w:pStyle w:val="NormalWeb"/>
        <w:contextualSpacing/>
        <w:jc w:val="both"/>
        <w:rPr>
          <w:rFonts w:ascii="Century Gothic" w:hAnsi="Century Gothic"/>
          <w:sz w:val="20"/>
          <w:szCs w:val="20"/>
        </w:rPr>
      </w:pPr>
    </w:p>
    <w:sectPr w:rsidR="00F26ED0" w:rsidRPr="00957EE2" w:rsidSect="008245B7">
      <w:headerReference w:type="even" r:id="rId9"/>
      <w:headerReference w:type="default" r:id="rId10"/>
      <w:footerReference w:type="even" r:id="rId11"/>
      <w:footerReference w:type="default" r:id="rId12"/>
      <w:headerReference w:type="first" r:id="rId13"/>
      <w:footerReference w:type="first" r:id="rId14"/>
      <w:pgSz w:w="12240" w:h="15840" w:code="1"/>
      <w:pgMar w:top="964" w:right="1247" w:bottom="1260" w:left="1247" w:header="737" w:footer="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CC5F" w14:textId="77777777" w:rsidR="00BA424A" w:rsidRDefault="00BA424A">
      <w:r>
        <w:separator/>
      </w:r>
    </w:p>
  </w:endnote>
  <w:endnote w:type="continuationSeparator" w:id="0">
    <w:p w14:paraId="1620D4C0" w14:textId="77777777" w:rsidR="00BA424A" w:rsidRDefault="00B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362F" w14:textId="77777777" w:rsidR="00590314" w:rsidRDefault="00A5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BA5" w14:textId="77777777" w:rsidR="008245B7" w:rsidRDefault="00287AFB" w:rsidP="008245B7">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4810-8409-0805, v. 11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F206" w14:textId="77777777" w:rsidR="00590314" w:rsidRDefault="00A5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CD8E" w14:textId="77777777" w:rsidR="00BA424A" w:rsidRDefault="00BA424A">
      <w:r>
        <w:separator/>
      </w:r>
    </w:p>
  </w:footnote>
  <w:footnote w:type="continuationSeparator" w:id="0">
    <w:p w14:paraId="5935B4CC" w14:textId="77777777" w:rsidR="00BA424A" w:rsidRDefault="00B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B888" w14:textId="77777777" w:rsidR="00590314" w:rsidRDefault="00A5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EC9F" w14:textId="77777777" w:rsidR="00590314" w:rsidRDefault="00A5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1BCA" w14:textId="0CECCED0" w:rsidR="008723A9" w:rsidRDefault="00287AFB" w:rsidP="004129F9">
    <w:pPr>
      <w:pStyle w:val="Header"/>
      <w:jc w:val="center"/>
    </w:pPr>
    <w:r>
      <w:rPr>
        <w:noProof/>
        <w:lang w:val="en-CA" w:eastAsia="en-CA"/>
      </w:rPr>
      <w:drawing>
        <wp:anchor distT="0" distB="0" distL="114300" distR="114300" simplePos="0" relativeHeight="251657216" behindDoc="0" locked="0" layoutInCell="1" allowOverlap="1" wp14:anchorId="413C4A62" wp14:editId="40FE6C6A">
          <wp:simplePos x="0" y="0"/>
          <wp:positionH relativeFrom="column">
            <wp:posOffset>1814830</wp:posOffset>
          </wp:positionH>
          <wp:positionV relativeFrom="paragraph">
            <wp:posOffset>-360045</wp:posOffset>
          </wp:positionV>
          <wp:extent cx="2159635" cy="8604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159635" cy="860425"/>
                  </a:xfrm>
                  <a:prstGeom prst="rect">
                    <a:avLst/>
                  </a:prstGeom>
                  <a:noFill/>
                </pic:spPr>
              </pic:pic>
            </a:graphicData>
          </a:graphic>
        </wp:anchor>
      </w:drawing>
    </w:r>
  </w:p>
  <w:p w14:paraId="304C10B1" w14:textId="77777777" w:rsidR="008723A9" w:rsidRDefault="00A5682A" w:rsidP="004129F9">
    <w:pPr>
      <w:pStyle w:val="Header"/>
      <w:jc w:val="center"/>
    </w:pPr>
  </w:p>
  <w:p w14:paraId="712916F6" w14:textId="77777777" w:rsidR="008723A9" w:rsidRDefault="00A5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05F"/>
    <w:multiLevelType w:val="hybridMultilevel"/>
    <w:tmpl w:val="4B766CD6"/>
    <w:lvl w:ilvl="0" w:tplc="FBA46EE6">
      <w:start w:val="1"/>
      <w:numFmt w:val="bullet"/>
      <w:lvlText w:val=""/>
      <w:lvlJc w:val="left"/>
      <w:pPr>
        <w:ind w:left="360" w:hanging="360"/>
      </w:pPr>
      <w:rPr>
        <w:rFonts w:ascii="Symbol" w:hAnsi="Symbol" w:hint="default"/>
      </w:rPr>
    </w:lvl>
    <w:lvl w:ilvl="1" w:tplc="CC927A9A" w:tentative="1">
      <w:start w:val="1"/>
      <w:numFmt w:val="bullet"/>
      <w:lvlText w:val="o"/>
      <w:lvlJc w:val="left"/>
      <w:pPr>
        <w:ind w:left="1080" w:hanging="360"/>
      </w:pPr>
      <w:rPr>
        <w:rFonts w:ascii="Courier New" w:hAnsi="Courier New" w:cs="Courier New" w:hint="default"/>
      </w:rPr>
    </w:lvl>
    <w:lvl w:ilvl="2" w:tplc="0CA69ABA" w:tentative="1">
      <w:start w:val="1"/>
      <w:numFmt w:val="bullet"/>
      <w:lvlText w:val=""/>
      <w:lvlJc w:val="left"/>
      <w:pPr>
        <w:ind w:left="1800" w:hanging="360"/>
      </w:pPr>
      <w:rPr>
        <w:rFonts w:ascii="Wingdings" w:hAnsi="Wingdings" w:hint="default"/>
      </w:rPr>
    </w:lvl>
    <w:lvl w:ilvl="3" w:tplc="629A1094" w:tentative="1">
      <w:start w:val="1"/>
      <w:numFmt w:val="bullet"/>
      <w:lvlText w:val=""/>
      <w:lvlJc w:val="left"/>
      <w:pPr>
        <w:ind w:left="2520" w:hanging="360"/>
      </w:pPr>
      <w:rPr>
        <w:rFonts w:ascii="Symbol" w:hAnsi="Symbol" w:hint="default"/>
      </w:rPr>
    </w:lvl>
    <w:lvl w:ilvl="4" w:tplc="6D861EAA" w:tentative="1">
      <w:start w:val="1"/>
      <w:numFmt w:val="bullet"/>
      <w:lvlText w:val="o"/>
      <w:lvlJc w:val="left"/>
      <w:pPr>
        <w:ind w:left="3240" w:hanging="360"/>
      </w:pPr>
      <w:rPr>
        <w:rFonts w:ascii="Courier New" w:hAnsi="Courier New" w:cs="Courier New" w:hint="default"/>
      </w:rPr>
    </w:lvl>
    <w:lvl w:ilvl="5" w:tplc="A4A6E9F4" w:tentative="1">
      <w:start w:val="1"/>
      <w:numFmt w:val="bullet"/>
      <w:lvlText w:val=""/>
      <w:lvlJc w:val="left"/>
      <w:pPr>
        <w:ind w:left="3960" w:hanging="360"/>
      </w:pPr>
      <w:rPr>
        <w:rFonts w:ascii="Wingdings" w:hAnsi="Wingdings" w:hint="default"/>
      </w:rPr>
    </w:lvl>
    <w:lvl w:ilvl="6" w:tplc="D528EB98" w:tentative="1">
      <w:start w:val="1"/>
      <w:numFmt w:val="bullet"/>
      <w:lvlText w:val=""/>
      <w:lvlJc w:val="left"/>
      <w:pPr>
        <w:ind w:left="4680" w:hanging="360"/>
      </w:pPr>
      <w:rPr>
        <w:rFonts w:ascii="Symbol" w:hAnsi="Symbol" w:hint="default"/>
      </w:rPr>
    </w:lvl>
    <w:lvl w:ilvl="7" w:tplc="AEC09BE0" w:tentative="1">
      <w:start w:val="1"/>
      <w:numFmt w:val="bullet"/>
      <w:lvlText w:val="o"/>
      <w:lvlJc w:val="left"/>
      <w:pPr>
        <w:ind w:left="5400" w:hanging="360"/>
      </w:pPr>
      <w:rPr>
        <w:rFonts w:ascii="Courier New" w:hAnsi="Courier New" w:cs="Courier New" w:hint="default"/>
      </w:rPr>
    </w:lvl>
    <w:lvl w:ilvl="8" w:tplc="4684963A" w:tentative="1">
      <w:start w:val="1"/>
      <w:numFmt w:val="bullet"/>
      <w:lvlText w:val=""/>
      <w:lvlJc w:val="left"/>
      <w:pPr>
        <w:ind w:left="6120" w:hanging="360"/>
      </w:pPr>
      <w:rPr>
        <w:rFonts w:ascii="Wingdings" w:hAnsi="Wingdings" w:hint="default"/>
      </w:rPr>
    </w:lvl>
  </w:abstractNum>
  <w:abstractNum w:abstractNumId="1" w15:restartNumberingAfterBreak="0">
    <w:nsid w:val="11755DEA"/>
    <w:multiLevelType w:val="hybridMultilevel"/>
    <w:tmpl w:val="86A85026"/>
    <w:lvl w:ilvl="0" w:tplc="46DCD34A">
      <w:numFmt w:val="bullet"/>
      <w:lvlText w:val="-"/>
      <w:lvlJc w:val="left"/>
      <w:pPr>
        <w:ind w:left="720" w:hanging="360"/>
      </w:pPr>
      <w:rPr>
        <w:rFonts w:ascii="Century Gothic" w:eastAsia="Times New Roman" w:hAnsi="Century Gothic" w:cs="Century Gothic" w:hint="default"/>
      </w:rPr>
    </w:lvl>
    <w:lvl w:ilvl="1" w:tplc="3440C2B4" w:tentative="1">
      <w:start w:val="1"/>
      <w:numFmt w:val="bullet"/>
      <w:lvlText w:val="o"/>
      <w:lvlJc w:val="left"/>
      <w:pPr>
        <w:ind w:left="1440" w:hanging="360"/>
      </w:pPr>
      <w:rPr>
        <w:rFonts w:ascii="Courier New" w:hAnsi="Courier New" w:cs="Courier New" w:hint="default"/>
      </w:rPr>
    </w:lvl>
    <w:lvl w:ilvl="2" w:tplc="212AC9EE" w:tentative="1">
      <w:start w:val="1"/>
      <w:numFmt w:val="bullet"/>
      <w:lvlText w:val=""/>
      <w:lvlJc w:val="left"/>
      <w:pPr>
        <w:ind w:left="2160" w:hanging="360"/>
      </w:pPr>
      <w:rPr>
        <w:rFonts w:ascii="Wingdings" w:hAnsi="Wingdings" w:hint="default"/>
      </w:rPr>
    </w:lvl>
    <w:lvl w:ilvl="3" w:tplc="44CE2282" w:tentative="1">
      <w:start w:val="1"/>
      <w:numFmt w:val="bullet"/>
      <w:lvlText w:val=""/>
      <w:lvlJc w:val="left"/>
      <w:pPr>
        <w:ind w:left="2880" w:hanging="360"/>
      </w:pPr>
      <w:rPr>
        <w:rFonts w:ascii="Symbol" w:hAnsi="Symbol" w:hint="default"/>
      </w:rPr>
    </w:lvl>
    <w:lvl w:ilvl="4" w:tplc="4D9CBCB0" w:tentative="1">
      <w:start w:val="1"/>
      <w:numFmt w:val="bullet"/>
      <w:lvlText w:val="o"/>
      <w:lvlJc w:val="left"/>
      <w:pPr>
        <w:ind w:left="3600" w:hanging="360"/>
      </w:pPr>
      <w:rPr>
        <w:rFonts w:ascii="Courier New" w:hAnsi="Courier New" w:cs="Courier New" w:hint="default"/>
      </w:rPr>
    </w:lvl>
    <w:lvl w:ilvl="5" w:tplc="25CA403C" w:tentative="1">
      <w:start w:val="1"/>
      <w:numFmt w:val="bullet"/>
      <w:lvlText w:val=""/>
      <w:lvlJc w:val="left"/>
      <w:pPr>
        <w:ind w:left="4320" w:hanging="360"/>
      </w:pPr>
      <w:rPr>
        <w:rFonts w:ascii="Wingdings" w:hAnsi="Wingdings" w:hint="default"/>
      </w:rPr>
    </w:lvl>
    <w:lvl w:ilvl="6" w:tplc="88CC7AD8" w:tentative="1">
      <w:start w:val="1"/>
      <w:numFmt w:val="bullet"/>
      <w:lvlText w:val=""/>
      <w:lvlJc w:val="left"/>
      <w:pPr>
        <w:ind w:left="5040" w:hanging="360"/>
      </w:pPr>
      <w:rPr>
        <w:rFonts w:ascii="Symbol" w:hAnsi="Symbol" w:hint="default"/>
      </w:rPr>
    </w:lvl>
    <w:lvl w:ilvl="7" w:tplc="34EEF7B6" w:tentative="1">
      <w:start w:val="1"/>
      <w:numFmt w:val="bullet"/>
      <w:lvlText w:val="o"/>
      <w:lvlJc w:val="left"/>
      <w:pPr>
        <w:ind w:left="5760" w:hanging="360"/>
      </w:pPr>
      <w:rPr>
        <w:rFonts w:ascii="Courier New" w:hAnsi="Courier New" w:cs="Courier New" w:hint="default"/>
      </w:rPr>
    </w:lvl>
    <w:lvl w:ilvl="8" w:tplc="B248E408" w:tentative="1">
      <w:start w:val="1"/>
      <w:numFmt w:val="bullet"/>
      <w:lvlText w:val=""/>
      <w:lvlJc w:val="left"/>
      <w:pPr>
        <w:ind w:left="6480" w:hanging="360"/>
      </w:pPr>
      <w:rPr>
        <w:rFonts w:ascii="Wingdings" w:hAnsi="Wingdings" w:hint="default"/>
      </w:rPr>
    </w:lvl>
  </w:abstractNum>
  <w:abstractNum w:abstractNumId="2" w15:restartNumberingAfterBreak="0">
    <w:nsid w:val="12015473"/>
    <w:multiLevelType w:val="hybridMultilevel"/>
    <w:tmpl w:val="7702E26C"/>
    <w:lvl w:ilvl="0" w:tplc="A54621D0">
      <w:start w:val="1"/>
      <w:numFmt w:val="decimal"/>
      <w:lvlText w:val="%1."/>
      <w:lvlJc w:val="left"/>
      <w:pPr>
        <w:ind w:left="720" w:hanging="360"/>
      </w:pPr>
      <w:rPr>
        <w:rFonts w:hint="default"/>
      </w:rPr>
    </w:lvl>
    <w:lvl w:ilvl="1" w:tplc="B2C4AB78" w:tentative="1">
      <w:start w:val="1"/>
      <w:numFmt w:val="lowerLetter"/>
      <w:lvlText w:val="%2."/>
      <w:lvlJc w:val="left"/>
      <w:pPr>
        <w:ind w:left="1440" w:hanging="360"/>
      </w:pPr>
    </w:lvl>
    <w:lvl w:ilvl="2" w:tplc="ADE6023E" w:tentative="1">
      <w:start w:val="1"/>
      <w:numFmt w:val="lowerRoman"/>
      <w:lvlText w:val="%3."/>
      <w:lvlJc w:val="right"/>
      <w:pPr>
        <w:ind w:left="2160" w:hanging="180"/>
      </w:pPr>
    </w:lvl>
    <w:lvl w:ilvl="3" w:tplc="7A92AE84" w:tentative="1">
      <w:start w:val="1"/>
      <w:numFmt w:val="decimal"/>
      <w:lvlText w:val="%4."/>
      <w:lvlJc w:val="left"/>
      <w:pPr>
        <w:ind w:left="2880" w:hanging="360"/>
      </w:pPr>
    </w:lvl>
    <w:lvl w:ilvl="4" w:tplc="B30EA002" w:tentative="1">
      <w:start w:val="1"/>
      <w:numFmt w:val="lowerLetter"/>
      <w:lvlText w:val="%5."/>
      <w:lvlJc w:val="left"/>
      <w:pPr>
        <w:ind w:left="3600" w:hanging="360"/>
      </w:pPr>
    </w:lvl>
    <w:lvl w:ilvl="5" w:tplc="D666BB92" w:tentative="1">
      <w:start w:val="1"/>
      <w:numFmt w:val="lowerRoman"/>
      <w:lvlText w:val="%6."/>
      <w:lvlJc w:val="right"/>
      <w:pPr>
        <w:ind w:left="4320" w:hanging="180"/>
      </w:pPr>
    </w:lvl>
    <w:lvl w:ilvl="6" w:tplc="8A64AF26" w:tentative="1">
      <w:start w:val="1"/>
      <w:numFmt w:val="decimal"/>
      <w:lvlText w:val="%7."/>
      <w:lvlJc w:val="left"/>
      <w:pPr>
        <w:ind w:left="5040" w:hanging="360"/>
      </w:pPr>
    </w:lvl>
    <w:lvl w:ilvl="7" w:tplc="C1BCE9CA" w:tentative="1">
      <w:start w:val="1"/>
      <w:numFmt w:val="lowerLetter"/>
      <w:lvlText w:val="%8."/>
      <w:lvlJc w:val="left"/>
      <w:pPr>
        <w:ind w:left="5760" w:hanging="360"/>
      </w:pPr>
    </w:lvl>
    <w:lvl w:ilvl="8" w:tplc="7490142E" w:tentative="1">
      <w:start w:val="1"/>
      <w:numFmt w:val="lowerRoman"/>
      <w:lvlText w:val="%9."/>
      <w:lvlJc w:val="right"/>
      <w:pPr>
        <w:ind w:left="6480" w:hanging="180"/>
      </w:pPr>
    </w:lvl>
  </w:abstractNum>
  <w:abstractNum w:abstractNumId="3" w15:restartNumberingAfterBreak="0">
    <w:nsid w:val="31387C48"/>
    <w:multiLevelType w:val="hybridMultilevel"/>
    <w:tmpl w:val="B854E1A6"/>
    <w:lvl w:ilvl="0" w:tplc="1C648DB0">
      <w:start w:val="1"/>
      <w:numFmt w:val="decimal"/>
      <w:lvlText w:val="%1."/>
      <w:lvlJc w:val="left"/>
      <w:pPr>
        <w:ind w:left="720" w:hanging="360"/>
      </w:pPr>
      <w:rPr>
        <w:rFonts w:hint="default"/>
      </w:rPr>
    </w:lvl>
    <w:lvl w:ilvl="1" w:tplc="317819C6" w:tentative="1">
      <w:start w:val="1"/>
      <w:numFmt w:val="lowerLetter"/>
      <w:lvlText w:val="%2."/>
      <w:lvlJc w:val="left"/>
      <w:pPr>
        <w:ind w:left="1440" w:hanging="360"/>
      </w:pPr>
    </w:lvl>
    <w:lvl w:ilvl="2" w:tplc="0F189034" w:tentative="1">
      <w:start w:val="1"/>
      <w:numFmt w:val="lowerRoman"/>
      <w:lvlText w:val="%3."/>
      <w:lvlJc w:val="right"/>
      <w:pPr>
        <w:ind w:left="2160" w:hanging="180"/>
      </w:pPr>
    </w:lvl>
    <w:lvl w:ilvl="3" w:tplc="838CF344" w:tentative="1">
      <w:start w:val="1"/>
      <w:numFmt w:val="decimal"/>
      <w:lvlText w:val="%4."/>
      <w:lvlJc w:val="left"/>
      <w:pPr>
        <w:ind w:left="2880" w:hanging="360"/>
      </w:pPr>
    </w:lvl>
    <w:lvl w:ilvl="4" w:tplc="15362F84" w:tentative="1">
      <w:start w:val="1"/>
      <w:numFmt w:val="lowerLetter"/>
      <w:lvlText w:val="%5."/>
      <w:lvlJc w:val="left"/>
      <w:pPr>
        <w:ind w:left="3600" w:hanging="360"/>
      </w:pPr>
    </w:lvl>
    <w:lvl w:ilvl="5" w:tplc="24B6A496" w:tentative="1">
      <w:start w:val="1"/>
      <w:numFmt w:val="lowerRoman"/>
      <w:lvlText w:val="%6."/>
      <w:lvlJc w:val="right"/>
      <w:pPr>
        <w:ind w:left="4320" w:hanging="180"/>
      </w:pPr>
    </w:lvl>
    <w:lvl w:ilvl="6" w:tplc="7868B2B4" w:tentative="1">
      <w:start w:val="1"/>
      <w:numFmt w:val="decimal"/>
      <w:lvlText w:val="%7."/>
      <w:lvlJc w:val="left"/>
      <w:pPr>
        <w:ind w:left="5040" w:hanging="360"/>
      </w:pPr>
    </w:lvl>
    <w:lvl w:ilvl="7" w:tplc="1F98644E" w:tentative="1">
      <w:start w:val="1"/>
      <w:numFmt w:val="lowerLetter"/>
      <w:lvlText w:val="%8."/>
      <w:lvlJc w:val="left"/>
      <w:pPr>
        <w:ind w:left="5760" w:hanging="360"/>
      </w:pPr>
    </w:lvl>
    <w:lvl w:ilvl="8" w:tplc="8CB437D2" w:tentative="1">
      <w:start w:val="1"/>
      <w:numFmt w:val="lowerRoman"/>
      <w:lvlText w:val="%9."/>
      <w:lvlJc w:val="right"/>
      <w:pPr>
        <w:ind w:left="6480" w:hanging="180"/>
      </w:pPr>
    </w:lvl>
  </w:abstractNum>
  <w:abstractNum w:abstractNumId="4" w15:restartNumberingAfterBreak="0">
    <w:nsid w:val="32A11902"/>
    <w:multiLevelType w:val="hybridMultilevel"/>
    <w:tmpl w:val="B854E1A6"/>
    <w:lvl w:ilvl="0" w:tplc="55700264">
      <w:start w:val="1"/>
      <w:numFmt w:val="decimal"/>
      <w:lvlText w:val="%1."/>
      <w:lvlJc w:val="left"/>
      <w:pPr>
        <w:ind w:left="720" w:hanging="360"/>
      </w:pPr>
      <w:rPr>
        <w:rFonts w:hint="default"/>
      </w:rPr>
    </w:lvl>
    <w:lvl w:ilvl="1" w:tplc="2AF0AA9E">
      <w:start w:val="1"/>
      <w:numFmt w:val="lowerLetter"/>
      <w:lvlText w:val="%2."/>
      <w:lvlJc w:val="left"/>
      <w:pPr>
        <w:ind w:left="1440" w:hanging="360"/>
      </w:pPr>
    </w:lvl>
    <w:lvl w:ilvl="2" w:tplc="02B057F2" w:tentative="1">
      <w:start w:val="1"/>
      <w:numFmt w:val="lowerRoman"/>
      <w:lvlText w:val="%3."/>
      <w:lvlJc w:val="right"/>
      <w:pPr>
        <w:ind w:left="2160" w:hanging="180"/>
      </w:pPr>
    </w:lvl>
    <w:lvl w:ilvl="3" w:tplc="378E8C24" w:tentative="1">
      <w:start w:val="1"/>
      <w:numFmt w:val="decimal"/>
      <w:lvlText w:val="%4."/>
      <w:lvlJc w:val="left"/>
      <w:pPr>
        <w:ind w:left="2880" w:hanging="360"/>
      </w:pPr>
    </w:lvl>
    <w:lvl w:ilvl="4" w:tplc="B7FCF078" w:tentative="1">
      <w:start w:val="1"/>
      <w:numFmt w:val="lowerLetter"/>
      <w:lvlText w:val="%5."/>
      <w:lvlJc w:val="left"/>
      <w:pPr>
        <w:ind w:left="3600" w:hanging="360"/>
      </w:pPr>
    </w:lvl>
    <w:lvl w:ilvl="5" w:tplc="E8A0D0A8" w:tentative="1">
      <w:start w:val="1"/>
      <w:numFmt w:val="lowerRoman"/>
      <w:lvlText w:val="%6."/>
      <w:lvlJc w:val="right"/>
      <w:pPr>
        <w:ind w:left="4320" w:hanging="180"/>
      </w:pPr>
    </w:lvl>
    <w:lvl w:ilvl="6" w:tplc="3CAE5BB6" w:tentative="1">
      <w:start w:val="1"/>
      <w:numFmt w:val="decimal"/>
      <w:lvlText w:val="%7."/>
      <w:lvlJc w:val="left"/>
      <w:pPr>
        <w:ind w:left="5040" w:hanging="360"/>
      </w:pPr>
    </w:lvl>
    <w:lvl w:ilvl="7" w:tplc="B24816D4" w:tentative="1">
      <w:start w:val="1"/>
      <w:numFmt w:val="lowerLetter"/>
      <w:lvlText w:val="%8."/>
      <w:lvlJc w:val="left"/>
      <w:pPr>
        <w:ind w:left="5760" w:hanging="360"/>
      </w:pPr>
    </w:lvl>
    <w:lvl w:ilvl="8" w:tplc="41864400" w:tentative="1">
      <w:start w:val="1"/>
      <w:numFmt w:val="lowerRoman"/>
      <w:lvlText w:val="%9."/>
      <w:lvlJc w:val="right"/>
      <w:pPr>
        <w:ind w:left="6480" w:hanging="180"/>
      </w:pPr>
    </w:lvl>
  </w:abstractNum>
  <w:abstractNum w:abstractNumId="5" w15:restartNumberingAfterBreak="0">
    <w:nsid w:val="3D31439A"/>
    <w:multiLevelType w:val="hybridMultilevel"/>
    <w:tmpl w:val="941687E6"/>
    <w:lvl w:ilvl="0" w:tplc="051C6FF4">
      <w:start w:val="1"/>
      <w:numFmt w:val="decimal"/>
      <w:lvlText w:val="%1."/>
      <w:lvlJc w:val="left"/>
      <w:pPr>
        <w:ind w:left="720" w:hanging="360"/>
      </w:pPr>
      <w:rPr>
        <w:rFonts w:hint="default"/>
      </w:rPr>
    </w:lvl>
    <w:lvl w:ilvl="1" w:tplc="7A4C2AF8" w:tentative="1">
      <w:start w:val="1"/>
      <w:numFmt w:val="lowerLetter"/>
      <w:lvlText w:val="%2."/>
      <w:lvlJc w:val="left"/>
      <w:pPr>
        <w:ind w:left="1440" w:hanging="360"/>
      </w:pPr>
    </w:lvl>
    <w:lvl w:ilvl="2" w:tplc="C4FC9C96" w:tentative="1">
      <w:start w:val="1"/>
      <w:numFmt w:val="lowerRoman"/>
      <w:lvlText w:val="%3."/>
      <w:lvlJc w:val="right"/>
      <w:pPr>
        <w:ind w:left="2160" w:hanging="180"/>
      </w:pPr>
    </w:lvl>
    <w:lvl w:ilvl="3" w:tplc="A07E6DB8" w:tentative="1">
      <w:start w:val="1"/>
      <w:numFmt w:val="decimal"/>
      <w:lvlText w:val="%4."/>
      <w:lvlJc w:val="left"/>
      <w:pPr>
        <w:ind w:left="2880" w:hanging="360"/>
      </w:pPr>
    </w:lvl>
    <w:lvl w:ilvl="4" w:tplc="BA422440" w:tentative="1">
      <w:start w:val="1"/>
      <w:numFmt w:val="lowerLetter"/>
      <w:lvlText w:val="%5."/>
      <w:lvlJc w:val="left"/>
      <w:pPr>
        <w:ind w:left="3600" w:hanging="360"/>
      </w:pPr>
    </w:lvl>
    <w:lvl w:ilvl="5" w:tplc="FEC22382" w:tentative="1">
      <w:start w:val="1"/>
      <w:numFmt w:val="lowerRoman"/>
      <w:lvlText w:val="%6."/>
      <w:lvlJc w:val="right"/>
      <w:pPr>
        <w:ind w:left="4320" w:hanging="180"/>
      </w:pPr>
    </w:lvl>
    <w:lvl w:ilvl="6" w:tplc="8E026E80" w:tentative="1">
      <w:start w:val="1"/>
      <w:numFmt w:val="decimal"/>
      <w:lvlText w:val="%7."/>
      <w:lvlJc w:val="left"/>
      <w:pPr>
        <w:ind w:left="5040" w:hanging="360"/>
      </w:pPr>
    </w:lvl>
    <w:lvl w:ilvl="7" w:tplc="91144216" w:tentative="1">
      <w:start w:val="1"/>
      <w:numFmt w:val="lowerLetter"/>
      <w:lvlText w:val="%8."/>
      <w:lvlJc w:val="left"/>
      <w:pPr>
        <w:ind w:left="5760" w:hanging="360"/>
      </w:pPr>
    </w:lvl>
    <w:lvl w:ilvl="8" w:tplc="96802F40"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AA"/>
    <w:rsid w:val="00287AFB"/>
    <w:rsid w:val="003D71AA"/>
    <w:rsid w:val="009E097C"/>
    <w:rsid w:val="00A5682A"/>
    <w:rsid w:val="00BA4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BB62D"/>
  <w15:docId w15:val="{9F1C589D-3521-4AB1-AF7E-069CAB60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 w:type="paragraph" w:styleId="Revision">
    <w:name w:val="Revision"/>
    <w:hidden/>
    <w:uiPriority w:val="99"/>
    <w:semiHidden/>
    <w:rsid w:val="00B12C4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radis@platine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FE3BA-802C-496E-A088-B4A1D2A1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6115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 </cp:lastModifiedBy>
  <cp:revision>2</cp:revision>
  <dcterms:created xsi:type="dcterms:W3CDTF">2020-03-13T11:23:00Z</dcterms:created>
  <dcterms:modified xsi:type="dcterms:W3CDTF">2020-03-13T11:23:00Z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84789dfc-df65-4a18-8391-cd3bf213632d</vt:lpwstr>
  </property>
</Properties>
</file>