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A025" w14:textId="7BFA5669" w:rsidR="005E191D" w:rsidRPr="005F68AD" w:rsidRDefault="005E191D" w:rsidP="008F1A3C">
      <w:pPr>
        <w:shd w:val="clear" w:color="auto" w:fill="FFFFFF"/>
        <w:spacing w:before="300" w:after="150" w:line="240" w:lineRule="auto"/>
        <w:jc w:val="both"/>
        <w:outlineLvl w:val="0"/>
        <w:rPr>
          <w:rFonts w:ascii="Arial" w:eastAsia="Times New Roman" w:hAnsi="Arial" w:cs="Arial"/>
          <w:b/>
          <w:kern w:val="36"/>
          <w:sz w:val="24"/>
          <w:szCs w:val="24"/>
          <w:lang w:eastAsia="en-CA"/>
        </w:rPr>
      </w:pPr>
      <w:r w:rsidRPr="005F68AD">
        <w:rPr>
          <w:rFonts w:ascii="Arial" w:eastAsia="Times New Roman" w:hAnsi="Arial" w:cs="Arial"/>
          <w:b/>
          <w:kern w:val="36"/>
          <w:sz w:val="24"/>
          <w:szCs w:val="24"/>
          <w:lang w:eastAsia="en-CA"/>
        </w:rPr>
        <w:t>Plaintree Systems Inc. Announces</w:t>
      </w:r>
      <w:r w:rsidR="001B1842" w:rsidRPr="005F68AD">
        <w:rPr>
          <w:rFonts w:ascii="Arial" w:eastAsia="Times New Roman" w:hAnsi="Arial" w:cs="Arial"/>
          <w:b/>
          <w:kern w:val="36"/>
          <w:sz w:val="24"/>
          <w:szCs w:val="24"/>
          <w:lang w:eastAsia="en-CA"/>
        </w:rPr>
        <w:t xml:space="preserve"> </w:t>
      </w:r>
      <w:r w:rsidR="008D1EAE">
        <w:rPr>
          <w:rFonts w:ascii="Arial" w:eastAsia="Times New Roman" w:hAnsi="Arial" w:cs="Arial"/>
          <w:b/>
          <w:kern w:val="36"/>
          <w:sz w:val="24"/>
          <w:szCs w:val="24"/>
          <w:lang w:eastAsia="en-CA"/>
        </w:rPr>
        <w:t>First</w:t>
      </w:r>
      <w:r w:rsidR="005328AF" w:rsidRPr="005F68AD">
        <w:rPr>
          <w:rFonts w:ascii="Arial" w:eastAsia="Times New Roman" w:hAnsi="Arial" w:cs="Arial"/>
          <w:b/>
          <w:kern w:val="36"/>
          <w:sz w:val="24"/>
          <w:szCs w:val="24"/>
          <w:lang w:eastAsia="en-CA"/>
        </w:rPr>
        <w:t xml:space="preserve"> Quarter Fiscal 202</w:t>
      </w:r>
      <w:r w:rsidR="008D1EAE">
        <w:rPr>
          <w:rFonts w:ascii="Arial" w:eastAsia="Times New Roman" w:hAnsi="Arial" w:cs="Arial"/>
          <w:b/>
          <w:kern w:val="36"/>
          <w:sz w:val="24"/>
          <w:szCs w:val="24"/>
          <w:lang w:eastAsia="en-CA"/>
        </w:rPr>
        <w:t>1</w:t>
      </w:r>
      <w:r w:rsidR="00FA4E20" w:rsidRPr="005F68AD">
        <w:rPr>
          <w:rFonts w:ascii="Arial" w:eastAsia="Times New Roman" w:hAnsi="Arial" w:cs="Arial"/>
          <w:b/>
          <w:kern w:val="36"/>
          <w:sz w:val="24"/>
          <w:szCs w:val="24"/>
          <w:lang w:eastAsia="en-CA"/>
        </w:rPr>
        <w:t xml:space="preserve"> Results </w:t>
      </w:r>
    </w:p>
    <w:p w14:paraId="229F7C97" w14:textId="554C7232" w:rsidR="00220230" w:rsidRPr="005F68AD" w:rsidRDefault="005E191D" w:rsidP="008F1A3C">
      <w:pPr>
        <w:shd w:val="clear" w:color="auto" w:fill="FFFFFF"/>
        <w:spacing w:after="150" w:line="240" w:lineRule="auto"/>
        <w:jc w:val="both"/>
        <w:rPr>
          <w:rFonts w:ascii="Arial" w:eastAsia="Times New Roman" w:hAnsi="Arial" w:cs="Arial"/>
          <w:sz w:val="24"/>
          <w:szCs w:val="24"/>
          <w:lang w:eastAsia="en-CA"/>
        </w:rPr>
      </w:pPr>
      <w:r w:rsidRPr="005F68AD">
        <w:rPr>
          <w:rFonts w:ascii="Arial" w:eastAsia="Times New Roman" w:hAnsi="Arial" w:cs="Arial"/>
          <w:sz w:val="24"/>
          <w:szCs w:val="24"/>
          <w:lang w:eastAsia="en-CA"/>
        </w:rPr>
        <w:t>Arnprior, Ontario (</w:t>
      </w:r>
      <w:r w:rsidR="008D1EAE">
        <w:rPr>
          <w:rFonts w:ascii="Arial" w:eastAsia="Times New Roman" w:hAnsi="Arial" w:cs="Arial"/>
          <w:sz w:val="24"/>
          <w:szCs w:val="24"/>
          <w:lang w:eastAsia="en-CA"/>
        </w:rPr>
        <w:t xml:space="preserve">August </w:t>
      </w:r>
      <w:r w:rsidR="00D26905">
        <w:rPr>
          <w:rFonts w:ascii="Arial" w:eastAsia="Times New Roman" w:hAnsi="Arial" w:cs="Arial"/>
          <w:sz w:val="24"/>
          <w:szCs w:val="24"/>
          <w:lang w:eastAsia="en-CA"/>
        </w:rPr>
        <w:t>23</w:t>
      </w:r>
      <w:r w:rsidR="008D1EAE">
        <w:rPr>
          <w:rFonts w:ascii="Arial" w:eastAsia="Times New Roman" w:hAnsi="Arial" w:cs="Arial"/>
          <w:sz w:val="24"/>
          <w:szCs w:val="24"/>
          <w:lang w:eastAsia="en-CA"/>
        </w:rPr>
        <w:t>, 2021</w:t>
      </w:r>
      <w:r w:rsidRPr="005F68AD">
        <w:rPr>
          <w:rFonts w:ascii="Arial" w:eastAsia="Times New Roman" w:hAnsi="Arial" w:cs="Arial"/>
          <w:sz w:val="24"/>
          <w:szCs w:val="24"/>
          <w:lang w:eastAsia="en-CA"/>
        </w:rPr>
        <w:t xml:space="preserve">) – </w:t>
      </w:r>
      <w:proofErr w:type="spellStart"/>
      <w:r w:rsidR="008F21BE" w:rsidRPr="005F68AD">
        <w:rPr>
          <w:rFonts w:ascii="Arial" w:eastAsia="Times New Roman" w:hAnsi="Arial" w:cs="Arial"/>
          <w:sz w:val="24"/>
          <w:szCs w:val="24"/>
          <w:lang w:eastAsia="en-CA"/>
        </w:rPr>
        <w:t>Plaintree</w:t>
      </w:r>
      <w:proofErr w:type="spellEnd"/>
      <w:r w:rsidR="008F21BE" w:rsidRPr="005F68AD">
        <w:rPr>
          <w:rFonts w:ascii="Arial" w:eastAsia="Times New Roman" w:hAnsi="Arial" w:cs="Arial"/>
          <w:sz w:val="24"/>
          <w:szCs w:val="24"/>
          <w:lang w:eastAsia="en-CA"/>
        </w:rPr>
        <w:t xml:space="preserve"> Systems Inc. (</w:t>
      </w:r>
      <w:r w:rsidR="008F21BE" w:rsidRPr="005F68AD">
        <w:rPr>
          <w:rFonts w:ascii="Arial" w:eastAsia="Times New Roman" w:hAnsi="Arial" w:cs="Arial"/>
          <w:b/>
          <w:bCs/>
          <w:sz w:val="24"/>
          <w:szCs w:val="24"/>
          <w:lang w:eastAsia="en-CA"/>
        </w:rPr>
        <w:t>CSE: NPT</w:t>
      </w:r>
      <w:r w:rsidR="008F21BE" w:rsidRPr="005F68AD">
        <w:rPr>
          <w:rFonts w:ascii="Arial" w:eastAsia="Times New Roman" w:hAnsi="Arial" w:cs="Arial"/>
          <w:sz w:val="24"/>
          <w:szCs w:val="24"/>
          <w:lang w:eastAsia="en-CA"/>
        </w:rPr>
        <w:t>) (“</w:t>
      </w:r>
      <w:r w:rsidR="008F21BE" w:rsidRPr="005F68AD">
        <w:rPr>
          <w:rFonts w:ascii="Arial" w:eastAsia="Times New Roman" w:hAnsi="Arial" w:cs="Arial"/>
          <w:b/>
          <w:sz w:val="24"/>
          <w:szCs w:val="24"/>
          <w:lang w:eastAsia="en-CA"/>
        </w:rPr>
        <w:t>Plaintree</w:t>
      </w:r>
      <w:r w:rsidR="008F21BE" w:rsidRPr="005F68AD">
        <w:rPr>
          <w:rFonts w:ascii="Arial" w:eastAsia="Times New Roman" w:hAnsi="Arial" w:cs="Arial"/>
          <w:sz w:val="24"/>
          <w:szCs w:val="24"/>
          <w:lang w:eastAsia="en-CA"/>
        </w:rPr>
        <w:t>” or the “</w:t>
      </w:r>
      <w:r w:rsidR="008F21BE" w:rsidRPr="005F68AD">
        <w:rPr>
          <w:rFonts w:ascii="Arial" w:eastAsia="Times New Roman" w:hAnsi="Arial" w:cs="Arial"/>
          <w:b/>
          <w:bCs/>
          <w:sz w:val="24"/>
          <w:szCs w:val="24"/>
          <w:lang w:eastAsia="en-CA"/>
        </w:rPr>
        <w:t>Company”</w:t>
      </w:r>
      <w:r w:rsidR="008F21BE" w:rsidRPr="005F68AD">
        <w:rPr>
          <w:rFonts w:ascii="Arial" w:eastAsia="Times New Roman" w:hAnsi="Arial" w:cs="Arial"/>
          <w:sz w:val="24"/>
          <w:szCs w:val="24"/>
          <w:lang w:eastAsia="en-CA"/>
        </w:rPr>
        <w:t>)</w:t>
      </w:r>
      <w:r w:rsidR="00220230" w:rsidRPr="005F68AD">
        <w:rPr>
          <w:rFonts w:ascii="Arial" w:eastAsia="Times New Roman" w:hAnsi="Arial" w:cs="Arial"/>
          <w:sz w:val="24"/>
          <w:szCs w:val="24"/>
          <w:lang w:eastAsia="en-CA"/>
        </w:rPr>
        <w:t>.</w:t>
      </w:r>
    </w:p>
    <w:p w14:paraId="5B7B7BD4" w14:textId="29F49173" w:rsidR="00220230" w:rsidRPr="005F68AD" w:rsidRDefault="00AB4975" w:rsidP="008F1A3C">
      <w:pPr>
        <w:shd w:val="clear" w:color="auto" w:fill="FFFFFF"/>
        <w:spacing w:after="150" w:line="240" w:lineRule="auto"/>
        <w:jc w:val="both"/>
        <w:rPr>
          <w:rFonts w:ascii="Arial" w:eastAsia="Times New Roman" w:hAnsi="Arial" w:cs="Arial"/>
          <w:b/>
          <w:sz w:val="24"/>
          <w:szCs w:val="24"/>
          <w:u w:val="single"/>
          <w:lang w:eastAsia="en-CA"/>
        </w:rPr>
      </w:pPr>
      <w:r w:rsidRPr="005F68AD">
        <w:rPr>
          <w:rFonts w:ascii="Arial" w:eastAsia="Times New Roman" w:hAnsi="Arial" w:cs="Arial"/>
          <w:b/>
          <w:sz w:val="24"/>
          <w:szCs w:val="24"/>
          <w:u w:val="single"/>
          <w:lang w:eastAsia="en-CA"/>
        </w:rPr>
        <w:t>Quarterly</w:t>
      </w:r>
      <w:r w:rsidR="00220230" w:rsidRPr="005F68AD">
        <w:rPr>
          <w:rFonts w:ascii="Arial" w:eastAsia="Times New Roman" w:hAnsi="Arial" w:cs="Arial"/>
          <w:b/>
          <w:sz w:val="24"/>
          <w:szCs w:val="24"/>
          <w:u w:val="single"/>
          <w:lang w:eastAsia="en-CA"/>
        </w:rPr>
        <w:t xml:space="preserve"> Statements for the </w:t>
      </w:r>
      <w:r w:rsidR="008D1EAE">
        <w:rPr>
          <w:rFonts w:ascii="Arial" w:eastAsia="Times New Roman" w:hAnsi="Arial" w:cs="Arial"/>
          <w:b/>
          <w:sz w:val="24"/>
          <w:szCs w:val="24"/>
          <w:u w:val="single"/>
          <w:lang w:eastAsia="en-CA"/>
        </w:rPr>
        <w:t>First</w:t>
      </w:r>
      <w:r w:rsidR="001B1842" w:rsidRPr="005F68AD">
        <w:rPr>
          <w:rFonts w:ascii="Arial" w:eastAsia="Times New Roman" w:hAnsi="Arial" w:cs="Arial"/>
          <w:b/>
          <w:sz w:val="24"/>
          <w:szCs w:val="24"/>
          <w:u w:val="single"/>
          <w:lang w:eastAsia="en-CA"/>
        </w:rPr>
        <w:t xml:space="preserve"> Quarter</w:t>
      </w:r>
      <w:r w:rsidR="005328AF" w:rsidRPr="005F68AD">
        <w:rPr>
          <w:rFonts w:ascii="Arial" w:eastAsia="Times New Roman" w:hAnsi="Arial" w:cs="Arial"/>
          <w:b/>
          <w:sz w:val="24"/>
          <w:szCs w:val="24"/>
          <w:u w:val="single"/>
          <w:lang w:eastAsia="en-CA"/>
        </w:rPr>
        <w:t xml:space="preserve"> of Fiscal 202</w:t>
      </w:r>
      <w:r w:rsidR="008D1EAE">
        <w:rPr>
          <w:rFonts w:ascii="Arial" w:eastAsia="Times New Roman" w:hAnsi="Arial" w:cs="Arial"/>
          <w:b/>
          <w:sz w:val="24"/>
          <w:szCs w:val="24"/>
          <w:u w:val="single"/>
          <w:lang w:eastAsia="en-CA"/>
        </w:rPr>
        <w:t>1</w:t>
      </w:r>
      <w:r w:rsidR="005328AF" w:rsidRPr="005F68AD">
        <w:rPr>
          <w:rFonts w:ascii="Arial" w:eastAsia="Times New Roman" w:hAnsi="Arial" w:cs="Arial"/>
          <w:b/>
          <w:sz w:val="24"/>
          <w:szCs w:val="24"/>
          <w:u w:val="single"/>
          <w:lang w:eastAsia="en-CA"/>
        </w:rPr>
        <w:t xml:space="preserve"> ending </w:t>
      </w:r>
      <w:r w:rsidR="008D1EAE">
        <w:rPr>
          <w:rFonts w:ascii="Arial" w:eastAsia="Times New Roman" w:hAnsi="Arial" w:cs="Arial"/>
          <w:b/>
          <w:sz w:val="24"/>
          <w:szCs w:val="24"/>
          <w:u w:val="single"/>
          <w:lang w:eastAsia="en-CA"/>
        </w:rPr>
        <w:t>June 30, 2021.</w:t>
      </w:r>
    </w:p>
    <w:p w14:paraId="2B4A5F17" w14:textId="05873490" w:rsidR="00220230" w:rsidRPr="005F68AD" w:rsidRDefault="00220230" w:rsidP="008F1A3C">
      <w:pPr>
        <w:shd w:val="clear" w:color="auto" w:fill="FFFFFF"/>
        <w:spacing w:after="150" w:line="240" w:lineRule="auto"/>
        <w:jc w:val="both"/>
        <w:rPr>
          <w:rFonts w:ascii="Arial" w:hAnsi="Arial" w:cs="Arial"/>
          <w:sz w:val="24"/>
          <w:szCs w:val="24"/>
        </w:rPr>
      </w:pPr>
      <w:r w:rsidRPr="005F68AD">
        <w:rPr>
          <w:rFonts w:ascii="Arial" w:eastAsia="Times New Roman" w:hAnsi="Arial" w:cs="Arial"/>
          <w:sz w:val="24"/>
          <w:szCs w:val="24"/>
          <w:lang w:eastAsia="en-CA"/>
        </w:rPr>
        <w:t>Plaintree</w:t>
      </w:r>
      <w:r w:rsidR="008F21BE" w:rsidRPr="005F68AD">
        <w:rPr>
          <w:rFonts w:ascii="Arial" w:eastAsia="Times New Roman" w:hAnsi="Arial" w:cs="Arial"/>
          <w:sz w:val="24"/>
          <w:szCs w:val="24"/>
          <w:lang w:eastAsia="en-CA"/>
        </w:rPr>
        <w:t xml:space="preserve"> </w:t>
      </w:r>
      <w:r w:rsidRPr="005F68AD">
        <w:rPr>
          <w:rFonts w:ascii="Arial" w:hAnsi="Arial" w:cs="Arial"/>
          <w:sz w:val="24"/>
          <w:szCs w:val="24"/>
        </w:rPr>
        <w:t xml:space="preserve">announced today that it has released its </w:t>
      </w:r>
      <w:r w:rsidR="005328AF" w:rsidRPr="005F68AD">
        <w:rPr>
          <w:rFonts w:ascii="Arial" w:hAnsi="Arial" w:cs="Arial"/>
          <w:sz w:val="24"/>
          <w:szCs w:val="24"/>
        </w:rPr>
        <w:t>un</w:t>
      </w:r>
      <w:r w:rsidRPr="005F68AD">
        <w:rPr>
          <w:rFonts w:ascii="Arial" w:hAnsi="Arial" w:cs="Arial"/>
          <w:sz w:val="24"/>
          <w:szCs w:val="24"/>
        </w:rPr>
        <w:t xml:space="preserve">audited </w:t>
      </w:r>
      <w:r w:rsidR="005328AF" w:rsidRPr="005F68AD">
        <w:rPr>
          <w:rFonts w:ascii="Arial" w:hAnsi="Arial" w:cs="Arial"/>
          <w:sz w:val="24"/>
          <w:szCs w:val="24"/>
        </w:rPr>
        <w:t xml:space="preserve">interim </w:t>
      </w:r>
      <w:r w:rsidRPr="005F68AD">
        <w:rPr>
          <w:rFonts w:ascii="Arial" w:hAnsi="Arial" w:cs="Arial"/>
          <w:sz w:val="24"/>
          <w:szCs w:val="24"/>
        </w:rPr>
        <w:t xml:space="preserve">consolidated financial statements and related management discussions and analysis for the </w:t>
      </w:r>
      <w:r w:rsidR="005B7518" w:rsidRPr="005F68AD">
        <w:rPr>
          <w:rFonts w:ascii="Arial" w:hAnsi="Arial" w:cs="Arial"/>
          <w:sz w:val="24"/>
          <w:szCs w:val="24"/>
        </w:rPr>
        <w:t>three</w:t>
      </w:r>
      <w:r w:rsidR="008D1EAE">
        <w:rPr>
          <w:rFonts w:ascii="Arial" w:hAnsi="Arial" w:cs="Arial"/>
          <w:sz w:val="24"/>
          <w:szCs w:val="24"/>
        </w:rPr>
        <w:t xml:space="preserve"> </w:t>
      </w:r>
      <w:r w:rsidR="005B7518" w:rsidRPr="005F68AD">
        <w:rPr>
          <w:rFonts w:ascii="Arial" w:hAnsi="Arial" w:cs="Arial"/>
          <w:sz w:val="24"/>
          <w:szCs w:val="24"/>
        </w:rPr>
        <w:t>months</w:t>
      </w:r>
      <w:r w:rsidR="005328AF" w:rsidRPr="005F68AD">
        <w:rPr>
          <w:rFonts w:ascii="Arial" w:hAnsi="Arial" w:cs="Arial"/>
          <w:sz w:val="24"/>
          <w:szCs w:val="24"/>
        </w:rPr>
        <w:t xml:space="preserve"> </w:t>
      </w:r>
      <w:r w:rsidR="000A5921" w:rsidRPr="005F68AD">
        <w:rPr>
          <w:rFonts w:ascii="Arial" w:hAnsi="Arial" w:cs="Arial"/>
          <w:sz w:val="24"/>
          <w:szCs w:val="24"/>
        </w:rPr>
        <w:t>end</w:t>
      </w:r>
      <w:r w:rsidR="000A5921">
        <w:rPr>
          <w:rFonts w:ascii="Arial" w:hAnsi="Arial" w:cs="Arial"/>
          <w:sz w:val="24"/>
          <w:szCs w:val="24"/>
        </w:rPr>
        <w:t>ing</w:t>
      </w:r>
      <w:r w:rsidR="000A5921" w:rsidRPr="005F68AD">
        <w:rPr>
          <w:rFonts w:ascii="Arial" w:hAnsi="Arial" w:cs="Arial"/>
          <w:sz w:val="24"/>
          <w:szCs w:val="24"/>
        </w:rPr>
        <w:t xml:space="preserve"> </w:t>
      </w:r>
      <w:r w:rsidR="008D1EAE">
        <w:rPr>
          <w:rFonts w:ascii="Arial" w:hAnsi="Arial" w:cs="Arial"/>
          <w:sz w:val="24"/>
          <w:szCs w:val="24"/>
        </w:rPr>
        <w:t>June 30, 2021</w:t>
      </w:r>
      <w:r w:rsidRPr="005F68AD">
        <w:rPr>
          <w:rFonts w:ascii="Arial" w:hAnsi="Arial" w:cs="Arial"/>
          <w:sz w:val="24"/>
          <w:szCs w:val="24"/>
        </w:rPr>
        <w:t>.</w:t>
      </w:r>
    </w:p>
    <w:p w14:paraId="1A30E8EC" w14:textId="77009BA5" w:rsidR="001B1842" w:rsidRPr="005F68AD" w:rsidRDefault="001B1842" w:rsidP="001B1842">
      <w:pPr>
        <w:shd w:val="clear" w:color="auto" w:fill="FFFFFF"/>
        <w:spacing w:line="240" w:lineRule="auto"/>
        <w:jc w:val="both"/>
        <w:textAlignment w:val="baseline"/>
        <w:rPr>
          <w:rFonts w:ascii="Arial" w:eastAsia="Times New Roman" w:hAnsi="Arial" w:cs="Arial"/>
          <w:color w:val="000000"/>
          <w:sz w:val="24"/>
          <w:szCs w:val="24"/>
          <w:lang w:eastAsia="en-CA"/>
        </w:rPr>
      </w:pPr>
      <w:bookmarkStart w:id="0" w:name="_Hlk33696861"/>
      <w:r w:rsidRPr="005B7518">
        <w:rPr>
          <w:rFonts w:ascii="Arial" w:eastAsia="Times New Roman" w:hAnsi="Arial" w:cs="Arial"/>
          <w:color w:val="000000"/>
          <w:sz w:val="24"/>
          <w:szCs w:val="24"/>
          <w:lang w:eastAsia="en-CA"/>
        </w:rPr>
        <w:t xml:space="preserve">During the </w:t>
      </w:r>
      <w:r w:rsidR="008D1EAE">
        <w:rPr>
          <w:rFonts w:ascii="Arial" w:eastAsia="Times New Roman" w:hAnsi="Arial" w:cs="Arial"/>
          <w:color w:val="000000"/>
          <w:sz w:val="24"/>
          <w:szCs w:val="24"/>
          <w:lang w:eastAsia="en-CA"/>
        </w:rPr>
        <w:t xml:space="preserve">first </w:t>
      </w:r>
      <w:r w:rsidRPr="005B7518">
        <w:rPr>
          <w:rFonts w:ascii="Arial" w:eastAsia="Times New Roman" w:hAnsi="Arial" w:cs="Arial"/>
          <w:color w:val="000000"/>
          <w:sz w:val="24"/>
          <w:szCs w:val="24"/>
          <w:lang w:eastAsia="en-CA"/>
        </w:rPr>
        <w:t xml:space="preserve">three months </w:t>
      </w:r>
      <w:r w:rsidR="00541C7C" w:rsidRPr="005B7518">
        <w:rPr>
          <w:rFonts w:ascii="Arial" w:eastAsia="Times New Roman" w:hAnsi="Arial" w:cs="Arial"/>
          <w:color w:val="000000"/>
          <w:sz w:val="24"/>
          <w:szCs w:val="24"/>
          <w:lang w:eastAsia="en-CA"/>
        </w:rPr>
        <w:t>of fiscal 202</w:t>
      </w:r>
      <w:r w:rsidR="008D1EAE">
        <w:rPr>
          <w:rFonts w:ascii="Arial" w:eastAsia="Times New Roman" w:hAnsi="Arial" w:cs="Arial"/>
          <w:color w:val="000000"/>
          <w:sz w:val="24"/>
          <w:szCs w:val="24"/>
          <w:lang w:eastAsia="en-CA"/>
        </w:rPr>
        <w:t>2</w:t>
      </w:r>
      <w:r w:rsidR="00541C7C" w:rsidRPr="005B7518">
        <w:rPr>
          <w:rFonts w:ascii="Arial" w:eastAsia="Times New Roman" w:hAnsi="Arial" w:cs="Arial"/>
          <w:color w:val="000000"/>
          <w:sz w:val="24"/>
          <w:szCs w:val="24"/>
          <w:lang w:eastAsia="en-CA"/>
        </w:rPr>
        <w:t xml:space="preserve"> </w:t>
      </w:r>
      <w:r w:rsidRPr="005B7518">
        <w:rPr>
          <w:rFonts w:ascii="Arial" w:eastAsia="Times New Roman" w:hAnsi="Arial" w:cs="Arial"/>
          <w:color w:val="000000"/>
          <w:sz w:val="24"/>
          <w:szCs w:val="24"/>
          <w:lang w:eastAsia="en-CA"/>
        </w:rPr>
        <w:t>end</w:t>
      </w:r>
      <w:r w:rsidR="000A5921" w:rsidRPr="005B7518">
        <w:rPr>
          <w:rFonts w:ascii="Arial" w:eastAsia="Times New Roman" w:hAnsi="Arial" w:cs="Arial"/>
          <w:color w:val="000000"/>
          <w:sz w:val="24"/>
          <w:szCs w:val="24"/>
          <w:lang w:eastAsia="en-CA"/>
        </w:rPr>
        <w:t>ing</w:t>
      </w:r>
      <w:r w:rsidRPr="005B7518">
        <w:rPr>
          <w:rFonts w:ascii="Arial" w:eastAsia="Times New Roman" w:hAnsi="Arial" w:cs="Arial"/>
          <w:color w:val="000000"/>
          <w:sz w:val="24"/>
          <w:szCs w:val="24"/>
          <w:lang w:eastAsia="en-CA"/>
        </w:rPr>
        <w:t xml:space="preserve"> </w:t>
      </w:r>
      <w:r w:rsidR="008D1EAE">
        <w:rPr>
          <w:rFonts w:ascii="Arial" w:eastAsia="Times New Roman" w:hAnsi="Arial" w:cs="Arial"/>
          <w:color w:val="000000"/>
          <w:sz w:val="24"/>
          <w:szCs w:val="24"/>
          <w:lang w:eastAsia="en-CA"/>
        </w:rPr>
        <w:t>June 30</w:t>
      </w:r>
      <w:r w:rsidR="00323A4A">
        <w:rPr>
          <w:rFonts w:ascii="Arial" w:eastAsia="Times New Roman" w:hAnsi="Arial" w:cs="Arial"/>
          <w:color w:val="000000"/>
          <w:sz w:val="24"/>
          <w:szCs w:val="24"/>
          <w:lang w:eastAsia="en-CA"/>
        </w:rPr>
        <w:t xml:space="preserve"> 2021</w:t>
      </w:r>
      <w:r w:rsidRPr="005B7518">
        <w:rPr>
          <w:rFonts w:ascii="Arial" w:eastAsia="Times New Roman" w:hAnsi="Arial" w:cs="Arial"/>
          <w:color w:val="000000"/>
          <w:sz w:val="24"/>
          <w:szCs w:val="24"/>
          <w:lang w:eastAsia="en-CA"/>
        </w:rPr>
        <w:t xml:space="preserve">, </w:t>
      </w:r>
      <w:proofErr w:type="spellStart"/>
      <w:r w:rsidRPr="005B7518">
        <w:rPr>
          <w:rFonts w:ascii="Arial" w:eastAsia="Times New Roman" w:hAnsi="Arial" w:cs="Arial"/>
          <w:color w:val="000000"/>
          <w:sz w:val="24"/>
          <w:szCs w:val="24"/>
          <w:lang w:eastAsia="en-CA"/>
        </w:rPr>
        <w:t>Plaintree</w:t>
      </w:r>
      <w:proofErr w:type="spellEnd"/>
      <w:r w:rsidRPr="005B7518">
        <w:rPr>
          <w:rFonts w:ascii="Arial" w:eastAsia="Times New Roman" w:hAnsi="Arial" w:cs="Arial"/>
          <w:color w:val="000000"/>
          <w:sz w:val="24"/>
          <w:szCs w:val="24"/>
          <w:lang w:eastAsia="en-CA"/>
        </w:rPr>
        <w:t xml:space="preserve"> realized revenues</w:t>
      </w:r>
      <w:r w:rsidR="005F68AD" w:rsidRPr="005B7518">
        <w:rPr>
          <w:rFonts w:ascii="Arial" w:eastAsia="Times New Roman" w:hAnsi="Arial" w:cs="Arial"/>
          <w:color w:val="000000"/>
          <w:sz w:val="24"/>
          <w:szCs w:val="24"/>
          <w:lang w:eastAsia="en-CA"/>
        </w:rPr>
        <w:t xml:space="preserve"> from</w:t>
      </w:r>
      <w:r w:rsidR="000B232F" w:rsidRPr="005B7518">
        <w:rPr>
          <w:rFonts w:ascii="Arial" w:eastAsia="Times New Roman" w:hAnsi="Arial" w:cs="Arial"/>
          <w:color w:val="000000"/>
          <w:sz w:val="24"/>
          <w:szCs w:val="24"/>
          <w:lang w:eastAsia="en-CA"/>
        </w:rPr>
        <w:t xml:space="preserve"> </w:t>
      </w:r>
      <w:r w:rsidR="005F68AD" w:rsidRPr="005B7518">
        <w:rPr>
          <w:rFonts w:ascii="Arial" w:eastAsia="Times New Roman" w:hAnsi="Arial" w:cs="Arial"/>
          <w:color w:val="000000"/>
          <w:sz w:val="24"/>
          <w:szCs w:val="24"/>
          <w:lang w:eastAsia="en-CA"/>
        </w:rPr>
        <w:t>operations</w:t>
      </w:r>
      <w:r w:rsidR="000B232F" w:rsidRPr="005B7518">
        <w:rPr>
          <w:rFonts w:ascii="Arial" w:eastAsia="Times New Roman" w:hAnsi="Arial" w:cs="Arial"/>
          <w:color w:val="000000"/>
          <w:sz w:val="24"/>
          <w:szCs w:val="24"/>
          <w:lang w:eastAsia="en-CA"/>
        </w:rPr>
        <w:t xml:space="preserve"> </w:t>
      </w:r>
      <w:r w:rsidR="005B7518" w:rsidRPr="005B7518">
        <w:rPr>
          <w:rFonts w:ascii="Arial" w:eastAsia="Times New Roman" w:hAnsi="Arial" w:cs="Arial"/>
          <w:color w:val="000000"/>
          <w:sz w:val="24"/>
          <w:szCs w:val="24"/>
          <w:lang w:eastAsia="en-CA"/>
        </w:rPr>
        <w:t>of $</w:t>
      </w:r>
      <w:r w:rsidR="00070F66">
        <w:rPr>
          <w:rFonts w:ascii="Arial" w:eastAsia="Times New Roman" w:hAnsi="Arial" w:cs="Arial"/>
          <w:color w:val="000000"/>
          <w:sz w:val="24"/>
          <w:szCs w:val="24"/>
          <w:lang w:eastAsia="en-CA"/>
        </w:rPr>
        <w:t>3,643,370</w:t>
      </w:r>
      <w:r w:rsidRPr="005B7518">
        <w:rPr>
          <w:rFonts w:ascii="Arial" w:eastAsia="Times New Roman" w:hAnsi="Arial" w:cs="Arial"/>
          <w:color w:val="000000"/>
          <w:sz w:val="24"/>
          <w:szCs w:val="24"/>
          <w:lang w:eastAsia="en-CA"/>
        </w:rPr>
        <w:t xml:space="preserve"> comparable to $</w:t>
      </w:r>
      <w:r w:rsidR="00323A4A">
        <w:rPr>
          <w:rFonts w:ascii="Arial" w:eastAsia="Times New Roman" w:hAnsi="Arial" w:cs="Arial"/>
          <w:color w:val="000000"/>
          <w:sz w:val="24"/>
          <w:szCs w:val="24"/>
          <w:lang w:eastAsia="en-CA"/>
        </w:rPr>
        <w:t>2,671,774</w:t>
      </w:r>
      <w:r w:rsidRPr="005B7518">
        <w:rPr>
          <w:rFonts w:ascii="Arial" w:eastAsia="Times New Roman" w:hAnsi="Arial" w:cs="Arial"/>
          <w:color w:val="000000"/>
          <w:sz w:val="24"/>
          <w:szCs w:val="24"/>
          <w:lang w:eastAsia="en-CA"/>
        </w:rPr>
        <w:t xml:space="preserve"> </w:t>
      </w:r>
      <w:r w:rsidRPr="005F68AD">
        <w:rPr>
          <w:rFonts w:ascii="Arial" w:eastAsia="Times New Roman" w:hAnsi="Arial" w:cs="Arial"/>
          <w:color w:val="000000"/>
          <w:sz w:val="24"/>
          <w:szCs w:val="24"/>
          <w:lang w:eastAsia="en-CA"/>
        </w:rPr>
        <w:t>for the same period</w:t>
      </w:r>
      <w:r w:rsidR="00323A4A">
        <w:rPr>
          <w:rFonts w:ascii="Arial" w:eastAsia="Times New Roman" w:hAnsi="Arial" w:cs="Arial"/>
          <w:color w:val="000000"/>
          <w:sz w:val="24"/>
          <w:szCs w:val="24"/>
          <w:lang w:eastAsia="en-CA"/>
        </w:rPr>
        <w:t xml:space="preserve"> in </w:t>
      </w:r>
      <w:r w:rsidRPr="005F68AD">
        <w:rPr>
          <w:rFonts w:ascii="Arial" w:eastAsia="Times New Roman" w:hAnsi="Arial" w:cs="Arial"/>
          <w:color w:val="000000"/>
          <w:sz w:val="24"/>
          <w:szCs w:val="24"/>
          <w:lang w:eastAsia="en-CA"/>
        </w:rPr>
        <w:t>fiscal 20</w:t>
      </w:r>
      <w:r w:rsidR="00323A4A">
        <w:rPr>
          <w:rFonts w:ascii="Arial" w:eastAsia="Times New Roman" w:hAnsi="Arial" w:cs="Arial"/>
          <w:color w:val="000000"/>
          <w:sz w:val="24"/>
          <w:szCs w:val="24"/>
          <w:lang w:eastAsia="en-CA"/>
        </w:rPr>
        <w:t>21</w:t>
      </w:r>
      <w:r w:rsidR="00556306">
        <w:rPr>
          <w:rFonts w:ascii="Arial" w:eastAsia="Times New Roman" w:hAnsi="Arial" w:cs="Arial"/>
          <w:color w:val="000000"/>
          <w:sz w:val="24"/>
          <w:szCs w:val="24"/>
          <w:lang w:eastAsia="en-CA"/>
        </w:rPr>
        <w:t>.</w:t>
      </w:r>
      <w:r w:rsidRPr="005F68AD">
        <w:rPr>
          <w:rFonts w:ascii="Arial" w:eastAsia="Times New Roman" w:hAnsi="Arial" w:cs="Arial"/>
          <w:color w:val="000000"/>
          <w:sz w:val="24"/>
          <w:szCs w:val="24"/>
          <w:lang w:eastAsia="en-CA"/>
        </w:rPr>
        <w:t xml:space="preserve"> </w:t>
      </w:r>
    </w:p>
    <w:bookmarkEnd w:id="0"/>
    <w:p w14:paraId="24EEDBD3" w14:textId="44A6C5CE" w:rsidR="001B1842" w:rsidRDefault="001B1842" w:rsidP="001B1842">
      <w:pPr>
        <w:shd w:val="clear" w:color="auto" w:fill="FFFFFF"/>
        <w:spacing w:line="240" w:lineRule="auto"/>
        <w:jc w:val="both"/>
        <w:textAlignment w:val="baseline"/>
        <w:rPr>
          <w:rFonts w:ascii="Arial" w:eastAsia="Times New Roman" w:hAnsi="Arial" w:cs="Arial"/>
          <w:color w:val="000000"/>
          <w:sz w:val="24"/>
          <w:szCs w:val="24"/>
          <w:lang w:eastAsia="en-CA"/>
        </w:rPr>
      </w:pPr>
      <w:r w:rsidRPr="005F68AD">
        <w:rPr>
          <w:rFonts w:ascii="Arial" w:eastAsia="Times New Roman" w:hAnsi="Arial" w:cs="Arial"/>
          <w:color w:val="000000"/>
          <w:sz w:val="24"/>
          <w:szCs w:val="24"/>
          <w:lang w:eastAsia="en-CA"/>
        </w:rPr>
        <w:t xml:space="preserve">Net income was </w:t>
      </w:r>
      <w:r w:rsidR="00323A4A">
        <w:rPr>
          <w:rFonts w:ascii="Arial" w:eastAsia="Times New Roman" w:hAnsi="Arial" w:cs="Arial"/>
          <w:color w:val="000000"/>
          <w:sz w:val="24"/>
          <w:szCs w:val="24"/>
          <w:lang w:eastAsia="en-CA"/>
        </w:rPr>
        <w:t>$262,145</w:t>
      </w:r>
      <w:r w:rsidRPr="005F68AD">
        <w:rPr>
          <w:rFonts w:ascii="Arial" w:eastAsia="Times New Roman" w:hAnsi="Arial" w:cs="Arial"/>
          <w:color w:val="000000"/>
          <w:sz w:val="24"/>
          <w:szCs w:val="24"/>
          <w:lang w:eastAsia="en-CA"/>
        </w:rPr>
        <w:t xml:space="preserve"> in the </w:t>
      </w:r>
      <w:proofErr w:type="gramStart"/>
      <w:r w:rsidR="005B7518" w:rsidRPr="005F68AD">
        <w:rPr>
          <w:rFonts w:ascii="Arial" w:eastAsia="Times New Roman" w:hAnsi="Arial" w:cs="Arial"/>
          <w:color w:val="000000"/>
          <w:sz w:val="24"/>
          <w:szCs w:val="24"/>
          <w:lang w:eastAsia="en-CA"/>
        </w:rPr>
        <w:t>three</w:t>
      </w:r>
      <w:r w:rsidR="00323A4A">
        <w:rPr>
          <w:rFonts w:ascii="Arial" w:eastAsia="Times New Roman" w:hAnsi="Arial" w:cs="Arial"/>
          <w:color w:val="000000"/>
          <w:sz w:val="24"/>
          <w:szCs w:val="24"/>
          <w:lang w:eastAsia="en-CA"/>
        </w:rPr>
        <w:t xml:space="preserve"> </w:t>
      </w:r>
      <w:r w:rsidR="005B7518" w:rsidRPr="005F68AD">
        <w:rPr>
          <w:rFonts w:ascii="Arial" w:eastAsia="Times New Roman" w:hAnsi="Arial" w:cs="Arial"/>
          <w:color w:val="000000"/>
          <w:sz w:val="24"/>
          <w:szCs w:val="24"/>
          <w:lang w:eastAsia="en-CA"/>
        </w:rPr>
        <w:t>month</w:t>
      </w:r>
      <w:proofErr w:type="gramEnd"/>
      <w:r w:rsidRPr="005F68AD">
        <w:rPr>
          <w:rFonts w:ascii="Arial" w:eastAsia="Times New Roman" w:hAnsi="Arial" w:cs="Arial"/>
          <w:color w:val="000000"/>
          <w:sz w:val="24"/>
          <w:szCs w:val="24"/>
          <w:lang w:eastAsia="en-CA"/>
        </w:rPr>
        <w:t xml:space="preserve"> period ending </w:t>
      </w:r>
      <w:r w:rsidR="00323A4A">
        <w:rPr>
          <w:rFonts w:ascii="Arial" w:eastAsia="Times New Roman" w:hAnsi="Arial" w:cs="Arial"/>
          <w:color w:val="000000"/>
          <w:sz w:val="24"/>
          <w:szCs w:val="24"/>
          <w:lang w:eastAsia="en-CA"/>
        </w:rPr>
        <w:t xml:space="preserve">June 30, 2021 </w:t>
      </w:r>
      <w:r w:rsidRPr="005F68AD">
        <w:rPr>
          <w:rFonts w:ascii="Arial" w:eastAsia="Times New Roman" w:hAnsi="Arial" w:cs="Arial"/>
          <w:color w:val="000000"/>
          <w:sz w:val="24"/>
          <w:szCs w:val="24"/>
          <w:lang w:eastAsia="en-CA"/>
        </w:rPr>
        <w:t>as compared to net income of $</w:t>
      </w:r>
      <w:r w:rsidR="00323A4A">
        <w:rPr>
          <w:rFonts w:ascii="Arial" w:eastAsia="Times New Roman" w:hAnsi="Arial" w:cs="Arial"/>
          <w:color w:val="000000"/>
          <w:sz w:val="24"/>
          <w:szCs w:val="24"/>
          <w:lang w:eastAsia="en-CA"/>
        </w:rPr>
        <w:t>350,055</w:t>
      </w:r>
      <w:r w:rsidRPr="005F68AD">
        <w:rPr>
          <w:rFonts w:ascii="Arial" w:eastAsia="Times New Roman" w:hAnsi="Arial" w:cs="Arial"/>
          <w:color w:val="000000"/>
          <w:sz w:val="24"/>
          <w:szCs w:val="24"/>
          <w:lang w:eastAsia="en-CA"/>
        </w:rPr>
        <w:t xml:space="preserve"> for the same period a year earlier.  </w:t>
      </w:r>
    </w:p>
    <w:p w14:paraId="712E7EC7" w14:textId="1FC28E02" w:rsidR="00103E05" w:rsidRDefault="00103E05" w:rsidP="00103E05">
      <w:pPr>
        <w:shd w:val="clear" w:color="auto" w:fill="FFFFFF"/>
        <w:spacing w:line="240" w:lineRule="auto"/>
        <w:jc w:val="both"/>
        <w:textAlignment w:val="baseline"/>
        <w:rPr>
          <w:rFonts w:ascii="Arial" w:eastAsia="Times New Roman" w:hAnsi="Arial" w:cs="Arial"/>
          <w:color w:val="000000"/>
          <w:sz w:val="24"/>
          <w:szCs w:val="24"/>
          <w:lang w:eastAsia="en-CA"/>
        </w:rPr>
      </w:pPr>
      <w:r w:rsidRPr="00D26905">
        <w:rPr>
          <w:rFonts w:ascii="Arial" w:eastAsia="Times New Roman" w:hAnsi="Arial" w:cs="Arial"/>
          <w:color w:val="000000"/>
          <w:sz w:val="24"/>
          <w:szCs w:val="24"/>
          <w:lang w:eastAsia="en-CA"/>
        </w:rPr>
        <w:t xml:space="preserve">“Covid related Government support is tapering off around the world and despite this </w:t>
      </w:r>
      <w:proofErr w:type="spellStart"/>
      <w:r w:rsidRPr="00D26905">
        <w:rPr>
          <w:rFonts w:ascii="Arial" w:eastAsia="Times New Roman" w:hAnsi="Arial" w:cs="Arial"/>
          <w:color w:val="000000"/>
          <w:sz w:val="24"/>
          <w:szCs w:val="24"/>
          <w:lang w:eastAsia="en-CA"/>
        </w:rPr>
        <w:t>Plaintree’s</w:t>
      </w:r>
      <w:proofErr w:type="spellEnd"/>
      <w:r w:rsidRPr="00D26905">
        <w:rPr>
          <w:rFonts w:ascii="Arial" w:eastAsia="Times New Roman" w:hAnsi="Arial" w:cs="Arial"/>
          <w:color w:val="000000"/>
          <w:sz w:val="24"/>
          <w:szCs w:val="24"/>
          <w:lang w:eastAsia="en-CA"/>
        </w:rPr>
        <w:t xml:space="preserve"> financial performance continues to improve and we have just finished another profitable quarter.” said David Watson CEO. “Our greatest challenge are our supply chains with critical components escalating in price and with much longer delivery lead times.”</w:t>
      </w:r>
    </w:p>
    <w:p w14:paraId="4CFF57E9" w14:textId="77777777" w:rsidR="00103E05" w:rsidRPr="005F68AD" w:rsidRDefault="00103E05" w:rsidP="001B1842">
      <w:pPr>
        <w:shd w:val="clear" w:color="auto" w:fill="FFFFFF"/>
        <w:spacing w:line="240" w:lineRule="auto"/>
        <w:jc w:val="both"/>
        <w:textAlignment w:val="baseline"/>
        <w:rPr>
          <w:rFonts w:ascii="Arial" w:eastAsia="Times New Roman" w:hAnsi="Arial" w:cs="Arial"/>
          <w:color w:val="000000"/>
          <w:sz w:val="24"/>
          <w:szCs w:val="24"/>
          <w:lang w:eastAsia="en-CA"/>
        </w:rPr>
      </w:pPr>
    </w:p>
    <w:p w14:paraId="29294887" w14:textId="77777777" w:rsidR="00323A4A" w:rsidRPr="00AE7E14" w:rsidRDefault="00323A4A" w:rsidP="00323A4A">
      <w:pPr>
        <w:widowControl w:val="0"/>
        <w:jc w:val="both"/>
        <w:outlineLvl w:val="0"/>
        <w:rPr>
          <w:rFonts w:cstheme="minorHAnsi"/>
          <w:b/>
          <w:u w:val="single"/>
        </w:rPr>
      </w:pPr>
      <w:r w:rsidRPr="00AE7E14">
        <w:rPr>
          <w:rFonts w:cstheme="minorHAnsi"/>
          <w:b/>
          <w:u w:val="single"/>
        </w:rPr>
        <w:t xml:space="preserve">About </w:t>
      </w:r>
      <w:proofErr w:type="spellStart"/>
      <w:r w:rsidRPr="00AE7E14">
        <w:rPr>
          <w:rFonts w:cstheme="minorHAnsi"/>
          <w:b/>
          <w:u w:val="single"/>
        </w:rPr>
        <w:t>Plaintree</w:t>
      </w:r>
      <w:proofErr w:type="spellEnd"/>
      <w:r w:rsidRPr="00AE7E14">
        <w:rPr>
          <w:rFonts w:cstheme="minorHAnsi"/>
          <w:b/>
          <w:u w:val="single"/>
        </w:rPr>
        <w:t xml:space="preserve"> Systems</w:t>
      </w:r>
    </w:p>
    <w:p w14:paraId="2FD026EE" w14:textId="77777777" w:rsidR="00323A4A" w:rsidRPr="00AE7E14" w:rsidRDefault="00323A4A" w:rsidP="00323A4A">
      <w:pPr>
        <w:jc w:val="both"/>
        <w:rPr>
          <w:rFonts w:cstheme="minorHAnsi"/>
        </w:rPr>
      </w:pPr>
      <w:proofErr w:type="spellStart"/>
      <w:r w:rsidRPr="00AE7E14">
        <w:rPr>
          <w:rFonts w:cstheme="minorHAnsi"/>
          <w:b/>
        </w:rPr>
        <w:t>Plaintree</w:t>
      </w:r>
      <w:proofErr w:type="spellEnd"/>
      <w:r w:rsidRPr="00AE7E14">
        <w:rPr>
          <w:rFonts w:cstheme="minorHAnsi"/>
        </w:rPr>
        <w:t xml:space="preserve"> has two diversified product lines consisting of Specialty Structures and Electronics.</w:t>
      </w:r>
    </w:p>
    <w:p w14:paraId="5F7241AA" w14:textId="77777777" w:rsidR="00323A4A" w:rsidRPr="00AE7E14" w:rsidRDefault="00323A4A" w:rsidP="00323A4A">
      <w:pPr>
        <w:jc w:val="both"/>
        <w:rPr>
          <w:rFonts w:cstheme="minorHAnsi"/>
        </w:rPr>
      </w:pPr>
      <w:r w:rsidRPr="00AE7E14">
        <w:rPr>
          <w:rFonts w:cstheme="minorHAnsi"/>
        </w:rPr>
        <w:t xml:space="preserve">The Specialty Structures Division includes the former </w:t>
      </w:r>
      <w:proofErr w:type="spellStart"/>
      <w:r w:rsidRPr="00AE7E14">
        <w:rPr>
          <w:rFonts w:cstheme="minorHAnsi"/>
        </w:rPr>
        <w:t>Triodetic</w:t>
      </w:r>
      <w:proofErr w:type="spellEnd"/>
      <w:r w:rsidRPr="00AE7E14">
        <w:rPr>
          <w:rFonts w:cstheme="minorHAnsi"/>
        </w:rPr>
        <w:t xml:space="preserve"> Group with over 40 years of experience, is a design/build manufacturer of steel, aluminum and </w:t>
      </w:r>
      <w:proofErr w:type="gramStart"/>
      <w:r w:rsidRPr="00AE7E14">
        <w:rPr>
          <w:rFonts w:cstheme="minorHAnsi"/>
        </w:rPr>
        <w:t>stainless steel</w:t>
      </w:r>
      <w:proofErr w:type="gramEnd"/>
      <w:r w:rsidRPr="00AE7E14">
        <w:rPr>
          <w:rFonts w:cstheme="minorHAnsi"/>
        </w:rPr>
        <w:t xml:space="preserve"> specialty structures such as commercial domes, </w:t>
      </w:r>
      <w:r>
        <w:rPr>
          <w:rFonts w:cstheme="minorHAnsi"/>
        </w:rPr>
        <w:t xml:space="preserve">foundations for unstable soil conditions and flood zones, for </w:t>
      </w:r>
      <w:r w:rsidRPr="00AE7E14">
        <w:rPr>
          <w:rFonts w:cstheme="minorHAnsi"/>
        </w:rPr>
        <w:t xml:space="preserve">free form structures, barrel vaults, space frames and industrial dome coverings and </w:t>
      </w:r>
      <w:proofErr w:type="spellStart"/>
      <w:r w:rsidRPr="00AE7E14">
        <w:rPr>
          <w:rFonts w:cstheme="minorHAnsi"/>
        </w:rPr>
        <w:t>Spotton</w:t>
      </w:r>
      <w:proofErr w:type="spellEnd"/>
      <w:r w:rsidRPr="00AE7E14">
        <w:rPr>
          <w:rFonts w:cstheme="minorHAnsi"/>
        </w:rPr>
        <w:t xml:space="preserve"> Corporation, a design and manufacturer of high end custom hydraulic and pneumatic valves and cylinders.</w:t>
      </w:r>
    </w:p>
    <w:p w14:paraId="3D4E025B" w14:textId="77777777" w:rsidR="00323A4A" w:rsidRPr="00AE7E14" w:rsidRDefault="00323A4A" w:rsidP="00323A4A">
      <w:pPr>
        <w:jc w:val="both"/>
        <w:rPr>
          <w:rFonts w:cstheme="minorHAnsi"/>
          <w:lang w:eastAsia="en-CA"/>
        </w:rPr>
      </w:pPr>
      <w:r w:rsidRPr="00AE7E14">
        <w:rPr>
          <w:rFonts w:cstheme="minorHAnsi"/>
        </w:rPr>
        <w:t xml:space="preserve">The Electronics Division includes the legacy Hypernetics and Summit Aerospace USA Inc. businesses. Hypernetics was established in 1972 and is a manufacturer of avionic components for various applications including aircraft antiskid braking, aircraft instrument indicators, solenoids, high purity valves and permanent magnet alternators. Summit Aerospace USA Inc. provides high precision machining to the aerospace and defense markets. Our facility includes 5 axis CNC precision machining of complex castings and large ring parts such as turbine and assembly shrouds as well as assembly &amp; pressure seals. Summit </w:t>
      </w:r>
      <w:r w:rsidRPr="00AE7E14">
        <w:rPr>
          <w:rFonts w:cstheme="minorHAnsi"/>
          <w:lang w:eastAsia="en-CA"/>
        </w:rPr>
        <w:t xml:space="preserve">will support requirements from concept, prototype and throughout production.  </w:t>
      </w:r>
    </w:p>
    <w:p w14:paraId="74BD309A" w14:textId="77777777" w:rsidR="00323A4A" w:rsidRPr="00AE7E14" w:rsidRDefault="00323A4A" w:rsidP="00323A4A">
      <w:pPr>
        <w:spacing w:before="120"/>
        <w:jc w:val="both"/>
        <w:rPr>
          <w:rFonts w:cstheme="minorHAnsi"/>
        </w:rPr>
      </w:pPr>
      <w:proofErr w:type="spellStart"/>
      <w:r w:rsidRPr="00AE7E14">
        <w:rPr>
          <w:rFonts w:cstheme="minorHAnsi"/>
          <w:color w:val="000000"/>
        </w:rPr>
        <w:t>Plaintree’s</w:t>
      </w:r>
      <w:proofErr w:type="spellEnd"/>
      <w:r w:rsidRPr="00AE7E14">
        <w:rPr>
          <w:rFonts w:cstheme="minorHAnsi"/>
          <w:color w:val="000000"/>
        </w:rPr>
        <w:t xml:space="preserve"> shares are traded under the symbol “NPT”.  Shareholders and Investors can access Company information on CSE’s website and receive full Company disclosure monthly.  For more information on </w:t>
      </w:r>
      <w:proofErr w:type="spellStart"/>
      <w:r w:rsidRPr="00AE7E14">
        <w:rPr>
          <w:rFonts w:cstheme="minorHAnsi"/>
          <w:color w:val="000000"/>
        </w:rPr>
        <w:t>Plaintree</w:t>
      </w:r>
      <w:proofErr w:type="spellEnd"/>
      <w:r w:rsidRPr="00AE7E14">
        <w:rPr>
          <w:rFonts w:cstheme="minorHAnsi"/>
          <w:color w:val="000000"/>
        </w:rPr>
        <w:t xml:space="preserve"> or to receive stock quotes, complete with trading summaries, bid size and ask price, brokerage </w:t>
      </w:r>
      <w:r w:rsidRPr="00AE7E14">
        <w:rPr>
          <w:rFonts w:cstheme="minorHAnsi"/>
          <w:color w:val="000000"/>
        </w:rPr>
        <w:lastRenderedPageBreak/>
        <w:t>house participation, insider reports, news releases, disclosure information, and CSE and SEDAR filings, visit the CSE website at www.cnsx.ca</w:t>
      </w:r>
      <w:hyperlink w:history="1"/>
      <w:r w:rsidRPr="00AE7E14">
        <w:rPr>
          <w:rFonts w:cstheme="minorHAnsi"/>
          <w:color w:val="000000"/>
        </w:rPr>
        <w:t xml:space="preserve"> or the Company’s website at www.plaintree.com.</w:t>
      </w:r>
      <w:r w:rsidRPr="00AE7E14">
        <w:rPr>
          <w:rFonts w:cstheme="minorHAnsi"/>
          <w:color w:val="000080"/>
        </w:rPr>
        <w:t xml:space="preserve"> </w:t>
      </w:r>
    </w:p>
    <w:p w14:paraId="18FE7218" w14:textId="77777777" w:rsidR="00323A4A" w:rsidRPr="00AE7E14" w:rsidRDefault="00323A4A" w:rsidP="00323A4A">
      <w:pPr>
        <w:jc w:val="both"/>
        <w:rPr>
          <w:rFonts w:cstheme="minorHAnsi"/>
          <w:snapToGrid w:val="0"/>
        </w:rPr>
      </w:pPr>
      <w:proofErr w:type="spellStart"/>
      <w:r w:rsidRPr="00AE7E14">
        <w:rPr>
          <w:rFonts w:cstheme="minorHAnsi"/>
          <w:snapToGrid w:val="0"/>
        </w:rPr>
        <w:t>Plaintree</w:t>
      </w:r>
      <w:proofErr w:type="spellEnd"/>
      <w:r w:rsidRPr="00AE7E14">
        <w:rPr>
          <w:rFonts w:cstheme="minorHAnsi"/>
          <w:snapToGrid w:val="0"/>
        </w:rPr>
        <w:t xml:space="preserve"> is publicly traded in Canada on the CSE (NPT) with </w:t>
      </w:r>
      <w:r w:rsidRPr="00AE7E14">
        <w:rPr>
          <w:rFonts w:cstheme="minorHAnsi"/>
          <w:b/>
          <w:snapToGrid w:val="0"/>
        </w:rPr>
        <w:t>12,925,253</w:t>
      </w:r>
      <w:r w:rsidRPr="00AE7E14">
        <w:rPr>
          <w:rFonts w:cstheme="minorHAnsi"/>
          <w:snapToGrid w:val="0"/>
        </w:rPr>
        <w:t xml:space="preserve"> common shares and 18,325 class A preferred shares outstanding. </w:t>
      </w:r>
    </w:p>
    <w:p w14:paraId="746BB6CB" w14:textId="2365BA41" w:rsidR="00323A4A" w:rsidRPr="00AE7E14" w:rsidRDefault="00323A4A" w:rsidP="00323A4A">
      <w:pPr>
        <w:jc w:val="both"/>
        <w:rPr>
          <w:rFonts w:cstheme="minorHAnsi"/>
          <w:i/>
          <w:snapToGrid w:val="0"/>
        </w:rPr>
      </w:pPr>
      <w:r w:rsidRPr="00AE7E14">
        <w:rPr>
          <w:rFonts w:cstheme="minorHAnsi"/>
          <w:i/>
          <w:snapToGrid w:val="0"/>
        </w:rPr>
        <w:t>This press release may include statements that are forward-looking and based on current expectations.  The actual results of the company may differ materially from current expectations.  The business of the company is subject to many risks and uncertainties, including changes in markets for the company’s products, delays in product development and introduction to manufacturing and intense competition.  For a more detailed discussion of the risks and uncertainties related to the company’s business, please refer to documents filed by the company with the Canadian regulatory authorities, including the annual report of the Company for the fiscal year ended March 31, 20</w:t>
      </w:r>
      <w:r>
        <w:rPr>
          <w:rFonts w:cstheme="minorHAnsi"/>
          <w:i/>
          <w:snapToGrid w:val="0"/>
        </w:rPr>
        <w:t>21</w:t>
      </w:r>
      <w:r w:rsidRPr="00AE7E14">
        <w:rPr>
          <w:rFonts w:cstheme="minorHAnsi"/>
          <w:i/>
          <w:snapToGrid w:val="0"/>
        </w:rPr>
        <w:t xml:space="preserve"> and related management discussion and analysis. </w:t>
      </w:r>
    </w:p>
    <w:p w14:paraId="63506CCD" w14:textId="77777777" w:rsidR="00323A4A" w:rsidRPr="00AE7E14" w:rsidRDefault="00323A4A" w:rsidP="00323A4A">
      <w:pPr>
        <w:autoSpaceDE w:val="0"/>
        <w:autoSpaceDN w:val="0"/>
        <w:adjustRightInd w:val="0"/>
        <w:jc w:val="both"/>
        <w:rPr>
          <w:rFonts w:cstheme="minorHAnsi"/>
          <w:i/>
          <w:iCs/>
          <w:lang w:eastAsia="en-CA"/>
        </w:rPr>
      </w:pPr>
      <w:r w:rsidRPr="00AE7E14">
        <w:rPr>
          <w:rFonts w:cstheme="minorHAnsi"/>
          <w:i/>
          <w:iCs/>
          <w:lang w:eastAsia="en-CA"/>
        </w:rPr>
        <w:t>Canadian Securities Exchange has not reviewed and does not accept responsibility for the adequacy or accuracy of the content of this news release.</w:t>
      </w:r>
    </w:p>
    <w:p w14:paraId="1F6AD369" w14:textId="77777777" w:rsidR="00323A4A" w:rsidRPr="00AE7E14" w:rsidRDefault="00323A4A" w:rsidP="00323A4A">
      <w:pPr>
        <w:autoSpaceDE w:val="0"/>
        <w:autoSpaceDN w:val="0"/>
        <w:adjustRightInd w:val="0"/>
        <w:jc w:val="both"/>
        <w:rPr>
          <w:rFonts w:cstheme="minorHAnsi"/>
        </w:rPr>
      </w:pPr>
      <w:r w:rsidRPr="00AE7E14">
        <w:rPr>
          <w:rFonts w:cstheme="minorHAnsi"/>
        </w:rPr>
        <w:t>For further information:</w:t>
      </w:r>
      <w:r>
        <w:rPr>
          <w:rFonts w:cstheme="minorHAnsi"/>
        </w:rPr>
        <w:t xml:space="preserve"> Lynn Saunders, </w:t>
      </w:r>
      <w:proofErr w:type="gramStart"/>
      <w:r>
        <w:rPr>
          <w:rFonts w:cstheme="minorHAnsi"/>
        </w:rPr>
        <w:t>CFO</w:t>
      </w:r>
      <w:r w:rsidRPr="00AE7E14">
        <w:rPr>
          <w:rFonts w:cstheme="minorHAnsi"/>
        </w:rPr>
        <w:t xml:space="preserve">  (</w:t>
      </w:r>
      <w:proofErr w:type="gramEnd"/>
      <w:r w:rsidRPr="00AE7E14">
        <w:rPr>
          <w:rFonts w:cstheme="minorHAnsi"/>
        </w:rPr>
        <w:t xml:space="preserve">613) 623-3434 </w:t>
      </w:r>
      <w:r>
        <w:rPr>
          <w:rFonts w:cstheme="minorHAnsi"/>
        </w:rPr>
        <w:t>x2223</w:t>
      </w:r>
    </w:p>
    <w:p w14:paraId="104A7360" w14:textId="77777777" w:rsidR="00323A4A" w:rsidRDefault="00323A4A" w:rsidP="008F1A3C">
      <w:pPr>
        <w:widowControl w:val="0"/>
        <w:jc w:val="both"/>
        <w:outlineLvl w:val="0"/>
        <w:rPr>
          <w:rFonts w:ascii="Arial" w:hAnsi="Arial" w:cs="Arial"/>
          <w:b/>
          <w:u w:val="single"/>
        </w:rPr>
      </w:pPr>
    </w:p>
    <w:p w14:paraId="0A763601" w14:textId="77777777" w:rsidR="00323A4A" w:rsidRDefault="00323A4A" w:rsidP="008F1A3C">
      <w:pPr>
        <w:widowControl w:val="0"/>
        <w:jc w:val="both"/>
        <w:outlineLvl w:val="0"/>
        <w:rPr>
          <w:rFonts w:ascii="Arial" w:hAnsi="Arial" w:cs="Arial"/>
          <w:b/>
          <w:u w:val="single"/>
        </w:rPr>
      </w:pPr>
    </w:p>
    <w:sectPr w:rsidR="00323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35B9"/>
    <w:multiLevelType w:val="multilevel"/>
    <w:tmpl w:val="565C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EA71D9"/>
    <w:multiLevelType w:val="multilevel"/>
    <w:tmpl w:val="C858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8467BA"/>
    <w:multiLevelType w:val="multilevel"/>
    <w:tmpl w:val="145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2F3CA6"/>
    <w:multiLevelType w:val="multilevel"/>
    <w:tmpl w:val="BA78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E5352D"/>
    <w:multiLevelType w:val="multilevel"/>
    <w:tmpl w:val="8124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1D"/>
    <w:rsid w:val="00036BBB"/>
    <w:rsid w:val="00070F66"/>
    <w:rsid w:val="000938F6"/>
    <w:rsid w:val="000A5921"/>
    <w:rsid w:val="000B232F"/>
    <w:rsid w:val="000B5546"/>
    <w:rsid w:val="00103E05"/>
    <w:rsid w:val="00146CC2"/>
    <w:rsid w:val="001B1842"/>
    <w:rsid w:val="001C22C3"/>
    <w:rsid w:val="00220230"/>
    <w:rsid w:val="00227094"/>
    <w:rsid w:val="00243C86"/>
    <w:rsid w:val="0026657A"/>
    <w:rsid w:val="002C092E"/>
    <w:rsid w:val="002F1123"/>
    <w:rsid w:val="00304155"/>
    <w:rsid w:val="00323A4A"/>
    <w:rsid w:val="00355B19"/>
    <w:rsid w:val="00445607"/>
    <w:rsid w:val="00457F17"/>
    <w:rsid w:val="004A4A8F"/>
    <w:rsid w:val="004D378C"/>
    <w:rsid w:val="005328AF"/>
    <w:rsid w:val="00541C7C"/>
    <w:rsid w:val="00556306"/>
    <w:rsid w:val="00591FF8"/>
    <w:rsid w:val="005B6488"/>
    <w:rsid w:val="005B7518"/>
    <w:rsid w:val="005E191D"/>
    <w:rsid w:val="005F68AD"/>
    <w:rsid w:val="00630950"/>
    <w:rsid w:val="006F5C44"/>
    <w:rsid w:val="007D7B29"/>
    <w:rsid w:val="008334E7"/>
    <w:rsid w:val="008570D2"/>
    <w:rsid w:val="00874297"/>
    <w:rsid w:val="00886C4C"/>
    <w:rsid w:val="008D1EAE"/>
    <w:rsid w:val="008F1A3C"/>
    <w:rsid w:val="008F21BE"/>
    <w:rsid w:val="009E6B03"/>
    <w:rsid w:val="00AB4975"/>
    <w:rsid w:val="00AC675C"/>
    <w:rsid w:val="00AE7E14"/>
    <w:rsid w:val="00B154E3"/>
    <w:rsid w:val="00C06B66"/>
    <w:rsid w:val="00D26905"/>
    <w:rsid w:val="00D40448"/>
    <w:rsid w:val="00D6353A"/>
    <w:rsid w:val="00D64944"/>
    <w:rsid w:val="00E06E85"/>
    <w:rsid w:val="00E24ED4"/>
    <w:rsid w:val="00E80248"/>
    <w:rsid w:val="00E854F0"/>
    <w:rsid w:val="00EC3714"/>
    <w:rsid w:val="00EC4620"/>
    <w:rsid w:val="00F053FD"/>
    <w:rsid w:val="00F65345"/>
    <w:rsid w:val="00F8714D"/>
    <w:rsid w:val="00FA4E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23EC"/>
  <w15:docId w15:val="{EF2E6ACD-280F-4CDD-BBBE-EC5536CD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B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rsid w:val="00D64944"/>
    <w:pPr>
      <w:tabs>
        <w:tab w:val="center" w:pos="4320"/>
        <w:tab w:val="right" w:pos="8640"/>
      </w:tabs>
      <w:spacing w:after="0" w:line="240" w:lineRule="auto"/>
    </w:pPr>
    <w:rPr>
      <w:rFonts w:ascii="Arial" w:eastAsia="Times New Roman" w:hAnsi="Arial" w:cs="Arial"/>
      <w:sz w:val="24"/>
      <w:szCs w:val="24"/>
      <w:lang w:val="en-US"/>
    </w:rPr>
  </w:style>
  <w:style w:type="character" w:customStyle="1" w:styleId="HeaderChar">
    <w:name w:val="Header Char"/>
    <w:basedOn w:val="DefaultParagraphFont"/>
    <w:link w:val="Header"/>
    <w:rsid w:val="00D64944"/>
    <w:rPr>
      <w:rFonts w:ascii="Arial" w:eastAsia="Times New Roman" w:hAnsi="Arial" w:cs="Arial"/>
      <w:sz w:val="24"/>
      <w:szCs w:val="24"/>
      <w:lang w:val="en-US"/>
    </w:rPr>
  </w:style>
  <w:style w:type="character" w:styleId="Hyperlink">
    <w:name w:val="Hyperlink"/>
    <w:rsid w:val="00D64944"/>
    <w:rPr>
      <w:color w:val="0000FF"/>
      <w:u w:val="single"/>
    </w:rPr>
  </w:style>
  <w:style w:type="character" w:styleId="CommentReference">
    <w:name w:val="annotation reference"/>
    <w:basedOn w:val="DefaultParagraphFont"/>
    <w:uiPriority w:val="99"/>
    <w:semiHidden/>
    <w:unhideWhenUsed/>
    <w:rsid w:val="00D64944"/>
    <w:rPr>
      <w:sz w:val="16"/>
      <w:szCs w:val="16"/>
    </w:rPr>
  </w:style>
  <w:style w:type="paragraph" w:styleId="CommentText">
    <w:name w:val="annotation text"/>
    <w:basedOn w:val="Normal"/>
    <w:link w:val="CommentTextChar"/>
    <w:uiPriority w:val="99"/>
    <w:semiHidden/>
    <w:unhideWhenUsed/>
    <w:rsid w:val="00D64944"/>
    <w:pPr>
      <w:spacing w:line="240" w:lineRule="auto"/>
    </w:pPr>
    <w:rPr>
      <w:sz w:val="20"/>
      <w:szCs w:val="20"/>
    </w:rPr>
  </w:style>
  <w:style w:type="character" w:customStyle="1" w:styleId="CommentTextChar">
    <w:name w:val="Comment Text Char"/>
    <w:basedOn w:val="DefaultParagraphFont"/>
    <w:link w:val="CommentText"/>
    <w:uiPriority w:val="99"/>
    <w:semiHidden/>
    <w:rsid w:val="00D64944"/>
    <w:rPr>
      <w:sz w:val="20"/>
      <w:szCs w:val="20"/>
    </w:rPr>
  </w:style>
  <w:style w:type="paragraph" w:styleId="CommentSubject">
    <w:name w:val="annotation subject"/>
    <w:basedOn w:val="CommentText"/>
    <w:next w:val="CommentText"/>
    <w:link w:val="CommentSubjectChar"/>
    <w:uiPriority w:val="99"/>
    <w:semiHidden/>
    <w:unhideWhenUsed/>
    <w:rsid w:val="00D64944"/>
    <w:rPr>
      <w:b/>
      <w:bCs/>
    </w:rPr>
  </w:style>
  <w:style w:type="character" w:customStyle="1" w:styleId="CommentSubjectChar">
    <w:name w:val="Comment Subject Char"/>
    <w:basedOn w:val="CommentTextChar"/>
    <w:link w:val="CommentSubject"/>
    <w:uiPriority w:val="99"/>
    <w:semiHidden/>
    <w:rsid w:val="00D64944"/>
    <w:rPr>
      <w:b/>
      <w:bCs/>
      <w:sz w:val="20"/>
      <w:szCs w:val="20"/>
    </w:rPr>
  </w:style>
  <w:style w:type="paragraph" w:styleId="BalloonText">
    <w:name w:val="Balloon Text"/>
    <w:basedOn w:val="Normal"/>
    <w:link w:val="BalloonTextChar"/>
    <w:uiPriority w:val="99"/>
    <w:semiHidden/>
    <w:unhideWhenUsed/>
    <w:rsid w:val="00D64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44"/>
    <w:rPr>
      <w:rFonts w:ascii="Tahoma" w:hAnsi="Tahoma" w:cs="Tahoma"/>
      <w:sz w:val="16"/>
      <w:szCs w:val="16"/>
    </w:rPr>
  </w:style>
  <w:style w:type="paragraph" w:customStyle="1" w:styleId="ydp412e0dc9yiv7861066731ydp19e5edc7yiv1428560538msonormal">
    <w:name w:val="ydp412e0dc9yiv7861066731ydp19e5edc7yiv1428560538msonormal"/>
    <w:basedOn w:val="Normal"/>
    <w:rsid w:val="005F68AD"/>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57154">
      <w:bodyDiv w:val="1"/>
      <w:marLeft w:val="0"/>
      <w:marRight w:val="0"/>
      <w:marTop w:val="0"/>
      <w:marBottom w:val="0"/>
      <w:divBdr>
        <w:top w:val="none" w:sz="0" w:space="0" w:color="auto"/>
        <w:left w:val="none" w:sz="0" w:space="0" w:color="auto"/>
        <w:bottom w:val="none" w:sz="0" w:space="0" w:color="auto"/>
        <w:right w:val="none" w:sz="0" w:space="0" w:color="auto"/>
      </w:divBdr>
    </w:div>
    <w:div w:id="781995277">
      <w:bodyDiv w:val="1"/>
      <w:marLeft w:val="0"/>
      <w:marRight w:val="0"/>
      <w:marTop w:val="0"/>
      <w:marBottom w:val="0"/>
      <w:divBdr>
        <w:top w:val="none" w:sz="0" w:space="0" w:color="auto"/>
        <w:left w:val="none" w:sz="0" w:space="0" w:color="auto"/>
        <w:bottom w:val="none" w:sz="0" w:space="0" w:color="auto"/>
        <w:right w:val="none" w:sz="0" w:space="0" w:color="auto"/>
      </w:divBdr>
    </w:div>
    <w:div w:id="982153404">
      <w:bodyDiv w:val="1"/>
      <w:marLeft w:val="0"/>
      <w:marRight w:val="0"/>
      <w:marTop w:val="0"/>
      <w:marBottom w:val="0"/>
      <w:divBdr>
        <w:top w:val="none" w:sz="0" w:space="0" w:color="auto"/>
        <w:left w:val="none" w:sz="0" w:space="0" w:color="auto"/>
        <w:bottom w:val="none" w:sz="0" w:space="0" w:color="auto"/>
        <w:right w:val="none" w:sz="0" w:space="0" w:color="auto"/>
      </w:divBdr>
    </w:div>
    <w:div w:id="1068186975">
      <w:bodyDiv w:val="1"/>
      <w:marLeft w:val="0"/>
      <w:marRight w:val="0"/>
      <w:marTop w:val="0"/>
      <w:marBottom w:val="0"/>
      <w:divBdr>
        <w:top w:val="none" w:sz="0" w:space="0" w:color="auto"/>
        <w:left w:val="none" w:sz="0" w:space="0" w:color="auto"/>
        <w:bottom w:val="none" w:sz="0" w:space="0" w:color="auto"/>
        <w:right w:val="none" w:sz="0" w:space="0" w:color="auto"/>
      </w:divBdr>
    </w:div>
    <w:div w:id="1131096766">
      <w:bodyDiv w:val="1"/>
      <w:marLeft w:val="0"/>
      <w:marRight w:val="0"/>
      <w:marTop w:val="0"/>
      <w:marBottom w:val="0"/>
      <w:divBdr>
        <w:top w:val="none" w:sz="0" w:space="0" w:color="auto"/>
        <w:left w:val="none" w:sz="0" w:space="0" w:color="auto"/>
        <w:bottom w:val="none" w:sz="0" w:space="0" w:color="auto"/>
        <w:right w:val="none" w:sz="0" w:space="0" w:color="auto"/>
      </w:divBdr>
    </w:div>
    <w:div w:id="1254436843">
      <w:bodyDiv w:val="1"/>
      <w:marLeft w:val="0"/>
      <w:marRight w:val="0"/>
      <w:marTop w:val="0"/>
      <w:marBottom w:val="0"/>
      <w:divBdr>
        <w:top w:val="none" w:sz="0" w:space="0" w:color="auto"/>
        <w:left w:val="none" w:sz="0" w:space="0" w:color="auto"/>
        <w:bottom w:val="none" w:sz="0" w:space="0" w:color="auto"/>
        <w:right w:val="none" w:sz="0" w:space="0" w:color="auto"/>
      </w:divBdr>
    </w:div>
    <w:div w:id="1981499921">
      <w:bodyDiv w:val="1"/>
      <w:marLeft w:val="0"/>
      <w:marRight w:val="0"/>
      <w:marTop w:val="0"/>
      <w:marBottom w:val="0"/>
      <w:divBdr>
        <w:top w:val="none" w:sz="0" w:space="0" w:color="auto"/>
        <w:left w:val="none" w:sz="0" w:space="0" w:color="auto"/>
        <w:bottom w:val="none" w:sz="0" w:space="0" w:color="auto"/>
        <w:right w:val="none" w:sz="0" w:space="0" w:color="auto"/>
      </w:divBdr>
    </w:div>
    <w:div w:id="20577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D78C-A889-4DE8-9FEA-C5C3CF40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597</Words>
  <Characters>3407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JP Legal Services</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Jessop</dc:creator>
  <cp:lastModifiedBy>Lynn Saunders</cp:lastModifiedBy>
  <cp:revision>2</cp:revision>
  <cp:lastPrinted>2019-07-25T19:30:00Z</cp:lastPrinted>
  <dcterms:created xsi:type="dcterms:W3CDTF">2021-08-23T19:40:00Z</dcterms:created>
  <dcterms:modified xsi:type="dcterms:W3CDTF">2021-08-23T19:40:00Z</dcterms:modified>
</cp:coreProperties>
</file>